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E4B" w:rsidRPr="009F466A" w:rsidRDefault="00944E4B" w:rsidP="00944E4B">
      <w:pPr>
        <w:spacing w:before="3800" w:after="240" w:line="240" w:lineRule="auto"/>
        <w:jc w:val="center"/>
        <w:rPr>
          <w:b/>
          <w:sz w:val="52"/>
          <w:szCs w:val="52"/>
        </w:rPr>
      </w:pPr>
      <w:bookmarkStart w:id="0" w:name="_Toc468022799"/>
      <w:r w:rsidRPr="009F466A">
        <w:rPr>
          <w:b/>
          <w:sz w:val="52"/>
          <w:szCs w:val="52"/>
        </w:rPr>
        <w:t>Pharmaceutical Benefits Scheme</w:t>
      </w:r>
    </w:p>
    <w:p w:rsidR="00944E4B" w:rsidRPr="009F466A" w:rsidRDefault="00944E4B" w:rsidP="00944E4B">
      <w:pPr>
        <w:spacing w:before="480" w:after="240" w:line="240" w:lineRule="auto"/>
        <w:jc w:val="center"/>
        <w:rPr>
          <w:b/>
          <w:sz w:val="40"/>
          <w:szCs w:val="40"/>
        </w:rPr>
      </w:pPr>
      <w:r w:rsidRPr="009F466A">
        <w:rPr>
          <w:b/>
          <w:sz w:val="40"/>
          <w:szCs w:val="40"/>
        </w:rPr>
        <w:t>Post-market Review</w:t>
      </w:r>
      <w:r>
        <w:rPr>
          <w:b/>
          <w:sz w:val="40"/>
          <w:szCs w:val="40"/>
        </w:rPr>
        <w:t xml:space="preserve"> of</w:t>
      </w:r>
    </w:p>
    <w:p w:rsidR="00944E4B" w:rsidRPr="00A3599C" w:rsidRDefault="00944E4B" w:rsidP="00944E4B">
      <w:pPr>
        <w:spacing w:line="240" w:lineRule="auto"/>
        <w:jc w:val="center"/>
        <w:rPr>
          <w:b/>
          <w:color w:val="365F91" w:themeColor="accent1" w:themeShade="BF"/>
          <w:sz w:val="40"/>
          <w:szCs w:val="40"/>
        </w:rPr>
      </w:pPr>
      <w:r w:rsidRPr="00A3599C">
        <w:rPr>
          <w:b/>
          <w:color w:val="365F91" w:themeColor="accent1" w:themeShade="BF"/>
          <w:sz w:val="40"/>
          <w:szCs w:val="40"/>
        </w:rPr>
        <w:t>Medicines to treat Pulmonary Arterial Hypertension</w:t>
      </w:r>
    </w:p>
    <w:p w:rsidR="00944E4B" w:rsidRPr="0027270C" w:rsidRDefault="00944E4B" w:rsidP="00944E4B">
      <w:pPr>
        <w:spacing w:after="1920" w:line="240" w:lineRule="auto"/>
        <w:jc w:val="center"/>
        <w:rPr>
          <w:b/>
          <w:color w:val="365F91" w:themeColor="accent1" w:themeShade="BF"/>
          <w:sz w:val="40"/>
          <w:szCs w:val="40"/>
        </w:rPr>
      </w:pPr>
      <w:r>
        <w:rPr>
          <w:b/>
          <w:color w:val="365F91" w:themeColor="accent1" w:themeShade="BF"/>
          <w:sz w:val="40"/>
          <w:szCs w:val="40"/>
        </w:rPr>
        <w:t>ToR 4</w:t>
      </w:r>
    </w:p>
    <w:p w:rsidR="00944E4B" w:rsidRPr="00A3599C" w:rsidRDefault="00944E4B" w:rsidP="00944E4B">
      <w:pPr>
        <w:spacing w:line="240" w:lineRule="auto"/>
        <w:jc w:val="center"/>
        <w:rPr>
          <w:b/>
          <w:color w:val="365F91" w:themeColor="accent1" w:themeShade="BF"/>
          <w:sz w:val="32"/>
          <w:szCs w:val="32"/>
        </w:rPr>
      </w:pPr>
      <w:r w:rsidRPr="00A3599C">
        <w:rPr>
          <w:b/>
          <w:color w:val="365F91" w:themeColor="accent1" w:themeShade="BF"/>
          <w:sz w:val="32"/>
          <w:szCs w:val="32"/>
        </w:rPr>
        <w:t xml:space="preserve">Final Report </w:t>
      </w:r>
    </w:p>
    <w:p w:rsidR="00944E4B" w:rsidRDefault="00944E4B" w:rsidP="00944E4B">
      <w:pPr>
        <w:spacing w:after="1920" w:line="240" w:lineRule="auto"/>
        <w:jc w:val="center"/>
      </w:pPr>
      <w:r w:rsidRPr="00B15758">
        <w:rPr>
          <w:b/>
          <w:color w:val="365F91" w:themeColor="accent1" w:themeShade="BF"/>
          <w:sz w:val="32"/>
          <w:szCs w:val="32"/>
        </w:rPr>
        <w:t>November 2018</w:t>
      </w:r>
    </w:p>
    <w:p w:rsidR="00265798" w:rsidRPr="00EB1471" w:rsidRDefault="00265798" w:rsidP="00265798">
      <w:pPr>
        <w:pStyle w:val="Titlepage"/>
        <w:spacing w:before="3120"/>
        <w:rPr>
          <w:b/>
          <w:sz w:val="32"/>
          <w:szCs w:val="32"/>
        </w:rPr>
        <w:sectPr w:rsidR="00265798" w:rsidRPr="00EB1471" w:rsidSect="00CB3D4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pgNumType w:fmt="lowerRoman" w:start="1"/>
          <w:cols w:space="708"/>
          <w:titlePg/>
          <w:docGrid w:linePitch="360"/>
        </w:sectPr>
      </w:pPr>
    </w:p>
    <w:sdt>
      <w:sdtPr>
        <w:rPr>
          <w:rFonts w:asciiTheme="minorHAnsi" w:eastAsia="Calibri" w:hAnsiTheme="minorHAnsi"/>
          <w:b w:val="0"/>
          <w:color w:val="auto"/>
          <w:sz w:val="24"/>
          <w:szCs w:val="24"/>
        </w:rPr>
        <w:id w:val="-1787038159"/>
        <w:docPartObj>
          <w:docPartGallery w:val="Table of Contents"/>
          <w:docPartUnique/>
        </w:docPartObj>
      </w:sdtPr>
      <w:sdtEndPr>
        <w:rPr>
          <w:bCs/>
        </w:rPr>
      </w:sdtEndPr>
      <w:sdtContent>
        <w:p w:rsidR="00B27192" w:rsidRPr="00091BE6" w:rsidRDefault="00B27192">
          <w:pPr>
            <w:pStyle w:val="TOCHeading"/>
            <w:rPr>
              <w:rFonts w:ascii="Calibri" w:hAnsi="Calibri"/>
            </w:rPr>
          </w:pPr>
          <w:r w:rsidRPr="00091BE6">
            <w:rPr>
              <w:rFonts w:ascii="Calibri" w:hAnsi="Calibri"/>
            </w:rPr>
            <w:t>Contents</w:t>
          </w:r>
        </w:p>
        <w:p w:rsidR="00F52145" w:rsidRDefault="00F52145">
          <w:pPr>
            <w:pStyle w:val="TOC1"/>
            <w:rPr>
              <w:rFonts w:eastAsiaTheme="minorEastAsia" w:cstheme="minorBidi"/>
              <w:sz w:val="22"/>
              <w:szCs w:val="22"/>
              <w:lang w:eastAsia="en-AU"/>
            </w:rPr>
          </w:pPr>
          <w:r w:rsidRPr="002046A0">
            <w:t>Abbreviations</w:t>
          </w:r>
          <w:r>
            <w:rPr>
              <w:webHidden/>
            </w:rPr>
            <w:tab/>
          </w:r>
          <w:r w:rsidR="00B44CFB">
            <w:rPr>
              <w:webHidden/>
            </w:rPr>
            <w:t>11</w:t>
          </w:r>
        </w:p>
        <w:p w:rsidR="00F52145" w:rsidRDefault="00F52145">
          <w:pPr>
            <w:pStyle w:val="TOC1"/>
            <w:rPr>
              <w:rFonts w:eastAsiaTheme="minorEastAsia" w:cstheme="minorBidi"/>
              <w:sz w:val="22"/>
              <w:szCs w:val="22"/>
              <w:lang w:eastAsia="en-AU"/>
            </w:rPr>
          </w:pPr>
          <w:r w:rsidRPr="002046A0">
            <w:t>Section 4 : ToR 4 Review of the comparative effectiveness of PAH medicines</w:t>
          </w:r>
          <w:r>
            <w:rPr>
              <w:webHidden/>
            </w:rPr>
            <w:tab/>
          </w:r>
          <w:r w:rsidR="00B44CFB">
            <w:rPr>
              <w:webHidden/>
            </w:rPr>
            <w:t>13</w:t>
          </w:r>
        </w:p>
        <w:p w:rsidR="00F52145" w:rsidRDefault="00F52145">
          <w:pPr>
            <w:pStyle w:val="TOC2"/>
            <w:rPr>
              <w:rFonts w:eastAsiaTheme="minorEastAsia" w:cstheme="minorBidi"/>
              <w:noProof/>
              <w:sz w:val="22"/>
              <w:szCs w:val="22"/>
              <w:lang w:eastAsia="en-AU"/>
            </w:rPr>
          </w:pPr>
          <w:r w:rsidRPr="002046A0">
            <w:rPr>
              <w:noProof/>
            </w:rPr>
            <w:t>4.1</w:t>
          </w:r>
          <w:r>
            <w:rPr>
              <w:rFonts w:eastAsiaTheme="minorEastAsia" w:cstheme="minorBidi"/>
              <w:noProof/>
              <w:sz w:val="22"/>
              <w:szCs w:val="22"/>
              <w:lang w:eastAsia="en-AU"/>
            </w:rPr>
            <w:tab/>
          </w:r>
          <w:r w:rsidRPr="002046A0">
            <w:rPr>
              <w:noProof/>
            </w:rPr>
            <w:t>Key findings for ToR 4</w:t>
          </w:r>
          <w:r>
            <w:rPr>
              <w:noProof/>
              <w:webHidden/>
            </w:rPr>
            <w:tab/>
          </w:r>
          <w:r w:rsidR="00B44CFB">
            <w:rPr>
              <w:noProof/>
              <w:webHidden/>
            </w:rPr>
            <w:t>13</w:t>
          </w:r>
        </w:p>
        <w:p w:rsidR="00F52145" w:rsidRDefault="00F52145">
          <w:pPr>
            <w:pStyle w:val="TOC3"/>
            <w:tabs>
              <w:tab w:val="left" w:pos="1840"/>
            </w:tabs>
            <w:rPr>
              <w:rFonts w:eastAsiaTheme="minorEastAsia" w:cstheme="minorBidi"/>
              <w:noProof/>
              <w:sz w:val="22"/>
              <w:szCs w:val="22"/>
              <w:lang w:eastAsia="en-AU"/>
            </w:rPr>
          </w:pPr>
          <w:r w:rsidRPr="002046A0">
            <w:rPr>
              <w:noProof/>
            </w:rPr>
            <w:t>4.1.1</w:t>
          </w:r>
          <w:r>
            <w:rPr>
              <w:rFonts w:eastAsiaTheme="minorEastAsia" w:cstheme="minorBidi"/>
              <w:noProof/>
              <w:sz w:val="22"/>
              <w:szCs w:val="22"/>
              <w:lang w:eastAsia="en-AU"/>
            </w:rPr>
            <w:tab/>
          </w:r>
          <w:r w:rsidRPr="002046A0">
            <w:rPr>
              <w:noProof/>
            </w:rPr>
            <w:t>Effectiveness and safety of monotherapy in WHO FC I or II PAH</w:t>
          </w:r>
          <w:r>
            <w:rPr>
              <w:noProof/>
              <w:webHidden/>
            </w:rPr>
            <w:tab/>
          </w:r>
          <w:r w:rsidR="00B44CFB">
            <w:rPr>
              <w:noProof/>
              <w:webHidden/>
            </w:rPr>
            <w:t>13</w:t>
          </w:r>
        </w:p>
        <w:p w:rsidR="00F52145" w:rsidRDefault="00F52145">
          <w:pPr>
            <w:pStyle w:val="TOC3"/>
            <w:tabs>
              <w:tab w:val="left" w:pos="1840"/>
            </w:tabs>
            <w:rPr>
              <w:rFonts w:eastAsiaTheme="minorEastAsia" w:cstheme="minorBidi"/>
              <w:noProof/>
              <w:sz w:val="22"/>
              <w:szCs w:val="22"/>
              <w:lang w:eastAsia="en-AU"/>
            </w:rPr>
          </w:pPr>
          <w:r w:rsidRPr="002046A0">
            <w:rPr>
              <w:noProof/>
            </w:rPr>
            <w:t>4.1.2</w:t>
          </w:r>
          <w:r>
            <w:rPr>
              <w:rFonts w:eastAsiaTheme="minorEastAsia" w:cstheme="minorBidi"/>
              <w:noProof/>
              <w:sz w:val="22"/>
              <w:szCs w:val="22"/>
              <w:lang w:eastAsia="en-AU"/>
            </w:rPr>
            <w:tab/>
          </w:r>
          <w:r w:rsidRPr="002046A0">
            <w:rPr>
              <w:noProof/>
            </w:rPr>
            <w:t>Evidence of effectiveness and safety of monotherapy in WHO FC III or IV PAH not previously considered by the Pharmaceutical Benefits Advisory Committee (PBAC)</w:t>
          </w:r>
          <w:r>
            <w:rPr>
              <w:noProof/>
              <w:webHidden/>
            </w:rPr>
            <w:tab/>
          </w:r>
          <w:r w:rsidR="00B44CFB">
            <w:rPr>
              <w:noProof/>
              <w:webHidden/>
            </w:rPr>
            <w:t>17</w:t>
          </w:r>
        </w:p>
        <w:p w:rsidR="00F52145" w:rsidRDefault="00F52145">
          <w:pPr>
            <w:pStyle w:val="TOC3"/>
            <w:tabs>
              <w:tab w:val="left" w:pos="1840"/>
            </w:tabs>
            <w:rPr>
              <w:rFonts w:eastAsiaTheme="minorEastAsia" w:cstheme="minorBidi"/>
              <w:noProof/>
              <w:sz w:val="22"/>
              <w:szCs w:val="22"/>
              <w:lang w:eastAsia="en-AU"/>
            </w:rPr>
          </w:pPr>
          <w:r w:rsidRPr="002046A0">
            <w:rPr>
              <w:noProof/>
            </w:rPr>
            <w:t>4.1.3</w:t>
          </w:r>
          <w:r>
            <w:rPr>
              <w:rFonts w:eastAsiaTheme="minorEastAsia" w:cstheme="minorBidi"/>
              <w:noProof/>
              <w:sz w:val="22"/>
              <w:szCs w:val="22"/>
              <w:lang w:eastAsia="en-AU"/>
            </w:rPr>
            <w:tab/>
          </w:r>
          <w:r w:rsidRPr="002046A0">
            <w:rPr>
              <w:noProof/>
            </w:rPr>
            <w:t>Effectiveness and safety of dual combination therapy</w:t>
          </w:r>
          <w:r>
            <w:rPr>
              <w:noProof/>
              <w:webHidden/>
            </w:rPr>
            <w:tab/>
          </w:r>
          <w:r w:rsidR="00B44CFB">
            <w:rPr>
              <w:noProof/>
              <w:webHidden/>
            </w:rPr>
            <w:t>21</w:t>
          </w:r>
        </w:p>
        <w:p w:rsidR="00F52145" w:rsidRDefault="00F52145">
          <w:pPr>
            <w:pStyle w:val="TOC3"/>
            <w:tabs>
              <w:tab w:val="left" w:pos="1840"/>
            </w:tabs>
            <w:rPr>
              <w:rFonts w:eastAsiaTheme="minorEastAsia" w:cstheme="minorBidi"/>
              <w:noProof/>
              <w:sz w:val="22"/>
              <w:szCs w:val="22"/>
              <w:lang w:eastAsia="en-AU"/>
            </w:rPr>
          </w:pPr>
          <w:r w:rsidRPr="002046A0">
            <w:rPr>
              <w:noProof/>
            </w:rPr>
            <w:t>4.1.4</w:t>
          </w:r>
          <w:r>
            <w:rPr>
              <w:rFonts w:eastAsiaTheme="minorEastAsia" w:cstheme="minorBidi"/>
              <w:noProof/>
              <w:sz w:val="22"/>
              <w:szCs w:val="22"/>
              <w:lang w:eastAsia="en-AU"/>
            </w:rPr>
            <w:tab/>
          </w:r>
          <w:r w:rsidRPr="002046A0">
            <w:rPr>
              <w:noProof/>
            </w:rPr>
            <w:t>Effectiveness and safety of triple combination therapy</w:t>
          </w:r>
          <w:r>
            <w:rPr>
              <w:noProof/>
              <w:webHidden/>
            </w:rPr>
            <w:tab/>
          </w:r>
          <w:r w:rsidR="00B44CFB">
            <w:rPr>
              <w:noProof/>
              <w:webHidden/>
            </w:rPr>
            <w:t>41</w:t>
          </w:r>
        </w:p>
        <w:p w:rsidR="00F52145" w:rsidRDefault="00F52145">
          <w:pPr>
            <w:pStyle w:val="TOC3"/>
            <w:tabs>
              <w:tab w:val="left" w:pos="1840"/>
            </w:tabs>
            <w:rPr>
              <w:rFonts w:eastAsiaTheme="minorEastAsia" w:cstheme="minorBidi"/>
              <w:noProof/>
              <w:sz w:val="22"/>
              <w:szCs w:val="22"/>
              <w:lang w:eastAsia="en-AU"/>
            </w:rPr>
          </w:pPr>
          <w:r w:rsidRPr="002046A0">
            <w:rPr>
              <w:noProof/>
            </w:rPr>
            <w:t>4.1.5</w:t>
          </w:r>
          <w:r>
            <w:rPr>
              <w:rFonts w:eastAsiaTheme="minorEastAsia" w:cstheme="minorBidi"/>
              <w:noProof/>
              <w:sz w:val="22"/>
              <w:szCs w:val="22"/>
              <w:lang w:eastAsia="en-AU"/>
            </w:rPr>
            <w:tab/>
          </w:r>
          <w:r w:rsidRPr="002046A0">
            <w:rPr>
              <w:noProof/>
            </w:rPr>
            <w:t>Extended assessment of safety</w:t>
          </w:r>
          <w:r>
            <w:rPr>
              <w:noProof/>
              <w:webHidden/>
            </w:rPr>
            <w:tab/>
          </w:r>
          <w:r w:rsidR="00B44CFB">
            <w:rPr>
              <w:noProof/>
              <w:webHidden/>
            </w:rPr>
            <w:t>41</w:t>
          </w:r>
        </w:p>
        <w:p w:rsidR="00F52145" w:rsidRDefault="00F52145">
          <w:pPr>
            <w:pStyle w:val="TOC3"/>
            <w:tabs>
              <w:tab w:val="left" w:pos="1840"/>
            </w:tabs>
            <w:rPr>
              <w:rFonts w:eastAsiaTheme="minorEastAsia" w:cstheme="minorBidi"/>
              <w:noProof/>
              <w:sz w:val="22"/>
              <w:szCs w:val="22"/>
              <w:lang w:eastAsia="en-AU"/>
            </w:rPr>
          </w:pPr>
          <w:r w:rsidRPr="002046A0">
            <w:rPr>
              <w:noProof/>
            </w:rPr>
            <w:t>4.1.6</w:t>
          </w:r>
          <w:r>
            <w:rPr>
              <w:rFonts w:eastAsiaTheme="minorEastAsia" w:cstheme="minorBidi"/>
              <w:noProof/>
              <w:sz w:val="22"/>
              <w:szCs w:val="22"/>
              <w:lang w:eastAsia="en-AU"/>
            </w:rPr>
            <w:tab/>
          </w:r>
          <w:r w:rsidRPr="002046A0">
            <w:rPr>
              <w:noProof/>
            </w:rPr>
            <w:t>Stakeholder views</w:t>
          </w:r>
          <w:r>
            <w:rPr>
              <w:noProof/>
              <w:webHidden/>
            </w:rPr>
            <w:tab/>
          </w:r>
          <w:r w:rsidR="00B44CFB">
            <w:rPr>
              <w:noProof/>
              <w:webHidden/>
            </w:rPr>
            <w:t>42</w:t>
          </w:r>
        </w:p>
        <w:p w:rsidR="00F52145" w:rsidRDefault="00F52145">
          <w:pPr>
            <w:pStyle w:val="TOC3"/>
            <w:tabs>
              <w:tab w:val="left" w:pos="1840"/>
            </w:tabs>
            <w:rPr>
              <w:rFonts w:eastAsiaTheme="minorEastAsia" w:cstheme="minorBidi"/>
              <w:noProof/>
              <w:sz w:val="22"/>
              <w:szCs w:val="22"/>
              <w:lang w:eastAsia="en-AU"/>
            </w:rPr>
          </w:pPr>
          <w:r w:rsidRPr="002046A0">
            <w:rPr>
              <w:noProof/>
            </w:rPr>
            <w:t>4.1.7</w:t>
          </w:r>
          <w:r>
            <w:rPr>
              <w:rFonts w:eastAsiaTheme="minorEastAsia" w:cstheme="minorBidi"/>
              <w:noProof/>
              <w:sz w:val="22"/>
              <w:szCs w:val="22"/>
              <w:lang w:eastAsia="en-AU"/>
            </w:rPr>
            <w:tab/>
          </w:r>
          <w:r w:rsidRPr="002046A0">
            <w:rPr>
              <w:noProof/>
            </w:rPr>
            <w:t>Consumer Views</w:t>
          </w:r>
          <w:r>
            <w:rPr>
              <w:noProof/>
              <w:webHidden/>
            </w:rPr>
            <w:tab/>
          </w:r>
          <w:r w:rsidR="00B44CFB">
            <w:rPr>
              <w:noProof/>
              <w:webHidden/>
            </w:rPr>
            <w:t>42</w:t>
          </w:r>
        </w:p>
        <w:p w:rsidR="00F52145" w:rsidRDefault="00F52145">
          <w:pPr>
            <w:pStyle w:val="TOC2"/>
            <w:rPr>
              <w:rFonts w:eastAsiaTheme="minorEastAsia" w:cstheme="minorBidi"/>
              <w:noProof/>
              <w:sz w:val="22"/>
              <w:szCs w:val="22"/>
              <w:lang w:eastAsia="en-AU"/>
            </w:rPr>
          </w:pPr>
          <w:r w:rsidRPr="002046A0">
            <w:rPr>
              <w:noProof/>
            </w:rPr>
            <w:t>4.2</w:t>
          </w:r>
          <w:r>
            <w:rPr>
              <w:rFonts w:eastAsiaTheme="minorEastAsia" w:cstheme="minorBidi"/>
              <w:noProof/>
              <w:sz w:val="22"/>
              <w:szCs w:val="22"/>
              <w:lang w:eastAsia="en-AU"/>
            </w:rPr>
            <w:tab/>
          </w:r>
          <w:r w:rsidRPr="002046A0">
            <w:rPr>
              <w:noProof/>
            </w:rPr>
            <w:t>Introduction</w:t>
          </w:r>
          <w:r>
            <w:rPr>
              <w:noProof/>
              <w:webHidden/>
            </w:rPr>
            <w:tab/>
          </w:r>
          <w:r w:rsidR="00B44CFB">
            <w:rPr>
              <w:noProof/>
              <w:webHidden/>
            </w:rPr>
            <w:t>43</w:t>
          </w:r>
        </w:p>
        <w:p w:rsidR="00F52145" w:rsidRDefault="00F52145">
          <w:pPr>
            <w:pStyle w:val="TOC2"/>
            <w:rPr>
              <w:rFonts w:eastAsiaTheme="minorEastAsia" w:cstheme="minorBidi"/>
              <w:noProof/>
              <w:sz w:val="22"/>
              <w:szCs w:val="22"/>
              <w:lang w:eastAsia="en-AU"/>
            </w:rPr>
          </w:pPr>
          <w:r w:rsidRPr="002046A0">
            <w:rPr>
              <w:noProof/>
            </w:rPr>
            <w:t>4.3</w:t>
          </w:r>
          <w:r>
            <w:rPr>
              <w:rFonts w:eastAsiaTheme="minorEastAsia" w:cstheme="minorBidi"/>
              <w:noProof/>
              <w:sz w:val="22"/>
              <w:szCs w:val="22"/>
              <w:lang w:eastAsia="en-AU"/>
            </w:rPr>
            <w:tab/>
          </w:r>
          <w:r w:rsidRPr="002046A0">
            <w:rPr>
              <w:noProof/>
            </w:rPr>
            <w:t>Methodology</w:t>
          </w:r>
          <w:r>
            <w:rPr>
              <w:noProof/>
              <w:webHidden/>
            </w:rPr>
            <w:tab/>
          </w:r>
          <w:r w:rsidR="00B44CFB">
            <w:rPr>
              <w:noProof/>
              <w:webHidden/>
            </w:rPr>
            <w:t>43</w:t>
          </w:r>
        </w:p>
        <w:p w:rsidR="00F52145" w:rsidRDefault="00F52145">
          <w:pPr>
            <w:pStyle w:val="TOC3"/>
            <w:tabs>
              <w:tab w:val="left" w:pos="1840"/>
            </w:tabs>
            <w:rPr>
              <w:rFonts w:eastAsiaTheme="minorEastAsia" w:cstheme="minorBidi"/>
              <w:noProof/>
              <w:sz w:val="22"/>
              <w:szCs w:val="22"/>
              <w:lang w:eastAsia="en-AU"/>
            </w:rPr>
          </w:pPr>
          <w:r w:rsidRPr="002046A0">
            <w:rPr>
              <w:noProof/>
            </w:rPr>
            <w:t>4.3.1</w:t>
          </w:r>
          <w:r>
            <w:rPr>
              <w:rFonts w:eastAsiaTheme="minorEastAsia" w:cstheme="minorBidi"/>
              <w:noProof/>
              <w:sz w:val="22"/>
              <w:szCs w:val="22"/>
              <w:lang w:eastAsia="en-AU"/>
            </w:rPr>
            <w:tab/>
          </w:r>
          <w:r w:rsidRPr="002046A0">
            <w:rPr>
              <w:noProof/>
            </w:rPr>
            <w:t>Identification of relevant studies</w:t>
          </w:r>
          <w:r>
            <w:rPr>
              <w:noProof/>
              <w:webHidden/>
            </w:rPr>
            <w:tab/>
          </w:r>
          <w:r w:rsidR="00B44CFB">
            <w:rPr>
              <w:noProof/>
              <w:webHidden/>
            </w:rPr>
            <w:t>44</w:t>
          </w:r>
        </w:p>
        <w:p w:rsidR="00F52145" w:rsidRDefault="00F52145">
          <w:pPr>
            <w:pStyle w:val="TOC3"/>
            <w:tabs>
              <w:tab w:val="left" w:pos="1840"/>
            </w:tabs>
            <w:rPr>
              <w:rFonts w:eastAsiaTheme="minorEastAsia" w:cstheme="minorBidi"/>
              <w:noProof/>
              <w:sz w:val="22"/>
              <w:szCs w:val="22"/>
              <w:lang w:eastAsia="en-AU"/>
            </w:rPr>
          </w:pPr>
          <w:r w:rsidRPr="002046A0">
            <w:rPr>
              <w:noProof/>
            </w:rPr>
            <w:t>4.3.2</w:t>
          </w:r>
          <w:r>
            <w:rPr>
              <w:rFonts w:eastAsiaTheme="minorEastAsia" w:cstheme="minorBidi"/>
              <w:noProof/>
              <w:sz w:val="22"/>
              <w:szCs w:val="22"/>
              <w:lang w:eastAsia="en-AU"/>
            </w:rPr>
            <w:tab/>
          </w:r>
          <w:r w:rsidRPr="002046A0">
            <w:rPr>
              <w:noProof/>
            </w:rPr>
            <w:t>Search results and selection of evidence</w:t>
          </w:r>
          <w:r>
            <w:rPr>
              <w:noProof/>
              <w:webHidden/>
            </w:rPr>
            <w:tab/>
          </w:r>
          <w:r w:rsidR="00B44CFB">
            <w:rPr>
              <w:noProof/>
              <w:webHidden/>
            </w:rPr>
            <w:t>51</w:t>
          </w:r>
        </w:p>
        <w:p w:rsidR="00F52145" w:rsidRDefault="00F52145">
          <w:pPr>
            <w:pStyle w:val="TOC3"/>
            <w:tabs>
              <w:tab w:val="left" w:pos="1840"/>
            </w:tabs>
            <w:rPr>
              <w:rFonts w:eastAsiaTheme="minorEastAsia" w:cstheme="minorBidi"/>
              <w:noProof/>
              <w:sz w:val="22"/>
              <w:szCs w:val="22"/>
              <w:lang w:eastAsia="en-AU"/>
            </w:rPr>
          </w:pPr>
          <w:r w:rsidRPr="002046A0">
            <w:rPr>
              <w:noProof/>
            </w:rPr>
            <w:t>4.3.3</w:t>
          </w:r>
          <w:r>
            <w:rPr>
              <w:rFonts w:eastAsiaTheme="minorEastAsia" w:cstheme="minorBidi"/>
              <w:noProof/>
              <w:sz w:val="22"/>
              <w:szCs w:val="22"/>
              <w:lang w:eastAsia="en-AU"/>
            </w:rPr>
            <w:tab/>
          </w:r>
          <w:r w:rsidRPr="002046A0">
            <w:rPr>
              <w:noProof/>
            </w:rPr>
            <w:t>Critical appraisal</w:t>
          </w:r>
          <w:r>
            <w:rPr>
              <w:noProof/>
              <w:webHidden/>
            </w:rPr>
            <w:tab/>
          </w:r>
          <w:r w:rsidR="00B44CFB">
            <w:rPr>
              <w:noProof/>
              <w:webHidden/>
            </w:rPr>
            <w:t>53</w:t>
          </w:r>
        </w:p>
        <w:p w:rsidR="00F52145" w:rsidRDefault="00F52145">
          <w:pPr>
            <w:pStyle w:val="TOC3"/>
            <w:tabs>
              <w:tab w:val="left" w:pos="1840"/>
            </w:tabs>
            <w:rPr>
              <w:rFonts w:eastAsiaTheme="minorEastAsia" w:cstheme="minorBidi"/>
              <w:noProof/>
              <w:sz w:val="22"/>
              <w:szCs w:val="22"/>
              <w:lang w:eastAsia="en-AU"/>
            </w:rPr>
          </w:pPr>
          <w:r w:rsidRPr="002046A0">
            <w:rPr>
              <w:noProof/>
            </w:rPr>
            <w:t>4.3.4</w:t>
          </w:r>
          <w:r>
            <w:rPr>
              <w:rFonts w:eastAsiaTheme="minorEastAsia" w:cstheme="minorBidi"/>
              <w:noProof/>
              <w:sz w:val="22"/>
              <w:szCs w:val="22"/>
              <w:lang w:eastAsia="en-AU"/>
            </w:rPr>
            <w:tab/>
          </w:r>
          <w:r w:rsidRPr="002046A0">
            <w:rPr>
              <w:noProof/>
            </w:rPr>
            <w:t>Clinical evidence included in the systematic review</w:t>
          </w:r>
          <w:r>
            <w:rPr>
              <w:noProof/>
              <w:webHidden/>
            </w:rPr>
            <w:tab/>
          </w:r>
          <w:r w:rsidR="00B44CFB">
            <w:rPr>
              <w:noProof/>
              <w:webHidden/>
            </w:rPr>
            <w:t>54</w:t>
          </w:r>
        </w:p>
        <w:p w:rsidR="00F52145" w:rsidRDefault="00F52145">
          <w:pPr>
            <w:pStyle w:val="TOC3"/>
            <w:tabs>
              <w:tab w:val="left" w:pos="1840"/>
            </w:tabs>
            <w:rPr>
              <w:rFonts w:eastAsiaTheme="minorEastAsia" w:cstheme="minorBidi"/>
              <w:noProof/>
              <w:sz w:val="22"/>
              <w:szCs w:val="22"/>
              <w:lang w:eastAsia="en-AU"/>
            </w:rPr>
          </w:pPr>
          <w:r w:rsidRPr="002046A0">
            <w:rPr>
              <w:noProof/>
            </w:rPr>
            <w:t>4.3.5</w:t>
          </w:r>
          <w:r>
            <w:rPr>
              <w:rFonts w:eastAsiaTheme="minorEastAsia" w:cstheme="minorBidi"/>
              <w:noProof/>
              <w:sz w:val="22"/>
              <w:szCs w:val="22"/>
              <w:lang w:eastAsia="en-AU"/>
            </w:rPr>
            <w:tab/>
          </w:r>
          <w:r w:rsidRPr="002046A0">
            <w:rPr>
              <w:noProof/>
            </w:rPr>
            <w:t>Outcome measures</w:t>
          </w:r>
          <w:r>
            <w:rPr>
              <w:noProof/>
              <w:webHidden/>
            </w:rPr>
            <w:tab/>
          </w:r>
          <w:r w:rsidR="00B44CFB">
            <w:rPr>
              <w:noProof/>
              <w:webHidden/>
            </w:rPr>
            <w:t>63</w:t>
          </w:r>
        </w:p>
        <w:p w:rsidR="00F52145" w:rsidRDefault="00F52145">
          <w:pPr>
            <w:pStyle w:val="TOC3"/>
            <w:tabs>
              <w:tab w:val="left" w:pos="1840"/>
            </w:tabs>
            <w:rPr>
              <w:rFonts w:eastAsiaTheme="minorEastAsia" w:cstheme="minorBidi"/>
              <w:noProof/>
              <w:sz w:val="22"/>
              <w:szCs w:val="22"/>
              <w:lang w:eastAsia="en-AU"/>
            </w:rPr>
          </w:pPr>
          <w:r w:rsidRPr="002046A0">
            <w:rPr>
              <w:noProof/>
            </w:rPr>
            <w:t>4.3.6</w:t>
          </w:r>
          <w:r>
            <w:rPr>
              <w:rFonts w:eastAsiaTheme="minorEastAsia" w:cstheme="minorBidi"/>
              <w:noProof/>
              <w:sz w:val="22"/>
              <w:szCs w:val="22"/>
              <w:lang w:eastAsia="en-AU"/>
            </w:rPr>
            <w:tab/>
          </w:r>
          <w:r w:rsidRPr="002046A0">
            <w:rPr>
              <w:noProof/>
            </w:rPr>
            <w:t>Synthesis of evidence</w:t>
          </w:r>
          <w:r>
            <w:rPr>
              <w:noProof/>
              <w:webHidden/>
            </w:rPr>
            <w:tab/>
          </w:r>
          <w:r w:rsidR="00B44CFB">
            <w:rPr>
              <w:noProof/>
              <w:webHidden/>
            </w:rPr>
            <w:t>65</w:t>
          </w:r>
        </w:p>
        <w:p w:rsidR="00F52145" w:rsidRDefault="00F52145">
          <w:pPr>
            <w:pStyle w:val="TOC2"/>
            <w:rPr>
              <w:rFonts w:eastAsiaTheme="minorEastAsia" w:cstheme="minorBidi"/>
              <w:noProof/>
              <w:sz w:val="22"/>
              <w:szCs w:val="22"/>
              <w:lang w:eastAsia="en-AU"/>
            </w:rPr>
          </w:pPr>
          <w:r w:rsidRPr="002046A0">
            <w:rPr>
              <w:noProof/>
            </w:rPr>
            <w:t>4.4</w:t>
          </w:r>
          <w:r>
            <w:rPr>
              <w:rFonts w:eastAsiaTheme="minorEastAsia" w:cstheme="minorBidi"/>
              <w:noProof/>
              <w:sz w:val="22"/>
              <w:szCs w:val="22"/>
              <w:lang w:eastAsia="en-AU"/>
            </w:rPr>
            <w:tab/>
          </w:r>
          <w:r w:rsidRPr="002046A0">
            <w:rPr>
              <w:noProof/>
            </w:rPr>
            <w:t>Results of the literature review</w:t>
          </w:r>
          <w:r>
            <w:rPr>
              <w:noProof/>
              <w:webHidden/>
            </w:rPr>
            <w:tab/>
          </w:r>
          <w:r w:rsidR="00B44CFB">
            <w:rPr>
              <w:noProof/>
              <w:webHidden/>
            </w:rPr>
            <w:t>67</w:t>
          </w:r>
        </w:p>
        <w:p w:rsidR="00F52145" w:rsidRDefault="00F52145">
          <w:pPr>
            <w:pStyle w:val="TOC3"/>
            <w:tabs>
              <w:tab w:val="left" w:pos="1840"/>
            </w:tabs>
            <w:rPr>
              <w:rFonts w:eastAsiaTheme="minorEastAsia" w:cstheme="minorBidi"/>
              <w:noProof/>
              <w:sz w:val="22"/>
              <w:szCs w:val="22"/>
              <w:lang w:eastAsia="en-AU"/>
            </w:rPr>
          </w:pPr>
          <w:r w:rsidRPr="002046A0">
            <w:rPr>
              <w:noProof/>
            </w:rPr>
            <w:t>4.4.1</w:t>
          </w:r>
          <w:r>
            <w:rPr>
              <w:rFonts w:eastAsiaTheme="minorEastAsia" w:cstheme="minorBidi"/>
              <w:noProof/>
              <w:sz w:val="22"/>
              <w:szCs w:val="22"/>
              <w:lang w:eastAsia="en-AU"/>
            </w:rPr>
            <w:tab/>
          </w:r>
          <w:r w:rsidRPr="002046A0">
            <w:rPr>
              <w:noProof/>
            </w:rPr>
            <w:t>Research question 1</w:t>
          </w:r>
          <w:r>
            <w:rPr>
              <w:noProof/>
              <w:webHidden/>
            </w:rPr>
            <w:tab/>
          </w:r>
          <w:r w:rsidR="00B44CFB">
            <w:rPr>
              <w:noProof/>
              <w:webHidden/>
            </w:rPr>
            <w:t>67</w:t>
          </w:r>
        </w:p>
        <w:p w:rsidR="00F52145" w:rsidRDefault="00F52145">
          <w:pPr>
            <w:pStyle w:val="TOC3"/>
            <w:tabs>
              <w:tab w:val="left" w:pos="1840"/>
            </w:tabs>
            <w:rPr>
              <w:rFonts w:eastAsiaTheme="minorEastAsia" w:cstheme="minorBidi"/>
              <w:noProof/>
              <w:sz w:val="22"/>
              <w:szCs w:val="22"/>
              <w:lang w:eastAsia="en-AU"/>
            </w:rPr>
          </w:pPr>
          <w:r w:rsidRPr="002046A0">
            <w:rPr>
              <w:noProof/>
            </w:rPr>
            <w:t>4.4.2</w:t>
          </w:r>
          <w:r>
            <w:rPr>
              <w:rFonts w:eastAsiaTheme="minorEastAsia" w:cstheme="minorBidi"/>
              <w:noProof/>
              <w:sz w:val="22"/>
              <w:szCs w:val="22"/>
              <w:lang w:eastAsia="en-AU"/>
            </w:rPr>
            <w:tab/>
          </w:r>
          <w:r w:rsidRPr="002046A0">
            <w:rPr>
              <w:noProof/>
            </w:rPr>
            <w:t>Research question 2</w:t>
          </w:r>
          <w:r>
            <w:rPr>
              <w:noProof/>
              <w:webHidden/>
            </w:rPr>
            <w:tab/>
          </w:r>
          <w:r w:rsidR="00B44CFB">
            <w:rPr>
              <w:noProof/>
              <w:webHidden/>
            </w:rPr>
            <w:t>80</w:t>
          </w:r>
        </w:p>
        <w:p w:rsidR="00F52145" w:rsidRDefault="00F52145">
          <w:pPr>
            <w:pStyle w:val="TOC3"/>
            <w:tabs>
              <w:tab w:val="left" w:pos="1840"/>
            </w:tabs>
            <w:rPr>
              <w:rFonts w:eastAsiaTheme="minorEastAsia" w:cstheme="minorBidi"/>
              <w:noProof/>
              <w:sz w:val="22"/>
              <w:szCs w:val="22"/>
              <w:lang w:eastAsia="en-AU"/>
            </w:rPr>
          </w:pPr>
          <w:r w:rsidRPr="002046A0">
            <w:rPr>
              <w:noProof/>
            </w:rPr>
            <w:t>4.4.3</w:t>
          </w:r>
          <w:r>
            <w:rPr>
              <w:rFonts w:eastAsiaTheme="minorEastAsia" w:cstheme="minorBidi"/>
              <w:noProof/>
              <w:sz w:val="22"/>
              <w:szCs w:val="22"/>
              <w:lang w:eastAsia="en-AU"/>
            </w:rPr>
            <w:tab/>
          </w:r>
          <w:r w:rsidRPr="002046A0">
            <w:rPr>
              <w:noProof/>
            </w:rPr>
            <w:t>Research question 3</w:t>
          </w:r>
          <w:r>
            <w:rPr>
              <w:noProof/>
              <w:webHidden/>
            </w:rPr>
            <w:tab/>
          </w:r>
          <w:r w:rsidR="00B44CFB">
            <w:rPr>
              <w:noProof/>
              <w:webHidden/>
            </w:rPr>
            <w:t>80</w:t>
          </w:r>
        </w:p>
        <w:p w:rsidR="00F52145" w:rsidRDefault="00F52145">
          <w:pPr>
            <w:pStyle w:val="TOC3"/>
            <w:tabs>
              <w:tab w:val="left" w:pos="1840"/>
            </w:tabs>
            <w:rPr>
              <w:rFonts w:eastAsiaTheme="minorEastAsia" w:cstheme="minorBidi"/>
              <w:noProof/>
              <w:sz w:val="22"/>
              <w:szCs w:val="22"/>
              <w:lang w:eastAsia="en-AU"/>
            </w:rPr>
          </w:pPr>
          <w:r w:rsidRPr="002046A0">
            <w:rPr>
              <w:noProof/>
            </w:rPr>
            <w:t>4.4.4</w:t>
          </w:r>
          <w:r>
            <w:rPr>
              <w:rFonts w:eastAsiaTheme="minorEastAsia" w:cstheme="minorBidi"/>
              <w:noProof/>
              <w:sz w:val="22"/>
              <w:szCs w:val="22"/>
              <w:lang w:eastAsia="en-AU"/>
            </w:rPr>
            <w:tab/>
          </w:r>
          <w:r w:rsidRPr="002046A0">
            <w:rPr>
              <w:noProof/>
            </w:rPr>
            <w:t>Research question 4</w:t>
          </w:r>
          <w:r>
            <w:rPr>
              <w:noProof/>
              <w:webHidden/>
            </w:rPr>
            <w:tab/>
          </w:r>
          <w:r w:rsidR="00B44CFB">
            <w:rPr>
              <w:noProof/>
              <w:webHidden/>
            </w:rPr>
            <w:t>135</w:t>
          </w:r>
        </w:p>
        <w:p w:rsidR="00F52145" w:rsidRDefault="00F52145">
          <w:pPr>
            <w:pStyle w:val="TOC3"/>
            <w:tabs>
              <w:tab w:val="left" w:pos="1840"/>
            </w:tabs>
            <w:rPr>
              <w:rFonts w:eastAsiaTheme="minorEastAsia" w:cstheme="minorBidi"/>
              <w:noProof/>
              <w:sz w:val="22"/>
              <w:szCs w:val="22"/>
              <w:lang w:eastAsia="en-AU"/>
            </w:rPr>
          </w:pPr>
          <w:r w:rsidRPr="002046A0">
            <w:rPr>
              <w:noProof/>
            </w:rPr>
            <w:t>4.4.5</w:t>
          </w:r>
          <w:r>
            <w:rPr>
              <w:rFonts w:eastAsiaTheme="minorEastAsia" w:cstheme="minorBidi"/>
              <w:noProof/>
              <w:sz w:val="22"/>
              <w:szCs w:val="22"/>
              <w:lang w:eastAsia="en-AU"/>
            </w:rPr>
            <w:tab/>
          </w:r>
          <w:r w:rsidRPr="002046A0">
            <w:rPr>
              <w:noProof/>
            </w:rPr>
            <w:t>Extended assessment of safety of PAH medicines</w:t>
          </w:r>
          <w:r>
            <w:rPr>
              <w:noProof/>
              <w:webHidden/>
            </w:rPr>
            <w:tab/>
          </w:r>
          <w:r w:rsidR="00B44CFB">
            <w:rPr>
              <w:noProof/>
              <w:webHidden/>
            </w:rPr>
            <w:t>135</w:t>
          </w:r>
        </w:p>
        <w:p w:rsidR="00F52145" w:rsidRDefault="00F52145">
          <w:pPr>
            <w:pStyle w:val="TOC2"/>
            <w:rPr>
              <w:rFonts w:eastAsiaTheme="minorEastAsia" w:cstheme="minorBidi"/>
              <w:noProof/>
              <w:sz w:val="22"/>
              <w:szCs w:val="22"/>
              <w:lang w:eastAsia="en-AU"/>
            </w:rPr>
          </w:pPr>
          <w:r w:rsidRPr="002046A0">
            <w:rPr>
              <w:noProof/>
            </w:rPr>
            <w:t>4.5</w:t>
          </w:r>
          <w:r>
            <w:rPr>
              <w:rFonts w:eastAsiaTheme="minorEastAsia" w:cstheme="minorBidi"/>
              <w:noProof/>
              <w:sz w:val="22"/>
              <w:szCs w:val="22"/>
              <w:lang w:eastAsia="en-AU"/>
            </w:rPr>
            <w:tab/>
          </w:r>
          <w:r w:rsidRPr="002046A0">
            <w:rPr>
              <w:noProof/>
            </w:rPr>
            <w:t>Conclusions</w:t>
          </w:r>
          <w:r>
            <w:rPr>
              <w:noProof/>
              <w:webHidden/>
            </w:rPr>
            <w:tab/>
          </w:r>
          <w:r w:rsidR="00B44CFB">
            <w:rPr>
              <w:noProof/>
              <w:webHidden/>
            </w:rPr>
            <w:t>151</w:t>
          </w:r>
        </w:p>
        <w:p w:rsidR="00F52145" w:rsidRDefault="00F52145">
          <w:pPr>
            <w:pStyle w:val="TOC3"/>
            <w:tabs>
              <w:tab w:val="left" w:pos="1840"/>
            </w:tabs>
            <w:rPr>
              <w:rFonts w:eastAsiaTheme="minorEastAsia" w:cstheme="minorBidi"/>
              <w:noProof/>
              <w:sz w:val="22"/>
              <w:szCs w:val="22"/>
              <w:lang w:eastAsia="en-AU"/>
            </w:rPr>
          </w:pPr>
          <w:r w:rsidRPr="002046A0">
            <w:rPr>
              <w:noProof/>
            </w:rPr>
            <w:t>4.5.1</w:t>
          </w:r>
          <w:r>
            <w:rPr>
              <w:rFonts w:eastAsiaTheme="minorEastAsia" w:cstheme="minorBidi"/>
              <w:noProof/>
              <w:sz w:val="22"/>
              <w:szCs w:val="22"/>
              <w:lang w:eastAsia="en-AU"/>
            </w:rPr>
            <w:tab/>
          </w:r>
          <w:r w:rsidRPr="002046A0">
            <w:rPr>
              <w:noProof/>
            </w:rPr>
            <w:t>Effectiveness and safety of monotherapy in WHO FC I or II PAH</w:t>
          </w:r>
          <w:r>
            <w:rPr>
              <w:noProof/>
              <w:webHidden/>
            </w:rPr>
            <w:tab/>
          </w:r>
          <w:r w:rsidR="00B44CFB">
            <w:rPr>
              <w:noProof/>
              <w:webHidden/>
            </w:rPr>
            <w:t>151</w:t>
          </w:r>
        </w:p>
        <w:p w:rsidR="00F52145" w:rsidRDefault="00F52145">
          <w:pPr>
            <w:pStyle w:val="TOC3"/>
            <w:tabs>
              <w:tab w:val="left" w:pos="1840"/>
            </w:tabs>
            <w:rPr>
              <w:rFonts w:eastAsiaTheme="minorEastAsia" w:cstheme="minorBidi"/>
              <w:noProof/>
              <w:sz w:val="22"/>
              <w:szCs w:val="22"/>
              <w:lang w:eastAsia="en-AU"/>
            </w:rPr>
          </w:pPr>
          <w:r w:rsidRPr="002046A0">
            <w:rPr>
              <w:noProof/>
            </w:rPr>
            <w:t>4.5.2</w:t>
          </w:r>
          <w:r>
            <w:rPr>
              <w:rFonts w:eastAsiaTheme="minorEastAsia" w:cstheme="minorBidi"/>
              <w:noProof/>
              <w:sz w:val="22"/>
              <w:szCs w:val="22"/>
              <w:lang w:eastAsia="en-AU"/>
            </w:rPr>
            <w:tab/>
          </w:r>
          <w:r w:rsidRPr="002046A0">
            <w:rPr>
              <w:noProof/>
            </w:rPr>
            <w:t>New evidence of effectiveness and safety of monotherapy in WHO FC III and IV</w:t>
          </w:r>
          <w:r>
            <w:rPr>
              <w:noProof/>
              <w:webHidden/>
            </w:rPr>
            <w:tab/>
          </w:r>
          <w:r w:rsidR="00B44CFB">
            <w:rPr>
              <w:noProof/>
              <w:webHidden/>
            </w:rPr>
            <w:t>156</w:t>
          </w:r>
        </w:p>
        <w:p w:rsidR="00F52145" w:rsidRDefault="00F52145">
          <w:pPr>
            <w:pStyle w:val="TOC3"/>
            <w:tabs>
              <w:tab w:val="left" w:pos="1840"/>
            </w:tabs>
            <w:rPr>
              <w:rFonts w:eastAsiaTheme="minorEastAsia" w:cstheme="minorBidi"/>
              <w:noProof/>
              <w:sz w:val="22"/>
              <w:szCs w:val="22"/>
              <w:lang w:eastAsia="en-AU"/>
            </w:rPr>
          </w:pPr>
          <w:r w:rsidRPr="002046A0">
            <w:rPr>
              <w:noProof/>
            </w:rPr>
            <w:t>4.5.3</w:t>
          </w:r>
          <w:r>
            <w:rPr>
              <w:rFonts w:eastAsiaTheme="minorEastAsia" w:cstheme="minorBidi"/>
              <w:noProof/>
              <w:sz w:val="22"/>
              <w:szCs w:val="22"/>
              <w:lang w:eastAsia="en-AU"/>
            </w:rPr>
            <w:tab/>
          </w:r>
          <w:r w:rsidRPr="002046A0">
            <w:rPr>
              <w:noProof/>
            </w:rPr>
            <w:t>Effectiveness and safety of dual combination therapy</w:t>
          </w:r>
          <w:r>
            <w:rPr>
              <w:noProof/>
              <w:webHidden/>
            </w:rPr>
            <w:tab/>
          </w:r>
          <w:r w:rsidR="00B44CFB">
            <w:rPr>
              <w:noProof/>
              <w:webHidden/>
            </w:rPr>
            <w:t>156</w:t>
          </w:r>
        </w:p>
        <w:p w:rsidR="00F52145" w:rsidRDefault="00F52145">
          <w:pPr>
            <w:pStyle w:val="TOC3"/>
            <w:tabs>
              <w:tab w:val="left" w:pos="1840"/>
            </w:tabs>
            <w:rPr>
              <w:rFonts w:eastAsiaTheme="minorEastAsia" w:cstheme="minorBidi"/>
              <w:noProof/>
              <w:sz w:val="22"/>
              <w:szCs w:val="22"/>
              <w:lang w:eastAsia="en-AU"/>
            </w:rPr>
          </w:pPr>
          <w:r w:rsidRPr="002046A0">
            <w:rPr>
              <w:noProof/>
            </w:rPr>
            <w:t>4.5.4</w:t>
          </w:r>
          <w:r>
            <w:rPr>
              <w:rFonts w:eastAsiaTheme="minorEastAsia" w:cstheme="minorBidi"/>
              <w:noProof/>
              <w:sz w:val="22"/>
              <w:szCs w:val="22"/>
              <w:lang w:eastAsia="en-AU"/>
            </w:rPr>
            <w:tab/>
          </w:r>
          <w:r w:rsidRPr="002046A0">
            <w:rPr>
              <w:noProof/>
            </w:rPr>
            <w:t>Effectiveness and safety of triple combination therapy</w:t>
          </w:r>
          <w:r>
            <w:rPr>
              <w:noProof/>
              <w:webHidden/>
            </w:rPr>
            <w:tab/>
          </w:r>
          <w:r w:rsidR="00B44CFB">
            <w:rPr>
              <w:noProof/>
              <w:webHidden/>
            </w:rPr>
            <w:t>187</w:t>
          </w:r>
        </w:p>
        <w:p w:rsidR="00F52145" w:rsidRDefault="00F52145">
          <w:pPr>
            <w:pStyle w:val="TOC3"/>
            <w:tabs>
              <w:tab w:val="left" w:pos="1840"/>
            </w:tabs>
            <w:rPr>
              <w:rFonts w:eastAsiaTheme="minorEastAsia" w:cstheme="minorBidi"/>
              <w:noProof/>
              <w:sz w:val="22"/>
              <w:szCs w:val="22"/>
              <w:lang w:eastAsia="en-AU"/>
            </w:rPr>
          </w:pPr>
          <w:r w:rsidRPr="002046A0">
            <w:rPr>
              <w:noProof/>
            </w:rPr>
            <w:t>4.5.5</w:t>
          </w:r>
          <w:r>
            <w:rPr>
              <w:rFonts w:eastAsiaTheme="minorEastAsia" w:cstheme="minorBidi"/>
              <w:noProof/>
              <w:sz w:val="22"/>
              <w:szCs w:val="22"/>
              <w:lang w:eastAsia="en-AU"/>
            </w:rPr>
            <w:tab/>
          </w:r>
          <w:r w:rsidRPr="002046A0">
            <w:rPr>
              <w:noProof/>
            </w:rPr>
            <w:t>Extended assessment of safety</w:t>
          </w:r>
          <w:r>
            <w:rPr>
              <w:noProof/>
              <w:webHidden/>
            </w:rPr>
            <w:tab/>
          </w:r>
          <w:r w:rsidR="00B44CFB">
            <w:rPr>
              <w:noProof/>
              <w:webHidden/>
            </w:rPr>
            <w:t>188</w:t>
          </w:r>
        </w:p>
        <w:p w:rsidR="00F52145" w:rsidRDefault="00F52145">
          <w:pPr>
            <w:pStyle w:val="TOC2"/>
            <w:rPr>
              <w:rFonts w:eastAsiaTheme="minorEastAsia" w:cstheme="minorBidi"/>
              <w:noProof/>
              <w:sz w:val="22"/>
              <w:szCs w:val="22"/>
              <w:lang w:eastAsia="en-AU"/>
            </w:rPr>
          </w:pPr>
          <w:r w:rsidRPr="002046A0">
            <w:rPr>
              <w:noProof/>
            </w:rPr>
            <w:t>References</w:t>
          </w:r>
          <w:r>
            <w:rPr>
              <w:noProof/>
              <w:webHidden/>
            </w:rPr>
            <w:tab/>
          </w:r>
          <w:r w:rsidR="00B44CFB">
            <w:rPr>
              <w:noProof/>
              <w:webHidden/>
            </w:rPr>
            <w:t>190</w:t>
          </w:r>
        </w:p>
        <w:p w:rsidR="00F52145" w:rsidRDefault="00F52145">
          <w:pPr>
            <w:pStyle w:val="TOC2"/>
            <w:tabs>
              <w:tab w:val="left" w:pos="2084"/>
            </w:tabs>
            <w:rPr>
              <w:rFonts w:eastAsiaTheme="minorEastAsia" w:cstheme="minorBidi"/>
              <w:noProof/>
              <w:sz w:val="22"/>
              <w:szCs w:val="22"/>
              <w:lang w:eastAsia="en-AU"/>
            </w:rPr>
          </w:pPr>
          <w:r w:rsidRPr="002046A0">
            <w:rPr>
              <w:noProof/>
            </w:rPr>
            <w:t>Appendix 4.A</w:t>
          </w:r>
          <w:r>
            <w:rPr>
              <w:rFonts w:eastAsiaTheme="minorEastAsia" w:cstheme="minorBidi"/>
              <w:noProof/>
              <w:sz w:val="22"/>
              <w:szCs w:val="22"/>
              <w:lang w:eastAsia="en-AU"/>
            </w:rPr>
            <w:tab/>
          </w:r>
          <w:r w:rsidRPr="002046A0">
            <w:rPr>
              <w:noProof/>
            </w:rPr>
            <w:t>Studies included in the literature review</w:t>
          </w:r>
          <w:r>
            <w:rPr>
              <w:noProof/>
              <w:webHidden/>
            </w:rPr>
            <w:tab/>
          </w:r>
          <w:r w:rsidR="00B44CFB">
            <w:rPr>
              <w:noProof/>
              <w:webHidden/>
            </w:rPr>
            <w:t>196</w:t>
          </w:r>
        </w:p>
        <w:p w:rsidR="00F52145" w:rsidRDefault="00F52145">
          <w:pPr>
            <w:pStyle w:val="TOC2"/>
            <w:tabs>
              <w:tab w:val="left" w:pos="2076"/>
            </w:tabs>
            <w:rPr>
              <w:rFonts w:eastAsiaTheme="minorEastAsia" w:cstheme="minorBidi"/>
              <w:noProof/>
              <w:sz w:val="22"/>
              <w:szCs w:val="22"/>
              <w:lang w:eastAsia="en-AU"/>
            </w:rPr>
          </w:pPr>
          <w:r w:rsidRPr="002046A0">
            <w:rPr>
              <w:noProof/>
            </w:rPr>
            <w:t>Appendix 4.B</w:t>
          </w:r>
          <w:r>
            <w:rPr>
              <w:rFonts w:eastAsiaTheme="minorEastAsia" w:cstheme="minorBidi"/>
              <w:noProof/>
              <w:sz w:val="22"/>
              <w:szCs w:val="22"/>
              <w:lang w:eastAsia="en-AU"/>
            </w:rPr>
            <w:tab/>
          </w:r>
          <w:r w:rsidRPr="002046A0">
            <w:rPr>
              <w:noProof/>
            </w:rPr>
            <w:t>Excluded studies</w:t>
          </w:r>
          <w:r>
            <w:rPr>
              <w:noProof/>
              <w:webHidden/>
            </w:rPr>
            <w:tab/>
          </w:r>
          <w:r w:rsidR="00744F8B">
            <w:rPr>
              <w:noProof/>
              <w:webHidden/>
            </w:rPr>
            <w:t>223</w:t>
          </w:r>
        </w:p>
        <w:p w:rsidR="00F52145" w:rsidRDefault="00F52145">
          <w:pPr>
            <w:pStyle w:val="TOC2"/>
            <w:tabs>
              <w:tab w:val="left" w:pos="2073"/>
            </w:tabs>
            <w:rPr>
              <w:rFonts w:eastAsiaTheme="minorEastAsia" w:cstheme="minorBidi"/>
              <w:noProof/>
              <w:sz w:val="22"/>
              <w:szCs w:val="22"/>
              <w:lang w:eastAsia="en-AU"/>
            </w:rPr>
          </w:pPr>
          <w:r w:rsidRPr="002046A0">
            <w:rPr>
              <w:noProof/>
            </w:rPr>
            <w:t>Appendix 4.C</w:t>
          </w:r>
          <w:r>
            <w:rPr>
              <w:rFonts w:eastAsiaTheme="minorEastAsia" w:cstheme="minorBidi"/>
              <w:noProof/>
              <w:sz w:val="22"/>
              <w:szCs w:val="22"/>
              <w:lang w:eastAsia="en-AU"/>
            </w:rPr>
            <w:tab/>
          </w:r>
          <w:r w:rsidRPr="002046A0">
            <w:rPr>
              <w:noProof/>
            </w:rPr>
            <w:t>Evidence Profile Tables</w:t>
          </w:r>
          <w:r>
            <w:rPr>
              <w:noProof/>
              <w:webHidden/>
            </w:rPr>
            <w:tab/>
          </w:r>
          <w:r w:rsidR="00744F8B">
            <w:rPr>
              <w:noProof/>
              <w:webHidden/>
            </w:rPr>
            <w:t>234</w:t>
          </w:r>
        </w:p>
        <w:p w:rsidR="00F52145" w:rsidRDefault="00F52145">
          <w:pPr>
            <w:pStyle w:val="TOC3"/>
            <w:rPr>
              <w:rFonts w:eastAsiaTheme="minorEastAsia" w:cstheme="minorBidi"/>
              <w:noProof/>
              <w:sz w:val="22"/>
              <w:szCs w:val="22"/>
              <w:lang w:eastAsia="en-AU"/>
            </w:rPr>
          </w:pPr>
          <w:r w:rsidRPr="002046A0">
            <w:rPr>
              <w:noProof/>
            </w:rPr>
            <w:lastRenderedPageBreak/>
            <w:t>Question 1</w:t>
          </w:r>
          <w:r>
            <w:rPr>
              <w:noProof/>
              <w:webHidden/>
            </w:rPr>
            <w:tab/>
          </w:r>
          <w:r w:rsidR="00744F8B">
            <w:rPr>
              <w:noProof/>
              <w:webHidden/>
            </w:rPr>
            <w:t>234</w:t>
          </w:r>
        </w:p>
        <w:p w:rsidR="00F52145" w:rsidRDefault="00F52145">
          <w:pPr>
            <w:pStyle w:val="TOC3"/>
            <w:rPr>
              <w:rFonts w:eastAsiaTheme="minorEastAsia" w:cstheme="minorBidi"/>
              <w:noProof/>
              <w:sz w:val="22"/>
              <w:szCs w:val="22"/>
              <w:lang w:eastAsia="en-AU"/>
            </w:rPr>
          </w:pPr>
          <w:r w:rsidRPr="002046A0">
            <w:rPr>
              <w:noProof/>
            </w:rPr>
            <w:t>Question 3</w:t>
          </w:r>
          <w:r>
            <w:rPr>
              <w:noProof/>
              <w:webHidden/>
            </w:rPr>
            <w:tab/>
          </w:r>
          <w:r w:rsidR="00744F8B">
            <w:rPr>
              <w:noProof/>
              <w:webHidden/>
            </w:rPr>
            <w:t>23</w:t>
          </w:r>
          <w:r w:rsidR="00C922D7">
            <w:rPr>
              <w:noProof/>
              <w:webHidden/>
            </w:rPr>
            <w:t>8</w:t>
          </w:r>
        </w:p>
        <w:p w:rsidR="00B27192" w:rsidRPr="00EB1471" w:rsidRDefault="001F437F"/>
      </w:sdtContent>
    </w:sdt>
    <w:p w:rsidR="00C7581F" w:rsidRPr="00322CC4" w:rsidRDefault="00C7581F" w:rsidP="00C7581F">
      <w:pPr>
        <w:pStyle w:val="BodyText"/>
        <w:jc w:val="center"/>
        <w:rPr>
          <w:rFonts w:asciiTheme="minorHAnsi" w:hAnsiTheme="minorHAnsi"/>
          <w:b/>
          <w:color w:val="4F81BD"/>
          <w:sz w:val="40"/>
          <w:szCs w:val="40"/>
        </w:rPr>
      </w:pPr>
      <w:r w:rsidRPr="00322CC4">
        <w:rPr>
          <w:rFonts w:asciiTheme="minorHAnsi" w:hAnsiTheme="minorHAnsi"/>
          <w:b/>
          <w:color w:val="4F81BD"/>
          <w:sz w:val="40"/>
          <w:szCs w:val="40"/>
        </w:rPr>
        <w:t>List of Tables</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an ERA compared with placebo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13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 PDE-5 inhibitor versus placebo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15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 sGC stimulator versus placebo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16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evidence for monotherapy in patients with PAH in WHO FC III or IV</w:t>
      </w:r>
      <w:r w:rsidRPr="00F52145">
        <w:rPr>
          <w:rFonts w:asciiTheme="minorHAnsi" w:hAnsiTheme="minorHAnsi" w:cstheme="minorHAnsi"/>
          <w:noProof/>
          <w:webHidden/>
        </w:rPr>
        <w:tab/>
      </w:r>
      <w:r w:rsidR="003C0574">
        <w:rPr>
          <w:rFonts w:asciiTheme="minorHAnsi" w:hAnsiTheme="minorHAnsi" w:cstheme="minorHAnsi"/>
          <w:noProof/>
          <w:webHidden/>
        </w:rPr>
        <w:t>17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an ERA in addition to a PDE-5 inhibitor, relative to PDE-5 inhibitor monotherapy</w:t>
      </w:r>
      <w:r w:rsidRPr="00F52145">
        <w:rPr>
          <w:rFonts w:asciiTheme="minorHAnsi" w:hAnsiTheme="minorHAnsi" w:cstheme="minorHAnsi"/>
          <w:noProof/>
          <w:webHidden/>
        </w:rPr>
        <w:tab/>
      </w:r>
      <w:r w:rsidR="003C0574">
        <w:rPr>
          <w:rFonts w:asciiTheme="minorHAnsi" w:hAnsiTheme="minorHAnsi" w:cstheme="minorHAnsi"/>
          <w:noProof/>
          <w:webHidden/>
        </w:rPr>
        <w:t>22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safety of an ERA in addition to a PDE-5 inhibitor, relative to PDE-5 inhibitor monotherapy</w:t>
      </w:r>
      <w:r w:rsidRPr="00F52145">
        <w:rPr>
          <w:rFonts w:asciiTheme="minorHAnsi" w:hAnsiTheme="minorHAnsi" w:cstheme="minorHAnsi"/>
          <w:noProof/>
          <w:webHidden/>
        </w:rPr>
        <w:tab/>
      </w:r>
      <w:r w:rsidR="003C0574">
        <w:rPr>
          <w:rFonts w:asciiTheme="minorHAnsi" w:hAnsiTheme="minorHAnsi" w:cstheme="minorHAnsi"/>
          <w:noProof/>
          <w:webHidden/>
        </w:rPr>
        <w:t>24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an ERA in addition to a prostanoid, relative to prostanoid monotherapy</w:t>
      </w:r>
      <w:r w:rsidRPr="00F52145">
        <w:rPr>
          <w:rFonts w:asciiTheme="minorHAnsi" w:hAnsiTheme="minorHAnsi" w:cstheme="minorHAnsi"/>
          <w:noProof/>
          <w:webHidden/>
        </w:rPr>
        <w:tab/>
      </w:r>
      <w:r w:rsidR="003C0574">
        <w:rPr>
          <w:rFonts w:asciiTheme="minorHAnsi" w:hAnsiTheme="minorHAnsi" w:cstheme="minorHAnsi"/>
          <w:noProof/>
          <w:webHidden/>
        </w:rPr>
        <w:t>26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safety of an ERA in addition to a prostanoid, relative to prostanoid monotherapy</w:t>
      </w:r>
      <w:r w:rsidRPr="00F52145">
        <w:rPr>
          <w:rFonts w:asciiTheme="minorHAnsi" w:hAnsiTheme="minorHAnsi" w:cstheme="minorHAnsi"/>
          <w:noProof/>
          <w:webHidden/>
        </w:rPr>
        <w:tab/>
      </w:r>
      <w:r w:rsidR="003C0574">
        <w:rPr>
          <w:rFonts w:asciiTheme="minorHAnsi" w:hAnsiTheme="minorHAnsi" w:cstheme="minorHAnsi"/>
          <w:noProof/>
          <w:webHidden/>
        </w:rPr>
        <w:t>27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 PDE-5 inhibitor in addition to an ERA, relative to ERA monotherapy</w:t>
      </w:r>
      <w:r w:rsidRPr="00F52145">
        <w:rPr>
          <w:rFonts w:asciiTheme="minorHAnsi" w:hAnsiTheme="minorHAnsi" w:cstheme="minorHAnsi"/>
          <w:noProof/>
          <w:webHidden/>
        </w:rPr>
        <w:tab/>
      </w:r>
      <w:r w:rsidR="003C0574">
        <w:rPr>
          <w:rFonts w:asciiTheme="minorHAnsi" w:hAnsiTheme="minorHAnsi" w:cstheme="minorHAnsi"/>
          <w:noProof/>
          <w:webHidden/>
        </w:rPr>
        <w:t>28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safety of a PDE-5 inhibitor in addition to an ERA, relative to ERA monotherapy</w:t>
      </w:r>
      <w:r w:rsidRPr="00F52145">
        <w:rPr>
          <w:rFonts w:asciiTheme="minorHAnsi" w:hAnsiTheme="minorHAnsi" w:cstheme="minorHAnsi"/>
          <w:noProof/>
          <w:webHidden/>
        </w:rPr>
        <w:tab/>
      </w:r>
      <w:r w:rsidR="003C0574">
        <w:rPr>
          <w:rFonts w:asciiTheme="minorHAnsi" w:hAnsiTheme="minorHAnsi" w:cstheme="minorHAnsi"/>
          <w:noProof/>
          <w:webHidden/>
        </w:rPr>
        <w:t>30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 PDE-5 inhibitor in addition to a prostanoid, relative to prostanoid monotherapy</w:t>
      </w:r>
      <w:r w:rsidRPr="00F52145">
        <w:rPr>
          <w:rFonts w:asciiTheme="minorHAnsi" w:hAnsiTheme="minorHAnsi" w:cstheme="minorHAnsi"/>
          <w:noProof/>
          <w:webHidden/>
        </w:rPr>
        <w:tab/>
      </w:r>
      <w:r w:rsidR="003C0574">
        <w:rPr>
          <w:rFonts w:asciiTheme="minorHAnsi" w:hAnsiTheme="minorHAnsi" w:cstheme="minorHAnsi"/>
          <w:noProof/>
          <w:webHidden/>
        </w:rPr>
        <w:t>32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safety of a PDE-5 inhibitor in addition to a prostanoid, relative to prostanoid monotherapy</w:t>
      </w:r>
      <w:r w:rsidRPr="00F52145">
        <w:rPr>
          <w:rFonts w:asciiTheme="minorHAnsi" w:hAnsiTheme="minorHAnsi" w:cstheme="minorHAnsi"/>
          <w:noProof/>
          <w:webHidden/>
        </w:rPr>
        <w:tab/>
      </w:r>
      <w:r w:rsidR="003C0574">
        <w:rPr>
          <w:rFonts w:asciiTheme="minorHAnsi" w:hAnsiTheme="minorHAnsi" w:cstheme="minorHAnsi"/>
          <w:noProof/>
          <w:webHidden/>
        </w:rPr>
        <w:t>33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 prostanoid in addition to an ERA, relative to ERA monotherapy</w:t>
      </w:r>
      <w:r w:rsidRPr="00F52145">
        <w:rPr>
          <w:rFonts w:asciiTheme="minorHAnsi" w:hAnsiTheme="minorHAnsi" w:cstheme="minorHAnsi"/>
          <w:noProof/>
          <w:webHidden/>
        </w:rPr>
        <w:tab/>
      </w:r>
      <w:r w:rsidR="003C0574">
        <w:rPr>
          <w:rFonts w:asciiTheme="minorHAnsi" w:hAnsiTheme="minorHAnsi" w:cstheme="minorHAnsi"/>
          <w:noProof/>
          <w:webHidden/>
        </w:rPr>
        <w:t>34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safety of a prostanoid in addition to an ERA, relative to ERA monotherapy</w:t>
      </w:r>
      <w:r w:rsidRPr="00F52145">
        <w:rPr>
          <w:rFonts w:asciiTheme="minorHAnsi" w:hAnsiTheme="minorHAnsi" w:cstheme="minorHAnsi"/>
          <w:noProof/>
          <w:webHidden/>
        </w:rPr>
        <w:tab/>
      </w:r>
      <w:r w:rsidR="003C0574">
        <w:rPr>
          <w:rFonts w:asciiTheme="minorHAnsi" w:hAnsiTheme="minorHAnsi" w:cstheme="minorHAnsi"/>
          <w:noProof/>
          <w:webHidden/>
        </w:rPr>
        <w:t>35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 sGC stimulator in addition to an ERA, relative to ERA monotherapy</w:t>
      </w:r>
      <w:r w:rsidRPr="00F52145">
        <w:rPr>
          <w:rFonts w:asciiTheme="minorHAnsi" w:hAnsiTheme="minorHAnsi" w:cstheme="minorHAnsi"/>
          <w:noProof/>
          <w:webHidden/>
        </w:rPr>
        <w:tab/>
      </w:r>
      <w:r w:rsidR="003C0574">
        <w:rPr>
          <w:rFonts w:asciiTheme="minorHAnsi" w:hAnsiTheme="minorHAnsi" w:cstheme="minorHAnsi"/>
          <w:noProof/>
          <w:webHidden/>
        </w:rPr>
        <w:t>36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 sGC stimulator in addition to a PDE-5 inhibitor, relative to PDE-5 inhibitor monotherapy</w:t>
      </w:r>
      <w:r w:rsidRPr="00F52145">
        <w:rPr>
          <w:rFonts w:asciiTheme="minorHAnsi" w:hAnsiTheme="minorHAnsi" w:cstheme="minorHAnsi"/>
          <w:noProof/>
          <w:webHidden/>
        </w:rPr>
        <w:tab/>
      </w:r>
      <w:r w:rsidR="003C0574">
        <w:rPr>
          <w:rFonts w:asciiTheme="minorHAnsi" w:hAnsiTheme="minorHAnsi" w:cstheme="minorHAnsi"/>
          <w:noProof/>
          <w:webHidden/>
        </w:rPr>
        <w:t>38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safety of a sGC stimulator in addition to a PDE-5 inhibitor, relative to PDE-5 inhibitor monotherapy</w:t>
      </w:r>
      <w:r w:rsidRPr="00F52145">
        <w:rPr>
          <w:rFonts w:asciiTheme="minorHAnsi" w:hAnsiTheme="minorHAnsi" w:cstheme="minorHAnsi"/>
          <w:noProof/>
          <w:webHidden/>
        </w:rPr>
        <w:tab/>
      </w:r>
      <w:r w:rsidR="003C0574">
        <w:rPr>
          <w:rFonts w:asciiTheme="minorHAnsi" w:hAnsiTheme="minorHAnsi" w:cstheme="minorHAnsi"/>
          <w:noProof/>
          <w:webHidden/>
        </w:rPr>
        <w:t>39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Summary of the evidence for the clinical effectiveness of a sGC stimulator in addition to a prostanoid, relative to prostanoid monotherapy</w:t>
      </w:r>
      <w:r w:rsidRPr="00F52145">
        <w:rPr>
          <w:rFonts w:asciiTheme="minorHAnsi" w:hAnsiTheme="minorHAnsi" w:cstheme="minorHAnsi"/>
          <w:noProof/>
          <w:webHidden/>
        </w:rPr>
        <w:tab/>
      </w:r>
      <w:r w:rsidR="003C0574">
        <w:rPr>
          <w:rFonts w:asciiTheme="minorHAnsi" w:hAnsiTheme="minorHAnsi" w:cstheme="minorHAnsi"/>
          <w:noProof/>
          <w:webHidden/>
        </w:rPr>
        <w:t>39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Study selection criteria for systematic review of PAH medicines: research question 1</w:t>
      </w:r>
      <w:r w:rsidRPr="00F52145">
        <w:rPr>
          <w:rFonts w:asciiTheme="minorHAnsi" w:hAnsiTheme="minorHAnsi" w:cstheme="minorHAnsi"/>
          <w:noProof/>
          <w:webHidden/>
        </w:rPr>
        <w:tab/>
      </w:r>
      <w:r w:rsidR="003C0574">
        <w:rPr>
          <w:rFonts w:asciiTheme="minorHAnsi" w:hAnsiTheme="minorHAnsi" w:cstheme="minorHAnsi"/>
          <w:noProof/>
          <w:webHidden/>
        </w:rPr>
        <w:t>45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Study selection criteria for systematic review of PAH medicines: research question 2</w:t>
      </w:r>
      <w:r w:rsidRPr="00F52145">
        <w:rPr>
          <w:rFonts w:asciiTheme="minorHAnsi" w:hAnsiTheme="minorHAnsi" w:cstheme="minorHAnsi"/>
          <w:noProof/>
          <w:webHidden/>
        </w:rPr>
        <w:tab/>
      </w:r>
      <w:r w:rsidR="003C0574">
        <w:rPr>
          <w:rFonts w:asciiTheme="minorHAnsi" w:hAnsiTheme="minorHAnsi" w:cstheme="minorHAnsi"/>
          <w:noProof/>
          <w:webHidden/>
        </w:rPr>
        <w:t>46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Study selection criteria for systematic review of PAH medicines: research question 3</w:t>
      </w:r>
      <w:r w:rsidRPr="00F52145">
        <w:rPr>
          <w:rFonts w:asciiTheme="minorHAnsi" w:hAnsiTheme="minorHAnsi" w:cstheme="minorHAnsi"/>
          <w:noProof/>
          <w:webHidden/>
        </w:rPr>
        <w:tab/>
      </w:r>
      <w:r w:rsidR="003C0574">
        <w:rPr>
          <w:rFonts w:asciiTheme="minorHAnsi" w:hAnsiTheme="minorHAnsi" w:cstheme="minorHAnsi"/>
          <w:noProof/>
          <w:webHidden/>
        </w:rPr>
        <w:t>47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lastRenderedPageBreak/>
        <w:t>Table 4.22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Study selection criteria for systematic review of PAH medicines: research question 4</w:t>
      </w:r>
      <w:r w:rsidRPr="00F52145">
        <w:rPr>
          <w:rFonts w:asciiTheme="minorHAnsi" w:hAnsiTheme="minorHAnsi" w:cstheme="minorHAnsi"/>
          <w:noProof/>
          <w:webHidden/>
        </w:rPr>
        <w:tab/>
      </w:r>
      <w:r w:rsidR="003C0574">
        <w:rPr>
          <w:rFonts w:asciiTheme="minorHAnsi" w:hAnsiTheme="minorHAnsi" w:cstheme="minorHAnsi"/>
          <w:noProof/>
          <w:webHidden/>
        </w:rPr>
        <w:t>48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Search terms for evidence to inform the systematic review questions (Pubmed and Cochrane Library)</w:t>
      </w:r>
      <w:r w:rsidRPr="00F52145">
        <w:rPr>
          <w:rFonts w:asciiTheme="minorHAnsi" w:hAnsiTheme="minorHAnsi" w:cstheme="minorHAnsi"/>
          <w:noProof/>
          <w:webHidden/>
        </w:rPr>
        <w:tab/>
      </w:r>
      <w:r w:rsidR="003C0574">
        <w:rPr>
          <w:rFonts w:asciiTheme="minorHAnsi" w:hAnsiTheme="minorHAnsi" w:cstheme="minorHAnsi"/>
          <w:noProof/>
          <w:webHidden/>
        </w:rPr>
        <w:t>49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Search terms for evidence to inform the systematic review questions (Embase PICO search)</w:t>
      </w:r>
      <w:r w:rsidRPr="00F52145">
        <w:rPr>
          <w:rFonts w:asciiTheme="minorHAnsi" w:hAnsiTheme="minorHAnsi" w:cstheme="minorHAnsi"/>
          <w:noProof/>
          <w:webHidden/>
        </w:rPr>
        <w:tab/>
      </w:r>
      <w:r w:rsidR="003C0574">
        <w:rPr>
          <w:rFonts w:asciiTheme="minorHAnsi" w:hAnsiTheme="minorHAnsi" w:cstheme="minorHAnsi"/>
          <w:noProof/>
          <w:webHidden/>
        </w:rPr>
        <w:t>49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Designations of levels of interventional evidence</w:t>
      </w:r>
      <w:r w:rsidRPr="00F52145">
        <w:rPr>
          <w:rFonts w:asciiTheme="minorHAnsi" w:hAnsiTheme="minorHAnsi" w:cstheme="minorHAnsi"/>
          <w:noProof/>
          <w:webHidden/>
        </w:rPr>
        <w:tab/>
      </w:r>
      <w:r w:rsidR="003C0574">
        <w:rPr>
          <w:rFonts w:asciiTheme="minorHAnsi" w:hAnsiTheme="minorHAnsi" w:cstheme="minorHAnsi"/>
          <w:noProof/>
          <w:webHidden/>
        </w:rPr>
        <w:t>53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Key features of the included evidence addressing research questions</w:t>
      </w:r>
      <w:r w:rsidRPr="00F52145">
        <w:rPr>
          <w:rFonts w:asciiTheme="minorHAnsi" w:hAnsiTheme="minorHAnsi" w:cstheme="minorHAnsi"/>
          <w:noProof/>
          <w:webHidden/>
        </w:rPr>
        <w:tab/>
      </w:r>
      <w:r w:rsidR="003C0574">
        <w:rPr>
          <w:rFonts w:asciiTheme="minorHAnsi" w:hAnsiTheme="minorHAnsi" w:cstheme="minorHAnsi"/>
          <w:noProof/>
          <w:webHidden/>
        </w:rPr>
        <w:t>54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Key features of the included evidence for assessment of extended safety</w:t>
      </w:r>
      <w:r w:rsidRPr="00F52145">
        <w:rPr>
          <w:rFonts w:asciiTheme="minorHAnsi" w:hAnsiTheme="minorHAnsi" w:cstheme="minorHAnsi"/>
          <w:noProof/>
          <w:webHidden/>
        </w:rPr>
        <w:tab/>
      </w:r>
      <w:r w:rsidR="003C0574">
        <w:rPr>
          <w:rFonts w:asciiTheme="minorHAnsi" w:hAnsiTheme="minorHAnsi" w:cstheme="minorHAnsi"/>
          <w:noProof/>
          <w:webHidden/>
        </w:rPr>
        <w:t>60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Definition of clinical worsening</w:t>
      </w:r>
      <w:r w:rsidRPr="00F52145">
        <w:rPr>
          <w:rFonts w:asciiTheme="minorHAnsi" w:hAnsiTheme="minorHAnsi" w:cstheme="minorHAnsi"/>
          <w:noProof/>
          <w:webHidden/>
        </w:rPr>
        <w:tab/>
      </w:r>
      <w:r w:rsidR="003C0574">
        <w:rPr>
          <w:rFonts w:asciiTheme="minorHAnsi" w:hAnsiTheme="minorHAnsi" w:cstheme="minorHAnsi"/>
          <w:noProof/>
          <w:webHidden/>
        </w:rPr>
        <w:t>64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4.29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compared with placebo in preventing clinical worsening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68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an ERA compared with placebo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69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compared with placebo in improving WHO FC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compared with placebo in improving 6MWD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compared with placebo in improving PVR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PDE-5 inhibitors compared with conventional therapy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PDE-5 inhibitors compared with placebo in improving WHO FC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PDE-5 inhibitors compared with placebo in improving 6MWD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compared with placebo in preventing clinical worsening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 sGC stimulator compared with placebo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4.39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Hospitalisation due to PAH for a sGC stimulator compared with placebo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compared with placebo in improving WHO FC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compared with placebo in improving 6MWD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compared with placebo in improving QoL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compared with placebo in improving PVR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80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PDE-5 inhibitor compared with PDE-5 inhibitor monotherapy in preventing clinical worsening in all PAH patients</w:t>
      </w:r>
      <w:r w:rsidRPr="00F52145">
        <w:rPr>
          <w:rFonts w:asciiTheme="minorHAnsi" w:hAnsiTheme="minorHAnsi" w:cstheme="minorHAnsi"/>
          <w:noProof/>
          <w:webHidden/>
        </w:rPr>
        <w:tab/>
      </w:r>
      <w:r w:rsidR="003C0574">
        <w:rPr>
          <w:rFonts w:asciiTheme="minorHAnsi" w:hAnsiTheme="minorHAnsi" w:cstheme="minorHAnsi"/>
          <w:noProof/>
          <w:webHidden/>
        </w:rPr>
        <w:t>82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PDE-5 inhibitor compared with PDE-5 inhibitor monotherapy in preventing clinical worsening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84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PDE-5 inhibitor compared with PDE-5 inhibitor monotherapy in preventing clinical worsening in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85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lastRenderedPageBreak/>
        <w:t>Table 4.47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an ERA in addition to a PDE-5 inhibitor compared with PDE-5 inhibitor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86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an ERA in addition to a PDE-5 inhibitor compared with PDE-5 inhibitor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87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4.49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Hospitalisation due to PAH for an ERA in addition to a PDE-5 inhibitor compared with PDE-5 inhibitor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88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PDE-5 inhibitor compared with PDE-5 inhibitor monotherapy in improving WHO FC in all PAH patients</w:t>
      </w:r>
      <w:r w:rsidRPr="00F52145">
        <w:rPr>
          <w:rFonts w:asciiTheme="minorHAnsi" w:hAnsiTheme="minorHAnsi" w:cstheme="minorHAnsi"/>
          <w:noProof/>
          <w:webHidden/>
        </w:rPr>
        <w:tab/>
      </w:r>
      <w:r w:rsidR="003C0574">
        <w:rPr>
          <w:rFonts w:asciiTheme="minorHAnsi" w:hAnsiTheme="minorHAnsi" w:cstheme="minorHAnsi"/>
          <w:noProof/>
          <w:webHidden/>
        </w:rPr>
        <w:t>89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PDE-5 inhibitor compared with PDE-5 inhibitor monotherapy in improving 6MWD in all PAH patients</w:t>
      </w:r>
      <w:r w:rsidRPr="00F52145">
        <w:rPr>
          <w:rFonts w:asciiTheme="minorHAnsi" w:hAnsiTheme="minorHAnsi" w:cstheme="minorHAnsi"/>
          <w:noProof/>
          <w:webHidden/>
        </w:rPr>
        <w:tab/>
      </w:r>
      <w:r w:rsidR="003C0574">
        <w:rPr>
          <w:rFonts w:asciiTheme="minorHAnsi" w:hAnsiTheme="minorHAnsi" w:cstheme="minorHAnsi"/>
          <w:noProof/>
          <w:webHidden/>
        </w:rPr>
        <w:t>91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PDE-5 inhibitor compared with PDE-5 inhibitor monotherapy in improving QoL in all PAH patients</w:t>
      </w:r>
      <w:r w:rsidRPr="00F52145">
        <w:rPr>
          <w:rFonts w:asciiTheme="minorHAnsi" w:hAnsiTheme="minorHAnsi" w:cstheme="minorHAnsi"/>
          <w:noProof/>
          <w:webHidden/>
        </w:rPr>
        <w:tab/>
      </w:r>
      <w:r w:rsidR="003C0574">
        <w:rPr>
          <w:rFonts w:asciiTheme="minorHAnsi" w:hAnsiTheme="minorHAnsi" w:cstheme="minorHAnsi"/>
          <w:noProof/>
          <w:webHidden/>
        </w:rPr>
        <w:t>92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comparative safety of an ERA in addition to a PDE-5 inhibitor compared with PDE-5 inhibitor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93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comparative safety of an ERA in addition to a PDE-5 inhibitor compared with PDE-5 inhibitor monotherapy in patients with either IPAH/HPAH or PAH-CTD</w:t>
      </w:r>
      <w:r w:rsidRPr="00F52145">
        <w:rPr>
          <w:rFonts w:asciiTheme="minorHAnsi" w:hAnsiTheme="minorHAnsi" w:cstheme="minorHAnsi"/>
          <w:noProof/>
          <w:webHidden/>
        </w:rPr>
        <w:tab/>
      </w:r>
      <w:r w:rsidR="003C0574">
        <w:rPr>
          <w:rFonts w:asciiTheme="minorHAnsi" w:hAnsiTheme="minorHAnsi" w:cstheme="minorHAnsi"/>
          <w:noProof/>
          <w:webHidden/>
        </w:rPr>
        <w:t>95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an ERA in addition to a prostanoid compared with prostanoid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96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prostanoid compared with prostanoid monotherapy in improving WHO FC in all PAH patients</w:t>
      </w:r>
      <w:r w:rsidRPr="00F52145">
        <w:rPr>
          <w:rFonts w:asciiTheme="minorHAnsi" w:hAnsiTheme="minorHAnsi" w:cstheme="minorHAnsi"/>
          <w:noProof/>
          <w:webHidden/>
        </w:rPr>
        <w:tab/>
      </w:r>
      <w:r w:rsidR="003C0574">
        <w:rPr>
          <w:rFonts w:asciiTheme="minorHAnsi" w:hAnsiTheme="minorHAnsi" w:cstheme="minorHAnsi"/>
          <w:noProof/>
          <w:webHidden/>
        </w:rPr>
        <w:t>97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prostanoid compared with prostanoid monotherapy in improving 6MWD in all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97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prostanoid compared with prostanoid monotherapy in improving QoL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98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4.59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an ERA in addition to a prostanoid compared with prostanoid monotherapy in improving haemodynamic parameters in all PAH patients</w:t>
      </w:r>
      <w:r w:rsidRPr="00F52145">
        <w:rPr>
          <w:rFonts w:asciiTheme="minorHAnsi" w:hAnsiTheme="minorHAnsi" w:cstheme="minorHAnsi"/>
          <w:noProof/>
          <w:webHidden/>
        </w:rPr>
        <w:tab/>
      </w:r>
      <w:r w:rsidR="003C0574">
        <w:rPr>
          <w:rFonts w:asciiTheme="minorHAnsi" w:hAnsiTheme="minorHAnsi" w:cstheme="minorHAnsi"/>
          <w:noProof/>
          <w:webHidden/>
        </w:rPr>
        <w:t>99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comparative safety of an ERA in addition to a prostanoid compared with prostanoid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100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an ERA compared with ERA monotherapy in preventing clinical worsening in all PAH patients</w:t>
      </w:r>
      <w:r w:rsidRPr="00F52145">
        <w:rPr>
          <w:rFonts w:asciiTheme="minorHAnsi" w:hAnsiTheme="minorHAnsi" w:cstheme="minorHAnsi"/>
          <w:noProof/>
          <w:webHidden/>
        </w:rPr>
        <w:tab/>
      </w:r>
      <w:r w:rsidR="003C0574">
        <w:rPr>
          <w:rFonts w:asciiTheme="minorHAnsi" w:hAnsiTheme="minorHAnsi" w:cstheme="minorHAnsi"/>
          <w:noProof/>
          <w:webHidden/>
        </w:rPr>
        <w:t>102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an ERA compared with ERA monotherapy in preventing clinical worsening in patients with PAH-CTD</w:t>
      </w:r>
      <w:r w:rsidRPr="00F52145">
        <w:rPr>
          <w:rFonts w:asciiTheme="minorHAnsi" w:hAnsiTheme="minorHAnsi" w:cstheme="minorHAnsi"/>
          <w:noProof/>
          <w:webHidden/>
        </w:rPr>
        <w:tab/>
      </w:r>
      <w:r w:rsidR="003C0574">
        <w:rPr>
          <w:rFonts w:asciiTheme="minorHAnsi" w:hAnsiTheme="minorHAnsi" w:cstheme="minorHAnsi"/>
          <w:noProof/>
          <w:webHidden/>
        </w:rPr>
        <w:t>103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 PDE-5 inhibitor in addition to an ERA compared with ERA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104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Hospitalisation due to PAH for a PDE-5 inhibitor in addition to an ERA compared with ERA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105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an ERA compared with ERA monotherapy in improving WHO FC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106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an ERA compared with ERA monotherapy in improving 6MWD in all PAH patients</w:t>
      </w:r>
      <w:r w:rsidRPr="00F52145">
        <w:rPr>
          <w:rFonts w:asciiTheme="minorHAnsi" w:hAnsiTheme="minorHAnsi" w:cstheme="minorHAnsi"/>
          <w:noProof/>
          <w:webHidden/>
        </w:rPr>
        <w:tab/>
      </w:r>
      <w:r w:rsidR="003C0574">
        <w:rPr>
          <w:rFonts w:asciiTheme="minorHAnsi" w:hAnsiTheme="minorHAnsi" w:cstheme="minorHAnsi"/>
          <w:noProof/>
          <w:webHidden/>
        </w:rPr>
        <w:t>108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an ERA compared with ERA monotherapy in improving 6MWD in patients with FC III/IV PAH</w:t>
      </w:r>
      <w:r w:rsidRPr="00F52145">
        <w:rPr>
          <w:rFonts w:asciiTheme="minorHAnsi" w:hAnsiTheme="minorHAnsi" w:cstheme="minorHAnsi"/>
          <w:noProof/>
          <w:webHidden/>
        </w:rPr>
        <w:tab/>
      </w:r>
      <w:r w:rsidR="003C0574">
        <w:rPr>
          <w:rFonts w:asciiTheme="minorHAnsi" w:hAnsiTheme="minorHAnsi" w:cstheme="minorHAnsi"/>
          <w:noProof/>
          <w:webHidden/>
        </w:rPr>
        <w:t>108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4.68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an ERA compared with ERA monotherapy in improving 6MWD in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109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lastRenderedPageBreak/>
        <w:t>Table 4.69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an ERA compared with ERA monotherapy in improving haemodynamic parameters in all PAH patients</w:t>
      </w:r>
      <w:r w:rsidRPr="00F52145">
        <w:rPr>
          <w:rFonts w:asciiTheme="minorHAnsi" w:hAnsiTheme="minorHAnsi" w:cstheme="minorHAnsi"/>
          <w:noProof/>
          <w:webHidden/>
        </w:rPr>
        <w:tab/>
      </w:r>
      <w:r w:rsidR="003C0574">
        <w:rPr>
          <w:rFonts w:asciiTheme="minorHAnsi" w:hAnsiTheme="minorHAnsi" w:cstheme="minorHAnsi"/>
          <w:noProof/>
          <w:webHidden/>
        </w:rPr>
        <w:t>110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comparative safety of a PDE-5 inhibitor in addition to an ERA compared with ERA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111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comparative safety of a PDE-5 inhibitor in addition to an ERA compared with ERA monotherapy in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112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 prostanoid compared with prostanoid monotherapy in preventing clinical worsening in all PAH patients</w:t>
      </w:r>
      <w:r w:rsidRPr="00F52145">
        <w:rPr>
          <w:rFonts w:asciiTheme="minorHAnsi" w:hAnsiTheme="minorHAnsi" w:cstheme="minorHAnsi"/>
          <w:noProof/>
          <w:webHidden/>
        </w:rPr>
        <w:tab/>
      </w:r>
      <w:r w:rsidR="003C0574">
        <w:rPr>
          <w:rFonts w:asciiTheme="minorHAnsi" w:hAnsiTheme="minorHAnsi" w:cstheme="minorHAnsi"/>
          <w:noProof/>
          <w:webHidden/>
        </w:rPr>
        <w:t>113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 PDE-5 inhibitor in addition to a prostanoid compared with prostanoid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113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Hospitalisation due to PAH for a PDE-5 inhibitor in addition to a prostanoid compared with prostanoid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114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 prostanoid compared with prostanoid monotherapy in improving 6MWD in all PAH patients</w:t>
      </w:r>
      <w:r w:rsidRPr="00F52145">
        <w:rPr>
          <w:rFonts w:asciiTheme="minorHAnsi" w:hAnsiTheme="minorHAnsi" w:cstheme="minorHAnsi"/>
          <w:noProof/>
          <w:webHidden/>
        </w:rPr>
        <w:tab/>
      </w:r>
      <w:r w:rsidR="003C0574">
        <w:rPr>
          <w:rFonts w:asciiTheme="minorHAnsi" w:hAnsiTheme="minorHAnsi" w:cstheme="minorHAnsi"/>
          <w:noProof/>
          <w:webHidden/>
        </w:rPr>
        <w:t>114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PDE-5 inhibitor in addition to a prostanoid compared with prostanoid monotherapy in improving haemodynamic parameters in all PAH patients</w:t>
      </w:r>
      <w:r w:rsidRPr="00F52145">
        <w:rPr>
          <w:rFonts w:asciiTheme="minorHAnsi" w:hAnsiTheme="minorHAnsi" w:cstheme="minorHAnsi"/>
          <w:noProof/>
          <w:webHidden/>
        </w:rPr>
        <w:tab/>
      </w:r>
      <w:r w:rsidR="003C0574">
        <w:rPr>
          <w:rFonts w:asciiTheme="minorHAnsi" w:hAnsiTheme="minorHAnsi" w:cstheme="minorHAnsi"/>
          <w:noProof/>
          <w:webHidden/>
        </w:rPr>
        <w:t>115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comparative safety of a PDE-5 inhibitor in addition to a prostanoid compared with prostanoid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115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prostanoid in addition to an ERA compared with ERA monotherapy in preventing clinical worsening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117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4.79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 prostanoid in addition to an ERA compared with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118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Hospitalisation due to PAH for a prostanoid in addition to an ERA compared with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118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prostanoid in addition to an ERA compared with ERA monotherapy in improving WHO FC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119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prostanoid in addition to an ERA compared with ERA monotherapy in improving 6MWD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119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prostanoid in addition to an ERA compared with ERA monotherapy in improving QoL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prostanoid in addition to an ERA compared with ERA monotherapy in improving haemodynamic parameters in WHO FC III/IV PAH</w:t>
      </w:r>
      <w:r w:rsidRPr="00F52145">
        <w:rPr>
          <w:rFonts w:asciiTheme="minorHAnsi" w:hAnsiTheme="minorHAnsi" w:cstheme="minorHAnsi"/>
          <w:noProof/>
          <w:webHidden/>
        </w:rPr>
        <w:tab/>
      </w:r>
      <w:r w:rsidR="003C0574">
        <w:rPr>
          <w:rFonts w:asciiTheme="minorHAnsi" w:hAnsiTheme="minorHAnsi" w:cstheme="minorHAnsi"/>
          <w:noProof/>
          <w:webHidden/>
        </w:rPr>
        <w:t>120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comparative safety of a prostanoid in addition to an ERA compared with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preventing clinical worsening in all PAH patients</w:t>
      </w:r>
      <w:r w:rsidRPr="00F52145">
        <w:rPr>
          <w:rFonts w:asciiTheme="minorHAnsi" w:hAnsiTheme="minorHAnsi" w:cstheme="minorHAnsi"/>
          <w:noProof/>
          <w:webHidden/>
        </w:rPr>
        <w:tab/>
      </w:r>
      <w:r w:rsidR="003C0574">
        <w:rPr>
          <w:rFonts w:asciiTheme="minorHAnsi" w:hAnsiTheme="minorHAnsi" w:cstheme="minorHAnsi"/>
          <w:noProof/>
          <w:webHidden/>
        </w:rPr>
        <w:t>122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preventing clinical worsening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 sGC stimulator in addition to an ERA compared with ERA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123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4.89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 sGC stimulator in addition to an ERA compared with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Hospitalisation due to PAH for a sGC stimulator in addition to an ERA compared with ERA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124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lastRenderedPageBreak/>
        <w:t>Table 4.91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Hospitalisation due to PAH for a sGC stimulator in addition to an ERA compared with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improving WHO FC in all PAH patients</w:t>
      </w:r>
      <w:r w:rsidRPr="00F52145">
        <w:rPr>
          <w:rFonts w:asciiTheme="minorHAnsi" w:hAnsiTheme="minorHAnsi" w:cstheme="minorHAnsi"/>
          <w:noProof/>
          <w:webHidden/>
        </w:rPr>
        <w:tab/>
      </w:r>
      <w:r w:rsidR="003C0574">
        <w:rPr>
          <w:rFonts w:asciiTheme="minorHAnsi" w:hAnsiTheme="minorHAnsi" w:cstheme="minorHAnsi"/>
          <w:noProof/>
          <w:webHidden/>
        </w:rPr>
        <w:t>125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improving WHO FC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improving 6MWD in all PAH patients</w:t>
      </w:r>
      <w:r w:rsidRPr="00F52145">
        <w:rPr>
          <w:rFonts w:asciiTheme="minorHAnsi" w:hAnsiTheme="minorHAnsi" w:cstheme="minorHAnsi"/>
          <w:noProof/>
          <w:webHidden/>
        </w:rPr>
        <w:tab/>
      </w:r>
      <w:r w:rsidR="003C0574">
        <w:rPr>
          <w:rFonts w:asciiTheme="minorHAnsi" w:hAnsiTheme="minorHAnsi" w:cstheme="minorHAnsi"/>
          <w:noProof/>
          <w:webHidden/>
        </w:rPr>
        <w:t>126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improving 6MWD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improving QoL in all PAH patients</w:t>
      </w:r>
      <w:r w:rsidRPr="00F52145">
        <w:rPr>
          <w:rFonts w:asciiTheme="minorHAnsi" w:hAnsiTheme="minorHAnsi" w:cstheme="minorHAnsi"/>
          <w:noProof/>
          <w:webHidden/>
        </w:rPr>
        <w:tab/>
      </w:r>
      <w:r w:rsidR="003C0574">
        <w:rPr>
          <w:rFonts w:asciiTheme="minorHAnsi" w:hAnsiTheme="minorHAnsi" w:cstheme="minorHAnsi"/>
          <w:noProof/>
          <w:webHidden/>
        </w:rPr>
        <w:t>127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improving QoL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improving PVR in all PAH patients</w:t>
      </w:r>
      <w:r w:rsidRPr="00F52145">
        <w:rPr>
          <w:rFonts w:asciiTheme="minorHAnsi" w:hAnsiTheme="minorHAnsi" w:cstheme="minorHAnsi"/>
          <w:noProof/>
          <w:webHidden/>
        </w:rPr>
        <w:tab/>
      </w:r>
      <w:r w:rsidR="003C0574">
        <w:rPr>
          <w:rFonts w:asciiTheme="minorHAnsi" w:hAnsiTheme="minorHAnsi" w:cstheme="minorHAnsi"/>
          <w:noProof/>
          <w:webHidden/>
        </w:rPr>
        <w:t>128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4.99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an ERA compared with ERA monotherapy in improving PVR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 sGC stimulator in addition to a PDE-5 inhibitor compared with PDE-5 inhibitor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129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 PDE-5 inhibitor compared with PDE-5 inhibitor monotherapy in improving WHO FC in all PAH patients</w:t>
      </w:r>
      <w:r w:rsidRPr="00F52145">
        <w:rPr>
          <w:rFonts w:asciiTheme="minorHAnsi" w:hAnsiTheme="minorHAnsi" w:cstheme="minorHAnsi"/>
          <w:noProof/>
          <w:webHidden/>
        </w:rPr>
        <w:tab/>
      </w:r>
      <w:r w:rsidR="003C0574">
        <w:rPr>
          <w:rFonts w:asciiTheme="minorHAnsi" w:hAnsiTheme="minorHAnsi" w:cstheme="minorHAnsi"/>
          <w:noProof/>
          <w:webHidden/>
        </w:rPr>
        <w:t>130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 PDE-5 inhibitor compared with PDE-5 inhibitor monotherapy in improving 6MWD in all PAH patients</w:t>
      </w:r>
      <w:r w:rsidRPr="00F52145">
        <w:rPr>
          <w:rFonts w:asciiTheme="minorHAnsi" w:hAnsiTheme="minorHAnsi" w:cstheme="minorHAnsi"/>
          <w:noProof/>
          <w:webHidden/>
        </w:rPr>
        <w:tab/>
      </w:r>
      <w:r w:rsidR="003C0574">
        <w:rPr>
          <w:rFonts w:asciiTheme="minorHAnsi" w:hAnsiTheme="minorHAnsi" w:cstheme="minorHAnsi"/>
          <w:noProof/>
          <w:webHidden/>
        </w:rPr>
        <w:t>130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comparative safety of a sGC stimulator in addition to a PDE-5 inhibitor compared with PDE-5 inhibitor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131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 prostanoid compared with prostanoid monotherapy in preventing clinical worsening in all PAH patients</w:t>
      </w:r>
      <w:r w:rsidRPr="00F52145">
        <w:rPr>
          <w:rFonts w:asciiTheme="minorHAnsi" w:hAnsiTheme="minorHAnsi" w:cstheme="minorHAnsi"/>
          <w:noProof/>
          <w:webHidden/>
        </w:rPr>
        <w:tab/>
      </w:r>
      <w:r w:rsidR="003C0574">
        <w:rPr>
          <w:rFonts w:asciiTheme="minorHAnsi" w:hAnsiTheme="minorHAnsi" w:cstheme="minorHAnsi"/>
          <w:noProof/>
          <w:webHidden/>
        </w:rPr>
        <w:t>132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Mortality rates for a sGC stimulator in addition to a prostanoid compared with prostanoid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132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Hospitalisation due to PAH for a sGC stimulator in addition to a prostanoid compared with prostanoid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132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 prostanoid compared with prostanoid monotherapy in improving WHO FC in all PAH patients</w:t>
      </w:r>
      <w:r w:rsidRPr="00F52145">
        <w:rPr>
          <w:rFonts w:asciiTheme="minorHAnsi" w:hAnsiTheme="minorHAnsi" w:cstheme="minorHAnsi"/>
          <w:noProof/>
          <w:webHidden/>
        </w:rPr>
        <w:tab/>
      </w:r>
      <w:r w:rsidR="003C0574">
        <w:rPr>
          <w:rFonts w:asciiTheme="minorHAnsi" w:hAnsiTheme="minorHAnsi" w:cstheme="minorHAnsi"/>
          <w:noProof/>
          <w:webHidden/>
        </w:rPr>
        <w:t>133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 prostanoid compared with prostanoid monotherapy in improving 6MWD in all PAH patients</w:t>
      </w:r>
      <w:r w:rsidRPr="00F52145">
        <w:rPr>
          <w:rFonts w:asciiTheme="minorHAnsi" w:hAnsiTheme="minorHAnsi" w:cstheme="minorHAnsi"/>
          <w:noProof/>
          <w:webHidden/>
        </w:rPr>
        <w:tab/>
      </w:r>
      <w:r w:rsidR="003C0574">
        <w:rPr>
          <w:rFonts w:asciiTheme="minorHAnsi" w:hAnsiTheme="minorHAnsi" w:cstheme="minorHAnsi"/>
          <w:noProof/>
          <w:webHidden/>
        </w:rPr>
        <w:t>133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4.109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 prostanoid compared with prostanoid monotherapy in improving QoL in all PAH patients</w:t>
      </w:r>
      <w:r w:rsidRPr="00F52145">
        <w:rPr>
          <w:rFonts w:asciiTheme="minorHAnsi" w:hAnsiTheme="minorHAnsi" w:cstheme="minorHAnsi"/>
          <w:noProof/>
          <w:webHidden/>
        </w:rPr>
        <w:tab/>
      </w:r>
      <w:r w:rsidR="003C0574">
        <w:rPr>
          <w:rFonts w:asciiTheme="minorHAnsi" w:hAnsiTheme="minorHAnsi" w:cstheme="minorHAnsi"/>
          <w:noProof/>
          <w:webHidden/>
        </w:rPr>
        <w:t>134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effectiveness of a sGC stimulator in addition to a prostanoid compared with prostanoid monotherapy in improving PVR in all PAH patients</w:t>
      </w:r>
      <w:r w:rsidRPr="00F52145">
        <w:rPr>
          <w:rFonts w:asciiTheme="minorHAnsi" w:hAnsiTheme="minorHAnsi" w:cstheme="minorHAnsi"/>
          <w:noProof/>
          <w:webHidden/>
        </w:rPr>
        <w:tab/>
      </w:r>
      <w:r w:rsidR="003C0574">
        <w:rPr>
          <w:rFonts w:asciiTheme="minorHAnsi" w:hAnsiTheme="minorHAnsi" w:cstheme="minorHAnsi"/>
          <w:noProof/>
          <w:webHidden/>
        </w:rPr>
        <w:t>134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AEs reported in bosentan studies included for extended assessment of safety</w:t>
      </w:r>
      <w:r w:rsidRPr="00F52145">
        <w:rPr>
          <w:rFonts w:asciiTheme="minorHAnsi" w:hAnsiTheme="minorHAnsi" w:cstheme="minorHAnsi"/>
          <w:noProof/>
          <w:webHidden/>
        </w:rPr>
        <w:tab/>
      </w:r>
      <w:r w:rsidR="003C0574">
        <w:rPr>
          <w:rFonts w:asciiTheme="minorHAnsi" w:hAnsiTheme="minorHAnsi" w:cstheme="minorHAnsi"/>
          <w:noProof/>
          <w:webHidden/>
        </w:rPr>
        <w:t>136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AEs reported in Vachiéry 2017 and ARIES extension study</w:t>
      </w:r>
      <w:r w:rsidRPr="00F52145">
        <w:rPr>
          <w:rFonts w:asciiTheme="minorHAnsi" w:hAnsiTheme="minorHAnsi" w:cstheme="minorHAnsi"/>
          <w:noProof/>
          <w:webHidden/>
        </w:rPr>
        <w:tab/>
      </w:r>
      <w:r w:rsidR="003C0574">
        <w:rPr>
          <w:rFonts w:asciiTheme="minorHAnsi" w:hAnsiTheme="minorHAnsi" w:cstheme="minorHAnsi"/>
          <w:noProof/>
          <w:webHidden/>
        </w:rPr>
        <w:t>137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w:t>
      </w:r>
      <w:r w:rsidRPr="002046A0">
        <w:rPr>
          <w:rFonts w:asciiTheme="minorHAnsi" w:eastAsia="Arial" w:hAnsiTheme="minorHAnsi" w:cstheme="minorHAnsi"/>
          <w:noProof/>
        </w:rPr>
        <w:t>ye disorder AEs</w:t>
      </w:r>
      <w:r w:rsidRPr="002046A0">
        <w:rPr>
          <w:rFonts w:asciiTheme="minorHAnsi" w:eastAsia="Arial" w:hAnsiTheme="minorHAnsi" w:cstheme="minorHAnsi"/>
          <w:noProof/>
          <w:vertAlign w:val="superscript"/>
        </w:rPr>
        <w:t>a</w:t>
      </w:r>
      <w:r w:rsidRPr="002046A0">
        <w:rPr>
          <w:rFonts w:asciiTheme="minorHAnsi" w:eastAsia="Arial" w:hAnsiTheme="minorHAnsi" w:cstheme="minorHAnsi"/>
          <w:noProof/>
        </w:rPr>
        <w:t xml:space="preserve"> reported in SUPER-1</w:t>
      </w:r>
      <w:r w:rsidRPr="00F52145">
        <w:rPr>
          <w:rFonts w:asciiTheme="minorHAnsi" w:hAnsiTheme="minorHAnsi" w:cstheme="minorHAnsi"/>
          <w:noProof/>
          <w:webHidden/>
        </w:rPr>
        <w:tab/>
      </w:r>
      <w:r w:rsidR="003C0574">
        <w:rPr>
          <w:rFonts w:asciiTheme="minorHAnsi" w:hAnsiTheme="minorHAnsi" w:cstheme="minorHAnsi"/>
          <w:noProof/>
          <w:webHidden/>
        </w:rPr>
        <w:t>139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AEs reported in STARTS-1</w:t>
      </w:r>
      <w:r w:rsidRPr="00F52145">
        <w:rPr>
          <w:rFonts w:asciiTheme="minorHAnsi" w:hAnsiTheme="minorHAnsi" w:cstheme="minorHAnsi"/>
          <w:noProof/>
          <w:webHidden/>
        </w:rPr>
        <w:tab/>
      </w:r>
      <w:r w:rsidR="003C0574">
        <w:rPr>
          <w:rFonts w:asciiTheme="minorHAnsi" w:hAnsiTheme="minorHAnsi" w:cstheme="minorHAnsi"/>
          <w:noProof/>
          <w:webHidden/>
        </w:rPr>
        <w:t>140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TEAEs reported in PHIRST</w:t>
      </w:r>
      <w:r w:rsidRPr="00F52145">
        <w:rPr>
          <w:rFonts w:asciiTheme="minorHAnsi" w:hAnsiTheme="minorHAnsi" w:cstheme="minorHAnsi"/>
          <w:noProof/>
          <w:webHidden/>
        </w:rPr>
        <w:tab/>
      </w:r>
      <w:r w:rsidR="003C0574">
        <w:rPr>
          <w:rFonts w:asciiTheme="minorHAnsi" w:hAnsiTheme="minorHAnsi" w:cstheme="minorHAnsi"/>
          <w:noProof/>
          <w:webHidden/>
        </w:rPr>
        <w:t>142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lastRenderedPageBreak/>
        <w:t>Table 4.116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AEs reported in epoprostenol studies included for extended assessment of safety</w:t>
      </w:r>
      <w:r w:rsidRPr="00F52145">
        <w:rPr>
          <w:rFonts w:asciiTheme="minorHAnsi" w:hAnsiTheme="minorHAnsi" w:cstheme="minorHAnsi"/>
          <w:noProof/>
          <w:webHidden/>
        </w:rPr>
        <w:tab/>
      </w:r>
      <w:r w:rsidR="003C0574">
        <w:rPr>
          <w:rFonts w:asciiTheme="minorHAnsi" w:hAnsiTheme="minorHAnsi" w:cstheme="minorHAnsi"/>
          <w:noProof/>
          <w:webHidden/>
        </w:rPr>
        <w:t>143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AEs reported in the PATENT extension study</w:t>
      </w:r>
      <w:r w:rsidRPr="00F52145">
        <w:rPr>
          <w:rFonts w:asciiTheme="minorHAnsi" w:hAnsiTheme="minorHAnsi" w:cstheme="minorHAnsi"/>
          <w:noProof/>
          <w:webHidden/>
        </w:rPr>
        <w:tab/>
      </w:r>
      <w:r w:rsidR="003C0574">
        <w:rPr>
          <w:rFonts w:asciiTheme="minorHAnsi" w:hAnsiTheme="minorHAnsi" w:cstheme="minorHAnsi"/>
          <w:noProof/>
          <w:webHidden/>
        </w:rPr>
        <w:t>144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Comparison of changes to EMA SmPC with FDA PL and TGA PI</w:t>
      </w:r>
      <w:r w:rsidRPr="00F52145">
        <w:rPr>
          <w:rFonts w:asciiTheme="minorHAnsi" w:hAnsiTheme="minorHAnsi" w:cstheme="minorHAnsi"/>
          <w:noProof/>
          <w:webHidden/>
        </w:rPr>
        <w:tab/>
      </w:r>
      <w:r w:rsidR="003C0574">
        <w:rPr>
          <w:rFonts w:asciiTheme="minorHAnsi" w:hAnsiTheme="minorHAnsi" w:cstheme="minorHAnsi"/>
          <w:noProof/>
          <w:webHidden/>
        </w:rPr>
        <w:t>146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4.119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PAH safety signals considered by PRAC since September 2012</w:t>
      </w:r>
      <w:r w:rsidRPr="00F52145">
        <w:rPr>
          <w:rFonts w:asciiTheme="minorHAnsi" w:hAnsiTheme="minorHAnsi" w:cstheme="minorHAnsi"/>
          <w:noProof/>
          <w:webHidden/>
        </w:rPr>
        <w:tab/>
      </w:r>
      <w:r w:rsidR="003C0574">
        <w:rPr>
          <w:rFonts w:asciiTheme="minorHAnsi" w:hAnsiTheme="minorHAnsi" w:cstheme="minorHAnsi"/>
          <w:noProof/>
          <w:webHidden/>
        </w:rPr>
        <w:t>150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and harms of an ERA, relative to placebo</w:t>
      </w:r>
      <w:r w:rsidRPr="00F52145">
        <w:rPr>
          <w:rFonts w:asciiTheme="minorHAnsi" w:hAnsiTheme="minorHAnsi" w:cstheme="minorHAnsi"/>
          <w:noProof/>
          <w:webHidden/>
        </w:rPr>
        <w:tab/>
      </w:r>
      <w:r w:rsidR="003C0574">
        <w:rPr>
          <w:rFonts w:asciiTheme="minorHAnsi" w:hAnsiTheme="minorHAnsi" w:cstheme="minorHAnsi"/>
          <w:noProof/>
          <w:webHidden/>
        </w:rPr>
        <w:t>152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snapToGrid w:val="0"/>
        </w:rPr>
        <w:t>Balance of clinical benefits and harms of a PDE-5 inhibitor, relative to placebo or conventional therapy</w:t>
      </w:r>
      <w:r w:rsidRPr="00F52145">
        <w:rPr>
          <w:rFonts w:asciiTheme="minorHAnsi" w:hAnsiTheme="minorHAnsi" w:cstheme="minorHAnsi"/>
          <w:noProof/>
          <w:webHidden/>
        </w:rPr>
        <w:tab/>
      </w:r>
      <w:r w:rsidR="003C0574">
        <w:rPr>
          <w:rFonts w:asciiTheme="minorHAnsi" w:hAnsiTheme="minorHAnsi" w:cstheme="minorHAnsi"/>
          <w:noProof/>
          <w:webHidden/>
        </w:rPr>
        <w:t>153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snapToGrid w:val="0"/>
        </w:rPr>
        <w:t>Balance of clinical benefits and harms of a sGC stimulator, relative to placebo</w:t>
      </w:r>
      <w:r w:rsidRPr="00F52145">
        <w:rPr>
          <w:rFonts w:asciiTheme="minorHAnsi" w:hAnsiTheme="minorHAnsi" w:cstheme="minorHAnsi"/>
          <w:noProof/>
          <w:webHidden/>
        </w:rPr>
        <w:tab/>
      </w:r>
      <w:r w:rsidR="003C0574">
        <w:rPr>
          <w:rFonts w:asciiTheme="minorHAnsi" w:hAnsiTheme="minorHAnsi" w:cstheme="minorHAnsi"/>
          <w:noProof/>
          <w:webHidden/>
        </w:rPr>
        <w:t>155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an ERA in addition to a PDE-5 inhibitor, relative to PDE-5 inhibitor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157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an ERA in addition to a PDE-5 inhibitor, relative to PDE-5 inhibitor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159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an ERA in addition to a PDE-5 inhibitor, relative to PDE-5 inhibitor monotherapy in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160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harms of an ERA in addition to a PDE-5 inhibitor, relative to PDE-5 inhibitor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161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harms of an ERA in addition to a PDE-5 inhibitor, relative to PDE-5 inhibitor monotherapy in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162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an ERA in addition to a prostanoid, relative to prostanoid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164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4.129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harms of an ERA in addition to a prostanoid, relative to prostanoid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166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PDE-5 inhibitor in addition to an ERA, relative to ERA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167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PDE-5 inhibitor in addition to an ERA, relative to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169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PDE-5 inhibitor in addition to an ERA, relative to ERA monotherapy in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170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harms of a PDE-5 inhibitor in addition to an ERA, relative to ERA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171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harms of a PDE-5 inhibitor in addition to an ERA, relative to ERA monotherapy in patients with PAH-CTD</w:t>
      </w:r>
      <w:r w:rsidRPr="00F52145">
        <w:rPr>
          <w:rFonts w:asciiTheme="minorHAnsi" w:hAnsiTheme="minorHAnsi" w:cstheme="minorHAnsi"/>
          <w:noProof/>
          <w:webHidden/>
        </w:rPr>
        <w:tab/>
      </w:r>
      <w:r w:rsidR="003C0574">
        <w:rPr>
          <w:rFonts w:asciiTheme="minorHAnsi" w:hAnsiTheme="minorHAnsi" w:cstheme="minorHAnsi"/>
          <w:noProof/>
          <w:webHidden/>
        </w:rPr>
        <w:t>172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PDE-5 inhibitor in addition to a prostanoid, relative to prostanoid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173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harms of a PDE-5 inhibitor in addition to a prostanoid, relative to prostanoid monotherapy in all patients with PAH</w:t>
      </w:r>
      <w:r w:rsidRPr="00F52145">
        <w:rPr>
          <w:rFonts w:asciiTheme="minorHAnsi" w:hAnsiTheme="minorHAnsi" w:cstheme="minorHAnsi"/>
          <w:noProof/>
          <w:webHidden/>
        </w:rPr>
        <w:tab/>
      </w:r>
      <w:r w:rsidR="003C0574">
        <w:rPr>
          <w:rFonts w:asciiTheme="minorHAnsi" w:hAnsiTheme="minorHAnsi" w:cstheme="minorHAnsi"/>
          <w:noProof/>
          <w:webHidden/>
        </w:rPr>
        <w:t>175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prostanoid in addition to an ERA, relative to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176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harms of a prostanoid in addition to an ERA, relative to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178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4.139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sGC stimulator in addition to an ERA, relative to ERA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179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sGC stimulator in addition to an ERA, relative to ERA monotherapy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181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sGC stimulator in addition to a PDE-5 inhibitor, relative to PDE-5 inhibitor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184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harms of a sGC stimulator in addition to a PDE-5 inhibitor, relative to PDE-5 inhibitor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185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lastRenderedPageBreak/>
        <w:t>Table 4.143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Balance of clinical benefits of a sGC stimulator in addition to a prostanoid, relative to prostanoid monotherapy in all PAH patients</w:t>
      </w:r>
      <w:r w:rsidRPr="00F52145">
        <w:rPr>
          <w:rFonts w:asciiTheme="minorHAnsi" w:hAnsiTheme="minorHAnsi" w:cstheme="minorHAnsi"/>
          <w:noProof/>
          <w:webHidden/>
        </w:rPr>
        <w:tab/>
      </w:r>
      <w:r w:rsidR="003C0574">
        <w:rPr>
          <w:rFonts w:asciiTheme="minorHAnsi" w:hAnsiTheme="minorHAnsi" w:cstheme="minorHAnsi"/>
          <w:noProof/>
          <w:webHidden/>
        </w:rPr>
        <w:t>186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Studies included to address research questions</w:t>
      </w:r>
      <w:r w:rsidRPr="00F52145">
        <w:rPr>
          <w:rFonts w:asciiTheme="minorHAnsi" w:hAnsiTheme="minorHAnsi" w:cstheme="minorHAnsi"/>
          <w:noProof/>
          <w:webHidden/>
        </w:rPr>
        <w:tab/>
      </w:r>
      <w:r w:rsidR="003C0574">
        <w:rPr>
          <w:rFonts w:asciiTheme="minorHAnsi" w:hAnsiTheme="minorHAnsi" w:cstheme="minorHAnsi"/>
          <w:noProof/>
          <w:webHidden/>
        </w:rPr>
        <w:t>196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Additional</w:t>
      </w:r>
      <w:r w:rsidRPr="002046A0">
        <w:rPr>
          <w:rFonts w:asciiTheme="minorHAnsi" w:hAnsiTheme="minorHAnsi" w:cstheme="minorHAnsi"/>
          <w:noProof/>
          <w:vertAlign w:val="superscript"/>
        </w:rPr>
        <w:t>a</w:t>
      </w:r>
      <w:r w:rsidRPr="002046A0">
        <w:rPr>
          <w:rFonts w:asciiTheme="minorHAnsi" w:hAnsiTheme="minorHAnsi" w:cstheme="minorHAnsi"/>
          <w:noProof/>
        </w:rPr>
        <w:t xml:space="preserve"> studies included for extended assessment of safety</w:t>
      </w:r>
      <w:r w:rsidRPr="00F52145">
        <w:rPr>
          <w:rFonts w:asciiTheme="minorHAnsi" w:hAnsiTheme="minorHAnsi" w:cstheme="minorHAnsi"/>
          <w:noProof/>
          <w:webHidden/>
        </w:rPr>
        <w:tab/>
      </w:r>
      <w:r w:rsidR="00744F8B">
        <w:rPr>
          <w:rFonts w:asciiTheme="minorHAnsi" w:hAnsiTheme="minorHAnsi" w:cstheme="minorHAnsi"/>
          <w:noProof/>
          <w:webHidden/>
        </w:rPr>
        <w:t>214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ERA compared with placebo for patients with WHO FC I/II PAH</w:t>
      </w:r>
      <w:r w:rsidRPr="00F52145">
        <w:rPr>
          <w:rFonts w:asciiTheme="minorHAnsi" w:hAnsiTheme="minorHAnsi" w:cstheme="minorHAnsi"/>
          <w:noProof/>
          <w:webHidden/>
        </w:rPr>
        <w:tab/>
      </w:r>
      <w:r w:rsidR="00744F8B">
        <w:rPr>
          <w:rFonts w:asciiTheme="minorHAnsi" w:hAnsiTheme="minorHAnsi" w:cstheme="minorHAnsi"/>
          <w:noProof/>
          <w:webHidden/>
        </w:rPr>
        <w:t>234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PDE-5 inhibitor compared to placebo for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2</w:t>
      </w:r>
      <w:r w:rsidR="00744F8B">
        <w:rPr>
          <w:rFonts w:asciiTheme="minorHAnsi" w:hAnsiTheme="minorHAnsi" w:cstheme="minorHAnsi"/>
          <w:noProof/>
          <w:webHidden/>
        </w:rPr>
        <w:t>35</w:t>
      </w:r>
    </w:p>
    <w:p w:rsidR="00F52145" w:rsidRPr="00F52145" w:rsidRDefault="002046A0">
      <w:pPr>
        <w:pStyle w:val="TableofFigures"/>
        <w:tabs>
          <w:tab w:val="right" w:leader="dot" w:pos="9628"/>
        </w:tabs>
        <w:rPr>
          <w:rFonts w:asciiTheme="minorHAnsi" w:eastAsiaTheme="minorEastAsia" w:hAnsiTheme="minorHAnsi" w:cstheme="minorHAnsi"/>
          <w:noProof/>
          <w:sz w:val="22"/>
          <w:szCs w:val="22"/>
          <w:lang w:eastAsia="en-AU"/>
        </w:rPr>
      </w:pPr>
      <w:r>
        <w:rPr>
          <w:rFonts w:asciiTheme="minorHAnsi" w:hAnsiTheme="minorHAnsi" w:cstheme="minorHAnsi"/>
          <w:noProof/>
          <w:color w:val="000000"/>
          <w:highlight w:val="black"/>
        </w:rPr>
        <w:t>'''''''''' '''''''''''</w:t>
      </w:r>
      <w:r w:rsidR="00F52145" w:rsidRPr="00F52145">
        <w:rPr>
          <w:rFonts w:asciiTheme="minorHAnsi" w:eastAsiaTheme="minorEastAsia" w:hAnsiTheme="minorHAnsi" w:cstheme="minorHAnsi"/>
          <w:noProof/>
          <w:sz w:val="22"/>
          <w:szCs w:val="22"/>
          <w:lang w:eastAsia="en-AU"/>
        </w:rPr>
        <w:tab/>
      </w:r>
      <w:r>
        <w:rPr>
          <w:rFonts w:asciiTheme="minorHAnsi" w:hAnsiTheme="minorHAnsi" w:cstheme="minorHAnsi"/>
          <w:noProof/>
          <w:color w:val="000000"/>
          <w:highlight w:val="black"/>
        </w:rPr>
        <w:t>''''''''''''''''' '''''''''''' '''''''''' '''''' '''''' '''''''''''''''''' ''''''''''''''''''''' ''''' ''''''''''''''' ''''' ''''''''''''''''' ''''''''' ''''''''''' ''''' '''''' ''''''''</w:t>
      </w:r>
      <w:r w:rsidR="00F52145" w:rsidRPr="00F52145">
        <w:rPr>
          <w:rFonts w:asciiTheme="minorHAnsi" w:hAnsiTheme="minorHAnsi" w:cstheme="minorHAnsi"/>
          <w:noProof/>
          <w:webHidden/>
        </w:rPr>
        <w:tab/>
      </w:r>
      <w:r w:rsidR="003C0574">
        <w:rPr>
          <w:rFonts w:asciiTheme="minorHAnsi" w:hAnsiTheme="minorHAnsi" w:cstheme="minorHAnsi"/>
          <w:noProof/>
          <w:webHidden/>
        </w:rPr>
        <w:t>2</w:t>
      </w:r>
      <w:r w:rsidR="00744F8B">
        <w:rPr>
          <w:rFonts w:asciiTheme="minorHAnsi" w:hAnsiTheme="minorHAnsi" w:cstheme="minorHAnsi"/>
          <w:noProof/>
          <w:webHidden/>
        </w:rPr>
        <w:t>36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4.149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ERA plus PDE-5 inhibitor combination therapy compared to PDE-5 inhibitor monotherapy for all PAH patients</w:t>
      </w:r>
      <w:r w:rsidRPr="00F52145">
        <w:rPr>
          <w:rFonts w:asciiTheme="minorHAnsi" w:hAnsiTheme="minorHAnsi" w:cstheme="minorHAnsi"/>
          <w:noProof/>
          <w:webHidden/>
        </w:rPr>
        <w:tab/>
      </w:r>
      <w:r w:rsidR="003C0574">
        <w:rPr>
          <w:rFonts w:asciiTheme="minorHAnsi" w:hAnsiTheme="minorHAnsi" w:cstheme="minorHAnsi"/>
          <w:noProof/>
          <w:webHidden/>
        </w:rPr>
        <w:t>2</w:t>
      </w:r>
      <w:r w:rsidR="00744F8B">
        <w:rPr>
          <w:rFonts w:asciiTheme="minorHAnsi" w:hAnsiTheme="minorHAnsi" w:cstheme="minorHAnsi"/>
          <w:noProof/>
          <w:webHidden/>
        </w:rPr>
        <w:t>38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ERA plus PDE-5 inhibitor combination therapy compared to PDE-5 inhibitor monotherapy for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2</w:t>
      </w:r>
      <w:r w:rsidR="00744F8B">
        <w:rPr>
          <w:rFonts w:asciiTheme="minorHAnsi" w:hAnsiTheme="minorHAnsi" w:cstheme="minorHAnsi"/>
          <w:noProof/>
          <w:webHidden/>
        </w:rPr>
        <w:t>40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ERA plus PDE-5 inhibitor combination therapy compared to PDE-5 inhibitor monotherapy for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2</w:t>
      </w:r>
      <w:r w:rsidR="00744F8B">
        <w:rPr>
          <w:rFonts w:asciiTheme="minorHAnsi" w:hAnsiTheme="minorHAnsi" w:cstheme="minorHAnsi"/>
          <w:noProof/>
          <w:webHidden/>
        </w:rPr>
        <w:t>41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comparative safety of ERA plus PDE-5 inhibitor combination therapy compared to PDE-5 inhibitor monotherapy for all PAH patients</w:t>
      </w:r>
      <w:r w:rsidRPr="00F52145">
        <w:rPr>
          <w:rFonts w:asciiTheme="minorHAnsi" w:hAnsiTheme="minorHAnsi" w:cstheme="minorHAnsi"/>
          <w:noProof/>
          <w:webHidden/>
        </w:rPr>
        <w:tab/>
      </w:r>
      <w:r w:rsidR="003C0574">
        <w:rPr>
          <w:rFonts w:asciiTheme="minorHAnsi" w:hAnsiTheme="minorHAnsi" w:cstheme="minorHAnsi"/>
          <w:noProof/>
          <w:webHidden/>
        </w:rPr>
        <w:t>24</w:t>
      </w:r>
      <w:r w:rsidR="00744F8B">
        <w:rPr>
          <w:rFonts w:asciiTheme="minorHAnsi" w:hAnsiTheme="minorHAnsi" w:cstheme="minorHAnsi"/>
          <w:noProof/>
          <w:webHidden/>
        </w:rPr>
        <w:t>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comparative safety of ERA + PDE-5 inhibitor combination therapy compared to PDE-5 inhibitor monotherapy for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2</w:t>
      </w:r>
      <w:r w:rsidR="00744F8B">
        <w:rPr>
          <w:rFonts w:asciiTheme="minorHAnsi" w:hAnsiTheme="minorHAnsi" w:cstheme="minorHAnsi"/>
          <w:noProof/>
          <w:webHidden/>
        </w:rPr>
        <w:t>43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ERA plus prostanoid combination therapy compared to prostanoid monotherapy for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2</w:t>
      </w:r>
      <w:r w:rsidR="00744F8B">
        <w:rPr>
          <w:rFonts w:asciiTheme="minorHAnsi" w:hAnsiTheme="minorHAnsi" w:cstheme="minorHAnsi"/>
          <w:noProof/>
          <w:webHidden/>
        </w:rPr>
        <w:t>44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comparative safety of ERA + prostanoid combination therapy compared to prostanoid monotherapy for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46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PDE-5 inhibitor plus ERA combination therapy compared to ERA monotherapy for all PAH patients</w:t>
      </w:r>
      <w:r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47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PDE-5 inhibitor plus ERA combination therapy compared to ERA monotherapy for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49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PDE-5 inhibitor plus ERA combination therapy compared to ERA monotherapy for patients with different PAH aetiologies</w:t>
      </w:r>
      <w:r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50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4.159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comparative safety of PDE-5 inhibitor + ERA combination therapy compared to ERA monotherapy for all PAH patients</w:t>
      </w:r>
      <w:r w:rsidRPr="00F52145">
        <w:rPr>
          <w:rFonts w:asciiTheme="minorHAnsi" w:hAnsiTheme="minorHAnsi" w:cstheme="minorHAnsi"/>
          <w:noProof/>
          <w:webHidden/>
        </w:rPr>
        <w:tab/>
      </w:r>
      <w:r w:rsidR="003C0574">
        <w:rPr>
          <w:rFonts w:asciiTheme="minorHAnsi" w:hAnsiTheme="minorHAnsi" w:cstheme="minorHAnsi"/>
          <w:noProof/>
          <w:webHidden/>
        </w:rPr>
        <w:t>25</w:t>
      </w:r>
      <w:r w:rsidR="008D4DA1">
        <w:rPr>
          <w:rFonts w:asciiTheme="minorHAnsi" w:hAnsiTheme="minorHAnsi" w:cstheme="minorHAnsi"/>
          <w:noProof/>
          <w:webHidden/>
        </w:rPr>
        <w:t>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4.160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comparative safety of PDE-5 inhibitor plus ERA combination therapy compared to ERA monotherapy for patients with PAH-CTD</w:t>
      </w:r>
      <w:r w:rsidRPr="00F52145">
        <w:rPr>
          <w:rFonts w:asciiTheme="minorHAnsi" w:hAnsiTheme="minorHAnsi" w:cstheme="minorHAnsi"/>
          <w:noProof/>
          <w:webHidden/>
        </w:rPr>
        <w:tab/>
      </w:r>
      <w:r w:rsidR="008D4DA1">
        <w:rPr>
          <w:rFonts w:asciiTheme="minorHAnsi" w:hAnsiTheme="minorHAnsi" w:cstheme="minorHAnsi"/>
          <w:noProof/>
          <w:webHidden/>
        </w:rPr>
        <w:t>252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4.161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PDE-5 inhibitor plus prostanoid combination therapy compared to prostanoid monotherapy for all PAH patients</w:t>
      </w:r>
      <w:r w:rsidRPr="00F52145">
        <w:rPr>
          <w:rFonts w:asciiTheme="minorHAnsi" w:hAnsiTheme="minorHAnsi" w:cstheme="minorHAnsi"/>
          <w:noProof/>
          <w:webHidden/>
        </w:rPr>
        <w:tab/>
      </w:r>
      <w:r w:rsidR="003C0574">
        <w:rPr>
          <w:rFonts w:asciiTheme="minorHAnsi" w:hAnsiTheme="minorHAnsi" w:cstheme="minorHAnsi"/>
          <w:noProof/>
          <w:webHidden/>
        </w:rPr>
        <w:t>25</w:t>
      </w:r>
      <w:r w:rsidR="008D4DA1">
        <w:rPr>
          <w:rFonts w:asciiTheme="minorHAnsi" w:hAnsiTheme="minorHAnsi" w:cstheme="minorHAnsi"/>
          <w:noProof/>
          <w:webHidden/>
        </w:rPr>
        <w:t>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lastRenderedPageBreak/>
        <w:t>Table 4.162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comparative safety of PDE-5 inhibitor plus prostanoid combination therapy compared to prostanoid monotherapy for all PAH patients</w:t>
      </w:r>
      <w:r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54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4.163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prostanoid plus ERA combination therapy compared to ERA monotherapy for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55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4.164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comparative safety of prostanoid plus ERA combination therapy compared to ERA monotherapy for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57</w:t>
      </w:r>
    </w:p>
    <w:p w:rsidR="00F52145" w:rsidRPr="00F52145" w:rsidRDefault="002046A0">
      <w:pPr>
        <w:pStyle w:val="TableofFigures"/>
        <w:tabs>
          <w:tab w:val="right" w:leader="dot" w:pos="9628"/>
        </w:tabs>
        <w:rPr>
          <w:rFonts w:asciiTheme="minorHAnsi" w:eastAsiaTheme="minorEastAsia" w:hAnsiTheme="minorHAnsi" w:cstheme="minorHAnsi"/>
          <w:noProof/>
          <w:sz w:val="22"/>
          <w:szCs w:val="22"/>
          <w:lang w:eastAsia="en-AU"/>
        </w:rPr>
      </w:pPr>
      <w:r>
        <w:rPr>
          <w:rFonts w:asciiTheme="minorHAnsi" w:hAnsiTheme="minorHAnsi" w:cstheme="minorHAnsi"/>
          <w:noProof/>
          <w:color w:val="000000"/>
          <w:highlight w:val="black"/>
        </w:rPr>
        <w:t>'''''''''' ''''''''''</w:t>
      </w:r>
      <w:r w:rsidR="00F52145" w:rsidRPr="00F52145">
        <w:rPr>
          <w:rFonts w:asciiTheme="minorHAnsi" w:eastAsiaTheme="minorEastAsia" w:hAnsiTheme="minorHAnsi" w:cstheme="minorHAnsi"/>
          <w:noProof/>
          <w:sz w:val="22"/>
          <w:szCs w:val="22"/>
          <w:lang w:eastAsia="en-AU"/>
        </w:rPr>
        <w:tab/>
      </w:r>
      <w:r>
        <w:rPr>
          <w:rFonts w:asciiTheme="minorHAnsi" w:hAnsiTheme="minorHAnsi" w:cstheme="minorHAnsi"/>
          <w:noProof/>
          <w:color w:val="000000"/>
          <w:highlight w:val="black"/>
        </w:rPr>
        <w:t>''''''''''''''''' '''''''''''''' '''''''''' ''''' '''''''''''''''''''''' ''''' '''''' ''''''''''''''''''''' '' ''''''' '''''''''''''''''''''' '''''''''''''' ''''''''''''''''''' '''' '''''''' ''''''''''''''''''''''''' '''''' '''' '''''''' ''''''''''''''''</w:t>
      </w:r>
      <w:r w:rsidR="00F52145"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58</w:t>
      </w:r>
    </w:p>
    <w:p w:rsidR="00F52145" w:rsidRPr="00F52145" w:rsidRDefault="002046A0">
      <w:pPr>
        <w:pStyle w:val="TableofFigures"/>
        <w:tabs>
          <w:tab w:val="right" w:leader="dot" w:pos="9628"/>
        </w:tabs>
        <w:rPr>
          <w:rFonts w:asciiTheme="minorHAnsi" w:eastAsiaTheme="minorEastAsia" w:hAnsiTheme="minorHAnsi" w:cstheme="minorHAnsi"/>
          <w:noProof/>
          <w:sz w:val="22"/>
          <w:szCs w:val="22"/>
          <w:lang w:eastAsia="en-AU"/>
        </w:rPr>
      </w:pPr>
      <w:r>
        <w:rPr>
          <w:rFonts w:asciiTheme="minorHAnsi" w:hAnsiTheme="minorHAnsi" w:cstheme="minorHAnsi"/>
          <w:noProof/>
          <w:color w:val="000000"/>
          <w:highlight w:val="black"/>
        </w:rPr>
        <w:t>''''''''' '''''''''''</w:t>
      </w:r>
      <w:r w:rsidR="00F52145" w:rsidRPr="00F52145">
        <w:rPr>
          <w:rFonts w:asciiTheme="minorHAnsi" w:eastAsiaTheme="minorEastAsia" w:hAnsiTheme="minorHAnsi" w:cstheme="minorHAnsi"/>
          <w:noProof/>
          <w:sz w:val="22"/>
          <w:szCs w:val="22"/>
          <w:lang w:eastAsia="en-AU"/>
        </w:rPr>
        <w:tab/>
      </w:r>
      <w:r>
        <w:rPr>
          <w:rFonts w:asciiTheme="minorHAnsi" w:hAnsiTheme="minorHAnsi" w:cstheme="minorHAnsi"/>
          <w:noProof/>
          <w:color w:val="000000"/>
          <w:highlight w:val="black"/>
        </w:rPr>
        <w:t>'''''''''''''''' '''''''''''' ''''''''''' ''''' '''''''''''''''''''''' '''' '''''''' '''''''''''''''''''' ''' '''''''' '''''''''''''''''''''''''' '''''''''''''''' '''''''''''''''''''' '''' ''''''' '''''''''''''''''''''''''''' ''''' '''''''''''''' ''''''''' ''''''''''' ''''' '''''''''' ''''''''</w:t>
      </w:r>
      <w:r w:rsidR="00F52145" w:rsidRPr="00F52145">
        <w:rPr>
          <w:rFonts w:asciiTheme="minorHAnsi" w:hAnsiTheme="minorHAnsi" w:cstheme="minorHAnsi"/>
          <w:noProof/>
          <w:webHidden/>
        </w:rPr>
        <w:tab/>
      </w:r>
      <w:r w:rsidR="003C0574">
        <w:rPr>
          <w:rFonts w:asciiTheme="minorHAnsi" w:hAnsiTheme="minorHAnsi" w:cstheme="minorHAnsi"/>
          <w:noProof/>
          <w:webHidden/>
        </w:rPr>
        <w:t>26</w:t>
      </w:r>
      <w:r w:rsidR="008D4DA1">
        <w:rPr>
          <w:rFonts w:asciiTheme="minorHAnsi" w:hAnsiTheme="minorHAnsi" w:cstheme="minorHAnsi"/>
          <w:noProof/>
          <w:webHidden/>
        </w:rPr>
        <w:t>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4.167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effectiveness of sGC stimulator + PDE-5 inhibitor combination therapy compared to PDE-5 inhibitor monotherapy for all PAH patients</w:t>
      </w:r>
      <w:r w:rsidRPr="00F52145">
        <w:rPr>
          <w:rFonts w:asciiTheme="minorHAnsi" w:hAnsiTheme="minorHAnsi" w:cstheme="minorHAnsi"/>
          <w:noProof/>
          <w:webHidden/>
        </w:rPr>
        <w:tab/>
      </w:r>
      <w:r w:rsidR="003C0574">
        <w:rPr>
          <w:rFonts w:asciiTheme="minorHAnsi" w:hAnsiTheme="minorHAnsi" w:cstheme="minorHAnsi"/>
          <w:noProof/>
          <w:webHidden/>
        </w:rPr>
        <w:t>26</w:t>
      </w:r>
      <w:r w:rsidR="008D4DA1">
        <w:rPr>
          <w:rFonts w:asciiTheme="minorHAnsi" w:hAnsiTheme="minorHAnsi" w:cstheme="minorHAnsi"/>
          <w:noProof/>
          <w:webHidden/>
        </w:rPr>
        <w:t>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Table 4.168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Evidence profile table for comparative safety of sGC stimulator + PDE-5 inhibitor combination therapy compared to PDE-5 inhibitor monotherapy for all PAH patients</w:t>
      </w:r>
      <w:r w:rsidRPr="00F52145">
        <w:rPr>
          <w:rFonts w:asciiTheme="minorHAnsi" w:hAnsiTheme="minorHAnsi" w:cstheme="minorHAnsi"/>
          <w:noProof/>
          <w:webHidden/>
        </w:rPr>
        <w:tab/>
      </w:r>
      <w:r w:rsidR="003C0574">
        <w:rPr>
          <w:rFonts w:asciiTheme="minorHAnsi" w:hAnsiTheme="minorHAnsi" w:cstheme="minorHAnsi"/>
          <w:noProof/>
          <w:webHidden/>
        </w:rPr>
        <w:t>26</w:t>
      </w:r>
      <w:r w:rsidR="008D4DA1">
        <w:rPr>
          <w:rFonts w:asciiTheme="minorHAnsi" w:hAnsiTheme="minorHAnsi" w:cstheme="minorHAnsi"/>
          <w:noProof/>
          <w:webHidden/>
        </w:rPr>
        <w:t>3</w:t>
      </w:r>
    </w:p>
    <w:p w:rsidR="00F52145" w:rsidRPr="00F52145" w:rsidRDefault="002046A0">
      <w:pPr>
        <w:pStyle w:val="TableofFigures"/>
        <w:tabs>
          <w:tab w:val="right" w:leader="dot" w:pos="9628"/>
        </w:tabs>
        <w:rPr>
          <w:rFonts w:asciiTheme="minorHAnsi" w:eastAsiaTheme="minorEastAsia" w:hAnsiTheme="minorHAnsi" w:cstheme="minorHAnsi"/>
          <w:noProof/>
          <w:sz w:val="22"/>
          <w:szCs w:val="22"/>
          <w:lang w:eastAsia="en-AU"/>
        </w:rPr>
      </w:pPr>
      <w:r>
        <w:rPr>
          <w:rFonts w:asciiTheme="minorHAnsi" w:hAnsiTheme="minorHAnsi" w:cstheme="minorHAnsi"/>
          <w:noProof/>
          <w:color w:val="000000"/>
          <w:highlight w:val="black"/>
        </w:rPr>
        <w:t>''''''''''' '''''''''''</w:t>
      </w:r>
      <w:r w:rsidR="00F52145" w:rsidRPr="00F52145">
        <w:rPr>
          <w:rFonts w:asciiTheme="minorHAnsi" w:eastAsiaTheme="minorEastAsia" w:hAnsiTheme="minorHAnsi" w:cstheme="minorHAnsi"/>
          <w:noProof/>
          <w:sz w:val="22"/>
          <w:szCs w:val="22"/>
          <w:lang w:eastAsia="en-AU"/>
        </w:rPr>
        <w:tab/>
      </w:r>
      <w:r>
        <w:rPr>
          <w:rFonts w:asciiTheme="minorHAnsi" w:hAnsiTheme="minorHAnsi" w:cstheme="minorHAnsi"/>
          <w:noProof/>
          <w:color w:val="000000"/>
          <w:highlight w:val="black"/>
        </w:rPr>
        <w:t>'''''''''''''''''' ''''''''''' '''''''''' ''''' ''''''''''''''''''''''''' '''' '''''''' ''''''''''''''''''''' ''' '''''''''''''''''''' ''''''''''''''''''''' '''''''''''''''' ''''''''''''''''''' ''''' '''''''''''''''''''''' ''''''''''''''''''''''''''' '''''' ''''' ''''''''' ''''''''''''''''</w:t>
      </w:r>
      <w:r w:rsidR="00F52145" w:rsidRPr="00F52145">
        <w:rPr>
          <w:rFonts w:asciiTheme="minorHAnsi" w:hAnsiTheme="minorHAnsi" w:cstheme="minorHAnsi"/>
          <w:noProof/>
          <w:webHidden/>
        </w:rPr>
        <w:tab/>
      </w:r>
      <w:r w:rsidR="003C0574">
        <w:rPr>
          <w:rFonts w:asciiTheme="minorHAnsi" w:hAnsiTheme="minorHAnsi" w:cstheme="minorHAnsi"/>
          <w:noProof/>
          <w:webHidden/>
        </w:rPr>
        <w:t>2</w:t>
      </w:r>
      <w:r w:rsidR="008D4DA1">
        <w:rPr>
          <w:rFonts w:asciiTheme="minorHAnsi" w:hAnsiTheme="minorHAnsi" w:cstheme="minorHAnsi"/>
          <w:noProof/>
          <w:webHidden/>
        </w:rPr>
        <w:t>64</w:t>
      </w:r>
    </w:p>
    <w:p w:rsidR="000E3539" w:rsidRPr="00EB1471" w:rsidRDefault="000E3539" w:rsidP="00BF48DF">
      <w:pPr>
        <w:pStyle w:val="TableofFigures"/>
        <w:tabs>
          <w:tab w:val="right" w:leader="dot" w:pos="9628"/>
        </w:tabs>
        <w:ind w:left="0" w:firstLine="0"/>
        <w:rPr>
          <w:rFonts w:asciiTheme="minorHAnsi" w:eastAsiaTheme="minorEastAsia" w:hAnsiTheme="minorHAnsi" w:cstheme="minorBidi"/>
          <w:sz w:val="22"/>
          <w:szCs w:val="22"/>
          <w:lang w:eastAsia="en-AU"/>
        </w:rPr>
      </w:pPr>
    </w:p>
    <w:p w:rsidR="00C7581F" w:rsidRPr="00756D3E" w:rsidRDefault="00C7581F" w:rsidP="00C7581F">
      <w:pPr>
        <w:pStyle w:val="BodyText"/>
        <w:jc w:val="center"/>
        <w:rPr>
          <w:rFonts w:asciiTheme="minorHAnsi" w:hAnsiTheme="minorHAnsi"/>
          <w:b/>
          <w:color w:val="4F81BD"/>
          <w:sz w:val="40"/>
          <w:szCs w:val="40"/>
        </w:rPr>
      </w:pPr>
      <w:r w:rsidRPr="00756D3E">
        <w:rPr>
          <w:rFonts w:asciiTheme="minorHAnsi" w:hAnsiTheme="minorHAnsi"/>
          <w:b/>
          <w:color w:val="4F81BD"/>
          <w:sz w:val="40"/>
          <w:szCs w:val="40"/>
        </w:rPr>
        <w:t>List of Figures</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w:t>
      </w:r>
      <w:r w:rsidRPr="00F52145">
        <w:rPr>
          <w:rFonts w:asciiTheme="minorHAnsi" w:eastAsiaTheme="minorEastAsia" w:hAnsiTheme="minorHAnsi" w:cstheme="minorHAnsi"/>
          <w:noProof/>
          <w:sz w:val="22"/>
          <w:szCs w:val="22"/>
          <w:lang w:eastAsia="en-AU"/>
        </w:rPr>
        <w:tab/>
      </w:r>
      <w:r w:rsidRPr="002046A0">
        <w:rPr>
          <w:rFonts w:asciiTheme="minorHAnsi" w:eastAsiaTheme="minorHAnsi" w:hAnsiTheme="minorHAnsi" w:cstheme="minorHAnsi"/>
          <w:noProof/>
        </w:rPr>
        <w:t>Summary of the process used to identify and select studies for the assessment of PAH medicines</w:t>
      </w:r>
      <w:r w:rsidRPr="00F52145">
        <w:rPr>
          <w:rFonts w:asciiTheme="minorHAnsi" w:hAnsiTheme="minorHAnsi" w:cstheme="minorHAnsi"/>
          <w:noProof/>
          <w:webHidden/>
        </w:rPr>
        <w:tab/>
      </w:r>
      <w:r w:rsidR="003C0574">
        <w:rPr>
          <w:rFonts w:asciiTheme="minorHAnsi" w:hAnsiTheme="minorHAnsi" w:cstheme="minorHAnsi"/>
          <w:noProof/>
          <w:webHidden/>
        </w:rPr>
        <w:t>52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having a clinical worsening event while being treated with an ERA compared with placebo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69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all-cause mortality for ERA compared with placebo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change in 6MWD from baseline to 12 weeks in patients with WHO FC I/II PAH by ambrisentan dose or placebo (ARIES-1&amp;2)</w:t>
      </w:r>
      <w:r w:rsidRPr="00F52145">
        <w:rPr>
          <w:rFonts w:asciiTheme="minorHAnsi" w:hAnsiTheme="minorHAnsi" w:cstheme="minorHAnsi"/>
          <w:noProof/>
          <w:webHidden/>
        </w:rPr>
        <w:tab/>
      </w:r>
      <w:r w:rsidR="003C0574">
        <w:rPr>
          <w:rFonts w:asciiTheme="minorHAnsi" w:hAnsiTheme="minorHAnsi" w:cstheme="minorHAnsi"/>
          <w:noProof/>
          <w:webHidden/>
        </w:rPr>
        <w:t>71</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all-cause mortality for PDE-5 inhibitors compared with conventional therapy in patients with WHO FC I/II PAH</w:t>
      </w:r>
      <w:r w:rsidRPr="00F52145">
        <w:rPr>
          <w:rFonts w:asciiTheme="minorHAnsi" w:hAnsiTheme="minorHAnsi" w:cstheme="minorHAnsi"/>
          <w:noProof/>
          <w:webHidden/>
        </w:rPr>
        <w:tab/>
      </w:r>
      <w:r w:rsidR="003C0574">
        <w:rPr>
          <w:rFonts w:asciiTheme="minorHAnsi" w:hAnsiTheme="minorHAnsi" w:cstheme="minorHAnsi"/>
          <w:noProof/>
          <w:webHidden/>
        </w:rPr>
        <w:t>74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change in 6MWD from baseline to 12 weeks in patients with WHO FC I/II PAH by sildenafil dose or placebo (SUPER-1)</w:t>
      </w:r>
      <w:r w:rsidRPr="00F52145">
        <w:rPr>
          <w:rFonts w:asciiTheme="minorHAnsi" w:hAnsiTheme="minorHAnsi" w:cstheme="minorHAnsi"/>
          <w:noProof/>
          <w:webHidden/>
        </w:rPr>
        <w:tab/>
      </w:r>
      <w:r w:rsidR="003C0574">
        <w:rPr>
          <w:rFonts w:asciiTheme="minorHAnsi" w:hAnsiTheme="minorHAnsi" w:cstheme="minorHAnsi"/>
          <w:noProof/>
          <w:webHidden/>
        </w:rPr>
        <w:t>76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having a clinical worsening event while being treated with an ERA and a PDE-5 inhibitor compared with PDE-5 inhibitor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83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experiencing clinical worsening with an ERA and a PDE-5 inhibitor compared with PDE-5 inhibitor alone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84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HR of experiencing clinical worsening with an ERA and a PDE-5 inhibitor compared with PDE-5 inhibitor alone in patients with PAH-CTD</w:t>
      </w:r>
      <w:r w:rsidRPr="00F52145">
        <w:rPr>
          <w:rFonts w:asciiTheme="minorHAnsi" w:hAnsiTheme="minorHAnsi" w:cstheme="minorHAnsi"/>
          <w:noProof/>
          <w:webHidden/>
        </w:rPr>
        <w:tab/>
      </w:r>
      <w:r w:rsidR="003C0574">
        <w:rPr>
          <w:rFonts w:asciiTheme="minorHAnsi" w:hAnsiTheme="minorHAnsi" w:cstheme="minorHAnsi"/>
          <w:noProof/>
          <w:webHidden/>
        </w:rPr>
        <w:t>86</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mortality while being treated with an ERA and a PDE-5 inhibitor compared with PDE-5 inhibitor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87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lastRenderedPageBreak/>
        <w:t>Figure 4.11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being hospitalised due to worsening PAH while being treated with an ERA and a PDE-5 inhibitor compared with PDE-5 inhibitor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88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improving or worsening in WHO FC while being treated with an ERA and a PDE-5 inhibitor compared with PDE-5 inhibitor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90</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4.13</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having a serious AE or an AE leading to treatment discontinuation while being treated with an ERA in addition to a PDE-5 inhibitor compared with PDE-5 inhibitor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94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4.14</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The mean (95% CI) 6MWD at baseline (a) and median (95% CI) at 16 weeks (b) in the BREATHE-2 trial</w:t>
      </w:r>
      <w:r w:rsidRPr="00F52145">
        <w:rPr>
          <w:rFonts w:asciiTheme="minorHAnsi" w:hAnsiTheme="minorHAnsi" w:cstheme="minorHAnsi"/>
          <w:noProof/>
          <w:webHidden/>
        </w:rPr>
        <w:tab/>
      </w:r>
      <w:r w:rsidR="003C0574">
        <w:rPr>
          <w:rFonts w:asciiTheme="minorHAnsi" w:hAnsiTheme="minorHAnsi" w:cstheme="minorHAnsi"/>
          <w:noProof/>
          <w:webHidden/>
        </w:rPr>
        <w:t>98</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4.15</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having a clinical worsening event while being treated with a PDE-5 inhibitor and an ERA compared with an ERA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103</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4.16</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dying while being treated with a PDE-5 inhibitor and an ERA compared with an ERA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104</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4.17</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being hospitalised due to worsening PAH while being treated with a PDE-5 inhibitor and an ERA compared with an ERA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105</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4.18</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improving or worsening the PAH WHO FC while being treated with a PDE-5 inhibitor and an ERA compared with an ERA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107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4.19</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Mean (±SE) change from baseline to week 12 in 6MWD by PAH aetiology</w:t>
      </w:r>
      <w:r w:rsidRPr="00F52145">
        <w:rPr>
          <w:rFonts w:asciiTheme="minorHAnsi" w:hAnsiTheme="minorHAnsi" w:cstheme="minorHAnsi"/>
          <w:noProof/>
          <w:webHidden/>
        </w:rPr>
        <w:tab/>
      </w:r>
      <w:r w:rsidR="003C0574">
        <w:rPr>
          <w:rFonts w:asciiTheme="minorHAnsi" w:hAnsiTheme="minorHAnsi" w:cstheme="minorHAnsi"/>
          <w:noProof/>
          <w:webHidden/>
        </w:rPr>
        <w:t>109</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4.20</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having an AE, serious AE or an AE leading to treatment discontinuation while being treated with a PDE-5 inhibitor and an ERA compared with ERA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112</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4.21</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having a clinical worsening event while being treated with a prostanoid and an ERA compared with an ERA alone in all PAH patients</w:t>
      </w:r>
      <w:r w:rsidRPr="00F52145">
        <w:rPr>
          <w:rFonts w:asciiTheme="minorHAnsi" w:hAnsiTheme="minorHAnsi" w:cstheme="minorHAnsi"/>
          <w:noProof/>
          <w:webHidden/>
        </w:rPr>
        <w:tab/>
      </w:r>
      <w:r w:rsidR="003C0574">
        <w:rPr>
          <w:rFonts w:asciiTheme="minorHAnsi" w:hAnsiTheme="minorHAnsi" w:cstheme="minorHAnsi"/>
          <w:noProof/>
          <w:webHidden/>
        </w:rPr>
        <w:t>117</w:t>
      </w:r>
    </w:p>
    <w:p w:rsidR="00F52145" w:rsidRPr="00F52145" w:rsidRDefault="00F52145">
      <w:pPr>
        <w:pStyle w:val="TableofFigures"/>
        <w:tabs>
          <w:tab w:val="right" w:leader="dot" w:pos="9628"/>
        </w:tabs>
        <w:rPr>
          <w:rFonts w:asciiTheme="minorHAnsi" w:eastAsiaTheme="minorEastAsia" w:hAnsiTheme="minorHAnsi" w:cstheme="minorHAnsi"/>
          <w:noProof/>
          <w:sz w:val="22"/>
          <w:szCs w:val="22"/>
          <w:lang w:eastAsia="en-AU"/>
        </w:rPr>
      </w:pPr>
      <w:r w:rsidRPr="002046A0">
        <w:rPr>
          <w:rFonts w:asciiTheme="minorHAnsi" w:hAnsiTheme="minorHAnsi" w:cstheme="minorHAnsi"/>
          <w:noProof/>
        </w:rPr>
        <w:t>Figure 4.22</w:t>
      </w:r>
      <w:r w:rsidRPr="00F52145">
        <w:rPr>
          <w:rFonts w:asciiTheme="minorHAnsi" w:eastAsiaTheme="minorEastAsia" w:hAnsiTheme="minorHAnsi" w:cstheme="minorHAnsi"/>
          <w:noProof/>
          <w:sz w:val="22"/>
          <w:szCs w:val="22"/>
          <w:lang w:eastAsia="en-AU"/>
        </w:rPr>
        <w:tab/>
      </w:r>
      <w:r w:rsidRPr="002046A0">
        <w:rPr>
          <w:rFonts w:asciiTheme="minorHAnsi" w:hAnsiTheme="minorHAnsi" w:cstheme="minorHAnsi"/>
          <w:noProof/>
        </w:rPr>
        <w:t>Forest plot showing the RR of having an AE while being treated with a prostanoid and an ERA compared with ERA alone in patients with WHO FC III/IV PAH</w:t>
      </w:r>
      <w:r w:rsidRPr="00F52145">
        <w:rPr>
          <w:rFonts w:asciiTheme="minorHAnsi" w:hAnsiTheme="minorHAnsi" w:cstheme="minorHAnsi"/>
          <w:noProof/>
          <w:webHidden/>
        </w:rPr>
        <w:tab/>
      </w:r>
      <w:r w:rsidR="003C0574">
        <w:rPr>
          <w:rFonts w:asciiTheme="minorHAnsi" w:hAnsiTheme="minorHAnsi" w:cstheme="minorHAnsi"/>
          <w:noProof/>
          <w:webHidden/>
        </w:rPr>
        <w:t>121</w:t>
      </w:r>
    </w:p>
    <w:p w:rsidR="00954175" w:rsidRPr="00091BE6" w:rsidRDefault="00954175" w:rsidP="00954175">
      <w:pPr>
        <w:pStyle w:val="Heading1"/>
        <w:numPr>
          <w:ilvl w:val="0"/>
          <w:numId w:val="0"/>
        </w:numPr>
        <w:spacing w:before="0"/>
        <w:jc w:val="left"/>
        <w:rPr>
          <w:rFonts w:ascii="Calibri" w:hAnsi="Calibri"/>
        </w:rPr>
      </w:pPr>
      <w:bookmarkStart w:id="1" w:name="_Toc504572632"/>
      <w:bookmarkStart w:id="2" w:name="_Toc480371853"/>
      <w:bookmarkStart w:id="3" w:name="_Toc486514186"/>
      <w:bookmarkStart w:id="4" w:name="_Toc29377191"/>
      <w:bookmarkEnd w:id="0"/>
      <w:bookmarkEnd w:id="1"/>
      <w:r w:rsidRPr="00091BE6">
        <w:rPr>
          <w:rFonts w:ascii="Calibri" w:hAnsi="Calibri"/>
        </w:rPr>
        <w:lastRenderedPageBreak/>
        <w:t xml:space="preserve"> </w:t>
      </w:r>
      <w:bookmarkStart w:id="5" w:name="_Toc38360262"/>
      <w:r w:rsidRPr="00091BE6">
        <w:rPr>
          <w:rFonts w:ascii="Calibri" w:hAnsi="Calibri"/>
        </w:rPr>
        <w:t>Abbreviations</w:t>
      </w:r>
      <w:bookmarkEnd w:id="2"/>
      <w:bookmarkEnd w:id="3"/>
      <w:bookmarkEnd w:id="4"/>
      <w:bookmarkEnd w:id="5"/>
    </w:p>
    <w:tbl>
      <w:tblPr>
        <w:tblW w:w="4946"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Caption w:val="Abbreviations"/>
      </w:tblPr>
      <w:tblGrid>
        <w:gridCol w:w="2183"/>
        <w:gridCol w:w="7341"/>
      </w:tblGrid>
      <w:tr w:rsidR="00954175" w:rsidRPr="00155028" w:rsidTr="00954175">
        <w:trPr>
          <w:trHeight w:val="170"/>
        </w:trPr>
        <w:tc>
          <w:tcPr>
            <w:tcW w:w="1146" w:type="pct"/>
            <w:tcBorders>
              <w:bottom w:val="nil"/>
            </w:tcBorders>
            <w:shd w:val="clear" w:color="auto" w:fill="BFBFBF" w:themeFill="background1" w:themeFillShade="BF"/>
            <w:vAlign w:val="bottom"/>
          </w:tcPr>
          <w:p w:rsidR="00954175" w:rsidRPr="00155028" w:rsidRDefault="00954175" w:rsidP="00155028">
            <w:pPr>
              <w:spacing w:beforeLines="40" w:before="96" w:afterLines="40" w:after="96" w:line="240" w:lineRule="auto"/>
              <w:rPr>
                <w:rFonts w:cs="Arial"/>
                <w:b/>
                <w:color w:val="000000"/>
              </w:rPr>
            </w:pPr>
            <w:r w:rsidRPr="00155028">
              <w:rPr>
                <w:rFonts w:cs="Arial"/>
                <w:b/>
                <w:color w:val="000000"/>
              </w:rPr>
              <w:t>Abbreviation</w:t>
            </w:r>
          </w:p>
        </w:tc>
        <w:tc>
          <w:tcPr>
            <w:tcW w:w="3854" w:type="pct"/>
            <w:tcBorders>
              <w:bottom w:val="nil"/>
            </w:tcBorders>
            <w:shd w:val="clear" w:color="auto" w:fill="BFBFBF" w:themeFill="background1" w:themeFillShade="BF"/>
            <w:vAlign w:val="bottom"/>
          </w:tcPr>
          <w:p w:rsidR="00954175" w:rsidRPr="00155028" w:rsidRDefault="00954175" w:rsidP="00155028">
            <w:pPr>
              <w:spacing w:beforeLines="40" w:before="96" w:afterLines="40" w:after="96" w:line="240" w:lineRule="auto"/>
              <w:rPr>
                <w:rFonts w:cs="Arial"/>
                <w:b/>
                <w:color w:val="000000"/>
              </w:rPr>
            </w:pPr>
            <w:r w:rsidRPr="00155028">
              <w:rPr>
                <w:rFonts w:cs="Arial"/>
                <w:b/>
                <w:color w:val="000000"/>
              </w:rPr>
              <w:t>Full Name / Wording</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6MWT</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Six minute walk test</w:t>
            </w:r>
          </w:p>
        </w:tc>
      </w:tr>
      <w:tr w:rsidR="00954175" w:rsidRPr="00155028" w:rsidTr="00954175">
        <w:trPr>
          <w:trHeight w:val="288"/>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6MWD</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Six minute walk distance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AE</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Adverse event</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ARD</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t>Absolute risk difference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CI</w:t>
            </w:r>
          </w:p>
        </w:tc>
        <w:tc>
          <w:tcPr>
            <w:tcW w:w="3854" w:type="pct"/>
            <w:tcBorders>
              <w:top w:val="nil"/>
              <w:left w:val="nil"/>
              <w:bottom w:val="nil"/>
              <w:right w:val="nil"/>
            </w:tcBorders>
            <w:shd w:val="clear" w:color="auto" w:fill="auto"/>
            <w:vAlign w:val="bottom"/>
          </w:tcPr>
          <w:p w:rsidR="00954175" w:rsidRPr="00155028" w:rsidRDefault="003A7E50" w:rsidP="00155028">
            <w:pPr>
              <w:spacing w:beforeLines="20" w:before="48" w:afterLines="20" w:after="48" w:line="240" w:lineRule="auto"/>
              <w:rPr>
                <w:rFonts w:cs="Arial"/>
                <w:color w:val="000000"/>
                <w:highlight w:val="green"/>
              </w:rPr>
            </w:pPr>
            <w:r w:rsidRPr="00155028">
              <w:rPr>
                <w:rFonts w:cs="Arial"/>
                <w:color w:val="000000"/>
              </w:rPr>
              <w:t>Confidence Interval</w:t>
            </w:r>
          </w:p>
        </w:tc>
      </w:tr>
      <w:tr w:rsidR="00A5388E" w:rsidRPr="00155028" w:rsidTr="00954175">
        <w:trPr>
          <w:trHeight w:val="170"/>
        </w:trPr>
        <w:tc>
          <w:tcPr>
            <w:tcW w:w="1146" w:type="pct"/>
            <w:tcBorders>
              <w:top w:val="nil"/>
              <w:left w:val="nil"/>
              <w:bottom w:val="nil"/>
              <w:right w:val="nil"/>
            </w:tcBorders>
            <w:shd w:val="clear" w:color="auto" w:fill="auto"/>
            <w:vAlign w:val="bottom"/>
          </w:tcPr>
          <w:p w:rsidR="00A5388E" w:rsidRPr="00155028" w:rsidRDefault="00A5388E" w:rsidP="00155028">
            <w:pPr>
              <w:spacing w:beforeLines="20" w:before="48" w:afterLines="20" w:after="48" w:line="240" w:lineRule="auto"/>
              <w:rPr>
                <w:rFonts w:cs="Arial"/>
                <w:color w:val="000000"/>
              </w:rPr>
            </w:pPr>
            <w:r w:rsidRPr="00155028">
              <w:rPr>
                <w:rFonts w:cs="Arial"/>
                <w:color w:val="000000"/>
              </w:rPr>
              <w:t>CMI</w:t>
            </w:r>
          </w:p>
        </w:tc>
        <w:tc>
          <w:tcPr>
            <w:tcW w:w="3854" w:type="pct"/>
            <w:tcBorders>
              <w:top w:val="nil"/>
              <w:left w:val="nil"/>
              <w:bottom w:val="nil"/>
              <w:right w:val="nil"/>
            </w:tcBorders>
            <w:shd w:val="clear" w:color="auto" w:fill="auto"/>
            <w:vAlign w:val="bottom"/>
          </w:tcPr>
          <w:p w:rsidR="00A5388E" w:rsidRPr="00155028" w:rsidRDefault="00A5388E" w:rsidP="00155028">
            <w:pPr>
              <w:spacing w:beforeLines="20" w:before="48" w:afterLines="20" w:after="48" w:line="240" w:lineRule="auto"/>
              <w:rPr>
                <w:rFonts w:cs="Arial"/>
                <w:color w:val="000000"/>
              </w:rPr>
            </w:pPr>
            <w:r w:rsidRPr="00155028">
              <w:rPr>
                <w:rFonts w:cs="Arial"/>
                <w:color w:val="000000"/>
              </w:rPr>
              <w:t>Consumer medicines information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CO</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Cardiac output</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CSR</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Clinical study report</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CTEPH</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Chronic thromboembolic pulmonary hypertension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EMA</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European Medicines Agency</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EQ-5D</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EuroQol 5-dimension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EQ-VAS</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EuroQol visual analogue scale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ERA</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Endothelin receptor antagonist</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FC</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Functional class</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FDA</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United States Food and Drug Administration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GRADE</w:t>
            </w:r>
            <w:r w:rsidRPr="00155028">
              <w:rPr>
                <w:rFonts w:cs="Arial"/>
                <w:color w:val="000000"/>
              </w:rPr>
              <w:tab/>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Grading of Recommendations Assessment, Development, and Evaluation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HPAH</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Heritable pulmonary arterial hypertension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HR</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Hazard ratio</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IPAH</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Idiopathic pulmonary arterial hypertension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IV</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Intravenous</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LPH questionnaire</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Living with pulmonary hypertension questionnaire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MLHF questionnaire</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Minnesota living with heart failure questionnaire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mPAP</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Mean pulmonary arterial pressure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mRAP</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Mean right atrial pressure</w:t>
            </w:r>
          </w:p>
        </w:tc>
      </w:tr>
      <w:tr w:rsidR="00116E63" w:rsidRPr="00155028" w:rsidTr="00954175">
        <w:trPr>
          <w:trHeight w:val="170"/>
        </w:trPr>
        <w:tc>
          <w:tcPr>
            <w:tcW w:w="1146" w:type="pct"/>
            <w:tcBorders>
              <w:top w:val="nil"/>
              <w:left w:val="nil"/>
              <w:bottom w:val="nil"/>
              <w:right w:val="nil"/>
            </w:tcBorders>
            <w:shd w:val="clear" w:color="auto" w:fill="auto"/>
            <w:vAlign w:val="bottom"/>
          </w:tcPr>
          <w:p w:rsidR="00116E63" w:rsidRPr="00155028" w:rsidRDefault="00116E63" w:rsidP="00155028">
            <w:pPr>
              <w:spacing w:beforeLines="20" w:before="48" w:afterLines="20" w:after="48" w:line="240" w:lineRule="auto"/>
              <w:rPr>
                <w:rFonts w:cs="Arial"/>
                <w:color w:val="000000"/>
              </w:rPr>
            </w:pPr>
            <w:r w:rsidRPr="00155028">
              <w:rPr>
                <w:rFonts w:cs="Arial"/>
                <w:color w:val="000000"/>
              </w:rPr>
              <w:t>NHMRC</w:t>
            </w:r>
          </w:p>
        </w:tc>
        <w:tc>
          <w:tcPr>
            <w:tcW w:w="3854" w:type="pct"/>
            <w:tcBorders>
              <w:top w:val="nil"/>
              <w:left w:val="nil"/>
              <w:bottom w:val="nil"/>
              <w:right w:val="nil"/>
            </w:tcBorders>
            <w:shd w:val="clear" w:color="auto" w:fill="auto"/>
            <w:vAlign w:val="bottom"/>
          </w:tcPr>
          <w:p w:rsidR="00116E63" w:rsidRPr="00155028" w:rsidRDefault="00116E63" w:rsidP="00155028">
            <w:pPr>
              <w:spacing w:beforeLines="20" w:before="48" w:afterLines="20" w:after="48" w:line="240" w:lineRule="auto"/>
              <w:rPr>
                <w:rFonts w:cs="Arial"/>
                <w:color w:val="000000"/>
              </w:rPr>
            </w:pPr>
            <w:r w:rsidRPr="00155028">
              <w:t>National Health and Medical Research Council</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NYHA</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New York Heart Association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Pulmonary arterial hypertension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PAH-CHD</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 associated with congenital heart disease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PAH-CTD</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 associated with connective tissue disease</w:t>
            </w:r>
          </w:p>
        </w:tc>
      </w:tr>
      <w:tr w:rsidR="00954175" w:rsidRPr="00155028" w:rsidTr="00954175">
        <w:trPr>
          <w:trHeight w:val="170"/>
        </w:trPr>
        <w:tc>
          <w:tcPr>
            <w:tcW w:w="1146" w:type="pct"/>
            <w:tcBorders>
              <w:top w:val="nil"/>
              <w:left w:val="nil"/>
              <w:bottom w:val="nil"/>
              <w:right w:val="nil"/>
            </w:tcBorders>
            <w:shd w:val="clear" w:color="auto" w:fill="auto"/>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PAH-HIV</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 associated with human immunodeficiency virus</w:t>
            </w:r>
          </w:p>
        </w:tc>
      </w:tr>
      <w:tr w:rsidR="00954175" w:rsidRPr="00155028" w:rsidTr="00954175">
        <w:trPr>
          <w:trHeight w:val="170"/>
        </w:trPr>
        <w:tc>
          <w:tcPr>
            <w:tcW w:w="1146" w:type="pct"/>
            <w:tcBorders>
              <w:top w:val="nil"/>
              <w:left w:val="nil"/>
              <w:bottom w:val="nil"/>
              <w:right w:val="nil"/>
            </w:tcBorders>
            <w:shd w:val="clear" w:color="auto" w:fill="auto"/>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PAH-PH</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PAH associated with portal hypertension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PAP</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Pulmonary artery pressure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PBAC</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Pharmaceutical Benefits Advisory Committee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PBS</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Pharmaceutical Benefits Scheme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PCWP</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Pulmonary capillary wedge pressure</w:t>
            </w:r>
          </w:p>
        </w:tc>
      </w:tr>
      <w:tr w:rsidR="005A26BA" w:rsidRPr="00155028" w:rsidTr="00954175">
        <w:trPr>
          <w:trHeight w:val="170"/>
        </w:trPr>
        <w:tc>
          <w:tcPr>
            <w:tcW w:w="1146" w:type="pct"/>
            <w:tcBorders>
              <w:top w:val="nil"/>
              <w:left w:val="nil"/>
              <w:bottom w:val="nil"/>
              <w:right w:val="nil"/>
            </w:tcBorders>
            <w:shd w:val="clear" w:color="auto" w:fill="auto"/>
            <w:vAlign w:val="bottom"/>
          </w:tcPr>
          <w:p w:rsidR="005A26BA" w:rsidRPr="00155028" w:rsidRDefault="005A26BA" w:rsidP="00155028">
            <w:pPr>
              <w:spacing w:beforeLines="20" w:before="48" w:afterLines="20" w:after="48" w:line="240" w:lineRule="auto"/>
              <w:rPr>
                <w:rFonts w:cs="Arial"/>
                <w:color w:val="000000"/>
              </w:rPr>
            </w:pPr>
            <w:r w:rsidRPr="00155028">
              <w:rPr>
                <w:rFonts w:cs="Arial"/>
                <w:color w:val="000000"/>
              </w:rPr>
              <w:t>PMR</w:t>
            </w:r>
          </w:p>
        </w:tc>
        <w:tc>
          <w:tcPr>
            <w:tcW w:w="3854" w:type="pct"/>
            <w:tcBorders>
              <w:top w:val="nil"/>
              <w:left w:val="nil"/>
              <w:bottom w:val="nil"/>
              <w:right w:val="nil"/>
            </w:tcBorders>
            <w:shd w:val="clear" w:color="auto" w:fill="auto"/>
            <w:vAlign w:val="bottom"/>
          </w:tcPr>
          <w:p w:rsidR="005A26BA" w:rsidRPr="00155028" w:rsidRDefault="005A26BA" w:rsidP="00155028">
            <w:pPr>
              <w:spacing w:beforeLines="20" w:before="48" w:afterLines="20" w:after="48" w:line="240" w:lineRule="auto"/>
              <w:rPr>
                <w:rFonts w:cs="Arial"/>
                <w:color w:val="000000"/>
              </w:rPr>
            </w:pPr>
            <w:r w:rsidRPr="00155028">
              <w:rPr>
                <w:rFonts w:cs="Arial"/>
                <w:color w:val="000000"/>
              </w:rPr>
              <w:t>Post-market review</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PDE</w:t>
            </w:r>
            <w:r w:rsidRPr="00155028">
              <w:rPr>
                <w:rFonts w:cs="Arial"/>
                <w:color w:val="000000"/>
              </w:rPr>
              <w:noBreakHyphen/>
              <w:t>5 inhibitor</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Phosphodiesterase type 5 inhibitor</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PH</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Pulmonary hypertension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PI</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Product information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PICO</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Population, Intervention, Comparator and Outcome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PSD</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Public summary document</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PVR</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Pulmonary vascular resistance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QoL</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Quality of life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RAP</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Right atrial pressure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RCT</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Randomised controlled trial</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RR</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Relative risk</w:t>
            </w:r>
          </w:p>
        </w:tc>
      </w:tr>
      <w:tr w:rsidR="00954175" w:rsidRPr="00155028" w:rsidTr="005A26BA">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SC</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Subcutaneous</w:t>
            </w:r>
          </w:p>
        </w:tc>
      </w:tr>
      <w:tr w:rsidR="00155028" w:rsidRPr="00155028" w:rsidTr="005A26BA">
        <w:trPr>
          <w:trHeight w:val="170"/>
        </w:trPr>
        <w:tc>
          <w:tcPr>
            <w:tcW w:w="1146" w:type="pct"/>
            <w:tcBorders>
              <w:top w:val="nil"/>
              <w:left w:val="nil"/>
              <w:bottom w:val="nil"/>
              <w:right w:val="nil"/>
            </w:tcBorders>
            <w:shd w:val="clear" w:color="auto" w:fill="auto"/>
            <w:vAlign w:val="bottom"/>
          </w:tcPr>
          <w:p w:rsidR="00155028" w:rsidRPr="00155028" w:rsidRDefault="00155028" w:rsidP="00155028">
            <w:pPr>
              <w:spacing w:beforeLines="20" w:before="48" w:afterLines="20" w:after="48" w:line="240" w:lineRule="auto"/>
              <w:rPr>
                <w:rFonts w:cs="Arial"/>
                <w:color w:val="000000"/>
              </w:rPr>
            </w:pPr>
            <w:r w:rsidRPr="00822C52">
              <w:t>SF-36</w:t>
            </w:r>
          </w:p>
        </w:tc>
        <w:tc>
          <w:tcPr>
            <w:tcW w:w="3854" w:type="pct"/>
            <w:tcBorders>
              <w:top w:val="nil"/>
              <w:left w:val="nil"/>
              <w:bottom w:val="nil"/>
              <w:right w:val="nil"/>
            </w:tcBorders>
            <w:shd w:val="clear" w:color="auto" w:fill="auto"/>
            <w:vAlign w:val="bottom"/>
          </w:tcPr>
          <w:p w:rsidR="00155028" w:rsidRPr="00155028" w:rsidRDefault="00155028" w:rsidP="00155028">
            <w:pPr>
              <w:spacing w:beforeLines="20" w:before="48" w:afterLines="20" w:after="48" w:line="240" w:lineRule="auto"/>
              <w:rPr>
                <w:rFonts w:cs="Arial"/>
                <w:color w:val="000000"/>
              </w:rPr>
            </w:pPr>
            <w:r w:rsidRPr="00155028">
              <w:rPr>
                <w:rFonts w:cs="Arial"/>
                <w:color w:val="000000"/>
              </w:rPr>
              <w:t>36-Item Short Form Health Survey questionnaire</w:t>
            </w:r>
          </w:p>
        </w:tc>
      </w:tr>
      <w:tr w:rsidR="00954175" w:rsidRPr="00155028" w:rsidTr="005A26BA">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sGC stimulator</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Soluble guanylate cyclase stimulator</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SmPC</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Summary of product characteristics</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TGA</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Therapeutic Goods Administration</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tid</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Three times a day</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ToR</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Term(s) of Reference</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US/USA</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United States/United States of America</w:t>
            </w:r>
          </w:p>
        </w:tc>
      </w:tr>
      <w:tr w:rsidR="00954175" w:rsidRPr="00155028" w:rsidTr="00954175">
        <w:trPr>
          <w:trHeight w:val="170"/>
        </w:trPr>
        <w:tc>
          <w:tcPr>
            <w:tcW w:w="1146"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WHO</w:t>
            </w:r>
          </w:p>
        </w:tc>
        <w:tc>
          <w:tcPr>
            <w:tcW w:w="3854" w:type="pct"/>
            <w:tcBorders>
              <w:top w:val="nil"/>
              <w:left w:val="nil"/>
              <w:bottom w:val="nil"/>
              <w:right w:val="nil"/>
            </w:tcBorders>
            <w:shd w:val="clear" w:color="auto" w:fill="auto"/>
            <w:vAlign w:val="bottom"/>
          </w:tcPr>
          <w:p w:rsidR="00954175" w:rsidRPr="00155028" w:rsidRDefault="00954175" w:rsidP="00155028">
            <w:pPr>
              <w:spacing w:beforeLines="20" w:before="48" w:afterLines="20" w:after="48" w:line="240" w:lineRule="auto"/>
              <w:rPr>
                <w:rFonts w:cs="Arial"/>
                <w:color w:val="000000"/>
              </w:rPr>
            </w:pPr>
            <w:r w:rsidRPr="00155028">
              <w:rPr>
                <w:rFonts w:cs="Arial"/>
                <w:color w:val="000000"/>
              </w:rPr>
              <w:t>World Health Organization</w:t>
            </w:r>
          </w:p>
        </w:tc>
      </w:tr>
    </w:tbl>
    <w:p w:rsidR="00F56209" w:rsidRPr="00091BE6" w:rsidRDefault="00F56209">
      <w:pPr>
        <w:spacing w:before="0" w:line="240" w:lineRule="auto"/>
        <w:rPr>
          <w:rFonts w:ascii="Calibri" w:hAnsi="Calibri"/>
        </w:rPr>
      </w:pPr>
      <w:r>
        <w:br w:type="page"/>
      </w:r>
    </w:p>
    <w:p w:rsidR="00910AF8" w:rsidRPr="00091BE6" w:rsidRDefault="00910AF8" w:rsidP="00F56209">
      <w:pPr>
        <w:pStyle w:val="Heading1"/>
        <w:rPr>
          <w:rFonts w:ascii="Calibri" w:hAnsi="Calibri"/>
        </w:rPr>
      </w:pPr>
      <w:bookmarkStart w:id="6" w:name="_Toc38360263"/>
      <w:r w:rsidRPr="00091BE6">
        <w:rPr>
          <w:rFonts w:ascii="Calibri" w:hAnsi="Calibri"/>
        </w:rPr>
        <w:t>: ToR 4</w:t>
      </w:r>
      <w:r w:rsidRPr="00091BE6">
        <w:rPr>
          <w:rFonts w:ascii="Calibri" w:hAnsi="Calibri"/>
        </w:rPr>
        <w:br/>
        <w:t xml:space="preserve">Review of the comparative effectiveness of PAH </w:t>
      </w:r>
      <w:r w:rsidR="003F6760" w:rsidRPr="00091BE6">
        <w:rPr>
          <w:rFonts w:ascii="Calibri" w:hAnsi="Calibri"/>
        </w:rPr>
        <w:t>medicines</w:t>
      </w:r>
      <w:bookmarkEnd w:id="6"/>
    </w:p>
    <w:p w:rsidR="00910AF8" w:rsidRPr="00A66468" w:rsidRDefault="00910AF8" w:rsidP="00910AF8">
      <w:pPr>
        <w:pStyle w:val="ToRinbox"/>
        <w:rPr>
          <w:rFonts w:asciiTheme="minorHAnsi" w:hAnsiTheme="minorHAnsi"/>
        </w:rPr>
      </w:pPr>
      <w:r w:rsidRPr="00A66468">
        <w:rPr>
          <w:rFonts w:asciiTheme="minorHAnsi" w:hAnsiTheme="minorHAnsi"/>
        </w:rPr>
        <w:t xml:space="preserve">Collate and evaluate evidence on the comparative effectiveness of PAH medicines, including combination use and use in the WHO functional class II patient populations. </w:t>
      </w:r>
    </w:p>
    <w:p w:rsidR="00B27192" w:rsidRPr="00EB1471" w:rsidRDefault="00B27192" w:rsidP="00910AF8">
      <w:pPr>
        <w:pStyle w:val="Heading2"/>
      </w:pPr>
      <w:bookmarkStart w:id="7" w:name="_Toc38360264"/>
      <w:r w:rsidRPr="00EB1471">
        <w:t>Key findings for ToR 4</w:t>
      </w:r>
      <w:bookmarkEnd w:id="7"/>
    </w:p>
    <w:p w:rsidR="005A0C83" w:rsidRPr="00D228A6" w:rsidRDefault="005A0C83" w:rsidP="005A0C83">
      <w:pPr>
        <w:pStyle w:val="ToRText"/>
        <w:shd w:val="clear" w:color="auto" w:fill="F2F2F2" w:themeFill="background1" w:themeFillShade="F2"/>
        <w:rPr>
          <w:b w:val="0"/>
          <w:color w:val="auto"/>
        </w:rPr>
      </w:pPr>
      <w:r w:rsidRPr="00532B79">
        <w:rPr>
          <w:b w:val="0"/>
          <w:color w:val="auto"/>
          <w:shd w:val="clear" w:color="auto" w:fill="F2F2F2" w:themeFill="background1" w:themeFillShade="F2"/>
        </w:rPr>
        <w:t>Q1.</w:t>
      </w:r>
      <w:r w:rsidRPr="00532B79">
        <w:rPr>
          <w:b w:val="0"/>
          <w:color w:val="auto"/>
          <w:shd w:val="clear" w:color="auto" w:fill="F2F2F2" w:themeFill="background1" w:themeFillShade="F2"/>
        </w:rPr>
        <w:tab/>
        <w:t>What is the effectiveness and safety of monotherapy with a PAH medicine, compared to placebo/no treatment or another PAH medicine listed on the PBS, in patients with WHO FC I or II PAH?</w:t>
      </w:r>
    </w:p>
    <w:p w:rsidR="00D63C81" w:rsidRPr="00EB1471" w:rsidRDefault="00D63C81" w:rsidP="00550EA7">
      <w:r w:rsidRPr="00EB1471">
        <w:t xml:space="preserve">The key findings from this Review regarding the </w:t>
      </w:r>
      <w:r w:rsidR="00B27192" w:rsidRPr="00EB1471">
        <w:t>comparative effectiveness of PAH medicines are</w:t>
      </w:r>
      <w:r w:rsidRPr="00EB1471">
        <w:t>:</w:t>
      </w:r>
    </w:p>
    <w:p w:rsidR="00FC1362" w:rsidRPr="00EB1471" w:rsidRDefault="00FC1362" w:rsidP="009B35CE">
      <w:pPr>
        <w:pStyle w:val="Heading3"/>
      </w:pPr>
      <w:bookmarkStart w:id="8" w:name="_Toc38360265"/>
      <w:r w:rsidRPr="00EB1471">
        <w:t>Effectiveness and safety of monotherapy in WHO FC I or II</w:t>
      </w:r>
      <w:r w:rsidR="005A20F4">
        <w:t xml:space="preserve"> PAH</w:t>
      </w:r>
      <w:bookmarkEnd w:id="8"/>
    </w:p>
    <w:p w:rsidR="009B35CE" w:rsidRPr="0042195A" w:rsidRDefault="00441F08" w:rsidP="00003E50">
      <w:pPr>
        <w:pStyle w:val="Heading4"/>
        <w:tabs>
          <w:tab w:val="left" w:pos="993"/>
          <w:tab w:val="left" w:pos="1134"/>
        </w:tabs>
      </w:pPr>
      <w:r>
        <w:t>4.1.1.1</w:t>
      </w:r>
      <w:r>
        <w:tab/>
      </w:r>
      <w:r w:rsidR="00F56209">
        <w:t>Endothelin Receptor Antagonists (</w:t>
      </w:r>
      <w:r w:rsidR="009B35CE" w:rsidRPr="0042195A">
        <w:t>ERA</w:t>
      </w:r>
      <w:r w:rsidR="00F56209">
        <w:t>)</w:t>
      </w:r>
      <w:r w:rsidR="009B35CE" w:rsidRPr="0042195A">
        <w:t xml:space="preserve"> versus placebo</w:t>
      </w:r>
    </w:p>
    <w:p w:rsidR="009B35CE" w:rsidRPr="00A3015F" w:rsidRDefault="009B35CE" w:rsidP="009B35CE">
      <w:pPr>
        <w:pStyle w:val="Heading5"/>
      </w:pPr>
      <w:r w:rsidRPr="00A3015F">
        <w:t>Clinical effectiveness</w:t>
      </w:r>
    </w:p>
    <w:p w:rsidR="009B35CE" w:rsidRPr="00F56209" w:rsidRDefault="009B35CE" w:rsidP="00F56209">
      <w:pPr>
        <w:spacing w:beforeLines="40" w:before="96" w:afterLines="40" w:after="96"/>
        <w:rPr>
          <w:rFonts w:cs="Arial"/>
          <w:color w:val="000000"/>
          <w:sz w:val="22"/>
          <w:szCs w:val="22"/>
          <w:highlight w:val="green"/>
        </w:rPr>
      </w:pPr>
      <w:r w:rsidRPr="0042195A">
        <w:t xml:space="preserve">Four </w:t>
      </w:r>
      <w:r w:rsidR="00F56209">
        <w:t>r</w:t>
      </w:r>
      <w:r w:rsidR="00F56209" w:rsidRPr="00F56209">
        <w:t>andomised controlled trial</w:t>
      </w:r>
      <w:r w:rsidR="00F56209">
        <w:t>s (</w:t>
      </w:r>
      <w:r w:rsidRPr="0042195A">
        <w:t>RCTs</w:t>
      </w:r>
      <w:r w:rsidR="00F56209">
        <w:t>)</w:t>
      </w:r>
      <w:r w:rsidRPr="0042195A">
        <w:t xml:space="preserve"> reported on the effectiveness of an ERA in treating </w:t>
      </w:r>
      <w:r w:rsidR="003A7E50">
        <w:t>pulmonary arterial hypertension (</w:t>
      </w:r>
      <w:r w:rsidRPr="0042195A">
        <w:t>PAH</w:t>
      </w:r>
      <w:r w:rsidR="003A7E50">
        <w:t>)</w:t>
      </w:r>
      <w:r w:rsidRPr="0042195A">
        <w:t xml:space="preserve"> compared with placebo i</w:t>
      </w:r>
      <w:r>
        <w:t xml:space="preserve">n patients with </w:t>
      </w:r>
      <w:r w:rsidR="003A7E50">
        <w:t>World Health Organization (</w:t>
      </w:r>
      <w:r>
        <w:t>WHO</w:t>
      </w:r>
      <w:r w:rsidR="003A7E50">
        <w:t>) Functional Class</w:t>
      </w:r>
      <w:r>
        <w:t xml:space="preserve"> </w:t>
      </w:r>
      <w:r w:rsidR="003A7E50">
        <w:t>(</w:t>
      </w:r>
      <w:r>
        <w:t>FC</w:t>
      </w:r>
      <w:r w:rsidR="003A7E50">
        <w:t>)</w:t>
      </w:r>
      <w:r>
        <w:t xml:space="preserve"> I/II PAH:</w:t>
      </w:r>
    </w:p>
    <w:p w:rsidR="009B35CE" w:rsidRPr="00B607A5" w:rsidRDefault="009B35CE" w:rsidP="00D103A9">
      <w:pPr>
        <w:pStyle w:val="Bullettext"/>
      </w:pPr>
      <w:r w:rsidRPr="00B607A5">
        <w:t>ARIES-1&amp;2 used ambrisentan</w:t>
      </w:r>
    </w:p>
    <w:p w:rsidR="009B35CE" w:rsidRPr="00B607A5" w:rsidRDefault="009B35CE" w:rsidP="00D103A9">
      <w:pPr>
        <w:pStyle w:val="Bullettext"/>
      </w:pPr>
      <w:r w:rsidRPr="00B607A5">
        <w:t>EARLY used bosentan</w:t>
      </w:r>
    </w:p>
    <w:p w:rsidR="009B35CE" w:rsidRPr="00B607A5" w:rsidRDefault="009B35CE" w:rsidP="00D103A9">
      <w:pPr>
        <w:pStyle w:val="Bullettext"/>
      </w:pPr>
      <w:r w:rsidRPr="00B607A5">
        <w:t>SERAPHIN used macitentan.</w:t>
      </w:r>
    </w:p>
    <w:p w:rsidR="009B35CE" w:rsidRPr="00B607A5" w:rsidRDefault="009B35CE" w:rsidP="00B607A5">
      <w:r w:rsidRPr="00B607A5">
        <w:t>The evidence provided by these trials is summarised in</w:t>
      </w:r>
      <w:r w:rsidR="00272F8F" w:rsidRPr="00B607A5">
        <w:t xml:space="preserve"> </w:t>
      </w:r>
      <w:r w:rsidR="003951FA">
        <w:t>Table 4.1</w:t>
      </w:r>
      <w:r w:rsidRPr="00B607A5">
        <w:t>.</w:t>
      </w:r>
    </w:p>
    <w:p w:rsidR="009B35CE" w:rsidRPr="00B607A5" w:rsidRDefault="009B35CE" w:rsidP="00B607A5">
      <w:r w:rsidRPr="00B607A5">
        <w:t xml:space="preserve">Overall, </w:t>
      </w:r>
      <w:r w:rsidR="00843DF8" w:rsidRPr="00B607A5">
        <w:t>the use of an ERA medication to treat patients with WHO FC I/II PAH is likely to be beneficial.</w:t>
      </w:r>
    </w:p>
    <w:p w:rsidR="009B35CE" w:rsidRPr="00272F8F" w:rsidRDefault="00272F8F" w:rsidP="00BC5A2B">
      <w:pPr>
        <w:pStyle w:val="Caption"/>
      </w:pPr>
      <w:bookmarkStart w:id="9" w:name="_Ref506280402"/>
      <w:bookmarkStart w:id="10" w:name="_Toc38360298"/>
      <w:r>
        <w:t>Table 4.</w:t>
      </w:r>
      <w:r w:rsidR="003951FA">
        <w:rPr>
          <w:noProof/>
        </w:rPr>
        <w:t>1</w:t>
      </w:r>
      <w:bookmarkEnd w:id="9"/>
      <w:r w:rsidRPr="00272F8F">
        <w:tab/>
      </w:r>
      <w:r w:rsidR="009B35CE" w:rsidRPr="00272F8F">
        <w:t xml:space="preserve">Summary of the evidence for the clinical effectiveness of an ERA </w:t>
      </w:r>
      <w:r w:rsidR="00974AD8">
        <w:t>compared with</w:t>
      </w:r>
      <w:r w:rsidR="009B35CE" w:rsidRPr="00272F8F">
        <w:t xml:space="preserve"> placebo in patients with WHO FC I/II PAH</w:t>
      </w:r>
      <w:bookmarkEnd w:id="10"/>
    </w:p>
    <w:tbl>
      <w:tblPr>
        <w:tblStyle w:val="TableGrid"/>
        <w:tblW w:w="9634" w:type="dxa"/>
        <w:tblLook w:val="04A0" w:firstRow="1" w:lastRow="0" w:firstColumn="1" w:lastColumn="0" w:noHBand="0" w:noVBand="1"/>
        <w:tblCaption w:val="Summary of the evidence for the clinical effectiveness of an ERA compared with placebo in patients with WHO FC I/II PAH"/>
      </w:tblPr>
      <w:tblGrid>
        <w:gridCol w:w="1502"/>
        <w:gridCol w:w="1584"/>
        <w:gridCol w:w="6548"/>
      </w:tblGrid>
      <w:tr w:rsidR="009B35CE" w:rsidRPr="00550EA7" w:rsidTr="00272F8F">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B607A5" w:rsidRDefault="009B35CE" w:rsidP="00272F8F">
            <w:pPr>
              <w:pStyle w:val="Tabletext"/>
              <w:rPr>
                <w:rFonts w:cs="Arial"/>
                <w:b/>
              </w:rPr>
            </w:pPr>
            <w:r w:rsidRPr="00B607A5">
              <w:rPr>
                <w:rFonts w:cs="Arial"/>
                <w:b/>
              </w:rPr>
              <w:t>Outcome</w:t>
            </w:r>
          </w:p>
        </w:tc>
        <w:tc>
          <w:tcPr>
            <w:tcW w:w="1984" w:type="dxa"/>
            <w:tcBorders>
              <w:top w:val="single" w:sz="4" w:space="0" w:color="auto"/>
              <w:left w:val="single" w:sz="4" w:space="0" w:color="auto"/>
              <w:bottom w:val="single" w:sz="4" w:space="0" w:color="auto"/>
              <w:right w:val="single" w:sz="4" w:space="0" w:color="auto"/>
            </w:tcBorders>
          </w:tcPr>
          <w:p w:rsidR="009B35CE" w:rsidRPr="00B607A5" w:rsidRDefault="009B35CE" w:rsidP="00272F8F">
            <w:pPr>
              <w:pStyle w:val="Tabletext"/>
              <w:rPr>
                <w:rFonts w:cs="Arial"/>
                <w:b/>
              </w:rPr>
            </w:pPr>
            <w:r w:rsidRPr="00B607A5">
              <w:rPr>
                <w:rFonts w:cs="Arial"/>
                <w:b/>
              </w:rPr>
              <w:t xml:space="preserve">Included trials </w:t>
            </w:r>
          </w:p>
          <w:p w:rsidR="00385E5A" w:rsidRPr="00B607A5" w:rsidRDefault="00385E5A" w:rsidP="00293DE5">
            <w:pPr>
              <w:pStyle w:val="Tabletext"/>
              <w:rPr>
                <w:rFonts w:cs="Arial"/>
                <w:b/>
              </w:rPr>
            </w:pPr>
            <w:r w:rsidRPr="00B607A5">
              <w:rPr>
                <w:rFonts w:cs="Arial"/>
                <w:b/>
              </w:rPr>
              <w:t>No</w:t>
            </w:r>
            <w:r w:rsidR="00293DE5" w:rsidRPr="00B607A5">
              <w:rPr>
                <w:rFonts w:cs="Arial"/>
                <w:b/>
              </w:rPr>
              <w:t>.</w:t>
            </w:r>
            <w:r w:rsidRPr="00B607A5">
              <w:rPr>
                <w:rFonts w:cs="Arial"/>
                <w:b/>
              </w:rPr>
              <w:t xml:space="preserve"> of patients</w:t>
            </w:r>
          </w:p>
        </w:tc>
        <w:tc>
          <w:tcPr>
            <w:tcW w:w="6095" w:type="dxa"/>
            <w:tcBorders>
              <w:top w:val="single" w:sz="4" w:space="0" w:color="auto"/>
              <w:left w:val="single" w:sz="4" w:space="0" w:color="auto"/>
              <w:bottom w:val="single" w:sz="4" w:space="0" w:color="auto"/>
              <w:right w:val="single" w:sz="4" w:space="0" w:color="auto"/>
            </w:tcBorders>
          </w:tcPr>
          <w:p w:rsidR="009B35CE" w:rsidRPr="00B607A5" w:rsidRDefault="009B35CE" w:rsidP="00457FA6">
            <w:pPr>
              <w:pStyle w:val="Tabletext"/>
              <w:rPr>
                <w:rFonts w:cs="Arial"/>
                <w:b/>
              </w:rPr>
            </w:pPr>
            <w:r w:rsidRPr="00B607A5">
              <w:rPr>
                <w:rFonts w:cs="Arial"/>
                <w:b/>
              </w:rPr>
              <w:t>Summary of evidence</w:t>
            </w:r>
          </w:p>
        </w:tc>
      </w:tr>
      <w:tr w:rsidR="009B35CE" w:rsidTr="00272F8F">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rPr>
                <w:rFonts w:cs="Arial"/>
              </w:rPr>
            </w:pPr>
            <w:r w:rsidRPr="0049771F">
              <w:rPr>
                <w:rFonts w:cs="Arial"/>
              </w:rPr>
              <w:t>Clinical worsening</w:t>
            </w:r>
          </w:p>
        </w:tc>
        <w:tc>
          <w:tcPr>
            <w:tcW w:w="1984"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rPr>
                <w:rFonts w:cs="Arial"/>
              </w:rPr>
            </w:pPr>
            <w:r w:rsidRPr="0049771F">
              <w:rPr>
                <w:rFonts w:cs="Arial"/>
              </w:rPr>
              <w:t>EARLY (bosentan)</w:t>
            </w:r>
          </w:p>
          <w:p w:rsidR="009B35CE" w:rsidRPr="0049771F" w:rsidRDefault="009B35CE" w:rsidP="00272F8F">
            <w:pPr>
              <w:pStyle w:val="Tabletext"/>
              <w:rPr>
                <w:rFonts w:cs="Arial"/>
              </w:rPr>
            </w:pPr>
            <w:r w:rsidRPr="0049771F">
              <w:rPr>
                <w:rFonts w:cs="Arial"/>
              </w:rPr>
              <w:t>ARIES-1&amp;2 (ambrisentan)</w:t>
            </w:r>
          </w:p>
          <w:p w:rsidR="009B35CE" w:rsidRPr="0049771F" w:rsidRDefault="009B35CE" w:rsidP="00272F8F">
            <w:pPr>
              <w:pStyle w:val="Tabletext"/>
              <w:rPr>
                <w:rFonts w:cs="Arial"/>
              </w:rPr>
            </w:pPr>
            <w:r w:rsidRPr="0049771F">
              <w:rPr>
                <w:rFonts w:cs="Arial"/>
              </w:rPr>
              <w:t>SERAPHIN (macitentan)</w:t>
            </w:r>
          </w:p>
          <w:p w:rsidR="00385E5A" w:rsidRPr="0049771F" w:rsidRDefault="00385E5A" w:rsidP="00272F8F">
            <w:pPr>
              <w:pStyle w:val="Tabletext"/>
              <w:rPr>
                <w:rFonts w:cs="Arial"/>
              </w:rPr>
            </w:pPr>
            <w:r w:rsidRPr="0049771F">
              <w:rPr>
                <w:rFonts w:cs="Arial"/>
              </w:rPr>
              <w:t>N=375</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9B35CE" w:rsidP="00480FDF">
            <w:pPr>
              <w:pStyle w:val="Tabletext"/>
              <w:numPr>
                <w:ilvl w:val="0"/>
                <w:numId w:val="23"/>
              </w:numPr>
              <w:ind w:left="227" w:hanging="219"/>
              <w:rPr>
                <w:rFonts w:cs="Arial"/>
              </w:rPr>
            </w:pPr>
            <w:r w:rsidRPr="0049771F">
              <w:rPr>
                <w:rFonts w:cs="Arial"/>
              </w:rPr>
              <w:t xml:space="preserve">High quality evidence (GRADE </w:t>
            </w:r>
            <w:r w:rsidRPr="0049771F">
              <w:rPr>
                <w:rFonts w:ascii="Cambria Math" w:hAnsi="Cambria Math" w:cs="Cambria Math"/>
                <w:color w:val="00B050"/>
              </w:rPr>
              <w:t>⨁⨁⨁⨁</w:t>
            </w:r>
            <w:r w:rsidRPr="0049771F">
              <w:rPr>
                <w:rFonts w:cs="Arial"/>
              </w:rPr>
              <w:t>)</w:t>
            </w:r>
          </w:p>
          <w:p w:rsidR="00DD3F6A" w:rsidRDefault="002046A0" w:rsidP="002046A0">
            <w:pPr>
              <w:pStyle w:val="Tabletext"/>
              <w:ind w:left="227" w:hanging="219"/>
              <w:rPr>
                <w:rFonts w:ascii="Symbol" w:hAnsi="Symbol" w:cs="Arial"/>
                <w:noProof/>
                <w:color w:val="000000"/>
                <w:sz w:val="16"/>
                <w:szCs w:val="16"/>
                <w:highlight w:val="black"/>
              </w:rPr>
            </w:pP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p>
          <w:p w:rsidR="00DD3F6A" w:rsidRDefault="002046A0" w:rsidP="00DD3F6A">
            <w:pPr>
              <w:pStyle w:val="Tabletext"/>
              <w:ind w:left="227" w:hanging="219"/>
              <w:rPr>
                <w:rFonts w:ascii="Symbol" w:hAnsi="Symbol" w:cs="Arial"/>
                <w:noProof/>
                <w:color w:val="000000"/>
                <w:sz w:val="16"/>
                <w:szCs w:val="16"/>
                <w:highlight w:val="black"/>
              </w:rPr>
            </w:pP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p>
          <w:p w:rsidR="00DD3F6A" w:rsidRDefault="002046A0" w:rsidP="002046A0">
            <w:pPr>
              <w:pStyle w:val="Tabletext"/>
              <w:ind w:left="227" w:hanging="219"/>
              <w:rPr>
                <w:rFonts w:ascii="Symbol" w:hAnsi="Symbol" w:cs="Arial"/>
                <w:noProof/>
                <w:color w:val="000000"/>
                <w:sz w:val="16"/>
                <w:szCs w:val="16"/>
                <w:highlight w:val="black"/>
              </w:rPr>
            </w:pP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p>
          <w:p w:rsidR="00457FA6" w:rsidRPr="00DD3F6A" w:rsidRDefault="002046A0" w:rsidP="002046A0">
            <w:pPr>
              <w:pStyle w:val="Tabletext"/>
              <w:ind w:left="227" w:hanging="219"/>
              <w:rPr>
                <w:rFonts w:cs="Arial"/>
                <w:sz w:val="16"/>
                <w:szCs w:val="16"/>
                <w:highlight w:val="black"/>
              </w:rPr>
            </w:pP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p>
          <w:p w:rsidR="00DD3F6A" w:rsidRDefault="002046A0" w:rsidP="002046A0">
            <w:pPr>
              <w:pStyle w:val="Tabletext"/>
              <w:ind w:left="227" w:hanging="219"/>
              <w:rPr>
                <w:rFonts w:ascii="Symbol" w:hAnsi="Symbol" w:cs="Arial"/>
                <w:noProof/>
                <w:color w:val="000000"/>
                <w:sz w:val="16"/>
                <w:szCs w:val="16"/>
                <w:highlight w:val="black"/>
              </w:rPr>
            </w:pP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p>
          <w:p w:rsidR="0042322C" w:rsidRDefault="002046A0" w:rsidP="002046A0">
            <w:pPr>
              <w:pStyle w:val="Tabletext"/>
              <w:ind w:left="227" w:hanging="219"/>
              <w:rPr>
                <w:rFonts w:ascii="Symbol" w:hAnsi="Symbol" w:cs="Arial"/>
                <w:noProof/>
                <w:color w:val="000000"/>
                <w:sz w:val="16"/>
                <w:szCs w:val="16"/>
                <w:highlight w:val="black"/>
              </w:rPr>
            </w:pP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p>
          <w:p w:rsidR="009B35CE" w:rsidRPr="002046A0" w:rsidRDefault="002046A0" w:rsidP="002046A0">
            <w:pPr>
              <w:pStyle w:val="Tabletext"/>
              <w:ind w:left="227" w:hanging="219"/>
              <w:rPr>
                <w:rFonts w:cs="Arial"/>
                <w:highlight w:val="black"/>
              </w:rPr>
            </w:pP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r w:rsidRPr="00DD3F6A">
              <w:rPr>
                <w:rFonts w:ascii="Symbol" w:hAnsi="Symbol" w:cs="Arial"/>
                <w:noProof/>
                <w:color w:val="000000"/>
                <w:sz w:val="16"/>
                <w:szCs w:val="16"/>
                <w:highlight w:val="black"/>
              </w:rPr>
              <w:t></w:t>
            </w:r>
          </w:p>
        </w:tc>
      </w:tr>
      <w:tr w:rsidR="009B35CE" w:rsidTr="00272F8F">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rPr>
                <w:rFonts w:cs="Arial"/>
              </w:rPr>
            </w:pPr>
            <w:r w:rsidRPr="0049771F">
              <w:rPr>
                <w:rFonts w:cs="Arial"/>
              </w:rPr>
              <w:t>All-cause mortality</w:t>
            </w:r>
          </w:p>
        </w:tc>
        <w:tc>
          <w:tcPr>
            <w:tcW w:w="1984"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rPr>
                <w:rFonts w:cs="Arial"/>
              </w:rPr>
            </w:pPr>
            <w:r w:rsidRPr="0049771F">
              <w:rPr>
                <w:rFonts w:cs="Arial"/>
              </w:rPr>
              <w:t>EARLY (bosentan)</w:t>
            </w:r>
          </w:p>
          <w:p w:rsidR="009B35CE" w:rsidRPr="0049771F" w:rsidRDefault="009B35CE" w:rsidP="00272F8F">
            <w:pPr>
              <w:pStyle w:val="Tabletext"/>
              <w:rPr>
                <w:rFonts w:cs="Arial"/>
              </w:rPr>
            </w:pPr>
            <w:r w:rsidRPr="0049771F">
              <w:rPr>
                <w:rFonts w:cs="Arial"/>
              </w:rPr>
              <w:t>SERAPHIN (macitentan)</w:t>
            </w:r>
          </w:p>
          <w:p w:rsidR="00293DE5" w:rsidRPr="0049771F" w:rsidRDefault="00293DE5" w:rsidP="00272F8F">
            <w:pPr>
              <w:pStyle w:val="Tabletext"/>
              <w:rPr>
                <w:rFonts w:cs="Arial"/>
              </w:rPr>
            </w:pPr>
            <w:r w:rsidRPr="0049771F">
              <w:rPr>
                <w:rFonts w:cs="Arial"/>
              </w:rPr>
              <w:t>N=256</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9B35CE" w:rsidP="00480FDF">
            <w:pPr>
              <w:pStyle w:val="Tabletext"/>
              <w:numPr>
                <w:ilvl w:val="0"/>
                <w:numId w:val="23"/>
              </w:numPr>
              <w:ind w:left="227" w:hanging="219"/>
              <w:rPr>
                <w:rFonts w:cs="Arial"/>
              </w:rPr>
            </w:pPr>
            <w:r w:rsidRPr="0049771F">
              <w:rPr>
                <w:rFonts w:cs="Arial"/>
              </w:rPr>
              <w:t xml:space="preserve">High quality evidence (GRADE </w:t>
            </w:r>
            <w:r w:rsidRPr="0049771F">
              <w:rPr>
                <w:rFonts w:ascii="Cambria Math" w:hAnsi="Cambria Math" w:cs="Cambria Math"/>
                <w:color w:val="00B050"/>
              </w:rPr>
              <w:t>⨁⨁⨁⨁</w:t>
            </w:r>
            <w:r w:rsidRPr="0049771F">
              <w:rPr>
                <w:rFonts w:cs="Arial"/>
              </w:rPr>
              <w:t>)</w:t>
            </w:r>
          </w:p>
          <w:p w:rsidR="00DD3F6A" w:rsidRDefault="002046A0" w:rsidP="002046A0">
            <w:pPr>
              <w:pStyle w:val="Tabletext"/>
              <w:ind w:left="227" w:hanging="219"/>
              <w:rPr>
                <w:rFonts w:ascii="Symbol" w:hAnsi="Symbol" w:cs="Arial"/>
                <w:noProof/>
                <w:color w:val="000000"/>
                <w:sz w:val="12"/>
                <w:szCs w:val="12"/>
                <w:highlight w:val="black"/>
              </w:rPr>
            </w:pP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p>
          <w:p w:rsidR="00DD3F6A" w:rsidRDefault="002046A0" w:rsidP="002046A0">
            <w:pPr>
              <w:pStyle w:val="Tabletext"/>
              <w:ind w:left="227" w:hanging="219"/>
              <w:rPr>
                <w:rFonts w:ascii="Symbol" w:hAnsi="Symbol" w:cs="Arial"/>
                <w:noProof/>
                <w:color w:val="000000"/>
                <w:sz w:val="12"/>
                <w:szCs w:val="12"/>
                <w:highlight w:val="black"/>
              </w:rPr>
            </w:pP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p>
          <w:p w:rsidR="00DD3F6A" w:rsidRDefault="002046A0" w:rsidP="002046A0">
            <w:pPr>
              <w:pStyle w:val="Tabletext"/>
              <w:ind w:left="227" w:hanging="219"/>
              <w:rPr>
                <w:rFonts w:ascii="Symbol" w:hAnsi="Symbol" w:cs="Arial"/>
                <w:noProof/>
                <w:color w:val="000000"/>
                <w:sz w:val="12"/>
                <w:szCs w:val="12"/>
                <w:highlight w:val="black"/>
              </w:rPr>
            </w:pP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p>
          <w:p w:rsidR="00D70A7E" w:rsidRPr="00DD3F6A" w:rsidRDefault="002046A0" w:rsidP="002046A0">
            <w:pPr>
              <w:pStyle w:val="Tabletext"/>
              <w:ind w:left="227" w:hanging="219"/>
              <w:rPr>
                <w:rFonts w:cs="Arial"/>
                <w:sz w:val="12"/>
                <w:szCs w:val="12"/>
                <w:highlight w:val="black"/>
              </w:rPr>
            </w:pP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p>
          <w:p w:rsidR="00DD3F6A" w:rsidRDefault="002046A0" w:rsidP="002046A0">
            <w:pPr>
              <w:pStyle w:val="Tabletext"/>
              <w:ind w:left="227" w:hanging="219"/>
              <w:rPr>
                <w:rFonts w:ascii="Symbol" w:hAnsi="Symbol" w:cs="Arial"/>
                <w:noProof/>
                <w:color w:val="000000"/>
                <w:sz w:val="12"/>
                <w:szCs w:val="12"/>
                <w:highlight w:val="black"/>
              </w:rPr>
            </w:pP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p>
          <w:p w:rsidR="009B35CE" w:rsidRDefault="002046A0" w:rsidP="002046A0">
            <w:pPr>
              <w:pStyle w:val="Tabletext"/>
              <w:ind w:left="227" w:hanging="219"/>
              <w:rPr>
                <w:rFonts w:ascii="Symbol" w:hAnsi="Symbol" w:cs="Arial"/>
                <w:noProof/>
                <w:color w:val="000000"/>
                <w:sz w:val="12"/>
                <w:szCs w:val="12"/>
                <w:highlight w:val="black"/>
              </w:rPr>
            </w:pP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r w:rsidRPr="00DD3F6A">
              <w:rPr>
                <w:rFonts w:ascii="Symbol" w:hAnsi="Symbol" w:cs="Arial"/>
                <w:noProof/>
                <w:color w:val="000000"/>
                <w:sz w:val="12"/>
                <w:szCs w:val="12"/>
                <w:highlight w:val="black"/>
              </w:rPr>
              <w:t></w:t>
            </w:r>
          </w:p>
          <w:p w:rsidR="00DD3F6A" w:rsidRPr="002046A0" w:rsidRDefault="00DD3F6A" w:rsidP="002046A0">
            <w:pPr>
              <w:pStyle w:val="Tabletext"/>
              <w:ind w:left="227" w:hanging="219"/>
              <w:rPr>
                <w:rFonts w:cs="Arial"/>
                <w:highlight w:val="black"/>
              </w:rPr>
            </w:pPr>
          </w:p>
        </w:tc>
      </w:tr>
      <w:tr w:rsidR="009B35CE" w:rsidTr="00272F8F">
        <w:tc>
          <w:tcPr>
            <w:tcW w:w="1555" w:type="dxa"/>
            <w:tcBorders>
              <w:top w:val="single" w:sz="4" w:space="0" w:color="auto"/>
              <w:left w:val="single" w:sz="4" w:space="0" w:color="auto"/>
              <w:bottom w:val="single" w:sz="4" w:space="0" w:color="auto"/>
              <w:right w:val="single" w:sz="4" w:space="0" w:color="auto"/>
            </w:tcBorders>
          </w:tcPr>
          <w:p w:rsidR="009B35CE" w:rsidRPr="00B607A5" w:rsidRDefault="009B35CE" w:rsidP="00272F8F">
            <w:pPr>
              <w:pStyle w:val="Tabletext"/>
              <w:rPr>
                <w:rFonts w:cs="Arial"/>
              </w:rPr>
            </w:pPr>
            <w:r w:rsidRPr="00B607A5">
              <w:rPr>
                <w:rFonts w:cs="Arial"/>
              </w:rPr>
              <w:t>Improved WHO FC</w:t>
            </w:r>
          </w:p>
        </w:tc>
        <w:tc>
          <w:tcPr>
            <w:tcW w:w="1984" w:type="dxa"/>
            <w:tcBorders>
              <w:top w:val="single" w:sz="4" w:space="0" w:color="auto"/>
              <w:left w:val="single" w:sz="4" w:space="0" w:color="auto"/>
              <w:bottom w:val="single" w:sz="4" w:space="0" w:color="auto"/>
              <w:right w:val="single" w:sz="4" w:space="0" w:color="auto"/>
            </w:tcBorders>
          </w:tcPr>
          <w:p w:rsidR="009B35CE" w:rsidRPr="00B607A5" w:rsidRDefault="009B35CE" w:rsidP="00272F8F">
            <w:pPr>
              <w:pStyle w:val="Tabletext"/>
              <w:rPr>
                <w:rFonts w:cs="Arial"/>
              </w:rPr>
            </w:pPr>
            <w:r w:rsidRPr="00B607A5">
              <w:rPr>
                <w:rFonts w:cs="Arial"/>
              </w:rPr>
              <w:t>ARIES-1&amp;2 (ambrisentan)</w:t>
            </w:r>
          </w:p>
          <w:p w:rsidR="00293DE5" w:rsidRPr="00B607A5" w:rsidRDefault="00293DE5" w:rsidP="00272F8F">
            <w:pPr>
              <w:pStyle w:val="Tabletext"/>
              <w:rPr>
                <w:rFonts w:cs="Arial"/>
              </w:rPr>
            </w:pPr>
            <w:r w:rsidRPr="00B607A5">
              <w:rPr>
                <w:rFonts w:cs="Arial"/>
              </w:rPr>
              <w:t>N=101</w:t>
            </w:r>
          </w:p>
        </w:tc>
        <w:tc>
          <w:tcPr>
            <w:tcW w:w="6095" w:type="dxa"/>
            <w:tcBorders>
              <w:top w:val="single" w:sz="4" w:space="0" w:color="auto"/>
              <w:left w:val="single" w:sz="4" w:space="0" w:color="auto"/>
              <w:bottom w:val="single" w:sz="4" w:space="0" w:color="auto"/>
              <w:right w:val="single" w:sz="4" w:space="0" w:color="auto"/>
            </w:tcBorders>
          </w:tcPr>
          <w:p w:rsidR="009B35CE" w:rsidRPr="00B607A5" w:rsidRDefault="009B35CE" w:rsidP="00480FDF">
            <w:pPr>
              <w:pStyle w:val="Tabletext"/>
              <w:numPr>
                <w:ilvl w:val="0"/>
                <w:numId w:val="23"/>
              </w:numPr>
              <w:ind w:left="227" w:hanging="219"/>
              <w:rPr>
                <w:rFonts w:cs="Arial"/>
              </w:rPr>
            </w:pPr>
            <w:r w:rsidRPr="00B607A5">
              <w:rPr>
                <w:rFonts w:cs="Arial"/>
              </w:rPr>
              <w:t xml:space="preserve">Moderate quality evidence (GRADE </w:t>
            </w:r>
            <w:r w:rsidRPr="00B607A5">
              <w:rPr>
                <w:rFonts w:ascii="Cambria Math" w:hAnsi="Cambria Math" w:cs="Cambria Math"/>
                <w:color w:val="00B050"/>
              </w:rPr>
              <w:t>⨁⨁⨁</w:t>
            </w:r>
            <w:r w:rsidRPr="00B607A5">
              <w:rPr>
                <w:rFonts w:ascii="Cambria Math" w:hAnsi="Cambria Math" w:cs="Cambria Math"/>
                <w:color w:val="C00000"/>
              </w:rPr>
              <w:t>⨀</w:t>
            </w:r>
            <w:r w:rsidRPr="00B607A5">
              <w:rPr>
                <w:rFonts w:cs="Arial"/>
              </w:rPr>
              <w:t>)</w:t>
            </w:r>
          </w:p>
          <w:p w:rsidR="009B35CE" w:rsidRPr="00B607A5" w:rsidRDefault="00D70A7E" w:rsidP="00480FDF">
            <w:pPr>
              <w:pStyle w:val="Tabletext"/>
              <w:numPr>
                <w:ilvl w:val="0"/>
                <w:numId w:val="23"/>
              </w:numPr>
              <w:ind w:left="227" w:hanging="219"/>
              <w:rPr>
                <w:rFonts w:cs="Arial"/>
              </w:rPr>
            </w:pPr>
            <w:r w:rsidRPr="00B607A5">
              <w:rPr>
                <w:rFonts w:cs="Arial"/>
              </w:rPr>
              <w:t>Significantly more patients improved their WHO FC after being treated with an ERA compared with receiving a placebo (ARD = 14.0%; 95% CI 4.4, 23.6)</w:t>
            </w:r>
          </w:p>
        </w:tc>
      </w:tr>
      <w:tr w:rsidR="009B35CE" w:rsidTr="00272F8F">
        <w:tc>
          <w:tcPr>
            <w:tcW w:w="1555" w:type="dxa"/>
          </w:tcPr>
          <w:p w:rsidR="009B35CE" w:rsidRPr="00B607A5" w:rsidRDefault="009B35CE" w:rsidP="00272F8F">
            <w:pPr>
              <w:pStyle w:val="Tabletext"/>
              <w:rPr>
                <w:rFonts w:cs="Arial"/>
              </w:rPr>
            </w:pPr>
            <w:r w:rsidRPr="00B607A5">
              <w:rPr>
                <w:rFonts w:cs="Arial"/>
              </w:rPr>
              <w:t>Worsened WHO FC</w:t>
            </w:r>
          </w:p>
        </w:tc>
        <w:tc>
          <w:tcPr>
            <w:tcW w:w="1984" w:type="dxa"/>
          </w:tcPr>
          <w:p w:rsidR="009B35CE" w:rsidRPr="00B607A5" w:rsidRDefault="009B35CE" w:rsidP="00272F8F">
            <w:pPr>
              <w:pStyle w:val="Tabletext"/>
              <w:rPr>
                <w:rFonts w:cs="Arial"/>
              </w:rPr>
            </w:pPr>
            <w:r w:rsidRPr="00B607A5">
              <w:rPr>
                <w:rFonts w:cs="Arial"/>
              </w:rPr>
              <w:t>ARIES-1&amp;2 (ambrisentan)</w:t>
            </w:r>
          </w:p>
          <w:p w:rsidR="00293DE5" w:rsidRPr="00B607A5" w:rsidRDefault="00293DE5" w:rsidP="00272F8F">
            <w:pPr>
              <w:pStyle w:val="Tabletext"/>
              <w:rPr>
                <w:rFonts w:cs="Arial"/>
              </w:rPr>
            </w:pPr>
            <w:r w:rsidRPr="00B607A5">
              <w:rPr>
                <w:rFonts w:cs="Arial"/>
              </w:rPr>
              <w:t>N=101</w:t>
            </w:r>
          </w:p>
        </w:tc>
        <w:tc>
          <w:tcPr>
            <w:tcW w:w="6095" w:type="dxa"/>
          </w:tcPr>
          <w:p w:rsidR="009B35CE" w:rsidRPr="00B607A5" w:rsidRDefault="00B179F1" w:rsidP="00480FDF">
            <w:pPr>
              <w:pStyle w:val="Tabletext"/>
              <w:numPr>
                <w:ilvl w:val="0"/>
                <w:numId w:val="23"/>
              </w:numPr>
              <w:ind w:left="227" w:hanging="219"/>
              <w:rPr>
                <w:rFonts w:cs="Arial"/>
              </w:rPr>
            </w:pPr>
            <w:r w:rsidRPr="00B607A5">
              <w:rPr>
                <w:rFonts w:cs="Arial"/>
              </w:rPr>
              <w:t>Low</w:t>
            </w:r>
            <w:r w:rsidR="009B35CE" w:rsidRPr="00B607A5">
              <w:rPr>
                <w:rFonts w:cs="Arial"/>
              </w:rPr>
              <w:t xml:space="preserve"> quality evidence (GRADE </w:t>
            </w:r>
            <w:r w:rsidR="009B35CE" w:rsidRPr="00B607A5">
              <w:rPr>
                <w:rFonts w:ascii="Cambria Math" w:hAnsi="Cambria Math" w:cs="Cambria Math"/>
                <w:color w:val="00B050"/>
              </w:rPr>
              <w:t>⨁</w:t>
            </w:r>
            <w:r w:rsidRPr="00B607A5">
              <w:rPr>
                <w:rFonts w:ascii="Cambria Math" w:hAnsi="Cambria Math" w:cs="Cambria Math"/>
                <w:color w:val="00B050"/>
              </w:rPr>
              <w:t>⨁</w:t>
            </w:r>
            <w:r w:rsidRPr="00B607A5">
              <w:rPr>
                <w:rFonts w:ascii="Cambria Math" w:hAnsi="Cambria Math" w:cs="Cambria Math"/>
                <w:color w:val="C00000"/>
              </w:rPr>
              <w:t>⨀</w:t>
            </w:r>
            <w:r w:rsidR="009B35CE" w:rsidRPr="00B607A5">
              <w:rPr>
                <w:rFonts w:ascii="Cambria Math" w:hAnsi="Cambria Math" w:cs="Cambria Math"/>
                <w:color w:val="C00000"/>
              </w:rPr>
              <w:t>⨀</w:t>
            </w:r>
            <w:r w:rsidR="009B35CE" w:rsidRPr="00B607A5">
              <w:rPr>
                <w:rFonts w:cs="Arial"/>
              </w:rPr>
              <w:t>)</w:t>
            </w:r>
          </w:p>
          <w:p w:rsidR="009B35CE" w:rsidRPr="00B607A5" w:rsidRDefault="00D70A7E" w:rsidP="00480FDF">
            <w:pPr>
              <w:pStyle w:val="Tabletext"/>
              <w:numPr>
                <w:ilvl w:val="0"/>
                <w:numId w:val="23"/>
              </w:numPr>
              <w:ind w:left="227" w:hanging="219"/>
              <w:rPr>
                <w:rFonts w:cs="Arial"/>
              </w:rPr>
            </w:pPr>
            <w:r w:rsidRPr="00B607A5">
              <w:rPr>
                <w:rFonts w:cs="Arial"/>
              </w:rPr>
              <w:t>Fewer patients taking an ERA had worsening of their WHO FC when compared with receiving a placebo</w:t>
            </w:r>
            <w:r w:rsidR="00171DFA" w:rsidRPr="00B607A5">
              <w:rPr>
                <w:rFonts w:cs="Arial"/>
              </w:rPr>
              <w:t xml:space="preserve"> but the 95% CI indicates that there may also be an effect in the opposite direction</w:t>
            </w:r>
            <w:r w:rsidRPr="00B607A5">
              <w:rPr>
                <w:rFonts w:cs="Arial"/>
              </w:rPr>
              <w:t xml:space="preserve"> (RR = 0.25; 95% CI 0.03, 2.20)</w:t>
            </w:r>
          </w:p>
        </w:tc>
      </w:tr>
      <w:tr w:rsidR="00974AD8" w:rsidTr="00974AD8">
        <w:trPr>
          <w:trHeight w:val="815"/>
        </w:trPr>
        <w:tc>
          <w:tcPr>
            <w:tcW w:w="1555" w:type="dxa"/>
          </w:tcPr>
          <w:p w:rsidR="00974AD8" w:rsidRPr="00B607A5" w:rsidRDefault="00974AD8" w:rsidP="00974AD8">
            <w:pPr>
              <w:pStyle w:val="Tabletext"/>
              <w:rPr>
                <w:rFonts w:cs="Arial"/>
              </w:rPr>
            </w:pPr>
            <w:r w:rsidRPr="00B607A5">
              <w:rPr>
                <w:rFonts w:cs="Arial"/>
              </w:rPr>
              <w:t>Change in 6MWD</w:t>
            </w:r>
            <w:r w:rsidR="006F1431" w:rsidRPr="00B607A5">
              <w:rPr>
                <w:rFonts w:cs="Arial"/>
              </w:rPr>
              <w:t xml:space="preserve"> from baseline</w:t>
            </w:r>
          </w:p>
        </w:tc>
        <w:tc>
          <w:tcPr>
            <w:tcW w:w="1984" w:type="dxa"/>
          </w:tcPr>
          <w:p w:rsidR="00974AD8" w:rsidRPr="00B607A5" w:rsidRDefault="00974AD8" w:rsidP="00974AD8">
            <w:pPr>
              <w:pStyle w:val="Tabletext"/>
              <w:rPr>
                <w:rFonts w:cs="Arial"/>
              </w:rPr>
            </w:pPr>
            <w:r w:rsidRPr="00B607A5">
              <w:rPr>
                <w:rFonts w:cs="Arial"/>
              </w:rPr>
              <w:t>EARLY (bosentan)</w:t>
            </w:r>
          </w:p>
          <w:p w:rsidR="00974AD8" w:rsidRPr="00B607A5" w:rsidRDefault="00974AD8" w:rsidP="00974AD8">
            <w:pPr>
              <w:pStyle w:val="Tabletext"/>
              <w:rPr>
                <w:rFonts w:cs="Arial"/>
              </w:rPr>
            </w:pPr>
            <w:r w:rsidRPr="00B607A5">
              <w:rPr>
                <w:rFonts w:cs="Arial"/>
              </w:rPr>
              <w:t>ARIES-1&amp;2 (ambrisentan)</w:t>
            </w:r>
          </w:p>
          <w:p w:rsidR="00293DE5" w:rsidRPr="00B607A5" w:rsidRDefault="00293DE5" w:rsidP="00974AD8">
            <w:pPr>
              <w:pStyle w:val="Tabletext"/>
              <w:rPr>
                <w:rFonts w:cs="Arial"/>
              </w:rPr>
            </w:pPr>
            <w:r w:rsidRPr="00B607A5">
              <w:rPr>
                <w:rFonts w:cs="Arial"/>
              </w:rPr>
              <w:t>N=154</w:t>
            </w:r>
          </w:p>
        </w:tc>
        <w:tc>
          <w:tcPr>
            <w:tcW w:w="6095" w:type="dxa"/>
          </w:tcPr>
          <w:p w:rsidR="00974AD8" w:rsidRPr="00B607A5" w:rsidRDefault="00963EDC" w:rsidP="00480FDF">
            <w:pPr>
              <w:pStyle w:val="Tabletext"/>
              <w:numPr>
                <w:ilvl w:val="0"/>
                <w:numId w:val="23"/>
              </w:numPr>
              <w:ind w:left="227" w:hanging="219"/>
              <w:rPr>
                <w:rFonts w:cs="Arial"/>
              </w:rPr>
            </w:pPr>
            <w:r w:rsidRPr="00B607A5">
              <w:rPr>
                <w:rFonts w:cs="Arial"/>
              </w:rPr>
              <w:t xml:space="preserve">Moderate </w:t>
            </w:r>
            <w:r w:rsidR="00974AD8" w:rsidRPr="00B607A5">
              <w:rPr>
                <w:rFonts w:cs="Arial"/>
              </w:rPr>
              <w:t xml:space="preserve">quality evidence (GRADE </w:t>
            </w:r>
            <w:r w:rsidR="00974AD8" w:rsidRPr="00B607A5">
              <w:rPr>
                <w:rFonts w:ascii="Cambria Math" w:hAnsi="Cambria Math" w:cs="Cambria Math"/>
                <w:color w:val="00B050"/>
              </w:rPr>
              <w:t>⨁⨁⨁</w:t>
            </w:r>
            <w:r w:rsidRPr="00B607A5">
              <w:rPr>
                <w:rFonts w:ascii="Cambria Math" w:hAnsi="Cambria Math" w:cs="Cambria Math"/>
                <w:color w:val="C00000"/>
              </w:rPr>
              <w:t>⨀</w:t>
            </w:r>
            <w:r w:rsidR="00974AD8" w:rsidRPr="00B607A5">
              <w:rPr>
                <w:rFonts w:cs="Arial"/>
              </w:rPr>
              <w:t>)</w:t>
            </w:r>
          </w:p>
          <w:p w:rsidR="00974AD8" w:rsidRPr="00B607A5" w:rsidRDefault="00974AD8" w:rsidP="00480FDF">
            <w:pPr>
              <w:pStyle w:val="Tabletext"/>
              <w:numPr>
                <w:ilvl w:val="0"/>
                <w:numId w:val="23"/>
              </w:numPr>
              <w:ind w:left="227" w:hanging="219"/>
              <w:rPr>
                <w:rFonts w:cs="Arial"/>
              </w:rPr>
            </w:pPr>
            <w:r w:rsidRPr="00B607A5">
              <w:rPr>
                <w:rFonts w:cs="Arial"/>
              </w:rPr>
              <w:t>Patients taking an ERA had a larger mean improvement in their 6MW</w:t>
            </w:r>
            <w:r w:rsidR="00E6350D" w:rsidRPr="00B607A5">
              <w:rPr>
                <w:rFonts w:cs="Arial"/>
              </w:rPr>
              <w:t>D than those taking a placebo</w:t>
            </w:r>
            <w:r w:rsidR="00171DFA" w:rsidRPr="00B607A5">
              <w:rPr>
                <w:rFonts w:cs="Arial"/>
              </w:rPr>
              <w:t>, and the difference was clinically important in 2 out of 3 studies</w:t>
            </w:r>
            <w:r w:rsidR="00E6350D" w:rsidRPr="00B607A5">
              <w:rPr>
                <w:rFonts w:cs="Arial"/>
              </w:rPr>
              <w:t xml:space="preserve"> (r</w:t>
            </w:r>
            <w:r w:rsidRPr="00B607A5">
              <w:rPr>
                <w:rFonts w:cs="Arial"/>
              </w:rPr>
              <w:t>ange 25.7</w:t>
            </w:r>
            <w:r w:rsidR="009B6434" w:rsidRPr="00B607A5">
              <w:rPr>
                <w:rFonts w:cs="Arial"/>
              </w:rPr>
              <w:t>−</w:t>
            </w:r>
            <w:r w:rsidRPr="00B607A5">
              <w:rPr>
                <w:rFonts w:cs="Arial"/>
              </w:rPr>
              <w:t>40.0</w:t>
            </w:r>
            <w:r w:rsidR="009B6434" w:rsidRPr="00B607A5">
              <w:rPr>
                <w:rFonts w:cs="Arial"/>
              </w:rPr>
              <w:t xml:space="preserve"> m </w:t>
            </w:r>
            <w:r w:rsidR="00D70A7E" w:rsidRPr="00B607A5">
              <w:rPr>
                <w:rFonts w:cs="Arial"/>
              </w:rPr>
              <w:t xml:space="preserve">walked </w:t>
            </w:r>
            <w:r w:rsidR="007A3E34" w:rsidRPr="00B607A5">
              <w:rPr>
                <w:rFonts w:cs="Arial"/>
              </w:rPr>
              <w:t>further</w:t>
            </w:r>
            <w:r w:rsidRPr="00B607A5">
              <w:rPr>
                <w:rFonts w:cs="Arial"/>
              </w:rPr>
              <w:t>)</w:t>
            </w:r>
          </w:p>
          <w:p w:rsidR="00974AD8" w:rsidRPr="00B607A5" w:rsidRDefault="00D70A7E" w:rsidP="00480FDF">
            <w:pPr>
              <w:pStyle w:val="Tabletext"/>
              <w:numPr>
                <w:ilvl w:val="0"/>
                <w:numId w:val="23"/>
              </w:numPr>
              <w:ind w:left="227" w:hanging="219"/>
              <w:rPr>
                <w:rFonts w:cs="Arial"/>
              </w:rPr>
            </w:pPr>
            <w:r w:rsidRPr="00B607A5">
              <w:rPr>
                <w:rFonts w:cs="Arial"/>
              </w:rPr>
              <w:t>There was no significant difference in the effectiveness of different ERA medications</w:t>
            </w:r>
          </w:p>
        </w:tc>
      </w:tr>
      <w:tr w:rsidR="009B35CE" w:rsidTr="00272F8F">
        <w:tc>
          <w:tcPr>
            <w:tcW w:w="1555" w:type="dxa"/>
            <w:tcBorders>
              <w:top w:val="single" w:sz="4" w:space="0" w:color="auto"/>
              <w:left w:val="single" w:sz="4" w:space="0" w:color="auto"/>
              <w:bottom w:val="single" w:sz="4" w:space="0" w:color="auto"/>
              <w:right w:val="single" w:sz="4" w:space="0" w:color="auto"/>
            </w:tcBorders>
          </w:tcPr>
          <w:p w:rsidR="009B35CE" w:rsidRPr="00B607A5" w:rsidRDefault="009B35CE" w:rsidP="00272F8F">
            <w:pPr>
              <w:pStyle w:val="Tabletext"/>
              <w:rPr>
                <w:rFonts w:cs="Arial"/>
              </w:rPr>
            </w:pPr>
            <w:r w:rsidRPr="00B607A5">
              <w:rPr>
                <w:rFonts w:cs="Arial"/>
              </w:rPr>
              <w:t>Change in haemodynamic parameter</w:t>
            </w:r>
            <w:r w:rsidR="006F1431" w:rsidRPr="00B607A5">
              <w:rPr>
                <w:rFonts w:cs="Arial"/>
              </w:rPr>
              <w:t xml:space="preserve"> from baseline</w:t>
            </w:r>
            <w:r w:rsidRPr="00B607A5">
              <w:rPr>
                <w:rFonts w:cs="Arial"/>
              </w:rPr>
              <w:t>:</w:t>
            </w:r>
          </w:p>
          <w:p w:rsidR="009B35CE" w:rsidRPr="00B607A5" w:rsidRDefault="009B35CE" w:rsidP="00272F8F">
            <w:pPr>
              <w:pStyle w:val="Tabletext"/>
              <w:rPr>
                <w:rFonts w:cs="Arial"/>
              </w:rPr>
            </w:pPr>
            <w:r w:rsidRPr="00B607A5">
              <w:rPr>
                <w:rFonts w:cs="Arial"/>
              </w:rPr>
              <w:t>PVR</w:t>
            </w:r>
          </w:p>
        </w:tc>
        <w:tc>
          <w:tcPr>
            <w:tcW w:w="1984" w:type="dxa"/>
            <w:tcBorders>
              <w:top w:val="single" w:sz="4" w:space="0" w:color="auto"/>
              <w:left w:val="single" w:sz="4" w:space="0" w:color="auto"/>
              <w:bottom w:val="single" w:sz="4" w:space="0" w:color="auto"/>
              <w:right w:val="single" w:sz="4" w:space="0" w:color="auto"/>
            </w:tcBorders>
          </w:tcPr>
          <w:p w:rsidR="009B35CE" w:rsidRPr="00B607A5" w:rsidRDefault="009B35CE" w:rsidP="00272F8F">
            <w:pPr>
              <w:pStyle w:val="Tabletext"/>
              <w:rPr>
                <w:rFonts w:cs="Arial"/>
              </w:rPr>
            </w:pPr>
            <w:r w:rsidRPr="00B607A5">
              <w:rPr>
                <w:rFonts w:cs="Arial"/>
              </w:rPr>
              <w:t>EARLY (bosentan)</w:t>
            </w:r>
          </w:p>
          <w:p w:rsidR="00293DE5" w:rsidRPr="00B607A5" w:rsidRDefault="00293DE5" w:rsidP="00272F8F">
            <w:pPr>
              <w:pStyle w:val="Tabletext"/>
              <w:rPr>
                <w:rFonts w:cs="Arial"/>
              </w:rPr>
            </w:pPr>
            <w:r w:rsidRPr="00B607A5">
              <w:rPr>
                <w:rFonts w:cs="Arial"/>
              </w:rPr>
              <w:t>N=156</w:t>
            </w:r>
          </w:p>
        </w:tc>
        <w:tc>
          <w:tcPr>
            <w:tcW w:w="6095" w:type="dxa"/>
          </w:tcPr>
          <w:p w:rsidR="009B35CE" w:rsidRPr="00B607A5" w:rsidRDefault="00963EDC" w:rsidP="00480FDF">
            <w:pPr>
              <w:pStyle w:val="Tabletext"/>
              <w:numPr>
                <w:ilvl w:val="0"/>
                <w:numId w:val="23"/>
              </w:numPr>
              <w:ind w:left="227" w:hanging="219"/>
              <w:rPr>
                <w:rFonts w:cs="Arial"/>
              </w:rPr>
            </w:pPr>
            <w:r w:rsidRPr="00B607A5">
              <w:rPr>
                <w:rFonts w:cs="Arial"/>
              </w:rPr>
              <w:t xml:space="preserve">Low </w:t>
            </w:r>
            <w:r w:rsidR="009B35CE" w:rsidRPr="00B607A5">
              <w:rPr>
                <w:rFonts w:cs="Arial"/>
              </w:rPr>
              <w:t xml:space="preserve">quality evidence (GRADE </w:t>
            </w:r>
            <w:r w:rsidR="009B35CE" w:rsidRPr="00B607A5">
              <w:rPr>
                <w:rFonts w:ascii="Cambria Math" w:hAnsi="Cambria Math" w:cs="Cambria Math"/>
                <w:color w:val="00B050"/>
              </w:rPr>
              <w:t>⨁⨁</w:t>
            </w:r>
            <w:r w:rsidRPr="00B607A5">
              <w:rPr>
                <w:rFonts w:ascii="Cambria Math" w:hAnsi="Cambria Math" w:cs="Cambria Math"/>
                <w:color w:val="C00000"/>
              </w:rPr>
              <w:t>⨀⨀</w:t>
            </w:r>
            <w:r w:rsidR="009B35CE" w:rsidRPr="00B607A5">
              <w:rPr>
                <w:rFonts w:cs="Arial"/>
              </w:rPr>
              <w:t>)</w:t>
            </w:r>
          </w:p>
          <w:p w:rsidR="009B35CE" w:rsidRPr="00B607A5" w:rsidRDefault="009B35CE" w:rsidP="00480FDF">
            <w:pPr>
              <w:pStyle w:val="Tabletext"/>
              <w:numPr>
                <w:ilvl w:val="0"/>
                <w:numId w:val="23"/>
              </w:numPr>
              <w:ind w:left="227" w:hanging="219"/>
              <w:rPr>
                <w:rFonts w:cs="Arial"/>
              </w:rPr>
            </w:pPr>
            <w:r w:rsidRPr="00B607A5">
              <w:rPr>
                <w:rFonts w:cs="Arial"/>
              </w:rPr>
              <w:t>Patients taking an ERA had a larger mean improvement in their PVR than those taking a placebo (MD = 23.1% improvement</w:t>
            </w:r>
            <w:r w:rsidR="00D70A7E" w:rsidRPr="00B607A5">
              <w:rPr>
                <w:rFonts w:cs="Arial"/>
              </w:rPr>
              <w:t xml:space="preserve"> was </w:t>
            </w:r>
            <w:r w:rsidR="00171DFA" w:rsidRPr="00B607A5">
              <w:rPr>
                <w:rFonts w:cs="Arial"/>
              </w:rPr>
              <w:t xml:space="preserve">a </w:t>
            </w:r>
            <w:r w:rsidR="00D70A7E" w:rsidRPr="00B607A5">
              <w:rPr>
                <w:rFonts w:cs="Arial"/>
              </w:rPr>
              <w:t>clinically important</w:t>
            </w:r>
            <w:r w:rsidR="00171DFA" w:rsidRPr="00B607A5">
              <w:rPr>
                <w:rFonts w:cs="Arial"/>
              </w:rPr>
              <w:t xml:space="preserve"> </w:t>
            </w:r>
            <w:r w:rsidR="00955FF7" w:rsidRPr="00B607A5">
              <w:rPr>
                <w:rFonts w:cs="Arial"/>
              </w:rPr>
              <w:t>difference</w:t>
            </w:r>
            <w:r w:rsidRPr="00B607A5">
              <w:rPr>
                <w:rFonts w:cs="Arial"/>
              </w:rPr>
              <w:t>)</w:t>
            </w:r>
          </w:p>
        </w:tc>
      </w:tr>
    </w:tbl>
    <w:p w:rsidR="009E3B52" w:rsidRPr="00B607A5" w:rsidRDefault="009B35CE" w:rsidP="00272F8F">
      <w:pPr>
        <w:pStyle w:val="Tablenote"/>
        <w:rPr>
          <w:rFonts w:cs="Arial"/>
        </w:rPr>
      </w:pPr>
      <w:r w:rsidRPr="00B607A5">
        <w:rPr>
          <w:rFonts w:cs="Arial"/>
        </w:rPr>
        <w:t xml:space="preserve">6MWD = 6-minute </w:t>
      </w:r>
      <w:r w:rsidR="0082368E" w:rsidRPr="00B607A5">
        <w:rPr>
          <w:rFonts w:cs="Arial"/>
        </w:rPr>
        <w:t>walk distance</w:t>
      </w:r>
      <w:r w:rsidR="00B21201" w:rsidRPr="00B607A5">
        <w:rPr>
          <w:rFonts w:cs="Arial"/>
        </w:rPr>
        <w:t>; ARD</w:t>
      </w:r>
      <w:r w:rsidRPr="00B607A5">
        <w:rPr>
          <w:rFonts w:cs="Arial"/>
        </w:rPr>
        <w:t xml:space="preserve"> = absolute risk </w:t>
      </w:r>
      <w:r w:rsidR="00B21201" w:rsidRPr="00B607A5">
        <w:rPr>
          <w:rFonts w:cs="Arial"/>
        </w:rPr>
        <w:t>difference</w:t>
      </w:r>
      <w:r w:rsidRPr="00B607A5">
        <w:rPr>
          <w:rFonts w:cs="Arial"/>
        </w:rPr>
        <w:t xml:space="preserve">; CI = confidence interval; ERA = endothelin receptor antagonist; FC = functional class; </w:t>
      </w:r>
      <w:r w:rsidR="00385E5A" w:rsidRPr="00B607A5">
        <w:rPr>
          <w:rFonts w:cs="Arial"/>
        </w:rPr>
        <w:t>GRADE = grading of recommendations assessment, development and evaluation</w:t>
      </w:r>
      <w:r w:rsidR="001D34EE" w:rsidRPr="00B607A5">
        <w:rPr>
          <w:rFonts w:cs="Arial"/>
          <w:noProof/>
          <w:vertAlign w:val="superscript"/>
        </w:rPr>
        <w:t>1</w:t>
      </w:r>
      <w:r w:rsidR="002B03AB" w:rsidRPr="00B607A5">
        <w:rPr>
          <w:rFonts w:cs="Arial"/>
        </w:rPr>
        <w:t xml:space="preserve">; </w:t>
      </w:r>
      <w:r w:rsidRPr="00B607A5">
        <w:rPr>
          <w:rFonts w:cs="Arial"/>
        </w:rPr>
        <w:t xml:space="preserve">MD = mean difference; </w:t>
      </w:r>
      <w:r w:rsidR="002B03AB" w:rsidRPr="00B607A5">
        <w:rPr>
          <w:rFonts w:cs="Arial"/>
        </w:rPr>
        <w:t xml:space="preserve">PAH = pulmonary arterial hypertension; </w:t>
      </w:r>
      <w:r w:rsidRPr="00B607A5">
        <w:rPr>
          <w:rFonts w:cs="Arial"/>
        </w:rPr>
        <w:t>PVR = pulmonary vascular resistance; RCT = randomised controlled trial; RR = relative risk; WHO = World Health Organization</w:t>
      </w:r>
    </w:p>
    <w:p w:rsidR="009B35CE" w:rsidRPr="0042195A" w:rsidRDefault="009B35CE" w:rsidP="009B35CE">
      <w:pPr>
        <w:pStyle w:val="Heading5"/>
      </w:pPr>
      <w:r w:rsidRPr="0042195A">
        <w:t>Safety</w:t>
      </w:r>
    </w:p>
    <w:p w:rsidR="009B35CE" w:rsidRPr="006316DF" w:rsidRDefault="009B35CE" w:rsidP="009B35CE">
      <w:r w:rsidRPr="00944958">
        <w:t xml:space="preserve">There </w:t>
      </w:r>
      <w:r>
        <w:t>is no</w:t>
      </w:r>
      <w:r w:rsidRPr="00944958">
        <w:t xml:space="preserve"> evidence </w:t>
      </w:r>
      <w:r w:rsidR="00F9638D">
        <w:t>to evaluate the comparative safety</w:t>
      </w:r>
      <w:r w:rsidRPr="00944958">
        <w:t xml:space="preserve"> of an ERA medication </w:t>
      </w:r>
      <w:r w:rsidR="00F9638D">
        <w:t>versus placebo when used to treat</w:t>
      </w:r>
      <w:r w:rsidRPr="00944958">
        <w:t xml:space="preserve"> patients with WHO FC I/II PAH.</w:t>
      </w:r>
    </w:p>
    <w:p w:rsidR="009B35CE" w:rsidRPr="0042195A" w:rsidRDefault="00441F08" w:rsidP="009B35CE">
      <w:pPr>
        <w:pStyle w:val="Heading4"/>
      </w:pPr>
      <w:r>
        <w:t>4.1.1.2</w:t>
      </w:r>
      <w:r>
        <w:tab/>
      </w:r>
      <w:r w:rsidR="009B35CE" w:rsidRPr="0042195A">
        <w:t>PDE-5</w:t>
      </w:r>
      <w:r w:rsidR="009B35CE">
        <w:t xml:space="preserve"> </w:t>
      </w:r>
      <w:r w:rsidR="009B35CE" w:rsidRPr="0042195A">
        <w:t>i</w:t>
      </w:r>
      <w:r w:rsidR="009B35CE">
        <w:t>nhibitor</w:t>
      </w:r>
      <w:r w:rsidR="009B35CE" w:rsidRPr="0042195A">
        <w:t xml:space="preserve"> versus placebo</w:t>
      </w:r>
    </w:p>
    <w:p w:rsidR="009B35CE" w:rsidRPr="0042195A" w:rsidRDefault="009B35CE" w:rsidP="009B35CE">
      <w:pPr>
        <w:pStyle w:val="Heading5"/>
      </w:pPr>
      <w:r w:rsidRPr="0042195A">
        <w:t>Clinical effectiveness</w:t>
      </w:r>
    </w:p>
    <w:p w:rsidR="009B35CE" w:rsidRDefault="009B35CE" w:rsidP="00550EA7">
      <w:r w:rsidRPr="0042195A">
        <w:t xml:space="preserve">Three RCTs </w:t>
      </w:r>
      <w:proofErr w:type="gramStart"/>
      <w:r w:rsidRPr="0042195A">
        <w:t>were identified</w:t>
      </w:r>
      <w:proofErr w:type="gramEnd"/>
      <w:r w:rsidRPr="0042195A">
        <w:t xml:space="preserve"> that reported on the effectiveness of </w:t>
      </w:r>
      <w:r w:rsidR="00844F6F">
        <w:t xml:space="preserve">a </w:t>
      </w:r>
      <w:r>
        <w:t>PDE-5 inhibitor</w:t>
      </w:r>
      <w:r w:rsidR="0069215C">
        <w:t>, as monotherapy,</w:t>
      </w:r>
      <w:r w:rsidRPr="0042195A">
        <w:t xml:space="preserve"> </w:t>
      </w:r>
      <w:r w:rsidR="00844F6F">
        <w:t>when compared to</w:t>
      </w:r>
      <w:r w:rsidRPr="0042195A">
        <w:t xml:space="preserve"> placebo in patients with WHO FC I/II PAH</w:t>
      </w:r>
      <w:r>
        <w:t>:</w:t>
      </w:r>
    </w:p>
    <w:p w:rsidR="009B35CE" w:rsidRPr="00B607A5" w:rsidRDefault="009B35CE" w:rsidP="00D103A9">
      <w:pPr>
        <w:pStyle w:val="Bullettext"/>
      </w:pPr>
      <w:r w:rsidRPr="00B607A5">
        <w:t>The PHIRST and Mukhopadhyay 2011 trials used tadalafil</w:t>
      </w:r>
    </w:p>
    <w:p w:rsidR="009B35CE" w:rsidRPr="00B607A5" w:rsidRDefault="009B35CE" w:rsidP="00D103A9">
      <w:pPr>
        <w:pStyle w:val="Bullettext"/>
      </w:pPr>
      <w:r w:rsidRPr="00B607A5">
        <w:t>The SUPER-1 trial used sildenafil.</w:t>
      </w:r>
    </w:p>
    <w:p w:rsidR="009B35CE" w:rsidRDefault="00844F6F" w:rsidP="00550EA7">
      <w:r>
        <w:t xml:space="preserve">Neither </w:t>
      </w:r>
      <w:r w:rsidR="009B35CE" w:rsidRPr="006316DF">
        <w:t>of these trials reported on all-cause mortality for the subgroup of patients with WHO FC I/II PAH</w:t>
      </w:r>
      <w:r w:rsidR="009B35CE">
        <w:t xml:space="preserve">. Two </w:t>
      </w:r>
      <w:r w:rsidR="009B35CE" w:rsidRPr="006316DF">
        <w:t>cohort stud</w:t>
      </w:r>
      <w:r w:rsidR="009B35CE">
        <w:t>ies</w:t>
      </w:r>
      <w:r w:rsidR="009B35CE" w:rsidRPr="006316DF">
        <w:t xml:space="preserve"> </w:t>
      </w:r>
      <w:r w:rsidR="009B35CE">
        <w:t>were identified</w:t>
      </w:r>
      <w:r w:rsidR="009B35CE" w:rsidRPr="006316DF">
        <w:t xml:space="preserve"> </w:t>
      </w:r>
      <w:r w:rsidR="009B35CE">
        <w:t xml:space="preserve">that </w:t>
      </w:r>
      <w:r w:rsidR="009B35CE" w:rsidRPr="006316DF">
        <w:t xml:space="preserve">reported on the mortality </w:t>
      </w:r>
      <w:r w:rsidR="009B35CE">
        <w:t xml:space="preserve">of </w:t>
      </w:r>
      <w:r w:rsidR="009B35CE" w:rsidRPr="006316DF">
        <w:t xml:space="preserve">patients with WHO FC </w:t>
      </w:r>
      <w:proofErr w:type="gramStart"/>
      <w:r w:rsidR="009B35CE" w:rsidRPr="006316DF">
        <w:t>I/II</w:t>
      </w:r>
      <w:proofErr w:type="gramEnd"/>
      <w:r w:rsidR="009B35CE" w:rsidRPr="006316DF">
        <w:t xml:space="preserve"> PAH who were treated with either sildenafil or conventional therapy</w:t>
      </w:r>
      <w:r w:rsidR="009B35CE">
        <w:t>:</w:t>
      </w:r>
    </w:p>
    <w:p w:rsidR="009B35CE" w:rsidRPr="00B607A5" w:rsidRDefault="009B35CE" w:rsidP="00D103A9">
      <w:pPr>
        <w:pStyle w:val="Bullettext"/>
      </w:pPr>
      <w:r w:rsidRPr="00B607A5">
        <w:t>Sun 2013 enrolled patients with Eisenmenger syndrome who were followed for up to 2 years</w:t>
      </w:r>
    </w:p>
    <w:p w:rsidR="009B35CE" w:rsidRPr="00B607A5" w:rsidRDefault="00844F6F" w:rsidP="00D103A9">
      <w:pPr>
        <w:pStyle w:val="Bullettext"/>
      </w:pPr>
      <w:r w:rsidRPr="00B607A5">
        <w:t>Sastry 2007 collected prospectively acquired survival data from a hospital registry for five years for patients with IPAH of WHO FC II-I</w:t>
      </w:r>
      <w:r w:rsidR="00BF291C" w:rsidRPr="00B607A5">
        <w:t xml:space="preserve">V </w:t>
      </w:r>
      <w:proofErr w:type="gramStart"/>
      <w:r w:rsidR="00BF291C" w:rsidRPr="00B607A5">
        <w:t>being treated</w:t>
      </w:r>
      <w:proofErr w:type="gramEnd"/>
      <w:r w:rsidR="00BF291C" w:rsidRPr="00B607A5">
        <w:t xml:space="preserve"> with sildenafil</w:t>
      </w:r>
      <w:r w:rsidRPr="00B607A5">
        <w:t>.</w:t>
      </w:r>
    </w:p>
    <w:p w:rsidR="009B35CE" w:rsidRPr="0042195A" w:rsidRDefault="009B35CE" w:rsidP="00550EA7">
      <w:r>
        <w:t xml:space="preserve">The evidence provided by these </w:t>
      </w:r>
      <w:r w:rsidR="00441F08">
        <w:t>studies</w:t>
      </w:r>
      <w:r>
        <w:t xml:space="preserve"> is summarised in</w:t>
      </w:r>
      <w:r w:rsidR="00272F8F">
        <w:t xml:space="preserve"> </w:t>
      </w:r>
      <w:r w:rsidR="003951FA">
        <w:t>Table 4.2</w:t>
      </w:r>
      <w:r>
        <w:t>.</w:t>
      </w:r>
    </w:p>
    <w:p w:rsidR="009B35CE" w:rsidRDefault="009B35CE" w:rsidP="00550EA7">
      <w:r w:rsidRPr="0042195A">
        <w:t xml:space="preserve">Overall, </w:t>
      </w:r>
      <w:r w:rsidR="00843DF8" w:rsidRPr="00843DF8">
        <w:t>there is considerable uncertainty as to whether the use of PDE-5 inhibitor medication to treat patients with WHO FC I/II PAH would be beneficial</w:t>
      </w:r>
      <w:r w:rsidRPr="0042195A">
        <w:t xml:space="preserve">. </w:t>
      </w:r>
    </w:p>
    <w:p w:rsidR="009B35CE" w:rsidRDefault="00272F8F" w:rsidP="00BC5A2B">
      <w:pPr>
        <w:pStyle w:val="Caption"/>
      </w:pPr>
      <w:bookmarkStart w:id="11" w:name="_Ref506281939"/>
      <w:bookmarkStart w:id="12" w:name="_Toc38360299"/>
      <w:r>
        <w:t>Table 4.</w:t>
      </w:r>
      <w:r w:rsidR="003951FA">
        <w:rPr>
          <w:noProof/>
        </w:rPr>
        <w:t>2</w:t>
      </w:r>
      <w:bookmarkEnd w:id="11"/>
      <w:r>
        <w:tab/>
      </w:r>
      <w:r w:rsidR="009B35CE">
        <w:t>Summary of the evidence for the clinical effectiveness of a PDE-5 inhibitor versus placebo in patients with WHO FC I/II PAH</w:t>
      </w:r>
      <w:bookmarkEnd w:id="12"/>
    </w:p>
    <w:tbl>
      <w:tblPr>
        <w:tblStyle w:val="TableGrid"/>
        <w:tblW w:w="9634" w:type="dxa"/>
        <w:tblLook w:val="04A0" w:firstRow="1" w:lastRow="0" w:firstColumn="1" w:lastColumn="0" w:noHBand="0" w:noVBand="1"/>
        <w:tblCaption w:val="Summary of the evidence for the clinical effectiveness of a PDE-5 inhibitor versus placebo in patients with WHO FC I/II PAH"/>
      </w:tblPr>
      <w:tblGrid>
        <w:gridCol w:w="1555"/>
        <w:gridCol w:w="1984"/>
        <w:gridCol w:w="6095"/>
      </w:tblGrid>
      <w:tr w:rsidR="009B35CE" w:rsidRPr="00272F8F"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272F8F" w:rsidRDefault="009B35CE" w:rsidP="00272F8F">
            <w:pPr>
              <w:pStyle w:val="Tabletext"/>
              <w:rPr>
                <w:rFonts w:asciiTheme="minorHAnsi" w:hAnsiTheme="minorHAnsi"/>
                <w:b/>
              </w:rPr>
            </w:pPr>
            <w:r w:rsidRPr="00272F8F">
              <w:rPr>
                <w:b/>
              </w:rPr>
              <w:t>Outcome</w:t>
            </w:r>
          </w:p>
        </w:tc>
        <w:tc>
          <w:tcPr>
            <w:tcW w:w="1984" w:type="dxa"/>
            <w:tcBorders>
              <w:top w:val="single" w:sz="4" w:space="0" w:color="auto"/>
              <w:left w:val="single" w:sz="4" w:space="0" w:color="auto"/>
              <w:bottom w:val="single" w:sz="4" w:space="0" w:color="auto"/>
              <w:right w:val="single" w:sz="4" w:space="0" w:color="auto"/>
            </w:tcBorders>
          </w:tcPr>
          <w:p w:rsidR="00293DE5" w:rsidRDefault="009B35CE" w:rsidP="00272F8F">
            <w:pPr>
              <w:pStyle w:val="Tabletext"/>
              <w:rPr>
                <w:b/>
              </w:rPr>
            </w:pPr>
            <w:r w:rsidRPr="00272F8F">
              <w:rPr>
                <w:b/>
              </w:rPr>
              <w:t xml:space="preserve">Included trials </w:t>
            </w:r>
          </w:p>
          <w:p w:rsidR="009B35CE" w:rsidRPr="00272F8F" w:rsidRDefault="00293DE5" w:rsidP="00272F8F">
            <w:pPr>
              <w:pStyle w:val="Tabletext"/>
              <w:rPr>
                <w:rFonts w:asciiTheme="minorHAnsi" w:hAnsiTheme="minorHAnsi"/>
                <w:b/>
              </w:rPr>
            </w:pPr>
            <w:r w:rsidRPr="00293DE5">
              <w:rPr>
                <w:b/>
              </w:rPr>
              <w:t>No. of patients</w:t>
            </w:r>
          </w:p>
        </w:tc>
        <w:tc>
          <w:tcPr>
            <w:tcW w:w="6095" w:type="dxa"/>
            <w:tcBorders>
              <w:top w:val="single" w:sz="4" w:space="0" w:color="auto"/>
              <w:left w:val="single" w:sz="4" w:space="0" w:color="auto"/>
              <w:bottom w:val="single" w:sz="4" w:space="0" w:color="auto"/>
              <w:right w:val="single" w:sz="4" w:space="0" w:color="auto"/>
            </w:tcBorders>
          </w:tcPr>
          <w:p w:rsidR="009B35CE" w:rsidRPr="00272F8F" w:rsidRDefault="009B35CE" w:rsidP="00272F8F">
            <w:pPr>
              <w:pStyle w:val="Tabletext"/>
              <w:rPr>
                <w:rFonts w:asciiTheme="minorHAnsi" w:hAnsiTheme="minorHAnsi"/>
                <w:b/>
              </w:rPr>
            </w:pPr>
            <w:r w:rsidRPr="00272F8F">
              <w:rPr>
                <w:b/>
              </w:rPr>
              <w:t>Summary of evidence</w:t>
            </w:r>
          </w:p>
        </w:tc>
      </w:tr>
      <w:tr w:rsidR="009B35CE" w:rsidRPr="00272F8F" w:rsidTr="00D103A9">
        <w:tc>
          <w:tcPr>
            <w:tcW w:w="1555" w:type="dxa"/>
            <w:tcBorders>
              <w:top w:val="single" w:sz="4" w:space="0" w:color="auto"/>
              <w:left w:val="single" w:sz="4" w:space="0" w:color="auto"/>
              <w:bottom w:val="single" w:sz="4" w:space="0" w:color="auto"/>
              <w:right w:val="single" w:sz="4" w:space="0" w:color="auto"/>
            </w:tcBorders>
          </w:tcPr>
          <w:p w:rsidR="009B35CE" w:rsidRPr="00272F8F" w:rsidRDefault="009B35CE" w:rsidP="00272F8F">
            <w:pPr>
              <w:pStyle w:val="Tabletext"/>
            </w:pPr>
            <w:r w:rsidRPr="00272F8F">
              <w:t>All-cause mortality</w:t>
            </w:r>
          </w:p>
        </w:tc>
        <w:tc>
          <w:tcPr>
            <w:tcW w:w="1984" w:type="dxa"/>
            <w:tcBorders>
              <w:top w:val="single" w:sz="4" w:space="0" w:color="auto"/>
              <w:left w:val="single" w:sz="4" w:space="0" w:color="auto"/>
              <w:bottom w:val="single" w:sz="4" w:space="0" w:color="auto"/>
              <w:right w:val="single" w:sz="4" w:space="0" w:color="auto"/>
            </w:tcBorders>
          </w:tcPr>
          <w:p w:rsidR="009B35CE" w:rsidRPr="00272F8F" w:rsidRDefault="009B35CE" w:rsidP="00272F8F">
            <w:pPr>
              <w:pStyle w:val="Tabletext"/>
            </w:pPr>
            <w:r w:rsidRPr="00272F8F">
              <w:t>Sun 2013 cohort study (sildenafil)</w:t>
            </w:r>
          </w:p>
          <w:p w:rsidR="009B35CE" w:rsidRDefault="009B35CE" w:rsidP="00272F8F">
            <w:pPr>
              <w:pStyle w:val="Tabletext"/>
            </w:pPr>
            <w:r w:rsidRPr="00272F8F">
              <w:t>Sastry 2007 cohort study (sildenafil)</w:t>
            </w:r>
          </w:p>
          <w:p w:rsidR="00293DE5" w:rsidRPr="00272F8F" w:rsidRDefault="00293DE5" w:rsidP="00272F8F">
            <w:pPr>
              <w:pStyle w:val="Tabletext"/>
            </w:pPr>
            <w:r>
              <w:t>N=76</w:t>
            </w:r>
          </w:p>
        </w:tc>
        <w:tc>
          <w:tcPr>
            <w:tcW w:w="6095" w:type="dxa"/>
            <w:tcBorders>
              <w:top w:val="single" w:sz="4" w:space="0" w:color="auto"/>
              <w:left w:val="single" w:sz="4" w:space="0" w:color="auto"/>
              <w:bottom w:val="single" w:sz="4" w:space="0" w:color="auto"/>
              <w:right w:val="single" w:sz="4" w:space="0" w:color="auto"/>
            </w:tcBorders>
          </w:tcPr>
          <w:p w:rsidR="009B35CE" w:rsidRPr="00272F8F" w:rsidRDefault="009B35CE" w:rsidP="00480FDF">
            <w:pPr>
              <w:pStyle w:val="Tabletext"/>
              <w:numPr>
                <w:ilvl w:val="0"/>
                <w:numId w:val="24"/>
              </w:numPr>
              <w:ind w:left="227" w:hanging="219"/>
            </w:pPr>
            <w:r w:rsidRPr="00272F8F">
              <w:t xml:space="preserve">Very low quality evidence (GRADE </w:t>
            </w:r>
            <w:r w:rsidR="00272F8F" w:rsidRPr="006316DF">
              <w:rPr>
                <w:rFonts w:ascii="Cambria Math" w:hAnsi="Cambria Math" w:cs="Cambria Math"/>
                <w:color w:val="00B050"/>
              </w:rPr>
              <w:t>⨁</w:t>
            </w:r>
            <w:r w:rsidR="00272F8F" w:rsidRPr="006316DF">
              <w:rPr>
                <w:rFonts w:ascii="Cambria Math" w:hAnsi="Cambria Math" w:cs="Cambria Math"/>
                <w:color w:val="C00000"/>
              </w:rPr>
              <w:t>⨀⨀⨀</w:t>
            </w:r>
            <w:r w:rsidRPr="00272F8F">
              <w:t>)</w:t>
            </w:r>
          </w:p>
          <w:p w:rsidR="009B35CE" w:rsidRPr="00272F8F" w:rsidRDefault="009B35CE" w:rsidP="00480FDF">
            <w:pPr>
              <w:pStyle w:val="Tabletext"/>
              <w:numPr>
                <w:ilvl w:val="0"/>
                <w:numId w:val="24"/>
              </w:numPr>
              <w:ind w:left="227" w:hanging="219"/>
            </w:pPr>
            <w:r w:rsidRPr="00272F8F">
              <w:t xml:space="preserve">Fewer patients died </w:t>
            </w:r>
            <w:r w:rsidR="00F70738">
              <w:t>after treatment with</w:t>
            </w:r>
            <w:r w:rsidRPr="00272F8F">
              <w:t xml:space="preserve"> a PDE-5 inhibitor compared with placebo</w:t>
            </w:r>
            <w:r w:rsidR="00171DFA">
              <w:t>,</w:t>
            </w:r>
            <w:r w:rsidRPr="00272F8F">
              <w:t xml:space="preserve"> but the 95% CI indicate</w:t>
            </w:r>
            <w:r w:rsidR="00D84687">
              <w:t>s</w:t>
            </w:r>
            <w:r w:rsidRPr="00272F8F">
              <w:t xml:space="preserve"> that there may also be </w:t>
            </w:r>
            <w:r w:rsidR="00171DFA">
              <w:t>an</w:t>
            </w:r>
            <w:r w:rsidRPr="00272F8F">
              <w:t xml:space="preserve"> effect </w:t>
            </w:r>
            <w:r w:rsidR="00171DFA">
              <w:t xml:space="preserve">in the opposite direction </w:t>
            </w:r>
            <w:r w:rsidRPr="00272F8F">
              <w:t>(pooled RR = 0.32; 95% CI 0.05, 1.90)</w:t>
            </w:r>
          </w:p>
        </w:tc>
      </w:tr>
      <w:tr w:rsidR="009B35CE" w:rsidRPr="00272F8F" w:rsidTr="00D103A9">
        <w:tc>
          <w:tcPr>
            <w:tcW w:w="1555" w:type="dxa"/>
            <w:tcBorders>
              <w:top w:val="single" w:sz="4" w:space="0" w:color="auto"/>
              <w:left w:val="single" w:sz="4" w:space="0" w:color="auto"/>
              <w:bottom w:val="single" w:sz="4" w:space="0" w:color="auto"/>
              <w:right w:val="single" w:sz="4" w:space="0" w:color="auto"/>
            </w:tcBorders>
          </w:tcPr>
          <w:p w:rsidR="009B35CE" w:rsidRPr="00272F8F" w:rsidRDefault="009B35CE" w:rsidP="00272F8F">
            <w:pPr>
              <w:pStyle w:val="Tabletext"/>
            </w:pPr>
            <w:r w:rsidRPr="00272F8F">
              <w:t>Improved WHO FC</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272F8F">
            <w:pPr>
              <w:pStyle w:val="Tabletext"/>
            </w:pPr>
            <w:r w:rsidRPr="00272F8F">
              <w:t>Mukhopadhyay 2011 (tadalafil)</w:t>
            </w:r>
          </w:p>
          <w:p w:rsidR="00293DE5" w:rsidRPr="00272F8F" w:rsidRDefault="00293DE5" w:rsidP="00272F8F">
            <w:pPr>
              <w:pStyle w:val="Tabletext"/>
            </w:pPr>
            <w:r>
              <w:t>N=22</w:t>
            </w:r>
          </w:p>
        </w:tc>
        <w:tc>
          <w:tcPr>
            <w:tcW w:w="6095" w:type="dxa"/>
            <w:tcBorders>
              <w:top w:val="single" w:sz="4" w:space="0" w:color="auto"/>
              <w:left w:val="single" w:sz="4" w:space="0" w:color="auto"/>
              <w:bottom w:val="single" w:sz="4" w:space="0" w:color="auto"/>
              <w:right w:val="single" w:sz="4" w:space="0" w:color="auto"/>
            </w:tcBorders>
          </w:tcPr>
          <w:p w:rsidR="009B35CE" w:rsidRPr="00272F8F" w:rsidRDefault="006F1431" w:rsidP="00480FDF">
            <w:pPr>
              <w:pStyle w:val="Tabletext"/>
              <w:numPr>
                <w:ilvl w:val="0"/>
                <w:numId w:val="24"/>
              </w:numPr>
              <w:ind w:left="227" w:hanging="219"/>
            </w:pPr>
            <w:r>
              <w:t>Low</w:t>
            </w:r>
            <w:r w:rsidR="009B35CE" w:rsidRPr="00272F8F">
              <w:t xml:space="preserve"> quality evidence (GRADE </w:t>
            </w:r>
            <w:r w:rsidRPr="006316DF">
              <w:rPr>
                <w:rFonts w:ascii="Cambria Math" w:hAnsi="Cambria Math" w:cs="Cambria Math"/>
                <w:color w:val="00B050"/>
              </w:rPr>
              <w:t>⨁⨁</w:t>
            </w:r>
            <w:r w:rsidRPr="006316DF">
              <w:rPr>
                <w:rFonts w:ascii="Cambria Math" w:hAnsi="Cambria Math" w:cs="Cambria Math"/>
                <w:color w:val="C00000"/>
              </w:rPr>
              <w:t>⨀</w:t>
            </w:r>
            <w:r w:rsidRPr="00FA1124">
              <w:rPr>
                <w:rFonts w:ascii="Cambria Math" w:hAnsi="Cambria Math" w:cs="Cambria Math"/>
                <w:color w:val="C00000"/>
              </w:rPr>
              <w:t>⨀</w:t>
            </w:r>
            <w:r w:rsidR="009B35CE" w:rsidRPr="00272F8F">
              <w:t>)</w:t>
            </w:r>
          </w:p>
          <w:p w:rsidR="009B35CE" w:rsidRPr="00272F8F" w:rsidRDefault="009B35CE" w:rsidP="00480FDF">
            <w:pPr>
              <w:pStyle w:val="Tabletext"/>
              <w:numPr>
                <w:ilvl w:val="0"/>
                <w:numId w:val="24"/>
              </w:numPr>
              <w:ind w:left="227" w:hanging="219"/>
            </w:pPr>
            <w:r w:rsidRPr="00272F8F">
              <w:t>The same proportion of patients improved their WHO FC taking a PDE-5 inhibitor compared with placebo, but the wide 95% CI indicate</w:t>
            </w:r>
            <w:r w:rsidR="00D84687">
              <w:t>s</w:t>
            </w:r>
            <w:r w:rsidRPr="00272F8F">
              <w:t xml:space="preserve"> that </w:t>
            </w:r>
            <w:r w:rsidR="00CA40B9">
              <w:t>the study was underpowered for this outcome</w:t>
            </w:r>
            <w:r w:rsidRPr="00272F8F">
              <w:t xml:space="preserve"> (RR = 1.00; 95% CI 0.07, 15.00)</w:t>
            </w:r>
          </w:p>
        </w:tc>
      </w:tr>
      <w:tr w:rsidR="009B35CE" w:rsidRPr="00272F8F" w:rsidTr="00D103A9">
        <w:tc>
          <w:tcPr>
            <w:tcW w:w="1555" w:type="dxa"/>
          </w:tcPr>
          <w:p w:rsidR="009B35CE" w:rsidRPr="00272F8F" w:rsidRDefault="009B35CE" w:rsidP="00272F8F">
            <w:pPr>
              <w:pStyle w:val="Tabletext"/>
            </w:pPr>
            <w:r w:rsidRPr="00272F8F">
              <w:t>Worsened WHO FC</w:t>
            </w:r>
          </w:p>
        </w:tc>
        <w:tc>
          <w:tcPr>
            <w:tcW w:w="1984" w:type="dxa"/>
          </w:tcPr>
          <w:p w:rsidR="009B35CE" w:rsidRDefault="009B35CE" w:rsidP="00272F8F">
            <w:pPr>
              <w:pStyle w:val="Tabletext"/>
            </w:pPr>
            <w:r w:rsidRPr="00272F8F">
              <w:t>Mukhopadhyay 2011 (tadalafil)</w:t>
            </w:r>
          </w:p>
          <w:p w:rsidR="00293DE5" w:rsidRPr="00272F8F" w:rsidRDefault="00293DE5" w:rsidP="00272F8F">
            <w:pPr>
              <w:pStyle w:val="Tabletext"/>
            </w:pPr>
            <w:r>
              <w:t>N=22</w:t>
            </w:r>
          </w:p>
        </w:tc>
        <w:tc>
          <w:tcPr>
            <w:tcW w:w="6095" w:type="dxa"/>
          </w:tcPr>
          <w:p w:rsidR="009B35CE" w:rsidRPr="00272F8F" w:rsidRDefault="006F1431" w:rsidP="00480FDF">
            <w:pPr>
              <w:pStyle w:val="Tabletext"/>
              <w:numPr>
                <w:ilvl w:val="0"/>
                <w:numId w:val="24"/>
              </w:numPr>
              <w:ind w:left="227" w:hanging="219"/>
            </w:pPr>
            <w:r>
              <w:t>Low</w:t>
            </w:r>
            <w:r w:rsidR="009B35CE" w:rsidRPr="00272F8F">
              <w:t xml:space="preserve"> quality evidence (GRADE </w:t>
            </w:r>
            <w:r w:rsidRPr="006316DF">
              <w:rPr>
                <w:rFonts w:ascii="Cambria Math" w:hAnsi="Cambria Math" w:cs="Cambria Math"/>
                <w:color w:val="00B050"/>
              </w:rPr>
              <w:t>⨁⨁</w:t>
            </w:r>
            <w:r w:rsidRPr="006316DF">
              <w:rPr>
                <w:rFonts w:ascii="Cambria Math" w:hAnsi="Cambria Math" w:cs="Cambria Math"/>
                <w:color w:val="C00000"/>
              </w:rPr>
              <w:t>⨀</w:t>
            </w:r>
            <w:r w:rsidRPr="00FA1124">
              <w:rPr>
                <w:rFonts w:ascii="Cambria Math" w:hAnsi="Cambria Math" w:cs="Cambria Math"/>
                <w:color w:val="C00000"/>
              </w:rPr>
              <w:t>⨀</w:t>
            </w:r>
            <w:r w:rsidR="009B35CE" w:rsidRPr="00272F8F">
              <w:t>)</w:t>
            </w:r>
          </w:p>
          <w:p w:rsidR="009B35CE" w:rsidRPr="00272F8F" w:rsidRDefault="009B35CE" w:rsidP="00480FDF">
            <w:pPr>
              <w:pStyle w:val="Tabletext"/>
              <w:numPr>
                <w:ilvl w:val="0"/>
                <w:numId w:val="24"/>
              </w:numPr>
              <w:ind w:left="227" w:hanging="219"/>
            </w:pPr>
            <w:r w:rsidRPr="00272F8F">
              <w:t>No patients had worsening of their WHO FC during the study period</w:t>
            </w:r>
            <w:r w:rsidR="00CA40B9">
              <w:t>.</w:t>
            </w:r>
          </w:p>
        </w:tc>
      </w:tr>
      <w:tr w:rsidR="009B35CE" w:rsidRPr="00272F8F" w:rsidTr="00D103A9">
        <w:trPr>
          <w:trHeight w:val="795"/>
        </w:trPr>
        <w:tc>
          <w:tcPr>
            <w:tcW w:w="1555" w:type="dxa"/>
          </w:tcPr>
          <w:p w:rsidR="009B35CE" w:rsidRPr="0049771F" w:rsidRDefault="009B35CE" w:rsidP="00272F8F">
            <w:pPr>
              <w:pStyle w:val="Tabletext"/>
            </w:pPr>
            <w:r w:rsidRPr="0049771F">
              <w:t>Change in 6MWD</w:t>
            </w:r>
            <w:r w:rsidR="006F1431" w:rsidRPr="0049771F">
              <w:t xml:space="preserve"> from baseline</w:t>
            </w:r>
          </w:p>
        </w:tc>
        <w:tc>
          <w:tcPr>
            <w:tcW w:w="1984" w:type="dxa"/>
          </w:tcPr>
          <w:p w:rsidR="009B35CE" w:rsidRPr="0049771F" w:rsidRDefault="009B35CE" w:rsidP="00272F8F">
            <w:pPr>
              <w:pStyle w:val="Tabletext"/>
            </w:pPr>
            <w:r w:rsidRPr="0049771F">
              <w:t>PHIRST (tadalafil)</w:t>
            </w:r>
          </w:p>
          <w:p w:rsidR="009B35CE" w:rsidRPr="0049771F" w:rsidRDefault="009B35CE" w:rsidP="00272F8F">
            <w:pPr>
              <w:pStyle w:val="Tabletext"/>
            </w:pPr>
            <w:r w:rsidRPr="0049771F">
              <w:t>SUPER-1 (sildenafil)</w:t>
            </w:r>
          </w:p>
          <w:p w:rsidR="00293DE5" w:rsidRPr="0049771F" w:rsidRDefault="00293DE5" w:rsidP="00272F8F">
            <w:pPr>
              <w:pStyle w:val="Tabletext"/>
            </w:pPr>
            <w:r w:rsidRPr="0049771F">
              <w:t>N=73</w:t>
            </w:r>
          </w:p>
        </w:tc>
        <w:tc>
          <w:tcPr>
            <w:tcW w:w="6095" w:type="dxa"/>
          </w:tcPr>
          <w:p w:rsidR="009B35CE" w:rsidRPr="0049771F" w:rsidRDefault="00963EDC" w:rsidP="00480FDF">
            <w:pPr>
              <w:pStyle w:val="Tabletext"/>
              <w:numPr>
                <w:ilvl w:val="0"/>
                <w:numId w:val="24"/>
              </w:numPr>
              <w:ind w:left="227" w:hanging="219"/>
            </w:pPr>
            <w:r w:rsidRPr="0049771F">
              <w:t xml:space="preserve">Low </w:t>
            </w:r>
            <w:r w:rsidR="009B35CE" w:rsidRPr="0049771F">
              <w:t xml:space="preserve">quality evidence (GRADE </w:t>
            </w:r>
            <w:r w:rsidR="00272F8F" w:rsidRPr="0049771F">
              <w:rPr>
                <w:rFonts w:ascii="Cambria Math" w:hAnsi="Cambria Math" w:cs="Cambria Math"/>
                <w:color w:val="00B050"/>
              </w:rPr>
              <w:t>⨁⨁</w:t>
            </w:r>
            <w:r w:rsidRPr="0049771F">
              <w:rPr>
                <w:rFonts w:ascii="Cambria Math" w:hAnsi="Cambria Math" w:cs="Cambria Math"/>
                <w:color w:val="C00000"/>
              </w:rPr>
              <w:t>⨀</w:t>
            </w:r>
            <w:r w:rsidR="00272F8F" w:rsidRPr="0049771F">
              <w:rPr>
                <w:rFonts w:ascii="Cambria Math" w:hAnsi="Cambria Math" w:cs="Cambria Math"/>
                <w:color w:val="C00000"/>
              </w:rPr>
              <w:t>⨀</w:t>
            </w:r>
            <w:r w:rsidR="009B35CE" w:rsidRPr="0049771F">
              <w:t>)</w:t>
            </w:r>
          </w:p>
          <w:p w:rsidR="009B35CE" w:rsidRPr="0049771F" w:rsidRDefault="00F70738" w:rsidP="00480FDF">
            <w:pPr>
              <w:pStyle w:val="Tabletext"/>
              <w:numPr>
                <w:ilvl w:val="0"/>
                <w:numId w:val="24"/>
              </w:numPr>
              <w:ind w:left="227" w:hanging="219"/>
            </w:pPr>
            <w:r w:rsidRPr="0049771F">
              <w:t>Patients taking a</w:t>
            </w:r>
            <w:r w:rsidR="009B35CE" w:rsidRPr="0049771F">
              <w:t xml:space="preserve"> </w:t>
            </w:r>
            <w:r w:rsidRPr="0049771F">
              <w:t>PDE-5 inhibitor</w:t>
            </w:r>
            <w:r w:rsidR="009B35CE" w:rsidRPr="0049771F">
              <w:t xml:space="preserve"> had a larger mean improvement in their 6MWD than those taking a placebo</w:t>
            </w:r>
            <w:r w:rsidR="00CA40B9" w:rsidRPr="0049771F">
              <w:t>, and the difference was clinically important in 1 study</w:t>
            </w:r>
            <w:r w:rsidR="009B35CE" w:rsidRPr="0049771F">
              <w:t xml:space="preserve"> (range 10.8</w:t>
            </w:r>
            <w:r w:rsidR="009B6434" w:rsidRPr="0049771F">
              <w:t>−</w:t>
            </w:r>
            <w:r w:rsidR="009B35CE" w:rsidRPr="0049771F">
              <w:t>50.2</w:t>
            </w:r>
            <w:r w:rsidR="007F4B0C" w:rsidRPr="0049771F">
              <w:t xml:space="preserve"> m </w:t>
            </w:r>
            <w:r w:rsidRPr="0049771F">
              <w:t xml:space="preserve">walked </w:t>
            </w:r>
            <w:r w:rsidR="007F4B0C" w:rsidRPr="0049771F">
              <w:t>furth</w:t>
            </w:r>
            <w:r w:rsidR="009B6434" w:rsidRPr="0049771F">
              <w:t>er</w:t>
            </w:r>
            <w:r w:rsidR="009B35CE" w:rsidRPr="0049771F">
              <w:t>)</w:t>
            </w:r>
          </w:p>
          <w:p w:rsidR="00441F08" w:rsidRPr="0049771F" w:rsidRDefault="00441F08" w:rsidP="00480FDF">
            <w:pPr>
              <w:pStyle w:val="Tabletext"/>
              <w:numPr>
                <w:ilvl w:val="0"/>
                <w:numId w:val="24"/>
              </w:numPr>
              <w:ind w:left="227" w:hanging="219"/>
            </w:pPr>
            <w:r w:rsidRPr="0049771F">
              <w:t xml:space="preserve">No significant difference in </w:t>
            </w:r>
            <w:r w:rsidR="00F70738" w:rsidRPr="0049771F">
              <w:t xml:space="preserve">the </w:t>
            </w:r>
            <w:r w:rsidRPr="0049771F">
              <w:t xml:space="preserve">effectiveness </w:t>
            </w:r>
            <w:r w:rsidR="00F70738" w:rsidRPr="0049771F">
              <w:t>of</w:t>
            </w:r>
            <w:r w:rsidRPr="0049771F">
              <w:t xml:space="preserve"> different PDE-5 inhibitors</w:t>
            </w:r>
          </w:p>
        </w:tc>
      </w:tr>
    </w:tbl>
    <w:p w:rsidR="004B11AD" w:rsidRPr="006316DF" w:rsidRDefault="009B35CE" w:rsidP="00272F8F">
      <w:pPr>
        <w:pStyle w:val="Tablenote"/>
      </w:pPr>
      <w:r>
        <w:t xml:space="preserve">6MWD = 6-minute </w:t>
      </w:r>
      <w:r w:rsidR="0082368E">
        <w:t>walk distance</w:t>
      </w:r>
      <w:r>
        <w:t xml:space="preserve">; CI = confidence interval; FC = functional class; </w:t>
      </w:r>
      <w:r w:rsidR="00385E5A">
        <w:t>GRADE = grading of recommendations assessment, development and evaluation</w:t>
      </w:r>
      <w:r w:rsidR="001D34EE" w:rsidRPr="001D34EE">
        <w:rPr>
          <w:noProof/>
          <w:vertAlign w:val="superscript"/>
        </w:rPr>
        <w:t>1</w:t>
      </w:r>
      <w:r w:rsidR="004B11AD" w:rsidRPr="009E3B52">
        <w:t xml:space="preserve">; </w:t>
      </w:r>
      <w:r w:rsidR="002B03AB" w:rsidRPr="009E3B52">
        <w:t xml:space="preserve">PAH = pulmonary arterial hypertension; </w:t>
      </w:r>
      <w:r>
        <w:t>PDE-5 = p</w:t>
      </w:r>
      <w:r w:rsidRPr="00107676">
        <w:t>hosphodiesterase</w:t>
      </w:r>
      <w:r>
        <w:t xml:space="preserve"> type 5; RCT = randomised controlled trial; RR = relative risk; WHO = World Health Organization</w:t>
      </w:r>
    </w:p>
    <w:p w:rsidR="009B35CE" w:rsidRPr="0042195A" w:rsidRDefault="009B35CE" w:rsidP="009B35CE">
      <w:pPr>
        <w:pStyle w:val="Heading5"/>
      </w:pPr>
      <w:r w:rsidRPr="0042195A">
        <w:t>Safety</w:t>
      </w:r>
    </w:p>
    <w:p w:rsidR="009B35CE" w:rsidRPr="006316DF" w:rsidRDefault="009B35CE" w:rsidP="00550EA7">
      <w:r w:rsidRPr="00944958">
        <w:t xml:space="preserve">There </w:t>
      </w:r>
      <w:r w:rsidR="00F70738">
        <w:t>wa</w:t>
      </w:r>
      <w:r>
        <w:t>s no</w:t>
      </w:r>
      <w:r w:rsidRPr="00944958">
        <w:t xml:space="preserve"> evidence </w:t>
      </w:r>
      <w:r w:rsidR="00F70738">
        <w:t xml:space="preserve">available </w:t>
      </w:r>
      <w:r w:rsidR="00F9638D">
        <w:t>to evaluate the comparative safety</w:t>
      </w:r>
      <w:r w:rsidRPr="00944958">
        <w:t xml:space="preserve"> of </w:t>
      </w:r>
      <w:r w:rsidR="00F9638D">
        <w:t>PDE-5 inhibitor</w:t>
      </w:r>
      <w:r w:rsidR="00F70738">
        <w:t>s</w:t>
      </w:r>
      <w:r w:rsidRPr="00944958">
        <w:t xml:space="preserve"> </w:t>
      </w:r>
      <w:r w:rsidR="00F9638D">
        <w:t>versus placebo when used to</w:t>
      </w:r>
      <w:r w:rsidRPr="00944958">
        <w:t xml:space="preserve"> treat</w:t>
      </w:r>
      <w:r w:rsidR="00F9638D">
        <w:t xml:space="preserve"> patients with WHO FC I/II PAH</w:t>
      </w:r>
      <w:r w:rsidRPr="00944958">
        <w:t>.</w:t>
      </w:r>
    </w:p>
    <w:p w:rsidR="009B35CE" w:rsidRPr="0042195A" w:rsidRDefault="00441F08" w:rsidP="00003E50">
      <w:pPr>
        <w:pStyle w:val="Heading4"/>
        <w:tabs>
          <w:tab w:val="left" w:pos="993"/>
          <w:tab w:val="left" w:pos="1134"/>
        </w:tabs>
      </w:pPr>
      <w:r>
        <w:t>4.1.1.3</w:t>
      </w:r>
      <w:r>
        <w:tab/>
      </w:r>
      <w:r w:rsidR="009B35CE" w:rsidRPr="0042195A">
        <w:t>Prostanoid versus placebo</w:t>
      </w:r>
    </w:p>
    <w:p w:rsidR="00F70738" w:rsidRDefault="00F70738" w:rsidP="00F70738">
      <w:r w:rsidRPr="00F9638D">
        <w:t xml:space="preserve">There was no evidence </w:t>
      </w:r>
      <w:r>
        <w:t xml:space="preserve">available </w:t>
      </w:r>
      <w:r w:rsidRPr="00F9638D">
        <w:t xml:space="preserve">to </w:t>
      </w:r>
      <w:r>
        <w:t>determine</w:t>
      </w:r>
      <w:r w:rsidRPr="00F9638D">
        <w:t xml:space="preserve"> the safety and effectiveness of prostanoids in treatin</w:t>
      </w:r>
      <w:r>
        <w:t>g patients with WHO FC I/II PAH.</w:t>
      </w:r>
    </w:p>
    <w:p w:rsidR="009B35CE" w:rsidRPr="0042195A" w:rsidRDefault="00441F08" w:rsidP="009B35CE">
      <w:pPr>
        <w:pStyle w:val="Heading4"/>
      </w:pPr>
      <w:r>
        <w:t>4.1.1.4</w:t>
      </w:r>
      <w:r>
        <w:tab/>
      </w:r>
      <w:r w:rsidR="003A7E50">
        <w:t>Soluble Guanylate cyclase</w:t>
      </w:r>
      <w:r w:rsidR="006E2AD5">
        <w:t xml:space="preserve"> (sGC)</w:t>
      </w:r>
      <w:r w:rsidR="003A7E50">
        <w:t xml:space="preserve"> </w:t>
      </w:r>
      <w:r w:rsidR="009B35CE">
        <w:t xml:space="preserve">stimulator </w:t>
      </w:r>
      <w:r w:rsidR="009B35CE" w:rsidRPr="0042195A">
        <w:t>versus placebo</w:t>
      </w:r>
    </w:p>
    <w:p w:rsidR="009B35CE" w:rsidRPr="0042195A" w:rsidRDefault="009B35CE" w:rsidP="009B35CE">
      <w:pPr>
        <w:pStyle w:val="Heading5"/>
      </w:pPr>
      <w:r w:rsidRPr="0042195A">
        <w:t>Clinical effectiveness</w:t>
      </w:r>
    </w:p>
    <w:p w:rsidR="009B35CE" w:rsidRDefault="009B35CE" w:rsidP="009B35CE">
      <w:r w:rsidRPr="0042195A">
        <w:t xml:space="preserve">Only one RCT was identified that reported on the effectiveness of </w:t>
      </w:r>
      <w:r w:rsidR="0069215C">
        <w:t xml:space="preserve">monotherapy with </w:t>
      </w:r>
      <w:r>
        <w:t>a</w:t>
      </w:r>
      <w:r w:rsidRPr="0042195A">
        <w:t xml:space="preserve"> </w:t>
      </w:r>
      <w:r w:rsidRPr="003A7E50">
        <w:t>sGC</w:t>
      </w:r>
      <w:r>
        <w:t xml:space="preserve"> stimulator </w:t>
      </w:r>
      <w:r w:rsidRPr="0042195A">
        <w:t>in treating PAH compared with placebo in patients with WHO FC I/II PAH</w:t>
      </w:r>
      <w:r>
        <w:t>:</w:t>
      </w:r>
    </w:p>
    <w:p w:rsidR="009B35CE" w:rsidRPr="00B607A5" w:rsidRDefault="009B35CE" w:rsidP="00D103A9">
      <w:pPr>
        <w:pStyle w:val="Bullettext"/>
      </w:pPr>
      <w:r w:rsidRPr="00B607A5">
        <w:t>The</w:t>
      </w:r>
      <w:r w:rsidR="00550EA7" w:rsidRPr="00B607A5">
        <w:t xml:space="preserve"> PATENT-1 trial used riociguat.</w:t>
      </w:r>
    </w:p>
    <w:p w:rsidR="009B35CE" w:rsidRPr="0042195A" w:rsidRDefault="009B35CE" w:rsidP="00550EA7">
      <w:r>
        <w:t>The evidence provided by this trial is summarised in</w:t>
      </w:r>
      <w:r w:rsidR="00550EA7">
        <w:t xml:space="preserve"> </w:t>
      </w:r>
      <w:r w:rsidR="005A26BA" w:rsidRPr="0049771F">
        <w:t>Table 4.</w:t>
      </w:r>
      <w:r w:rsidR="005A26BA">
        <w:rPr>
          <w:noProof/>
        </w:rPr>
        <w:t>3</w:t>
      </w:r>
      <w:r>
        <w:t>.</w:t>
      </w:r>
    </w:p>
    <w:p w:rsidR="009B35CE" w:rsidRPr="0049771F" w:rsidRDefault="009B35CE" w:rsidP="00550EA7">
      <w:r w:rsidRPr="0049771F">
        <w:t xml:space="preserve">Overall, </w:t>
      </w:r>
      <w:r w:rsidR="00843DF8" w:rsidRPr="0049771F">
        <w:t xml:space="preserve">there is </w:t>
      </w:r>
      <w:r w:rsidR="002046A0">
        <w:rPr>
          <w:noProof/>
          <w:color w:val="000000"/>
          <w:highlight w:val="black"/>
        </w:rPr>
        <w:t>''''''''''''''''''''''' '''''''''''''''''''''''</w:t>
      </w:r>
      <w:r w:rsidR="00843DF8" w:rsidRPr="0049771F">
        <w:t xml:space="preserve"> as to whether the use of sGC stimulator medication to treat patients with WHO FC I/II PAH </w:t>
      </w:r>
      <w:r w:rsidR="002046A0">
        <w:rPr>
          <w:noProof/>
          <w:color w:val="000000"/>
          <w:highlight w:val="black"/>
        </w:rPr>
        <w:t>''' '''''''''''''''''''</w:t>
      </w:r>
      <w:r w:rsidR="00550EA7" w:rsidRPr="0049771F">
        <w:t>.</w:t>
      </w:r>
    </w:p>
    <w:p w:rsidR="009B35CE" w:rsidRPr="0049771F" w:rsidRDefault="00272F8F" w:rsidP="00BC5A2B">
      <w:pPr>
        <w:pStyle w:val="Caption"/>
      </w:pPr>
      <w:bookmarkStart w:id="13" w:name="_Ref506282992"/>
      <w:bookmarkStart w:id="14" w:name="_Toc38360300"/>
      <w:r w:rsidRPr="0049771F">
        <w:t>Table 4.</w:t>
      </w:r>
      <w:r w:rsidR="003951FA">
        <w:rPr>
          <w:noProof/>
        </w:rPr>
        <w:t>3</w:t>
      </w:r>
      <w:bookmarkEnd w:id="13"/>
      <w:r w:rsidRPr="0049771F">
        <w:tab/>
      </w:r>
      <w:r w:rsidR="009B35CE" w:rsidRPr="0049771F">
        <w:t>Summary of the evidence for the clinical effectiveness of a sGC stimulator versus placebo in patients with WHO FC I/II PAH</w:t>
      </w:r>
      <w:bookmarkEnd w:id="14"/>
    </w:p>
    <w:tbl>
      <w:tblPr>
        <w:tblStyle w:val="TableGrid"/>
        <w:tblW w:w="9634" w:type="dxa"/>
        <w:tblLook w:val="04A0" w:firstRow="1" w:lastRow="0" w:firstColumn="1" w:lastColumn="0" w:noHBand="0" w:noVBand="1"/>
        <w:tblCaption w:val="Summary of the evidence for the clinical effectiveness of a sGC stimulator versus placebo in patients with WHO FC I/II PAH"/>
      </w:tblPr>
      <w:tblGrid>
        <w:gridCol w:w="1539"/>
        <w:gridCol w:w="1803"/>
        <w:gridCol w:w="6292"/>
      </w:tblGrid>
      <w:tr w:rsidR="009B35CE" w:rsidRPr="0049771F"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rPr>
                <w:rFonts w:asciiTheme="minorHAnsi" w:hAnsiTheme="minorHAnsi"/>
                <w:b/>
              </w:rPr>
            </w:pPr>
            <w:r w:rsidRPr="0049771F">
              <w:rPr>
                <w:b/>
              </w:rPr>
              <w:t>Outcome</w:t>
            </w:r>
          </w:p>
        </w:tc>
        <w:tc>
          <w:tcPr>
            <w:tcW w:w="1984" w:type="dxa"/>
            <w:tcBorders>
              <w:top w:val="single" w:sz="4" w:space="0" w:color="auto"/>
              <w:left w:val="single" w:sz="4" w:space="0" w:color="auto"/>
              <w:bottom w:val="single" w:sz="4" w:space="0" w:color="auto"/>
              <w:right w:val="single" w:sz="4" w:space="0" w:color="auto"/>
            </w:tcBorders>
          </w:tcPr>
          <w:p w:rsidR="00293DE5" w:rsidRPr="0049771F" w:rsidRDefault="009B35CE" w:rsidP="00293DE5">
            <w:pPr>
              <w:pStyle w:val="Tabletext"/>
              <w:rPr>
                <w:b/>
              </w:rPr>
            </w:pPr>
            <w:r w:rsidRPr="0049771F">
              <w:rPr>
                <w:b/>
              </w:rPr>
              <w:t xml:space="preserve">Included trials </w:t>
            </w:r>
          </w:p>
          <w:p w:rsidR="009B35CE" w:rsidRPr="0049771F" w:rsidRDefault="00293DE5" w:rsidP="00293DE5">
            <w:pPr>
              <w:pStyle w:val="Tabletext"/>
              <w:rPr>
                <w:rFonts w:asciiTheme="minorHAnsi" w:hAnsiTheme="minorHAnsi"/>
                <w:b/>
              </w:rPr>
            </w:pPr>
            <w:r w:rsidRPr="0049771F">
              <w:rPr>
                <w:b/>
              </w:rPr>
              <w:t>No. of patients</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rPr>
                <w:rFonts w:asciiTheme="minorHAnsi" w:hAnsiTheme="minorHAnsi"/>
                <w:b/>
              </w:rPr>
            </w:pPr>
            <w:r w:rsidRPr="0049771F">
              <w:rPr>
                <w:b/>
              </w:rPr>
              <w:t>Summary of evidence</w:t>
            </w:r>
          </w:p>
        </w:tc>
      </w:tr>
      <w:tr w:rsidR="009B35CE" w:rsidRPr="0049771F" w:rsidTr="00D103A9">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pPr>
            <w:r w:rsidRPr="0049771F">
              <w:t>Clinical worsening</w:t>
            </w:r>
          </w:p>
        </w:tc>
        <w:tc>
          <w:tcPr>
            <w:tcW w:w="1984"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pPr>
            <w:r w:rsidRPr="0049771F">
              <w:t>PATENT-1 (riociguat)</w:t>
            </w:r>
          </w:p>
          <w:p w:rsidR="00293DE5" w:rsidRPr="0049771F" w:rsidRDefault="00293DE5" w:rsidP="00272F8F">
            <w:pPr>
              <w:pStyle w:val="Tabletext"/>
            </w:pPr>
            <w:r w:rsidRPr="0049771F">
              <w:t>N=107</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6F1431" w:rsidP="00480FDF">
            <w:pPr>
              <w:pStyle w:val="Tabletext"/>
              <w:numPr>
                <w:ilvl w:val="0"/>
                <w:numId w:val="22"/>
              </w:numPr>
              <w:ind w:left="227" w:hanging="219"/>
            </w:pPr>
            <w:r w:rsidRPr="0049771F">
              <w:t>Low quality</w:t>
            </w:r>
            <w:r w:rsidRPr="0049771F">
              <w:rPr>
                <w:rFonts w:cs="Cambria Math"/>
              </w:rPr>
              <w:t xml:space="preserve"> evidence (GRADE </w:t>
            </w:r>
            <w:r w:rsidRPr="0049771F">
              <w:rPr>
                <w:rFonts w:ascii="Cambria Math" w:hAnsi="Cambria Math" w:cs="Cambria Math"/>
                <w:color w:val="00B050"/>
              </w:rPr>
              <w:t>⨁⨁</w:t>
            </w:r>
            <w:r w:rsidRPr="0049771F">
              <w:rPr>
                <w:rFonts w:ascii="Cambria Math" w:hAnsi="Cambria Math" w:cs="Cambria Math"/>
                <w:color w:val="C00000"/>
              </w:rPr>
              <w:t>⨀⨀</w:t>
            </w:r>
            <w:r w:rsidRPr="0049771F">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Pr="002046A0" w:rsidRDefault="0042322C" w:rsidP="002046A0">
            <w:pPr>
              <w:pStyle w:val="Tabletext"/>
              <w:ind w:left="227" w:hanging="219"/>
              <w:rPr>
                <w:highlight w:val="black"/>
              </w:rPr>
            </w:pPr>
          </w:p>
        </w:tc>
      </w:tr>
      <w:tr w:rsidR="009B35CE" w:rsidRPr="0049771F" w:rsidTr="00D103A9">
        <w:tc>
          <w:tcPr>
            <w:tcW w:w="1555" w:type="dxa"/>
          </w:tcPr>
          <w:p w:rsidR="009B35CE" w:rsidRPr="0049771F" w:rsidRDefault="009B35CE" w:rsidP="00272F8F">
            <w:pPr>
              <w:pStyle w:val="Tabletext"/>
            </w:pPr>
            <w:r w:rsidRPr="0049771F">
              <w:t>All-cause mortality</w:t>
            </w:r>
          </w:p>
        </w:tc>
        <w:tc>
          <w:tcPr>
            <w:tcW w:w="1984" w:type="dxa"/>
          </w:tcPr>
          <w:p w:rsidR="00293DE5" w:rsidRPr="0049771F" w:rsidRDefault="009B35CE" w:rsidP="00293DE5">
            <w:pPr>
              <w:pStyle w:val="Tabletext"/>
            </w:pPr>
            <w:r w:rsidRPr="0049771F">
              <w:t>PATENT-1 (riociguat)</w:t>
            </w:r>
            <w:r w:rsidR="00293DE5" w:rsidRPr="0049771F">
              <w:t xml:space="preserve"> </w:t>
            </w:r>
          </w:p>
          <w:p w:rsidR="009B35CE" w:rsidRPr="0049771F" w:rsidRDefault="00293DE5" w:rsidP="00293DE5">
            <w:pPr>
              <w:pStyle w:val="Tabletext"/>
            </w:pPr>
            <w:r w:rsidRPr="0049771F">
              <w:t>N=107</w:t>
            </w:r>
          </w:p>
        </w:tc>
        <w:tc>
          <w:tcPr>
            <w:tcW w:w="6095" w:type="dxa"/>
          </w:tcPr>
          <w:p w:rsidR="009B35CE" w:rsidRPr="0049771F" w:rsidRDefault="009B35CE" w:rsidP="00480FDF">
            <w:pPr>
              <w:pStyle w:val="Tabletext"/>
              <w:numPr>
                <w:ilvl w:val="0"/>
                <w:numId w:val="22"/>
              </w:numPr>
              <w:ind w:left="227" w:hanging="219"/>
            </w:pPr>
            <w:r w:rsidRPr="0049771F">
              <w:t>High quality</w:t>
            </w:r>
            <w:r w:rsidRPr="0049771F">
              <w:rPr>
                <w:rFonts w:cs="Cambria Math"/>
              </w:rPr>
              <w:t xml:space="preserve"> evidence (GRADE </w:t>
            </w:r>
            <w:r w:rsidRPr="0049771F">
              <w:rPr>
                <w:rFonts w:ascii="Cambria Math" w:hAnsi="Cambria Math" w:cs="Cambria Math"/>
                <w:color w:val="00B050"/>
              </w:rPr>
              <w:t>⨁⨁⨁⨁</w:t>
            </w:r>
            <w:r w:rsidRPr="0049771F">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Pr="002046A0" w:rsidRDefault="0042322C" w:rsidP="002046A0">
            <w:pPr>
              <w:pStyle w:val="Tabletext"/>
              <w:ind w:left="227" w:hanging="219"/>
              <w:rPr>
                <w:highlight w:val="black"/>
              </w:rPr>
            </w:pPr>
          </w:p>
        </w:tc>
      </w:tr>
      <w:tr w:rsidR="009B35CE" w:rsidRPr="0049771F" w:rsidTr="00D103A9">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pPr>
            <w:r w:rsidRPr="0049771F">
              <w:t>Hospitalisation</w:t>
            </w:r>
            <w:r w:rsidR="00086A04" w:rsidRPr="0049771F">
              <w:t xml:space="preserve"> due to </w:t>
            </w:r>
            <w:r w:rsidR="006F1431" w:rsidRPr="0049771F">
              <w:t xml:space="preserve">worsening </w:t>
            </w:r>
            <w:r w:rsidR="00086A04" w:rsidRPr="0049771F">
              <w:t>PA</w:t>
            </w:r>
            <w:r w:rsidR="00116EDA" w:rsidRPr="0049771F">
              <w:t>H</w:t>
            </w:r>
          </w:p>
        </w:tc>
        <w:tc>
          <w:tcPr>
            <w:tcW w:w="1984" w:type="dxa"/>
            <w:tcBorders>
              <w:top w:val="single" w:sz="4" w:space="0" w:color="auto"/>
              <w:left w:val="single" w:sz="4" w:space="0" w:color="auto"/>
              <w:bottom w:val="single" w:sz="4" w:space="0" w:color="auto"/>
              <w:right w:val="single" w:sz="4" w:space="0" w:color="auto"/>
            </w:tcBorders>
          </w:tcPr>
          <w:p w:rsidR="00293DE5" w:rsidRPr="0049771F" w:rsidRDefault="009B35CE" w:rsidP="00293DE5">
            <w:pPr>
              <w:pStyle w:val="Tabletext"/>
            </w:pPr>
            <w:r w:rsidRPr="0049771F">
              <w:t>PATENT-1 (riociguat)</w:t>
            </w:r>
            <w:r w:rsidR="00293DE5" w:rsidRPr="0049771F">
              <w:t xml:space="preserve"> </w:t>
            </w:r>
          </w:p>
          <w:p w:rsidR="009B35CE" w:rsidRPr="0049771F" w:rsidRDefault="00293DE5" w:rsidP="00293DE5">
            <w:pPr>
              <w:pStyle w:val="Tabletext"/>
            </w:pPr>
            <w:r w:rsidRPr="0049771F">
              <w:t>N=107</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9B35CE" w:rsidP="00480FDF">
            <w:pPr>
              <w:pStyle w:val="Tabletext"/>
              <w:numPr>
                <w:ilvl w:val="0"/>
                <w:numId w:val="22"/>
              </w:numPr>
              <w:ind w:left="227" w:hanging="219"/>
            </w:pPr>
            <w:r w:rsidRPr="0049771F">
              <w:t>High quality</w:t>
            </w:r>
            <w:r w:rsidRPr="0049771F">
              <w:rPr>
                <w:rFonts w:cs="Cambria Math"/>
              </w:rPr>
              <w:t xml:space="preserve"> evidence (GRADE </w:t>
            </w:r>
            <w:r w:rsidRPr="0049771F">
              <w:rPr>
                <w:rFonts w:ascii="Cambria Math" w:hAnsi="Cambria Math" w:cs="Cambria Math"/>
                <w:color w:val="00B050"/>
              </w:rPr>
              <w:t>⨁⨁⨁⨁</w:t>
            </w:r>
            <w:r w:rsidRPr="0049771F">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19"/>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pPr>
            <w:r w:rsidRPr="0049771F">
              <w:t>Improved WHO FC</w:t>
            </w:r>
          </w:p>
        </w:tc>
        <w:tc>
          <w:tcPr>
            <w:tcW w:w="1984" w:type="dxa"/>
            <w:tcBorders>
              <w:top w:val="single" w:sz="4" w:space="0" w:color="auto"/>
              <w:left w:val="single" w:sz="4" w:space="0" w:color="auto"/>
              <w:bottom w:val="single" w:sz="4" w:space="0" w:color="auto"/>
              <w:right w:val="single" w:sz="4" w:space="0" w:color="auto"/>
            </w:tcBorders>
          </w:tcPr>
          <w:p w:rsidR="00293DE5" w:rsidRPr="0049771F" w:rsidRDefault="009B35CE" w:rsidP="00293DE5">
            <w:pPr>
              <w:pStyle w:val="Tabletext"/>
            </w:pPr>
            <w:r w:rsidRPr="0049771F">
              <w:t>PATENT-1 (riociguat)</w:t>
            </w:r>
            <w:r w:rsidR="00293DE5" w:rsidRPr="0049771F">
              <w:t xml:space="preserve"> </w:t>
            </w:r>
          </w:p>
          <w:p w:rsidR="009B35CE" w:rsidRPr="0049771F" w:rsidRDefault="00293DE5" w:rsidP="00293DE5">
            <w:pPr>
              <w:pStyle w:val="Tabletext"/>
            </w:pPr>
            <w:r w:rsidRPr="0049771F">
              <w:t>N=107</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B179F1" w:rsidP="00480FDF">
            <w:pPr>
              <w:pStyle w:val="Tabletext"/>
              <w:numPr>
                <w:ilvl w:val="0"/>
                <w:numId w:val="22"/>
              </w:numPr>
              <w:ind w:left="227" w:hanging="219"/>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hAnsi="Cambria Math" w:cs="Cambria Math"/>
                <w:color w:val="C00000"/>
              </w:rPr>
              <w:t>⨀</w:t>
            </w:r>
            <w:r w:rsidR="009B35CE" w:rsidRPr="0049771F">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Pr="002046A0" w:rsidRDefault="0042322C" w:rsidP="002046A0">
            <w:pPr>
              <w:pStyle w:val="Tabletext"/>
              <w:ind w:left="227" w:hanging="219"/>
              <w:rPr>
                <w:highlight w:val="black"/>
              </w:rPr>
            </w:pPr>
          </w:p>
        </w:tc>
      </w:tr>
      <w:tr w:rsidR="009B35CE" w:rsidRPr="0049771F" w:rsidTr="00D103A9">
        <w:tc>
          <w:tcPr>
            <w:tcW w:w="1555" w:type="dxa"/>
          </w:tcPr>
          <w:p w:rsidR="009B35CE" w:rsidRPr="0049771F" w:rsidRDefault="009B35CE" w:rsidP="00272F8F">
            <w:pPr>
              <w:pStyle w:val="Tabletext"/>
            </w:pPr>
            <w:r w:rsidRPr="0049771F">
              <w:t>Worsened WHO FC</w:t>
            </w:r>
          </w:p>
        </w:tc>
        <w:tc>
          <w:tcPr>
            <w:tcW w:w="1984" w:type="dxa"/>
            <w:tcBorders>
              <w:top w:val="single" w:sz="4" w:space="0" w:color="auto"/>
              <w:left w:val="single" w:sz="4" w:space="0" w:color="auto"/>
              <w:bottom w:val="single" w:sz="4" w:space="0" w:color="auto"/>
              <w:right w:val="single" w:sz="4" w:space="0" w:color="auto"/>
            </w:tcBorders>
          </w:tcPr>
          <w:p w:rsidR="00293DE5" w:rsidRPr="0049771F" w:rsidRDefault="009B35CE" w:rsidP="00293DE5">
            <w:pPr>
              <w:pStyle w:val="Tabletext"/>
            </w:pPr>
            <w:r w:rsidRPr="0049771F">
              <w:t>PATENT-1 (riociguat)</w:t>
            </w:r>
            <w:r w:rsidR="00293DE5" w:rsidRPr="0049771F">
              <w:t xml:space="preserve"> </w:t>
            </w:r>
          </w:p>
          <w:p w:rsidR="009B35CE" w:rsidRPr="0049771F" w:rsidRDefault="00293DE5" w:rsidP="00293DE5">
            <w:pPr>
              <w:pStyle w:val="Tabletext"/>
            </w:pPr>
            <w:r w:rsidRPr="0049771F">
              <w:t>N=107</w:t>
            </w:r>
          </w:p>
        </w:tc>
        <w:tc>
          <w:tcPr>
            <w:tcW w:w="6095" w:type="dxa"/>
          </w:tcPr>
          <w:p w:rsidR="009B35CE" w:rsidRPr="0049771F" w:rsidRDefault="009B35CE" w:rsidP="00480FDF">
            <w:pPr>
              <w:pStyle w:val="Tabletext"/>
              <w:numPr>
                <w:ilvl w:val="0"/>
                <w:numId w:val="22"/>
              </w:numPr>
              <w:ind w:left="227" w:hanging="219"/>
            </w:pPr>
            <w:r w:rsidRPr="0049771F">
              <w:t>High quality</w:t>
            </w:r>
            <w:r w:rsidRPr="0049771F">
              <w:rPr>
                <w:rFonts w:cs="Cambria Math"/>
              </w:rPr>
              <w:t xml:space="preserve"> evidence (GRADE </w:t>
            </w:r>
            <w:r w:rsidRPr="0049771F">
              <w:rPr>
                <w:rFonts w:ascii="Cambria Math" w:hAnsi="Cambria Math" w:cs="Cambria Math"/>
                <w:color w:val="00B050"/>
              </w:rPr>
              <w:t>⨁⨁⨁⨁</w:t>
            </w:r>
            <w:r w:rsidRPr="0049771F">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Pr="002046A0" w:rsidRDefault="0042322C" w:rsidP="002046A0">
            <w:pPr>
              <w:pStyle w:val="Tabletext"/>
              <w:ind w:left="227" w:hanging="219"/>
              <w:rPr>
                <w:highlight w:val="black"/>
              </w:rPr>
            </w:pPr>
          </w:p>
        </w:tc>
      </w:tr>
      <w:tr w:rsidR="00C52089" w:rsidTr="00C52089">
        <w:tc>
          <w:tcPr>
            <w:tcW w:w="1555" w:type="dxa"/>
          </w:tcPr>
          <w:p w:rsidR="00C52089" w:rsidRPr="0049771F" w:rsidRDefault="00C52089" w:rsidP="007E6052">
            <w:pPr>
              <w:pStyle w:val="Tabletext"/>
            </w:pPr>
            <w:r w:rsidRPr="0049771F">
              <w:t>Change in 6MWD</w:t>
            </w:r>
            <w:r w:rsidR="006F1431" w:rsidRPr="0049771F">
              <w:t xml:space="preserve"> from baseline</w:t>
            </w:r>
          </w:p>
        </w:tc>
        <w:tc>
          <w:tcPr>
            <w:tcW w:w="1984" w:type="dxa"/>
          </w:tcPr>
          <w:p w:rsidR="00293DE5" w:rsidRPr="0049771F" w:rsidRDefault="00C52089" w:rsidP="00293DE5">
            <w:pPr>
              <w:pStyle w:val="Tabletext"/>
            </w:pPr>
            <w:r w:rsidRPr="0049771F">
              <w:t>PATENT-1 (riociguat)</w:t>
            </w:r>
            <w:r w:rsidR="00293DE5" w:rsidRPr="0049771F">
              <w:t xml:space="preserve"> </w:t>
            </w:r>
          </w:p>
          <w:p w:rsidR="00C52089" w:rsidRPr="0049771F" w:rsidRDefault="00293DE5" w:rsidP="00293DE5">
            <w:pPr>
              <w:pStyle w:val="Tabletext"/>
            </w:pPr>
            <w:r w:rsidRPr="0049771F">
              <w:t>N=107</w:t>
            </w:r>
          </w:p>
        </w:tc>
        <w:tc>
          <w:tcPr>
            <w:tcW w:w="6095" w:type="dxa"/>
          </w:tcPr>
          <w:p w:rsidR="00C52089" w:rsidRPr="0049771F" w:rsidRDefault="00963EDC" w:rsidP="00480FDF">
            <w:pPr>
              <w:pStyle w:val="Tabletext"/>
              <w:numPr>
                <w:ilvl w:val="0"/>
                <w:numId w:val="22"/>
              </w:numPr>
              <w:ind w:left="227" w:hanging="219"/>
            </w:pPr>
            <w:r w:rsidRPr="0049771F">
              <w:t xml:space="preserve">Moderate </w:t>
            </w:r>
            <w:r w:rsidR="00C52089" w:rsidRPr="0049771F">
              <w:t xml:space="preserve">quality evidence (GRADE </w:t>
            </w:r>
            <w:r w:rsidR="00C52089" w:rsidRPr="0049771F">
              <w:rPr>
                <w:rFonts w:ascii="Cambria Math" w:hAnsi="Cambria Math" w:cs="Cambria Math"/>
                <w:color w:val="00B050"/>
              </w:rPr>
              <w:t>⨁⨁⨁</w:t>
            </w:r>
            <w:r w:rsidRPr="0049771F">
              <w:rPr>
                <w:rFonts w:ascii="Cambria Math" w:hAnsi="Cambria Math" w:cs="Cambria Math"/>
                <w:color w:val="C00000"/>
              </w:rPr>
              <w:t>⨀</w:t>
            </w:r>
            <w:r w:rsidR="00C52089" w:rsidRPr="0049771F">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52089"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Pr="002046A0" w:rsidRDefault="0042322C" w:rsidP="002046A0">
            <w:pPr>
              <w:pStyle w:val="Tabletext"/>
              <w:ind w:left="227" w:hanging="219"/>
              <w:rPr>
                <w:highlight w:val="black"/>
              </w:rPr>
            </w:pPr>
          </w:p>
        </w:tc>
      </w:tr>
      <w:tr w:rsidR="00C52089" w:rsidRPr="0049771F" w:rsidTr="00C52089">
        <w:trPr>
          <w:trHeight w:val="567"/>
        </w:trPr>
        <w:tc>
          <w:tcPr>
            <w:tcW w:w="1555" w:type="dxa"/>
          </w:tcPr>
          <w:p w:rsidR="00C52089" w:rsidRPr="0049771F" w:rsidRDefault="00C52089" w:rsidP="007E6052">
            <w:pPr>
              <w:pStyle w:val="Tabletext"/>
            </w:pPr>
            <w:r w:rsidRPr="0049771F">
              <w:t>Change in QoL</w:t>
            </w:r>
            <w:r w:rsidR="006F1431" w:rsidRPr="0049771F">
              <w:t xml:space="preserve"> from baseline</w:t>
            </w:r>
            <w:r w:rsidR="003903A0" w:rsidRPr="0049771F">
              <w:t>:</w:t>
            </w:r>
          </w:p>
          <w:p w:rsidR="00C52089" w:rsidRPr="0049771F" w:rsidRDefault="00C52089" w:rsidP="003903A0">
            <w:pPr>
              <w:pStyle w:val="Tabletext"/>
            </w:pPr>
            <w:r w:rsidRPr="0049771F">
              <w:t>EQ-5D</w:t>
            </w:r>
            <w:r w:rsidR="00C569DB" w:rsidRPr="0049771F">
              <w:rPr>
                <w:vertAlign w:val="superscript"/>
              </w:rPr>
              <w:t>a</w:t>
            </w:r>
            <w:r w:rsidR="003903A0" w:rsidRPr="0049771F">
              <w:t xml:space="preserve">, </w:t>
            </w:r>
            <w:r w:rsidRPr="0049771F">
              <w:t>LPH</w:t>
            </w:r>
            <w:r w:rsidR="00C569DB" w:rsidRPr="0049771F">
              <w:rPr>
                <w:vertAlign w:val="superscript"/>
              </w:rPr>
              <w:t>b</w:t>
            </w:r>
          </w:p>
        </w:tc>
        <w:tc>
          <w:tcPr>
            <w:tcW w:w="1984" w:type="dxa"/>
          </w:tcPr>
          <w:p w:rsidR="00293DE5" w:rsidRPr="0049771F" w:rsidRDefault="00C52089" w:rsidP="00293DE5">
            <w:pPr>
              <w:pStyle w:val="Tabletext"/>
            </w:pPr>
            <w:r w:rsidRPr="0049771F">
              <w:t>PATENT-1 (riociguat)</w:t>
            </w:r>
            <w:r w:rsidR="00293DE5" w:rsidRPr="0049771F">
              <w:t xml:space="preserve"> </w:t>
            </w:r>
          </w:p>
          <w:p w:rsidR="00C52089" w:rsidRPr="0049771F" w:rsidRDefault="00293DE5" w:rsidP="00293DE5">
            <w:pPr>
              <w:pStyle w:val="Tabletext"/>
            </w:pPr>
            <w:r w:rsidRPr="0049771F">
              <w:t>N=107</w:t>
            </w:r>
          </w:p>
        </w:tc>
        <w:tc>
          <w:tcPr>
            <w:tcW w:w="6095" w:type="dxa"/>
          </w:tcPr>
          <w:p w:rsidR="00C52089" w:rsidRPr="0049771F" w:rsidRDefault="00C52089" w:rsidP="00480FDF">
            <w:pPr>
              <w:pStyle w:val="Tabletext"/>
              <w:numPr>
                <w:ilvl w:val="0"/>
                <w:numId w:val="22"/>
              </w:numPr>
              <w:ind w:left="227" w:hanging="219"/>
            </w:pPr>
            <w:r w:rsidRPr="0049771F">
              <w:t xml:space="preserve">High quality evidence (GRADE </w:t>
            </w:r>
            <w:r w:rsidRPr="0049771F">
              <w:rPr>
                <w:rFonts w:ascii="Cambria Math" w:hAnsi="Cambria Math" w:cs="Cambria Math"/>
                <w:color w:val="00B050"/>
              </w:rPr>
              <w:t>⨁⨁⨁⨁</w:t>
            </w:r>
            <w:r w:rsidRPr="0049771F">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52089"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Pr="002046A0" w:rsidRDefault="0042322C" w:rsidP="002046A0">
            <w:pPr>
              <w:pStyle w:val="Tabletext"/>
              <w:ind w:left="227" w:hanging="219"/>
              <w:rPr>
                <w:highlight w:val="black"/>
              </w:rPr>
            </w:pPr>
          </w:p>
        </w:tc>
      </w:tr>
      <w:tr w:rsidR="009B35CE" w:rsidTr="004B11AD">
        <w:trPr>
          <w:trHeight w:val="726"/>
        </w:trPr>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272F8F">
            <w:pPr>
              <w:pStyle w:val="Tabletext"/>
            </w:pPr>
            <w:r w:rsidRPr="0049771F">
              <w:t>Change in haemodynamic parameters</w:t>
            </w:r>
            <w:r w:rsidR="006F1431" w:rsidRPr="0049771F">
              <w:t xml:space="preserve"> from baseline</w:t>
            </w:r>
            <w:r w:rsidR="003903A0" w:rsidRPr="0049771F">
              <w:t>:</w:t>
            </w:r>
          </w:p>
          <w:p w:rsidR="009B35CE" w:rsidRPr="0049771F" w:rsidRDefault="009B35CE" w:rsidP="00272F8F">
            <w:pPr>
              <w:pStyle w:val="Tabletext"/>
            </w:pPr>
            <w:r w:rsidRPr="0049771F">
              <w:t>PVR</w:t>
            </w:r>
          </w:p>
        </w:tc>
        <w:tc>
          <w:tcPr>
            <w:tcW w:w="1984" w:type="dxa"/>
            <w:tcBorders>
              <w:top w:val="single" w:sz="4" w:space="0" w:color="auto"/>
              <w:left w:val="single" w:sz="4" w:space="0" w:color="auto"/>
              <w:bottom w:val="single" w:sz="4" w:space="0" w:color="auto"/>
              <w:right w:val="single" w:sz="4" w:space="0" w:color="auto"/>
            </w:tcBorders>
          </w:tcPr>
          <w:p w:rsidR="00293DE5" w:rsidRPr="0049771F" w:rsidRDefault="009B35CE" w:rsidP="00293DE5">
            <w:pPr>
              <w:pStyle w:val="Tabletext"/>
            </w:pPr>
            <w:r w:rsidRPr="0049771F">
              <w:t>PATENT-1 (riociguat)</w:t>
            </w:r>
            <w:r w:rsidR="00293DE5" w:rsidRPr="0049771F">
              <w:t xml:space="preserve"> </w:t>
            </w:r>
          </w:p>
          <w:p w:rsidR="009B35CE" w:rsidRPr="0049771F" w:rsidRDefault="00293DE5" w:rsidP="00293DE5">
            <w:pPr>
              <w:pStyle w:val="Tabletext"/>
            </w:pPr>
            <w:r w:rsidRPr="0049771F">
              <w:t>N=107</w:t>
            </w:r>
          </w:p>
        </w:tc>
        <w:tc>
          <w:tcPr>
            <w:tcW w:w="6095" w:type="dxa"/>
          </w:tcPr>
          <w:p w:rsidR="009B35CE" w:rsidRPr="0049771F" w:rsidRDefault="00F705F8" w:rsidP="00480FDF">
            <w:pPr>
              <w:pStyle w:val="Tabletext"/>
              <w:numPr>
                <w:ilvl w:val="0"/>
                <w:numId w:val="22"/>
              </w:numPr>
              <w:ind w:left="227" w:hanging="219"/>
            </w:pPr>
            <w:r w:rsidRPr="0049771F">
              <w:t xml:space="preserve">Moderate </w:t>
            </w:r>
            <w:r w:rsidR="009B35CE" w:rsidRPr="0049771F">
              <w:t xml:space="preserve">quality evidence (GRADE </w:t>
            </w:r>
            <w:r w:rsidR="009B35CE" w:rsidRPr="0049771F">
              <w:rPr>
                <w:rFonts w:ascii="Cambria Math" w:hAnsi="Cambria Math" w:cs="Cambria Math"/>
                <w:color w:val="00B050"/>
              </w:rPr>
              <w:t>⨁⨁⨁</w:t>
            </w:r>
            <w:r w:rsidRPr="0049771F">
              <w:rPr>
                <w:rFonts w:ascii="Cambria Math" w:hAnsi="Cambria Math" w:cs="Cambria Math"/>
                <w:color w:val="C00000"/>
              </w:rPr>
              <w:t>⨀</w:t>
            </w:r>
            <w:r w:rsidR="009B35CE" w:rsidRPr="0049771F">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42322C" w:rsidRDefault="002046A0" w:rsidP="002046A0">
            <w:pPr>
              <w:pStyle w:val="Tabletext"/>
              <w:ind w:left="227" w:hanging="219"/>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19"/>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bl>
    <w:p w:rsidR="00C569DB" w:rsidRDefault="00C569DB" w:rsidP="00C569DB">
      <w:pPr>
        <w:pStyle w:val="Tablenote"/>
      </w:pPr>
      <w:proofErr w:type="gramStart"/>
      <w:r>
        <w:rPr>
          <w:vertAlign w:val="superscript"/>
        </w:rPr>
        <w:t>a</w:t>
      </w:r>
      <w:proofErr w:type="gramEnd"/>
      <w:r>
        <w:rPr>
          <w:vertAlign w:val="superscript"/>
        </w:rPr>
        <w:t xml:space="preserve"> </w:t>
      </w:r>
      <w:r>
        <w:t xml:space="preserve">EQ-5D utility scores range from </w:t>
      </w:r>
      <w:r w:rsidRPr="00C569DB">
        <w:t>−</w:t>
      </w:r>
      <w:r w:rsidR="005708CC">
        <w:t>0.59</w:t>
      </w:r>
      <w:r>
        <w:t xml:space="preserve"> to 1.00</w:t>
      </w:r>
      <w:r w:rsidR="00384D2C">
        <w:t xml:space="preserve">. A higher score represents </w:t>
      </w:r>
      <w:r>
        <w:t>better QoL</w:t>
      </w:r>
      <w:r w:rsidR="00152A02">
        <w:t>.</w:t>
      </w:r>
    </w:p>
    <w:p w:rsidR="00C569DB" w:rsidRDefault="00C569DB" w:rsidP="00C569DB">
      <w:pPr>
        <w:pStyle w:val="Tablenote"/>
      </w:pPr>
      <w:proofErr w:type="gramStart"/>
      <w:r>
        <w:rPr>
          <w:vertAlign w:val="superscript"/>
        </w:rPr>
        <w:t>b</w:t>
      </w:r>
      <w:proofErr w:type="gramEnd"/>
      <w:r>
        <w:rPr>
          <w:vertAlign w:val="superscript"/>
        </w:rPr>
        <w:t xml:space="preserve"> </w:t>
      </w:r>
      <w:r>
        <w:t xml:space="preserve">LPH </w:t>
      </w:r>
      <w:r w:rsidR="005E574A">
        <w:t xml:space="preserve">total </w:t>
      </w:r>
      <w:r w:rsidR="00152A02">
        <w:t>scores range</w:t>
      </w:r>
      <w:r>
        <w:t xml:space="preserve"> from 0 to 105</w:t>
      </w:r>
      <w:r w:rsidR="000054CF">
        <w:t>. A</w:t>
      </w:r>
      <w:r w:rsidR="00152A02">
        <w:t xml:space="preserve"> </w:t>
      </w:r>
      <w:r w:rsidR="000054CF">
        <w:t>higher score</w:t>
      </w:r>
      <w:r w:rsidR="00152A02">
        <w:t xml:space="preserve"> </w:t>
      </w:r>
      <w:r w:rsidR="000054CF">
        <w:t>indicates poorer QoL</w:t>
      </w:r>
      <w:r w:rsidR="00152A02">
        <w:t>.</w:t>
      </w:r>
    </w:p>
    <w:p w:rsidR="00C569DB" w:rsidRDefault="009B35CE" w:rsidP="00272F8F">
      <w:pPr>
        <w:pStyle w:val="Tablenote"/>
      </w:pPr>
      <w:r>
        <w:t xml:space="preserve">6MWD = 6-minute </w:t>
      </w:r>
      <w:r w:rsidR="0082368E">
        <w:t>walk distance</w:t>
      </w:r>
      <w:r w:rsidR="00B21201">
        <w:t>; ARD</w:t>
      </w:r>
      <w:r>
        <w:t xml:space="preserve"> = absolute risk</w:t>
      </w:r>
      <w:r w:rsidR="00B21201">
        <w:t xml:space="preserve"> difference</w:t>
      </w:r>
      <w:r>
        <w:t xml:space="preserve">; CI = confidence interval; </w:t>
      </w:r>
      <w:r w:rsidR="00572AE9">
        <w:t>EQ-5D = EuroQol 5</w:t>
      </w:r>
      <w:r w:rsidRPr="00986739">
        <w:t xml:space="preserve">dimension; </w:t>
      </w:r>
      <w:r>
        <w:t>ERA = e</w:t>
      </w:r>
      <w:r w:rsidRPr="00107676">
        <w:t xml:space="preserve">ndothelin </w:t>
      </w:r>
      <w:r>
        <w:t>r</w:t>
      </w:r>
      <w:r w:rsidRPr="00107676">
        <w:t xml:space="preserve">eceptor </w:t>
      </w:r>
      <w:r>
        <w:t>a</w:t>
      </w:r>
      <w:r w:rsidRPr="00107676">
        <w:t>ntagonist</w:t>
      </w:r>
      <w:r>
        <w:t xml:space="preserve">; FC = functional class; </w:t>
      </w:r>
      <w:r w:rsidR="004B11AD" w:rsidRPr="009E3B52">
        <w:t>GRADE = grading of recommendations assessment, development and evaluation</w:t>
      </w:r>
      <w:r w:rsidR="001D34EE" w:rsidRPr="001D34EE">
        <w:rPr>
          <w:noProof/>
          <w:vertAlign w:val="superscript"/>
        </w:rPr>
        <w:t>1</w:t>
      </w:r>
      <w:r w:rsidR="004B11AD" w:rsidRPr="009E3B52">
        <w:t xml:space="preserve">; </w:t>
      </w:r>
      <w:r w:rsidRPr="00822C52">
        <w:t>LPH = living with pulmonary hypertension</w:t>
      </w:r>
      <w:r w:rsidR="003951FA">
        <w:t xml:space="preserve"> questionnair</w:t>
      </w:r>
      <w:r w:rsidR="005A26BA">
        <w:t>e</w:t>
      </w:r>
      <w:r w:rsidRPr="00822C52">
        <w:t xml:space="preserve">; </w:t>
      </w:r>
      <w:r>
        <w:t xml:space="preserve">MD = mean difference; </w:t>
      </w:r>
      <w:r w:rsidRPr="00D65221">
        <w:t>PVR</w:t>
      </w:r>
      <w:r>
        <w:t xml:space="preserve"> = p</w:t>
      </w:r>
      <w:r w:rsidRPr="00D65221">
        <w:t xml:space="preserve">ulmonary </w:t>
      </w:r>
      <w:r>
        <w:t>v</w:t>
      </w:r>
      <w:r w:rsidRPr="00D65221">
        <w:t xml:space="preserve">ascular </w:t>
      </w:r>
      <w:r>
        <w:t>r</w:t>
      </w:r>
      <w:r w:rsidRPr="00D65221">
        <w:t>esistance</w:t>
      </w:r>
      <w:r>
        <w:t xml:space="preserve">; </w:t>
      </w:r>
      <w:r w:rsidR="004B11AD" w:rsidRPr="009E3B52">
        <w:t xml:space="preserve">QoL = quality of life; </w:t>
      </w:r>
      <w:r>
        <w:t>RR = relative risk</w:t>
      </w:r>
      <w:r w:rsidRPr="00986739">
        <w:t xml:space="preserve">; sGC = soluble guanylate cyclase; </w:t>
      </w:r>
      <w:r>
        <w:t>WHO = World Health Organization</w:t>
      </w:r>
    </w:p>
    <w:p w:rsidR="009B35CE" w:rsidRPr="0042195A" w:rsidRDefault="009B35CE" w:rsidP="009B35CE">
      <w:pPr>
        <w:pStyle w:val="Heading5"/>
      </w:pPr>
      <w:r w:rsidRPr="0042195A">
        <w:t>Safety</w:t>
      </w:r>
    </w:p>
    <w:p w:rsidR="009B35CE" w:rsidRPr="006316DF" w:rsidRDefault="009B35CE" w:rsidP="009B35CE">
      <w:r w:rsidRPr="00944958">
        <w:t xml:space="preserve">There </w:t>
      </w:r>
      <w:r w:rsidR="00F70738">
        <w:t>wa</w:t>
      </w:r>
      <w:r>
        <w:t>s no</w:t>
      </w:r>
      <w:r w:rsidRPr="00944958">
        <w:t xml:space="preserve"> evidence </w:t>
      </w:r>
      <w:r w:rsidR="00F70738">
        <w:t xml:space="preserve">available </w:t>
      </w:r>
      <w:r w:rsidR="00F9638D">
        <w:t>to evaluate the comparative safety</w:t>
      </w:r>
      <w:r w:rsidRPr="00944958">
        <w:t xml:space="preserve"> of a </w:t>
      </w:r>
      <w:r w:rsidR="00F9638D" w:rsidRPr="00F9638D">
        <w:t xml:space="preserve">sGC stimulator </w:t>
      </w:r>
      <w:r w:rsidR="00F9638D">
        <w:t>versus placebo when used t</w:t>
      </w:r>
      <w:r w:rsidRPr="00944958">
        <w:t>o treat patients with WHO FC I/II PAH.</w:t>
      </w:r>
    </w:p>
    <w:p w:rsidR="00FC1362" w:rsidRPr="00EB1471" w:rsidRDefault="00FC1362" w:rsidP="00D103A9">
      <w:pPr>
        <w:pStyle w:val="Heading3"/>
      </w:pPr>
      <w:bookmarkStart w:id="15" w:name="_Toc38360266"/>
      <w:r w:rsidRPr="00EB1471">
        <w:t xml:space="preserve">Evidence of effectiveness and </w:t>
      </w:r>
      <w:r w:rsidR="003F6760" w:rsidRPr="00EB1471">
        <w:t>safety</w:t>
      </w:r>
      <w:r w:rsidRPr="00EB1471">
        <w:t xml:space="preserve"> of monotherapy in WHO FC III </w:t>
      </w:r>
      <w:r w:rsidR="00126F99">
        <w:t>or</w:t>
      </w:r>
      <w:r w:rsidRPr="00EB1471">
        <w:t xml:space="preserve"> IV </w:t>
      </w:r>
      <w:r w:rsidR="005A20F4">
        <w:t xml:space="preserve">PAH </w:t>
      </w:r>
      <w:r w:rsidRPr="00EB1471">
        <w:t xml:space="preserve">not </w:t>
      </w:r>
      <w:r w:rsidR="00F70738">
        <w:t xml:space="preserve">previously </w:t>
      </w:r>
      <w:r w:rsidRPr="00EB1471">
        <w:t xml:space="preserve">considered by the </w:t>
      </w:r>
      <w:r w:rsidR="00116E63">
        <w:t>Pharmaceutical Benefits Advisory Committee (</w:t>
      </w:r>
      <w:r w:rsidRPr="00EB1471">
        <w:t>PBAC</w:t>
      </w:r>
      <w:r w:rsidR="00116E63">
        <w:t>)</w:t>
      </w:r>
      <w:bookmarkEnd w:id="15"/>
    </w:p>
    <w:p w:rsidR="005A0C83" w:rsidRPr="00D228A6" w:rsidRDefault="005A0C83" w:rsidP="005A0C83">
      <w:pPr>
        <w:pStyle w:val="ToRText"/>
        <w:shd w:val="clear" w:color="auto" w:fill="F2F2F2" w:themeFill="background1" w:themeFillShade="F2"/>
        <w:spacing w:before="240"/>
        <w:rPr>
          <w:b w:val="0"/>
          <w:color w:val="auto"/>
        </w:rPr>
      </w:pPr>
      <w:r w:rsidRPr="00532B79">
        <w:rPr>
          <w:b w:val="0"/>
          <w:color w:val="auto"/>
          <w:shd w:val="clear" w:color="auto" w:fill="F2F2F2" w:themeFill="background1" w:themeFillShade="F2"/>
        </w:rPr>
        <w:t>Q2.</w:t>
      </w:r>
      <w:r w:rsidRPr="00532B79">
        <w:rPr>
          <w:b w:val="0"/>
          <w:color w:val="auto"/>
          <w:shd w:val="clear" w:color="auto" w:fill="F2F2F2" w:themeFill="background1" w:themeFillShade="F2"/>
        </w:rPr>
        <w:tab/>
        <w:t>What is the new evidence concerning the effectiveness and safety of monotherapy with a PAH medicine, compared to the main comparator accepted by the PBAC, in patients with WHO FC III or IV PAH, that has not previously been considered by the PBAC?</w:t>
      </w:r>
    </w:p>
    <w:p w:rsidR="001D0FDA" w:rsidRDefault="001D0FDA" w:rsidP="001D0FDA">
      <w:pPr>
        <w:pStyle w:val="Bullettext"/>
        <w:numPr>
          <w:ilvl w:val="0"/>
          <w:numId w:val="0"/>
        </w:numPr>
      </w:pPr>
      <w:r>
        <w:t xml:space="preserve">There was no new evidence concerning the effectiveness or safety of monotherapy with a PAH medicine, compared to the main comparator accepted by the PBAC, in patients with WHO FC III or IV PAH. </w:t>
      </w:r>
      <w:r>
        <w:rPr>
          <w:snapToGrid w:val="0"/>
        </w:rPr>
        <w:t>T</w:t>
      </w:r>
      <w:r w:rsidRPr="00EB1471">
        <w:rPr>
          <w:snapToGrid w:val="0"/>
        </w:rPr>
        <w:t xml:space="preserve">he evidentiary basis for PBAC’s positive recommendation of the listing of these PAH medicines is summarised in </w:t>
      </w:r>
      <w:r w:rsidR="003951FA">
        <w:t>Table 4.</w:t>
      </w:r>
      <w:r w:rsidR="003951FA">
        <w:rPr>
          <w:noProof/>
        </w:rPr>
        <w:t>4</w:t>
      </w:r>
      <w:r>
        <w:rPr>
          <w:snapToGrid w:val="0"/>
        </w:rPr>
        <w:t xml:space="preserve"> below</w:t>
      </w:r>
      <w:r w:rsidRPr="00EB1471">
        <w:rPr>
          <w:snapToGrid w:val="0"/>
        </w:rPr>
        <w:t xml:space="preserve">. </w:t>
      </w:r>
    </w:p>
    <w:p w:rsidR="001D0FDA" w:rsidRPr="00EB1471" w:rsidRDefault="001D0FDA" w:rsidP="001D0FDA">
      <w:pPr>
        <w:pStyle w:val="Caption"/>
        <w:rPr>
          <w:rFonts w:cs="Arial"/>
          <w:b w:val="0"/>
          <w:i/>
          <w:snapToGrid w:val="0"/>
        </w:rPr>
      </w:pPr>
      <w:bookmarkStart w:id="16" w:name="_Ref505872617"/>
      <w:bookmarkStart w:id="17" w:name="_Toc38360301"/>
      <w:r>
        <w:t>Table 4.</w:t>
      </w:r>
      <w:r w:rsidR="003951FA">
        <w:rPr>
          <w:noProof/>
        </w:rPr>
        <w:t>4</w:t>
      </w:r>
      <w:bookmarkEnd w:id="16"/>
      <w:r>
        <w:tab/>
      </w:r>
      <w:r w:rsidRPr="00ED1021">
        <w:t>Summary of evidence for monotherapy in patients with PAH in WHO FC III or IV</w:t>
      </w:r>
      <w:bookmarkEnd w:id="17"/>
    </w:p>
    <w:tbl>
      <w:tblPr>
        <w:tblStyle w:val="TableGrid"/>
        <w:tblW w:w="9838" w:type="dxa"/>
        <w:tblLayout w:type="fixed"/>
        <w:tblLook w:val="04A0" w:firstRow="1" w:lastRow="0" w:firstColumn="1" w:lastColumn="0" w:noHBand="0" w:noVBand="1"/>
        <w:tblCaption w:val="Summary of evidence for monotherapy in patients with PAH in WHO FC III or IV"/>
      </w:tblPr>
      <w:tblGrid>
        <w:gridCol w:w="1191"/>
        <w:gridCol w:w="1276"/>
        <w:gridCol w:w="2693"/>
        <w:gridCol w:w="1418"/>
        <w:gridCol w:w="3260"/>
      </w:tblGrid>
      <w:tr w:rsidR="001D0FDA" w:rsidRPr="00EB1471" w:rsidTr="00F52145">
        <w:trPr>
          <w:cnfStyle w:val="100000000000" w:firstRow="1" w:lastRow="0" w:firstColumn="0" w:lastColumn="0" w:oddVBand="0" w:evenVBand="0" w:oddHBand="0" w:evenHBand="0" w:firstRowFirstColumn="0" w:firstRowLastColumn="0" w:lastRowFirstColumn="0" w:lastRowLastColumn="0"/>
          <w:cantSplit w:val="0"/>
        </w:trPr>
        <w:tc>
          <w:tcPr>
            <w:tcW w:w="1191" w:type="dxa"/>
            <w:tcBorders>
              <w:bottom w:val="single" w:sz="4" w:space="0" w:color="auto"/>
            </w:tcBorders>
          </w:tcPr>
          <w:p w:rsidR="001D0FDA" w:rsidRPr="00EB1471" w:rsidRDefault="001D0FDA" w:rsidP="001D0FDA">
            <w:pPr>
              <w:pStyle w:val="Tabletext"/>
              <w:rPr>
                <w:b/>
                <w:szCs w:val="18"/>
              </w:rPr>
            </w:pPr>
            <w:r w:rsidRPr="00EB1471">
              <w:rPr>
                <w:b/>
                <w:szCs w:val="18"/>
              </w:rPr>
              <w:t>PBAC meeting</w:t>
            </w:r>
          </w:p>
        </w:tc>
        <w:tc>
          <w:tcPr>
            <w:tcW w:w="1276" w:type="dxa"/>
            <w:tcBorders>
              <w:bottom w:val="single" w:sz="4" w:space="0" w:color="auto"/>
            </w:tcBorders>
          </w:tcPr>
          <w:p w:rsidR="001D0FDA" w:rsidRDefault="001D0FDA" w:rsidP="001D0FDA">
            <w:pPr>
              <w:pStyle w:val="Tabletext"/>
              <w:rPr>
                <w:b/>
                <w:szCs w:val="18"/>
              </w:rPr>
            </w:pPr>
            <w:r w:rsidRPr="008D1AEA">
              <w:rPr>
                <w:b/>
                <w:szCs w:val="18"/>
              </w:rPr>
              <w:t>PBS res</w:t>
            </w:r>
            <w:r>
              <w:rPr>
                <w:b/>
                <w:szCs w:val="18"/>
              </w:rPr>
              <w:t>t</w:t>
            </w:r>
            <w:r w:rsidRPr="008D1AEA">
              <w:rPr>
                <w:b/>
                <w:szCs w:val="18"/>
              </w:rPr>
              <w:t>rictions</w:t>
            </w:r>
          </w:p>
        </w:tc>
        <w:tc>
          <w:tcPr>
            <w:tcW w:w="2693" w:type="dxa"/>
            <w:tcBorders>
              <w:bottom w:val="single" w:sz="4" w:space="0" w:color="auto"/>
            </w:tcBorders>
          </w:tcPr>
          <w:p w:rsidR="001D0FDA" w:rsidRPr="00EB1471" w:rsidRDefault="001D0FDA" w:rsidP="001D0FDA">
            <w:pPr>
              <w:pStyle w:val="Tabletext"/>
              <w:rPr>
                <w:b/>
                <w:szCs w:val="18"/>
              </w:rPr>
            </w:pPr>
            <w:r>
              <w:rPr>
                <w:b/>
                <w:szCs w:val="18"/>
              </w:rPr>
              <w:t>Head-to-head trials / Indirect comparison</w:t>
            </w:r>
          </w:p>
        </w:tc>
        <w:tc>
          <w:tcPr>
            <w:tcW w:w="1418" w:type="dxa"/>
            <w:tcBorders>
              <w:bottom w:val="single" w:sz="4" w:space="0" w:color="auto"/>
            </w:tcBorders>
          </w:tcPr>
          <w:p w:rsidR="001D0FDA" w:rsidRPr="00EB1471" w:rsidRDefault="001D0FDA" w:rsidP="001D0FDA">
            <w:pPr>
              <w:pStyle w:val="Tabletext"/>
              <w:rPr>
                <w:b/>
                <w:szCs w:val="18"/>
              </w:rPr>
            </w:pPr>
            <w:r>
              <w:rPr>
                <w:b/>
                <w:szCs w:val="18"/>
              </w:rPr>
              <w:t>Comparison</w:t>
            </w:r>
          </w:p>
        </w:tc>
        <w:tc>
          <w:tcPr>
            <w:tcW w:w="3260" w:type="dxa"/>
            <w:tcBorders>
              <w:bottom w:val="single" w:sz="4" w:space="0" w:color="auto"/>
            </w:tcBorders>
          </w:tcPr>
          <w:p w:rsidR="001D0FDA" w:rsidRPr="00EB1471" w:rsidRDefault="001D0FDA" w:rsidP="001D0FDA">
            <w:pPr>
              <w:pStyle w:val="Tabletext"/>
              <w:rPr>
                <w:b/>
                <w:szCs w:val="18"/>
              </w:rPr>
            </w:pPr>
            <w:r>
              <w:rPr>
                <w:b/>
                <w:szCs w:val="18"/>
              </w:rPr>
              <w:t>Summary of evidence</w:t>
            </w:r>
          </w:p>
        </w:tc>
      </w:tr>
      <w:tr w:rsidR="0050270A" w:rsidRPr="00025547" w:rsidTr="00F52145">
        <w:trPr>
          <w:cantSplit w:val="0"/>
        </w:trPr>
        <w:tc>
          <w:tcPr>
            <w:tcW w:w="2467" w:type="dxa"/>
            <w:gridSpan w:val="2"/>
            <w:shd w:val="clear" w:color="auto" w:fill="000000" w:themeFill="text1"/>
          </w:tcPr>
          <w:p w:rsidR="0050270A" w:rsidRPr="00025547" w:rsidRDefault="0050270A" w:rsidP="00A0351C">
            <w:pPr>
              <w:pStyle w:val="Tabletext"/>
              <w:rPr>
                <w:b/>
                <w:color w:val="FFFFFF" w:themeColor="background1"/>
                <w:szCs w:val="18"/>
              </w:rPr>
            </w:pPr>
            <w:r>
              <w:rPr>
                <w:b/>
                <w:color w:val="FFFFFF" w:themeColor="background1"/>
                <w:szCs w:val="18"/>
              </w:rPr>
              <w:t>Bosentan</w:t>
            </w:r>
          </w:p>
        </w:tc>
        <w:tc>
          <w:tcPr>
            <w:tcW w:w="2693" w:type="dxa"/>
            <w:shd w:val="clear" w:color="auto" w:fill="000000" w:themeFill="text1"/>
          </w:tcPr>
          <w:p w:rsidR="0050270A" w:rsidRPr="00025547" w:rsidRDefault="0050270A" w:rsidP="00A0351C">
            <w:pPr>
              <w:pStyle w:val="Tabletext"/>
              <w:rPr>
                <w:b/>
                <w:color w:val="FFFFFF" w:themeColor="background1"/>
                <w:szCs w:val="18"/>
              </w:rPr>
            </w:pPr>
          </w:p>
        </w:tc>
        <w:tc>
          <w:tcPr>
            <w:tcW w:w="1418" w:type="dxa"/>
            <w:shd w:val="clear" w:color="auto" w:fill="000000" w:themeFill="text1"/>
          </w:tcPr>
          <w:p w:rsidR="0050270A" w:rsidRPr="00025547" w:rsidRDefault="0050270A" w:rsidP="00A0351C">
            <w:pPr>
              <w:pStyle w:val="Tabletext"/>
              <w:rPr>
                <w:b/>
                <w:color w:val="FFFFFF" w:themeColor="background1"/>
                <w:szCs w:val="18"/>
              </w:rPr>
            </w:pPr>
          </w:p>
        </w:tc>
        <w:tc>
          <w:tcPr>
            <w:tcW w:w="3260" w:type="dxa"/>
            <w:shd w:val="clear" w:color="auto" w:fill="000000" w:themeFill="text1"/>
          </w:tcPr>
          <w:p w:rsidR="0050270A" w:rsidRPr="00025547" w:rsidRDefault="0050270A" w:rsidP="00A0351C">
            <w:pPr>
              <w:pStyle w:val="Tabletext"/>
              <w:rPr>
                <w:b/>
                <w:color w:val="FFFFFF" w:themeColor="background1"/>
                <w:szCs w:val="18"/>
              </w:rPr>
            </w:pPr>
          </w:p>
        </w:tc>
      </w:tr>
      <w:tr w:rsidR="001D0FDA" w:rsidRPr="00EB1471" w:rsidTr="00F52145">
        <w:trPr>
          <w:cantSplit w:val="0"/>
        </w:trPr>
        <w:tc>
          <w:tcPr>
            <w:tcW w:w="1191" w:type="dxa"/>
          </w:tcPr>
          <w:p w:rsidR="001D0FDA" w:rsidRPr="0049771F" w:rsidRDefault="001D0FDA" w:rsidP="001D0FDA">
            <w:pPr>
              <w:pStyle w:val="Tabletext"/>
              <w:rPr>
                <w:szCs w:val="18"/>
              </w:rPr>
            </w:pPr>
            <w:r w:rsidRPr="0049771F">
              <w:rPr>
                <w:szCs w:val="18"/>
              </w:rPr>
              <w:t>December 2003</w:t>
            </w:r>
          </w:p>
        </w:tc>
        <w:tc>
          <w:tcPr>
            <w:tcW w:w="1276" w:type="dxa"/>
          </w:tcPr>
          <w:p w:rsidR="001D0FDA" w:rsidRPr="0049771F" w:rsidRDefault="001D0FDA" w:rsidP="001D0FDA">
            <w:pPr>
              <w:pStyle w:val="Tabletext"/>
              <w:rPr>
                <w:szCs w:val="18"/>
              </w:rPr>
            </w:pPr>
            <w:r w:rsidRPr="0049771F">
              <w:t>WHO FC III/IV IPAH and PAH associated with scleroderma</w:t>
            </w:r>
          </w:p>
        </w:tc>
        <w:tc>
          <w:tcPr>
            <w:tcW w:w="2693" w:type="dxa"/>
          </w:tcPr>
          <w:p w:rsidR="001D0FDA" w:rsidRPr="002046A0" w:rsidRDefault="002046A0" w:rsidP="001D0FDA">
            <w:pPr>
              <w:pStyle w:val="Tabletext"/>
              <w:rPr>
                <w:szCs w:val="18"/>
                <w:highlight w:val="black"/>
              </w:rPr>
            </w:pPr>
            <w:r>
              <w:rPr>
                <w:noProof/>
                <w:color w:val="000000"/>
                <w:szCs w:val="18"/>
                <w:highlight w:val="black"/>
              </w:rPr>
              <w:t>'''' '''''''''''''''''''''''''''''''' '''''''''''''' ''''''''''''''''''''''''''' '''''''''''''''''''''' ''''''''' '''''''''''''''''''</w:t>
            </w:r>
          </w:p>
          <w:p w:rsidR="001D0FDA" w:rsidRPr="002046A0" w:rsidRDefault="002046A0" w:rsidP="002046A0">
            <w:pPr>
              <w:pStyle w:val="Tabletext"/>
              <w:ind w:left="425" w:hanging="283"/>
              <w:rPr>
                <w:szCs w:val="18"/>
                <w:highlight w:val="black"/>
              </w:rPr>
            </w:pP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p>
          <w:p w:rsidR="001D0FDA" w:rsidRPr="002046A0" w:rsidRDefault="002046A0" w:rsidP="002046A0">
            <w:pPr>
              <w:pStyle w:val="Tabletext"/>
              <w:ind w:left="425" w:hanging="283"/>
              <w:rPr>
                <w:szCs w:val="18"/>
                <w:highlight w:val="black"/>
                <w:u w:val="single"/>
              </w:rPr>
            </w:pP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p>
        </w:tc>
        <w:tc>
          <w:tcPr>
            <w:tcW w:w="1418" w:type="dxa"/>
          </w:tcPr>
          <w:p w:rsidR="001D0FDA" w:rsidRPr="002046A0" w:rsidRDefault="002046A0" w:rsidP="001D0FDA">
            <w:pPr>
              <w:pStyle w:val="Tabletext"/>
              <w:rPr>
                <w:szCs w:val="18"/>
                <w:highlight w:val="black"/>
              </w:rPr>
            </w:pPr>
            <w:r>
              <w:rPr>
                <w:noProof/>
                <w:color w:val="000000"/>
                <w:szCs w:val="18"/>
                <w:highlight w:val="black"/>
              </w:rPr>
              <w:t>'''''''''''''''''''''' '''''' ''''''''''''''''''''</w:t>
            </w:r>
          </w:p>
        </w:tc>
        <w:tc>
          <w:tcPr>
            <w:tcW w:w="3260" w:type="dxa"/>
          </w:tcPr>
          <w:p w:rsidR="001D0FDA" w:rsidRPr="0042322C" w:rsidRDefault="002046A0" w:rsidP="002046A0">
            <w:pPr>
              <w:pStyle w:val="Tabletext"/>
              <w:ind w:left="227" w:hanging="227"/>
              <w:rPr>
                <w:sz w:val="12"/>
                <w:szCs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p>
          <w:p w:rsidR="0042322C" w:rsidRPr="0042322C" w:rsidRDefault="002046A0" w:rsidP="0042322C">
            <w:pPr>
              <w:pStyle w:val="Tabletext"/>
              <w:ind w:left="227" w:hanging="227"/>
              <w:rPr>
                <w:rFonts w:ascii="Symbol" w:hAnsi="Symbol"/>
                <w:noProof/>
                <w:color w:val="000000"/>
                <w:sz w:val="12"/>
                <w:szCs w:val="12"/>
                <w:highlight w:val="black"/>
              </w:rPr>
            </w:pP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r w:rsidRPr="0042322C">
              <w:rPr>
                <w:rFonts w:ascii="Symbol" w:hAnsi="Symbol"/>
                <w:noProof/>
                <w:color w:val="000000"/>
                <w:sz w:val="12"/>
                <w:szCs w:val="12"/>
                <w:highlight w:val="black"/>
              </w:rPr>
              <w:t></w:t>
            </w:r>
          </w:p>
        </w:tc>
      </w:tr>
      <w:tr w:rsidR="001D0FDA" w:rsidRPr="00EB1471" w:rsidTr="00F52145">
        <w:trPr>
          <w:cantSplit w:val="0"/>
        </w:trPr>
        <w:tc>
          <w:tcPr>
            <w:tcW w:w="1191" w:type="dxa"/>
            <w:tcBorders>
              <w:bottom w:val="single" w:sz="4" w:space="0" w:color="auto"/>
            </w:tcBorders>
          </w:tcPr>
          <w:p w:rsidR="001D0FDA" w:rsidRPr="00EB1471" w:rsidRDefault="001D0FDA" w:rsidP="001D0FDA">
            <w:pPr>
              <w:pStyle w:val="Tabletext"/>
              <w:rPr>
                <w:szCs w:val="18"/>
              </w:rPr>
            </w:pPr>
            <w:r w:rsidRPr="00EB1471">
              <w:rPr>
                <w:szCs w:val="18"/>
              </w:rPr>
              <w:t>March 2008</w:t>
            </w:r>
          </w:p>
        </w:tc>
        <w:tc>
          <w:tcPr>
            <w:tcW w:w="1276" w:type="dxa"/>
            <w:tcBorders>
              <w:bottom w:val="single" w:sz="4" w:space="0" w:color="auto"/>
            </w:tcBorders>
          </w:tcPr>
          <w:p w:rsidR="001D0FDA" w:rsidRPr="00EB1471" w:rsidRDefault="001D0FDA" w:rsidP="001D0FDA">
            <w:pPr>
              <w:pStyle w:val="Tabletext"/>
              <w:rPr>
                <w:szCs w:val="18"/>
              </w:rPr>
            </w:pPr>
            <w:r>
              <w:t xml:space="preserve">WHO FC III/IV </w:t>
            </w:r>
            <w:r w:rsidRPr="00987BC5">
              <w:t>PAH</w:t>
            </w:r>
            <w:r>
              <w:t>-CHD</w:t>
            </w:r>
          </w:p>
        </w:tc>
        <w:tc>
          <w:tcPr>
            <w:tcW w:w="2693" w:type="dxa"/>
            <w:tcBorders>
              <w:bottom w:val="single" w:sz="4" w:space="0" w:color="auto"/>
            </w:tcBorders>
          </w:tcPr>
          <w:p w:rsidR="001D0FDA" w:rsidRPr="00EB1471" w:rsidRDefault="001D0FDA" w:rsidP="001D0FDA">
            <w:pPr>
              <w:pStyle w:val="Tabletext"/>
              <w:rPr>
                <w:szCs w:val="18"/>
              </w:rPr>
            </w:pPr>
            <w:r w:rsidRPr="00EB1471">
              <w:rPr>
                <w:szCs w:val="18"/>
              </w:rPr>
              <w:t xml:space="preserve">1 </w:t>
            </w:r>
            <w:r>
              <w:rPr>
                <w:szCs w:val="18"/>
              </w:rPr>
              <w:t xml:space="preserve">head-to-head </w:t>
            </w:r>
            <w:r w:rsidRPr="00EB1471">
              <w:rPr>
                <w:szCs w:val="18"/>
              </w:rPr>
              <w:t xml:space="preserve">RCT comparing </w:t>
            </w:r>
            <w:r w:rsidRPr="001A5334">
              <w:rPr>
                <w:szCs w:val="18"/>
              </w:rPr>
              <w:t>bosentan with placebo</w:t>
            </w:r>
            <w:r w:rsidRPr="00EB1471">
              <w:rPr>
                <w:szCs w:val="18"/>
              </w:rPr>
              <w:t>:</w:t>
            </w:r>
          </w:p>
          <w:p w:rsidR="001D0FDA" w:rsidRPr="00EB1471" w:rsidRDefault="001D0FDA" w:rsidP="001D34EE">
            <w:pPr>
              <w:pStyle w:val="Tabletext"/>
              <w:numPr>
                <w:ilvl w:val="0"/>
                <w:numId w:val="12"/>
              </w:numPr>
              <w:ind w:left="425" w:hanging="283"/>
              <w:rPr>
                <w:caps/>
                <w:color w:val="000000"/>
                <w:spacing w:val="5"/>
                <w:kern w:val="28"/>
                <w:szCs w:val="18"/>
                <w:u w:val="single"/>
              </w:rPr>
            </w:pPr>
            <w:r w:rsidRPr="00EB1471">
              <w:rPr>
                <w:szCs w:val="18"/>
              </w:rPr>
              <w:t xml:space="preserve">BREATHE-5 </w:t>
            </w:r>
            <w:r w:rsidR="001D34EE" w:rsidRPr="001D34EE">
              <w:rPr>
                <w:noProof/>
                <w:szCs w:val="18"/>
                <w:vertAlign w:val="superscript"/>
              </w:rPr>
              <w:t>5</w:t>
            </w:r>
          </w:p>
        </w:tc>
        <w:tc>
          <w:tcPr>
            <w:tcW w:w="1418" w:type="dxa"/>
            <w:tcBorders>
              <w:bottom w:val="single" w:sz="4" w:space="0" w:color="auto"/>
            </w:tcBorders>
          </w:tcPr>
          <w:p w:rsidR="001D0FDA" w:rsidRPr="00EB1471" w:rsidRDefault="001D0FDA" w:rsidP="001D0FDA">
            <w:pPr>
              <w:pStyle w:val="Tabletext"/>
              <w:rPr>
                <w:szCs w:val="18"/>
              </w:rPr>
            </w:pPr>
            <w:r>
              <w:rPr>
                <w:szCs w:val="18"/>
              </w:rPr>
              <w:t>Bosentan vs placebo</w:t>
            </w:r>
          </w:p>
        </w:tc>
        <w:tc>
          <w:tcPr>
            <w:tcW w:w="3260" w:type="dxa"/>
            <w:tcBorders>
              <w:bottom w:val="single" w:sz="4" w:space="0" w:color="auto"/>
            </w:tcBorders>
          </w:tcPr>
          <w:p w:rsidR="001D0FDA" w:rsidRPr="00667F12" w:rsidRDefault="001D0FDA" w:rsidP="00480FDF">
            <w:pPr>
              <w:pStyle w:val="Tabletext"/>
              <w:numPr>
                <w:ilvl w:val="0"/>
                <w:numId w:val="20"/>
              </w:numPr>
              <w:ind w:left="227" w:hanging="227"/>
              <w:rPr>
                <w:szCs w:val="18"/>
              </w:rPr>
            </w:pPr>
            <w:r>
              <w:rPr>
                <w:szCs w:val="18"/>
              </w:rPr>
              <w:t>Bosentan was superior in terms of effectiveness but inferior in terms o</w:t>
            </w:r>
            <w:r w:rsidR="003B6FA8">
              <w:rPr>
                <w:szCs w:val="18"/>
              </w:rPr>
              <w:t>f safety, compared with placebo</w:t>
            </w:r>
            <w:r w:rsidR="0042322C">
              <w:rPr>
                <w:szCs w:val="18"/>
              </w:rPr>
              <w:t>.</w:t>
            </w:r>
          </w:p>
          <w:p w:rsidR="001D0FDA" w:rsidRPr="00EB1471" w:rsidRDefault="001D0FDA" w:rsidP="00480FDF">
            <w:pPr>
              <w:pStyle w:val="Tabletext"/>
              <w:numPr>
                <w:ilvl w:val="0"/>
                <w:numId w:val="20"/>
              </w:numPr>
              <w:ind w:left="227" w:hanging="227"/>
              <w:rPr>
                <w:szCs w:val="18"/>
              </w:rPr>
            </w:pPr>
            <w:r>
              <w:t>B</w:t>
            </w:r>
            <w:r w:rsidRPr="001A5334">
              <w:t xml:space="preserve">osentan </w:t>
            </w:r>
            <w:r>
              <w:t xml:space="preserve">was </w:t>
            </w:r>
            <w:r w:rsidRPr="001A5334">
              <w:t>equivalent</w:t>
            </w:r>
            <w:r w:rsidR="00F70738">
              <w:t>,</w:t>
            </w:r>
            <w:r w:rsidRPr="001A5334">
              <w:t xml:space="preserve"> in terms of comparative effective</w:t>
            </w:r>
            <w:r>
              <w:t xml:space="preserve">ness and comparative safety in </w:t>
            </w:r>
            <w:r w:rsidRPr="001A5334">
              <w:t>PAH-CHD</w:t>
            </w:r>
            <w:r w:rsidR="00F70738">
              <w:t>,</w:t>
            </w:r>
            <w:r w:rsidRPr="001A5334">
              <w:t xml:space="preserve"> to other </w:t>
            </w:r>
            <w:r>
              <w:t>PBS-listed PAH aetiology groups, eg IPAH and PAH-CTD</w:t>
            </w:r>
            <w:r w:rsidR="0042322C">
              <w:t>.</w:t>
            </w:r>
          </w:p>
        </w:tc>
      </w:tr>
      <w:tr w:rsidR="001D0FDA" w:rsidRPr="00025547" w:rsidTr="00F52145">
        <w:trPr>
          <w:cantSplit w:val="0"/>
        </w:trPr>
        <w:tc>
          <w:tcPr>
            <w:tcW w:w="2467" w:type="dxa"/>
            <w:gridSpan w:val="2"/>
            <w:shd w:val="clear" w:color="auto" w:fill="000000" w:themeFill="text1"/>
          </w:tcPr>
          <w:p w:rsidR="001D0FDA" w:rsidRPr="00025547" w:rsidRDefault="001D0FDA" w:rsidP="001D0FDA">
            <w:pPr>
              <w:pStyle w:val="Tabletext"/>
              <w:rPr>
                <w:b/>
                <w:color w:val="FFFFFF" w:themeColor="background1"/>
                <w:szCs w:val="18"/>
              </w:rPr>
            </w:pPr>
            <w:r w:rsidRPr="00025547">
              <w:rPr>
                <w:b/>
                <w:color w:val="FFFFFF" w:themeColor="background1"/>
                <w:szCs w:val="18"/>
              </w:rPr>
              <w:t>Ambrisentan</w:t>
            </w:r>
          </w:p>
        </w:tc>
        <w:tc>
          <w:tcPr>
            <w:tcW w:w="2693" w:type="dxa"/>
            <w:shd w:val="clear" w:color="auto" w:fill="000000" w:themeFill="text1"/>
          </w:tcPr>
          <w:p w:rsidR="001D0FDA" w:rsidRPr="00025547" w:rsidRDefault="001D0FDA" w:rsidP="001D0FDA">
            <w:pPr>
              <w:pStyle w:val="Tabletext"/>
              <w:rPr>
                <w:b/>
                <w:color w:val="FFFFFF" w:themeColor="background1"/>
                <w:szCs w:val="18"/>
              </w:rPr>
            </w:pPr>
          </w:p>
        </w:tc>
        <w:tc>
          <w:tcPr>
            <w:tcW w:w="1418" w:type="dxa"/>
            <w:shd w:val="clear" w:color="auto" w:fill="000000" w:themeFill="text1"/>
          </w:tcPr>
          <w:p w:rsidR="001D0FDA" w:rsidRPr="00025547" w:rsidRDefault="001D0FDA" w:rsidP="001D0FDA">
            <w:pPr>
              <w:pStyle w:val="Tabletext"/>
              <w:rPr>
                <w:b/>
                <w:color w:val="FFFFFF" w:themeColor="background1"/>
                <w:szCs w:val="18"/>
              </w:rPr>
            </w:pPr>
          </w:p>
        </w:tc>
        <w:tc>
          <w:tcPr>
            <w:tcW w:w="3260" w:type="dxa"/>
            <w:shd w:val="clear" w:color="auto" w:fill="000000" w:themeFill="text1"/>
          </w:tcPr>
          <w:p w:rsidR="001D0FDA" w:rsidRPr="00025547" w:rsidRDefault="001D0FDA" w:rsidP="001D0FDA">
            <w:pPr>
              <w:pStyle w:val="Tabletext"/>
              <w:rPr>
                <w:b/>
                <w:color w:val="FFFFFF" w:themeColor="background1"/>
                <w:szCs w:val="18"/>
              </w:rPr>
            </w:pPr>
          </w:p>
        </w:tc>
      </w:tr>
      <w:tr w:rsidR="001D0FDA" w:rsidRPr="00EB1471" w:rsidTr="00F52145">
        <w:trPr>
          <w:cantSplit w:val="0"/>
        </w:trPr>
        <w:tc>
          <w:tcPr>
            <w:tcW w:w="1191" w:type="dxa"/>
            <w:tcBorders>
              <w:bottom w:val="single" w:sz="4" w:space="0" w:color="auto"/>
            </w:tcBorders>
          </w:tcPr>
          <w:p w:rsidR="001D0FDA" w:rsidRPr="00EB1471" w:rsidRDefault="001D0FDA" w:rsidP="001D0FDA">
            <w:pPr>
              <w:pStyle w:val="Tabletext"/>
              <w:rPr>
                <w:szCs w:val="18"/>
              </w:rPr>
            </w:pPr>
            <w:r w:rsidRPr="00EB1471">
              <w:rPr>
                <w:szCs w:val="18"/>
              </w:rPr>
              <w:t>July 2009</w:t>
            </w:r>
          </w:p>
        </w:tc>
        <w:tc>
          <w:tcPr>
            <w:tcW w:w="1276" w:type="dxa"/>
            <w:tcBorders>
              <w:bottom w:val="single" w:sz="4" w:space="0" w:color="auto"/>
            </w:tcBorders>
          </w:tcPr>
          <w:p w:rsidR="001D0FDA" w:rsidRPr="001A5334" w:rsidRDefault="001D0FDA" w:rsidP="001D0FDA">
            <w:pPr>
              <w:pStyle w:val="Tabletext"/>
              <w:rPr>
                <w:szCs w:val="18"/>
              </w:rPr>
            </w:pPr>
            <w:r>
              <w:t xml:space="preserve">WHO FC III/IV </w:t>
            </w:r>
            <w:r w:rsidRPr="00987BC5">
              <w:t xml:space="preserve">IPAH </w:t>
            </w:r>
            <w:r>
              <w:t xml:space="preserve">and </w:t>
            </w:r>
            <w:r w:rsidRPr="00987BC5">
              <w:t>PAH-CTD</w:t>
            </w:r>
          </w:p>
        </w:tc>
        <w:tc>
          <w:tcPr>
            <w:tcW w:w="2693" w:type="dxa"/>
            <w:tcBorders>
              <w:bottom w:val="single" w:sz="4" w:space="0" w:color="auto"/>
            </w:tcBorders>
          </w:tcPr>
          <w:p w:rsidR="001D0FDA" w:rsidRPr="001A5334" w:rsidRDefault="001D0FDA" w:rsidP="001D0FDA">
            <w:pPr>
              <w:pStyle w:val="Tabletext"/>
              <w:rPr>
                <w:szCs w:val="18"/>
              </w:rPr>
            </w:pPr>
            <w:r w:rsidRPr="001A5334">
              <w:rPr>
                <w:szCs w:val="18"/>
              </w:rPr>
              <w:t>Indirect comparison of 2 RCTs comparing ambrisentan with placebo:</w:t>
            </w:r>
          </w:p>
          <w:p w:rsidR="001D0FDA" w:rsidRPr="001A5334" w:rsidRDefault="001D0FDA" w:rsidP="001D0FDA">
            <w:pPr>
              <w:pStyle w:val="Tabletext"/>
              <w:numPr>
                <w:ilvl w:val="0"/>
                <w:numId w:val="12"/>
              </w:numPr>
              <w:ind w:left="425" w:hanging="283"/>
              <w:rPr>
                <w:szCs w:val="18"/>
              </w:rPr>
            </w:pPr>
            <w:r w:rsidRPr="001A5334">
              <w:rPr>
                <w:szCs w:val="18"/>
              </w:rPr>
              <w:t xml:space="preserve">ARIES-1 </w:t>
            </w:r>
            <w:r w:rsidR="001D34EE" w:rsidRPr="001D34EE">
              <w:rPr>
                <w:noProof/>
                <w:szCs w:val="18"/>
                <w:vertAlign w:val="superscript"/>
              </w:rPr>
              <w:t>6</w:t>
            </w:r>
            <w:r w:rsidRPr="001A5334">
              <w:rPr>
                <w:szCs w:val="18"/>
              </w:rPr>
              <w:t xml:space="preserve"> (WHO FC III/IV subgroup)</w:t>
            </w:r>
          </w:p>
          <w:p w:rsidR="001D0FDA" w:rsidRPr="001A5334" w:rsidRDefault="001D0FDA" w:rsidP="001D0FDA">
            <w:pPr>
              <w:pStyle w:val="Tabletext"/>
              <w:numPr>
                <w:ilvl w:val="0"/>
                <w:numId w:val="12"/>
              </w:numPr>
              <w:ind w:left="425" w:hanging="283"/>
              <w:rPr>
                <w:szCs w:val="18"/>
              </w:rPr>
            </w:pPr>
            <w:r w:rsidRPr="001A5334">
              <w:rPr>
                <w:szCs w:val="18"/>
              </w:rPr>
              <w:t xml:space="preserve">ARIES-2 </w:t>
            </w:r>
            <w:r w:rsidR="001D34EE" w:rsidRPr="001D34EE">
              <w:rPr>
                <w:noProof/>
                <w:szCs w:val="18"/>
                <w:vertAlign w:val="superscript"/>
              </w:rPr>
              <w:t>6</w:t>
            </w:r>
            <w:r w:rsidRPr="001A5334">
              <w:rPr>
                <w:szCs w:val="18"/>
              </w:rPr>
              <w:t xml:space="preserve"> (WHO FC III/IV subgroup)</w:t>
            </w:r>
          </w:p>
          <w:p w:rsidR="001D0FDA" w:rsidRPr="001A5334" w:rsidRDefault="001D0FDA" w:rsidP="001D0FDA">
            <w:pPr>
              <w:pStyle w:val="Tabletext"/>
              <w:rPr>
                <w:szCs w:val="18"/>
              </w:rPr>
            </w:pPr>
            <w:r w:rsidRPr="001A5334">
              <w:rPr>
                <w:szCs w:val="18"/>
              </w:rPr>
              <w:t>with 2 RCTs comparing bosentan with placebo:</w:t>
            </w:r>
          </w:p>
          <w:p w:rsidR="001D0FDA" w:rsidRPr="001A5334" w:rsidRDefault="001D0FDA" w:rsidP="001D0FDA">
            <w:pPr>
              <w:pStyle w:val="Tabletext"/>
              <w:numPr>
                <w:ilvl w:val="0"/>
                <w:numId w:val="12"/>
              </w:numPr>
              <w:ind w:left="425" w:hanging="283"/>
              <w:rPr>
                <w:szCs w:val="18"/>
              </w:rPr>
            </w:pPr>
            <w:r w:rsidRPr="001A5334">
              <w:rPr>
                <w:szCs w:val="18"/>
              </w:rPr>
              <w:t xml:space="preserve">BREATHE-1 </w:t>
            </w:r>
            <w:r w:rsidR="001D34EE" w:rsidRPr="001D34EE">
              <w:rPr>
                <w:noProof/>
                <w:szCs w:val="18"/>
                <w:vertAlign w:val="superscript"/>
              </w:rPr>
              <w:t>2</w:t>
            </w:r>
          </w:p>
          <w:p w:rsidR="001D0FDA" w:rsidRPr="0064129B" w:rsidRDefault="001D0FDA" w:rsidP="001D0FDA">
            <w:pPr>
              <w:pStyle w:val="Tabletext"/>
              <w:numPr>
                <w:ilvl w:val="0"/>
                <w:numId w:val="12"/>
              </w:numPr>
              <w:ind w:left="425" w:hanging="283"/>
              <w:rPr>
                <w:caps/>
                <w:color w:val="000000"/>
                <w:spacing w:val="5"/>
                <w:kern w:val="28"/>
                <w:szCs w:val="18"/>
                <w:u w:val="single"/>
              </w:rPr>
            </w:pPr>
            <w:r w:rsidRPr="001A5334">
              <w:rPr>
                <w:szCs w:val="18"/>
              </w:rPr>
              <w:t xml:space="preserve">AC-052-351 </w:t>
            </w:r>
            <w:r w:rsidR="001D34EE" w:rsidRPr="001D34EE">
              <w:rPr>
                <w:noProof/>
                <w:szCs w:val="18"/>
                <w:vertAlign w:val="superscript"/>
              </w:rPr>
              <w:t>4</w:t>
            </w:r>
          </w:p>
          <w:p w:rsidR="001D0FDA" w:rsidRPr="00EB1471" w:rsidRDefault="001D0FDA" w:rsidP="001D0FDA">
            <w:pPr>
              <w:pStyle w:val="Tabletext"/>
              <w:rPr>
                <w:caps/>
                <w:color w:val="000000"/>
                <w:spacing w:val="5"/>
                <w:kern w:val="28"/>
                <w:szCs w:val="18"/>
                <w:u w:val="single"/>
              </w:rPr>
            </w:pPr>
            <w:r>
              <w:rPr>
                <w:szCs w:val="18"/>
              </w:rPr>
              <w:t>via placebo as the common reference</w:t>
            </w:r>
          </w:p>
        </w:tc>
        <w:tc>
          <w:tcPr>
            <w:tcW w:w="1418" w:type="dxa"/>
            <w:tcBorders>
              <w:bottom w:val="single" w:sz="4" w:space="0" w:color="auto"/>
            </w:tcBorders>
          </w:tcPr>
          <w:p w:rsidR="001D0FDA" w:rsidRPr="00EB1471" w:rsidRDefault="001D0FDA" w:rsidP="001D0FDA">
            <w:pPr>
              <w:pStyle w:val="Tabletext"/>
              <w:rPr>
                <w:szCs w:val="18"/>
              </w:rPr>
            </w:pPr>
            <w:r>
              <w:rPr>
                <w:szCs w:val="18"/>
              </w:rPr>
              <w:t>Ambrisentan vs bosentan</w:t>
            </w:r>
          </w:p>
        </w:tc>
        <w:tc>
          <w:tcPr>
            <w:tcW w:w="3260" w:type="dxa"/>
            <w:tcBorders>
              <w:bottom w:val="single" w:sz="4" w:space="0" w:color="auto"/>
            </w:tcBorders>
          </w:tcPr>
          <w:p w:rsidR="001D0FDA" w:rsidRPr="00E86EBC" w:rsidRDefault="001D0FDA" w:rsidP="00480FDF">
            <w:pPr>
              <w:pStyle w:val="Tabletext"/>
              <w:numPr>
                <w:ilvl w:val="0"/>
                <w:numId w:val="20"/>
              </w:numPr>
              <w:ind w:left="227" w:hanging="227"/>
            </w:pPr>
            <w:r>
              <w:t>Ambrisentan was non-inferior to bos</w:t>
            </w:r>
            <w:r w:rsidR="003B6FA8">
              <w:t>entan in terms of change in 6MWD</w:t>
            </w:r>
            <w:r w:rsidR="0042322C">
              <w:t>.</w:t>
            </w:r>
          </w:p>
          <w:p w:rsidR="001D0FDA" w:rsidRPr="00E86EBC" w:rsidRDefault="001D0FDA" w:rsidP="00480FDF">
            <w:pPr>
              <w:pStyle w:val="Tabletext"/>
              <w:numPr>
                <w:ilvl w:val="0"/>
                <w:numId w:val="20"/>
              </w:numPr>
              <w:ind w:left="227" w:hanging="227"/>
            </w:pPr>
            <w:r>
              <w:t>There was no statistically significant difference between ambrisentan and bosentan with respect to change in BDI, WHO FC and clinical worsening</w:t>
            </w:r>
            <w:r w:rsidR="0042322C">
              <w:t>.</w:t>
            </w:r>
          </w:p>
          <w:p w:rsidR="001D0FDA" w:rsidRPr="00EB1471" w:rsidRDefault="001D0FDA" w:rsidP="00480FDF">
            <w:pPr>
              <w:pStyle w:val="Tabletext"/>
              <w:numPr>
                <w:ilvl w:val="0"/>
                <w:numId w:val="20"/>
              </w:numPr>
              <w:ind w:left="227" w:hanging="227"/>
              <w:rPr>
                <w:szCs w:val="18"/>
              </w:rPr>
            </w:pPr>
            <w:r>
              <w:t>T</w:t>
            </w:r>
            <w:r w:rsidRPr="00E86EBC">
              <w:t>he toxicity of ambrisentan appeared non-inferior to bosentan</w:t>
            </w:r>
            <w:r w:rsidR="0042322C">
              <w:t>.</w:t>
            </w:r>
          </w:p>
        </w:tc>
      </w:tr>
      <w:tr w:rsidR="001D0FDA" w:rsidRPr="003718FE" w:rsidTr="00F52145">
        <w:trPr>
          <w:cantSplit w:val="0"/>
        </w:trPr>
        <w:tc>
          <w:tcPr>
            <w:tcW w:w="2467" w:type="dxa"/>
            <w:gridSpan w:val="2"/>
            <w:shd w:val="clear" w:color="auto" w:fill="000000" w:themeFill="text1"/>
          </w:tcPr>
          <w:p w:rsidR="001D0FDA" w:rsidRPr="003718FE" w:rsidRDefault="001D0FDA" w:rsidP="001D0FDA">
            <w:pPr>
              <w:pStyle w:val="Tabletext"/>
              <w:rPr>
                <w:b/>
                <w:color w:val="FFFFFF" w:themeColor="background1"/>
                <w:szCs w:val="18"/>
              </w:rPr>
            </w:pPr>
            <w:r w:rsidRPr="003718FE">
              <w:rPr>
                <w:b/>
                <w:color w:val="FFFFFF" w:themeColor="background1"/>
                <w:szCs w:val="18"/>
              </w:rPr>
              <w:t>Macitentan</w:t>
            </w:r>
          </w:p>
        </w:tc>
        <w:tc>
          <w:tcPr>
            <w:tcW w:w="2693" w:type="dxa"/>
            <w:shd w:val="clear" w:color="auto" w:fill="000000" w:themeFill="text1"/>
          </w:tcPr>
          <w:p w:rsidR="001D0FDA" w:rsidRPr="003718FE" w:rsidRDefault="001D0FDA" w:rsidP="001D0FDA">
            <w:pPr>
              <w:pStyle w:val="Tabletext"/>
              <w:rPr>
                <w:b/>
                <w:color w:val="FFFFFF" w:themeColor="background1"/>
                <w:szCs w:val="18"/>
              </w:rPr>
            </w:pPr>
          </w:p>
        </w:tc>
        <w:tc>
          <w:tcPr>
            <w:tcW w:w="1418" w:type="dxa"/>
            <w:shd w:val="clear" w:color="auto" w:fill="000000" w:themeFill="text1"/>
          </w:tcPr>
          <w:p w:rsidR="001D0FDA" w:rsidRPr="003718FE" w:rsidRDefault="001D0FDA" w:rsidP="001D0FDA">
            <w:pPr>
              <w:pStyle w:val="Tabletext"/>
              <w:rPr>
                <w:color w:val="FFFFFF" w:themeColor="background1"/>
                <w:szCs w:val="18"/>
              </w:rPr>
            </w:pPr>
          </w:p>
        </w:tc>
        <w:tc>
          <w:tcPr>
            <w:tcW w:w="3260" w:type="dxa"/>
            <w:shd w:val="clear" w:color="auto" w:fill="000000" w:themeFill="text1"/>
          </w:tcPr>
          <w:p w:rsidR="001D0FDA" w:rsidRPr="003718FE" w:rsidRDefault="001D0FDA" w:rsidP="001D0FDA">
            <w:pPr>
              <w:pStyle w:val="Tabletext"/>
              <w:rPr>
                <w:color w:val="FFFFFF" w:themeColor="background1"/>
                <w:szCs w:val="18"/>
              </w:rPr>
            </w:pPr>
          </w:p>
        </w:tc>
      </w:tr>
      <w:tr w:rsidR="001D0FDA" w:rsidRPr="00EB1471" w:rsidTr="00F52145">
        <w:trPr>
          <w:cantSplit w:val="0"/>
        </w:trPr>
        <w:tc>
          <w:tcPr>
            <w:tcW w:w="1191" w:type="dxa"/>
            <w:tcBorders>
              <w:bottom w:val="single" w:sz="4" w:space="0" w:color="auto"/>
            </w:tcBorders>
          </w:tcPr>
          <w:p w:rsidR="001D0FDA" w:rsidRPr="00EB1471" w:rsidRDefault="001D0FDA" w:rsidP="001D0FDA">
            <w:pPr>
              <w:pStyle w:val="Tabletext"/>
              <w:rPr>
                <w:szCs w:val="18"/>
              </w:rPr>
            </w:pPr>
            <w:r w:rsidRPr="00EB1471">
              <w:rPr>
                <w:szCs w:val="18"/>
              </w:rPr>
              <w:t>March 2014</w:t>
            </w:r>
          </w:p>
        </w:tc>
        <w:tc>
          <w:tcPr>
            <w:tcW w:w="1276" w:type="dxa"/>
            <w:tcBorders>
              <w:bottom w:val="single" w:sz="4" w:space="0" w:color="auto"/>
            </w:tcBorders>
          </w:tcPr>
          <w:p w:rsidR="001D0FDA" w:rsidRDefault="001D0FDA" w:rsidP="001D0FDA">
            <w:pPr>
              <w:pStyle w:val="Tabletext"/>
            </w:pPr>
            <w:r>
              <w:t>WHO FC III/IV</w:t>
            </w:r>
            <w:r w:rsidRPr="00987BC5">
              <w:t xml:space="preserve"> </w:t>
            </w:r>
            <w:r w:rsidRPr="009165A0">
              <w:t xml:space="preserve">IPAH, PAH-CTD and </w:t>
            </w:r>
            <w:r>
              <w:t>PAH-CHD</w:t>
            </w:r>
          </w:p>
          <w:p w:rsidR="001D0FDA" w:rsidRPr="00564A78" w:rsidRDefault="001D0FDA" w:rsidP="001D0FDA">
            <w:pPr>
              <w:pStyle w:val="Tabletext"/>
              <w:rPr>
                <w:szCs w:val="18"/>
              </w:rPr>
            </w:pPr>
          </w:p>
        </w:tc>
        <w:tc>
          <w:tcPr>
            <w:tcW w:w="2693" w:type="dxa"/>
            <w:tcBorders>
              <w:bottom w:val="single" w:sz="4" w:space="0" w:color="auto"/>
            </w:tcBorders>
          </w:tcPr>
          <w:p w:rsidR="001D0FDA" w:rsidRPr="00564A78" w:rsidRDefault="001D0FDA" w:rsidP="001D0FDA">
            <w:pPr>
              <w:pStyle w:val="Tabletext"/>
              <w:rPr>
                <w:szCs w:val="18"/>
              </w:rPr>
            </w:pPr>
            <w:r w:rsidRPr="00564A78">
              <w:rPr>
                <w:szCs w:val="18"/>
              </w:rPr>
              <w:t xml:space="preserve">Indirect comparison of 1 RCT comparing macitentan with placebo: </w:t>
            </w:r>
          </w:p>
          <w:p w:rsidR="001D0FDA" w:rsidRPr="00564A78" w:rsidRDefault="001D0FDA" w:rsidP="001D0FDA">
            <w:pPr>
              <w:pStyle w:val="Tabletext"/>
              <w:numPr>
                <w:ilvl w:val="0"/>
                <w:numId w:val="12"/>
              </w:numPr>
              <w:ind w:left="425" w:hanging="283"/>
              <w:rPr>
                <w:szCs w:val="18"/>
              </w:rPr>
            </w:pPr>
            <w:r w:rsidRPr="00564A78">
              <w:rPr>
                <w:szCs w:val="18"/>
              </w:rPr>
              <w:t xml:space="preserve">SERAPHIN </w:t>
            </w:r>
            <w:r w:rsidR="001D34EE" w:rsidRPr="001D34EE">
              <w:rPr>
                <w:noProof/>
                <w:szCs w:val="18"/>
                <w:vertAlign w:val="superscript"/>
              </w:rPr>
              <w:t>7</w:t>
            </w:r>
            <w:r>
              <w:rPr>
                <w:szCs w:val="18"/>
              </w:rPr>
              <w:t xml:space="preserve"> (overall population (i</w:t>
            </w:r>
            <w:r w:rsidR="007E4C7F">
              <w:rPr>
                <w:szCs w:val="18"/>
              </w:rPr>
              <w:t>.</w:t>
            </w:r>
            <w:r w:rsidRPr="00564A78">
              <w:rPr>
                <w:szCs w:val="18"/>
              </w:rPr>
              <w:t>e</w:t>
            </w:r>
            <w:r w:rsidR="007E4C7F">
              <w:rPr>
                <w:szCs w:val="18"/>
              </w:rPr>
              <w:t>.</w:t>
            </w:r>
            <w:r w:rsidRPr="00564A78">
              <w:rPr>
                <w:szCs w:val="18"/>
              </w:rPr>
              <w:t xml:space="preserve"> with or without bac</w:t>
            </w:r>
            <w:bookmarkStart w:id="18" w:name="_GoBack"/>
            <w:r w:rsidRPr="00564A78">
              <w:rPr>
                <w:szCs w:val="18"/>
              </w:rPr>
              <w:t>kg</w:t>
            </w:r>
            <w:bookmarkEnd w:id="18"/>
            <w:r w:rsidRPr="00564A78">
              <w:rPr>
                <w:szCs w:val="18"/>
              </w:rPr>
              <w:t xml:space="preserve">round therapy consisting of other </w:t>
            </w:r>
            <w:r>
              <w:rPr>
                <w:szCs w:val="18"/>
              </w:rPr>
              <w:t>PAH medicine</w:t>
            </w:r>
            <w:r w:rsidRPr="00564A78">
              <w:rPr>
                <w:szCs w:val="18"/>
              </w:rPr>
              <w:t>s, regardless of WHO FC) and treatment-naïve WHO FC III/IV subgroup)</w:t>
            </w:r>
          </w:p>
          <w:p w:rsidR="001D0FDA" w:rsidRPr="00EB1471" w:rsidRDefault="001D0FDA" w:rsidP="001D0FDA">
            <w:pPr>
              <w:pStyle w:val="Tabletext"/>
              <w:rPr>
                <w:szCs w:val="18"/>
              </w:rPr>
            </w:pPr>
            <w:r w:rsidRPr="00564A78">
              <w:rPr>
                <w:szCs w:val="18"/>
              </w:rPr>
              <w:t>with 4 RCTs comparing bosentan with</w:t>
            </w:r>
            <w:r w:rsidRPr="00EB1471">
              <w:rPr>
                <w:szCs w:val="18"/>
              </w:rPr>
              <w:t xml:space="preserve"> placebo:</w:t>
            </w:r>
          </w:p>
          <w:p w:rsidR="001D0FDA" w:rsidRPr="00EB1471" w:rsidRDefault="001D0FDA" w:rsidP="001D0FDA">
            <w:pPr>
              <w:pStyle w:val="Tabletext"/>
              <w:numPr>
                <w:ilvl w:val="0"/>
                <w:numId w:val="12"/>
              </w:numPr>
              <w:ind w:left="425" w:hanging="283"/>
              <w:rPr>
                <w:szCs w:val="18"/>
              </w:rPr>
            </w:pPr>
            <w:r w:rsidRPr="00EB1471">
              <w:rPr>
                <w:szCs w:val="18"/>
              </w:rPr>
              <w:t xml:space="preserve">BREATHE-1 </w:t>
            </w:r>
            <w:r w:rsidR="001D34EE" w:rsidRPr="001D34EE">
              <w:rPr>
                <w:noProof/>
                <w:szCs w:val="18"/>
                <w:vertAlign w:val="superscript"/>
              </w:rPr>
              <w:t>2, 8</w:t>
            </w:r>
          </w:p>
          <w:p w:rsidR="001D0FDA" w:rsidRPr="00EB1471" w:rsidRDefault="001D0FDA" w:rsidP="001D0FDA">
            <w:pPr>
              <w:pStyle w:val="Tabletext"/>
              <w:numPr>
                <w:ilvl w:val="0"/>
                <w:numId w:val="12"/>
              </w:numPr>
              <w:ind w:left="425" w:hanging="283"/>
              <w:rPr>
                <w:szCs w:val="18"/>
              </w:rPr>
            </w:pPr>
            <w:r w:rsidRPr="00EB1471">
              <w:rPr>
                <w:szCs w:val="18"/>
              </w:rPr>
              <w:t xml:space="preserve">AC-052-351 </w:t>
            </w:r>
            <w:r w:rsidR="001D34EE" w:rsidRPr="001D34EE">
              <w:rPr>
                <w:noProof/>
                <w:szCs w:val="18"/>
                <w:vertAlign w:val="superscript"/>
              </w:rPr>
              <w:t>3, 4</w:t>
            </w:r>
          </w:p>
          <w:p w:rsidR="001D0FDA" w:rsidRPr="00EB1471" w:rsidRDefault="001D0FDA" w:rsidP="001D0FDA">
            <w:pPr>
              <w:pStyle w:val="Tabletext"/>
              <w:numPr>
                <w:ilvl w:val="0"/>
                <w:numId w:val="12"/>
              </w:numPr>
              <w:ind w:left="425" w:hanging="283"/>
              <w:rPr>
                <w:szCs w:val="18"/>
              </w:rPr>
            </w:pPr>
            <w:r w:rsidRPr="00EB1471">
              <w:rPr>
                <w:szCs w:val="18"/>
              </w:rPr>
              <w:t xml:space="preserve">EARLY </w:t>
            </w:r>
            <w:r w:rsidR="001D34EE" w:rsidRPr="001D34EE">
              <w:rPr>
                <w:noProof/>
                <w:szCs w:val="18"/>
                <w:vertAlign w:val="superscript"/>
              </w:rPr>
              <w:t>9</w:t>
            </w:r>
          </w:p>
          <w:p w:rsidR="001D0FDA" w:rsidRPr="0064129B" w:rsidRDefault="001D0FDA" w:rsidP="001D0FDA">
            <w:pPr>
              <w:pStyle w:val="Tabletext"/>
              <w:numPr>
                <w:ilvl w:val="0"/>
                <w:numId w:val="12"/>
              </w:numPr>
              <w:ind w:left="425" w:hanging="283"/>
              <w:rPr>
                <w:b/>
                <w:caps/>
                <w:color w:val="000000"/>
                <w:spacing w:val="5"/>
                <w:kern w:val="28"/>
                <w:szCs w:val="18"/>
                <w:u w:val="single"/>
              </w:rPr>
            </w:pPr>
            <w:r w:rsidRPr="00EB1471">
              <w:rPr>
                <w:szCs w:val="18"/>
              </w:rPr>
              <w:t xml:space="preserve">STRIDE-2 </w:t>
            </w:r>
            <w:r w:rsidR="001D34EE" w:rsidRPr="001D34EE">
              <w:rPr>
                <w:noProof/>
                <w:szCs w:val="18"/>
                <w:vertAlign w:val="superscript"/>
              </w:rPr>
              <w:t>10</w:t>
            </w:r>
          </w:p>
          <w:p w:rsidR="001D0FDA" w:rsidRPr="0064129B" w:rsidRDefault="001D0FDA" w:rsidP="001D0FDA">
            <w:pPr>
              <w:pStyle w:val="Tabletext"/>
              <w:rPr>
                <w:szCs w:val="18"/>
              </w:rPr>
            </w:pPr>
            <w:r w:rsidRPr="0064129B">
              <w:rPr>
                <w:szCs w:val="18"/>
              </w:rPr>
              <w:t>via placebo as the common reference</w:t>
            </w:r>
          </w:p>
        </w:tc>
        <w:tc>
          <w:tcPr>
            <w:tcW w:w="1418" w:type="dxa"/>
            <w:tcBorders>
              <w:bottom w:val="single" w:sz="4" w:space="0" w:color="auto"/>
            </w:tcBorders>
          </w:tcPr>
          <w:p w:rsidR="001D0FDA" w:rsidRPr="00EB1471" w:rsidRDefault="001D0FDA" w:rsidP="001D0FDA">
            <w:pPr>
              <w:pStyle w:val="Tabletext"/>
              <w:rPr>
                <w:szCs w:val="18"/>
              </w:rPr>
            </w:pPr>
            <w:r>
              <w:rPr>
                <w:szCs w:val="18"/>
              </w:rPr>
              <w:t>Macitentan vs bosentan</w:t>
            </w:r>
          </w:p>
          <w:p w:rsidR="001D0FDA" w:rsidRPr="00EB1471" w:rsidRDefault="001D0FDA" w:rsidP="001D0FDA">
            <w:pPr>
              <w:pStyle w:val="Tabletext"/>
              <w:rPr>
                <w:szCs w:val="18"/>
              </w:rPr>
            </w:pPr>
          </w:p>
        </w:tc>
        <w:tc>
          <w:tcPr>
            <w:tcW w:w="3260" w:type="dxa"/>
            <w:tcBorders>
              <w:bottom w:val="single" w:sz="4" w:space="0" w:color="auto"/>
            </w:tcBorders>
          </w:tcPr>
          <w:p w:rsidR="001D0FDA" w:rsidRPr="00564A78" w:rsidRDefault="001D0FDA" w:rsidP="00480FDF">
            <w:pPr>
              <w:pStyle w:val="Tabletext"/>
              <w:numPr>
                <w:ilvl w:val="0"/>
                <w:numId w:val="20"/>
              </w:numPr>
              <w:ind w:left="227" w:hanging="227"/>
            </w:pPr>
            <w:r>
              <w:t xml:space="preserve">Macitentan was non-inferior to bosentan in terms of improvement in </w:t>
            </w:r>
            <w:r w:rsidRPr="00564A78">
              <w:t>6MWD.</w:t>
            </w:r>
            <w:r w:rsidR="002449DC">
              <w:t xml:space="preserve"> </w:t>
            </w:r>
          </w:p>
          <w:p w:rsidR="001D0FDA" w:rsidRPr="00564A78" w:rsidRDefault="001D0FDA" w:rsidP="00480FDF">
            <w:pPr>
              <w:pStyle w:val="Tabletext"/>
              <w:numPr>
                <w:ilvl w:val="0"/>
                <w:numId w:val="20"/>
              </w:numPr>
              <w:ind w:left="227" w:hanging="227"/>
            </w:pPr>
            <w:r>
              <w:t>M</w:t>
            </w:r>
            <w:r w:rsidRPr="00564A78">
              <w:t>acitentan was non-inferior in terms of saf</w:t>
            </w:r>
            <w:r>
              <w:t xml:space="preserve">ety when compared to bosentan. </w:t>
            </w:r>
          </w:p>
        </w:tc>
      </w:tr>
      <w:tr w:rsidR="00065ABB" w:rsidRPr="003718FE" w:rsidTr="00F52145">
        <w:trPr>
          <w:cantSplit w:val="0"/>
        </w:trPr>
        <w:tc>
          <w:tcPr>
            <w:tcW w:w="2467" w:type="dxa"/>
            <w:gridSpan w:val="2"/>
            <w:shd w:val="clear" w:color="auto" w:fill="000000" w:themeFill="text1"/>
          </w:tcPr>
          <w:p w:rsidR="00065ABB" w:rsidRPr="003718FE" w:rsidRDefault="00065ABB" w:rsidP="001D0FDA">
            <w:pPr>
              <w:pStyle w:val="Tabletext"/>
              <w:rPr>
                <w:b/>
                <w:color w:val="FFFFFF" w:themeColor="background1"/>
                <w:szCs w:val="18"/>
              </w:rPr>
            </w:pPr>
            <w:r w:rsidRPr="003718FE">
              <w:rPr>
                <w:b/>
                <w:color w:val="FFFFFF" w:themeColor="background1"/>
                <w:szCs w:val="18"/>
              </w:rPr>
              <w:t>Sildenafil</w:t>
            </w:r>
          </w:p>
        </w:tc>
        <w:tc>
          <w:tcPr>
            <w:tcW w:w="2693" w:type="dxa"/>
            <w:shd w:val="clear" w:color="auto" w:fill="000000" w:themeFill="text1"/>
          </w:tcPr>
          <w:p w:rsidR="00065ABB" w:rsidRPr="003718FE" w:rsidRDefault="00065ABB" w:rsidP="001D0FDA">
            <w:pPr>
              <w:pStyle w:val="Tabletext"/>
              <w:rPr>
                <w:b/>
                <w:color w:val="FFFFFF" w:themeColor="background1"/>
                <w:szCs w:val="18"/>
              </w:rPr>
            </w:pPr>
          </w:p>
        </w:tc>
        <w:tc>
          <w:tcPr>
            <w:tcW w:w="1418" w:type="dxa"/>
            <w:shd w:val="clear" w:color="auto" w:fill="000000" w:themeFill="text1"/>
          </w:tcPr>
          <w:p w:rsidR="00065ABB" w:rsidRPr="003718FE" w:rsidRDefault="00065ABB" w:rsidP="001D0FDA">
            <w:pPr>
              <w:pStyle w:val="Tabletext"/>
              <w:rPr>
                <w:color w:val="FFFFFF" w:themeColor="background1"/>
                <w:szCs w:val="18"/>
              </w:rPr>
            </w:pPr>
          </w:p>
        </w:tc>
        <w:tc>
          <w:tcPr>
            <w:tcW w:w="3260" w:type="dxa"/>
            <w:shd w:val="clear" w:color="auto" w:fill="000000" w:themeFill="text1"/>
          </w:tcPr>
          <w:p w:rsidR="00065ABB" w:rsidRPr="003718FE" w:rsidRDefault="00065ABB" w:rsidP="001D0FDA">
            <w:pPr>
              <w:pStyle w:val="Tabletext"/>
              <w:rPr>
                <w:color w:val="FFFFFF" w:themeColor="background1"/>
                <w:szCs w:val="18"/>
              </w:rPr>
            </w:pPr>
          </w:p>
        </w:tc>
      </w:tr>
      <w:tr w:rsidR="001D0FDA" w:rsidRPr="00EB1471" w:rsidTr="00F52145">
        <w:trPr>
          <w:cantSplit w:val="0"/>
        </w:trPr>
        <w:tc>
          <w:tcPr>
            <w:tcW w:w="1191" w:type="dxa"/>
            <w:tcBorders>
              <w:bottom w:val="single" w:sz="4" w:space="0" w:color="auto"/>
            </w:tcBorders>
          </w:tcPr>
          <w:p w:rsidR="001D0FDA" w:rsidRPr="00EB1471" w:rsidRDefault="001D0FDA" w:rsidP="001D0FDA">
            <w:pPr>
              <w:pStyle w:val="Tabletext"/>
              <w:rPr>
                <w:szCs w:val="18"/>
              </w:rPr>
            </w:pPr>
            <w:r w:rsidRPr="00EB1471">
              <w:rPr>
                <w:szCs w:val="18"/>
              </w:rPr>
              <w:t>November 2006</w:t>
            </w:r>
          </w:p>
        </w:tc>
        <w:tc>
          <w:tcPr>
            <w:tcW w:w="1276" w:type="dxa"/>
            <w:tcBorders>
              <w:bottom w:val="single" w:sz="4" w:space="0" w:color="auto"/>
            </w:tcBorders>
          </w:tcPr>
          <w:p w:rsidR="001D0FDA" w:rsidRPr="0064129B" w:rsidRDefault="001D0FDA" w:rsidP="001D0FDA">
            <w:pPr>
              <w:pStyle w:val="Tabletext"/>
              <w:rPr>
                <w:szCs w:val="18"/>
              </w:rPr>
            </w:pPr>
            <w:r w:rsidRPr="00987BC5">
              <w:t xml:space="preserve">WHO FC III </w:t>
            </w:r>
            <w:r>
              <w:t>IPAH and PAH-CTD</w:t>
            </w:r>
          </w:p>
        </w:tc>
        <w:tc>
          <w:tcPr>
            <w:tcW w:w="2693" w:type="dxa"/>
            <w:tcBorders>
              <w:bottom w:val="single" w:sz="4" w:space="0" w:color="auto"/>
            </w:tcBorders>
          </w:tcPr>
          <w:p w:rsidR="001D0FDA" w:rsidRPr="0064129B" w:rsidRDefault="001D0FDA" w:rsidP="001D0FDA">
            <w:pPr>
              <w:pStyle w:val="Tabletext"/>
              <w:rPr>
                <w:szCs w:val="18"/>
              </w:rPr>
            </w:pPr>
            <w:r w:rsidRPr="0064129B">
              <w:rPr>
                <w:szCs w:val="18"/>
              </w:rPr>
              <w:t xml:space="preserve">Indirect comparison of 1 RCT comparing sildenafil with placebo: </w:t>
            </w:r>
          </w:p>
          <w:p w:rsidR="001D0FDA" w:rsidRPr="00EB1471" w:rsidRDefault="001D0FDA" w:rsidP="001D0FDA">
            <w:pPr>
              <w:pStyle w:val="Tabletext"/>
              <w:numPr>
                <w:ilvl w:val="0"/>
                <w:numId w:val="12"/>
              </w:numPr>
              <w:ind w:left="425" w:hanging="283"/>
              <w:rPr>
                <w:szCs w:val="18"/>
              </w:rPr>
            </w:pPr>
            <w:r w:rsidRPr="00EB1471">
              <w:rPr>
                <w:szCs w:val="18"/>
              </w:rPr>
              <w:t xml:space="preserve">SUPER-1 </w:t>
            </w:r>
            <w:r w:rsidR="001D34EE" w:rsidRPr="001D34EE">
              <w:rPr>
                <w:noProof/>
                <w:szCs w:val="18"/>
                <w:vertAlign w:val="superscript"/>
              </w:rPr>
              <w:t>11</w:t>
            </w:r>
            <w:r w:rsidR="00F70738">
              <w:rPr>
                <w:szCs w:val="18"/>
              </w:rPr>
              <w:t xml:space="preserve"> (overall population </w:t>
            </w:r>
            <w:r>
              <w:rPr>
                <w:szCs w:val="18"/>
              </w:rPr>
              <w:t>i</w:t>
            </w:r>
            <w:r w:rsidR="007E4C7F">
              <w:rPr>
                <w:szCs w:val="18"/>
              </w:rPr>
              <w:t>.</w:t>
            </w:r>
            <w:r>
              <w:rPr>
                <w:szCs w:val="18"/>
              </w:rPr>
              <w:t>e</w:t>
            </w:r>
            <w:r w:rsidR="007E4C7F">
              <w:rPr>
                <w:szCs w:val="18"/>
              </w:rPr>
              <w:t>.</w:t>
            </w:r>
            <w:r w:rsidR="00F70738">
              <w:rPr>
                <w:szCs w:val="18"/>
              </w:rPr>
              <w:t xml:space="preserve"> regardless of WHO FC,</w:t>
            </w:r>
            <w:r w:rsidRPr="00EB1471">
              <w:rPr>
                <w:szCs w:val="18"/>
              </w:rPr>
              <w:t xml:space="preserve"> and WHO III subgroup)</w:t>
            </w:r>
          </w:p>
          <w:p w:rsidR="001D0FDA" w:rsidRPr="00EB1471" w:rsidRDefault="001D0FDA" w:rsidP="001D0FDA">
            <w:pPr>
              <w:pStyle w:val="Tabletext"/>
              <w:rPr>
                <w:szCs w:val="18"/>
              </w:rPr>
            </w:pPr>
            <w:r w:rsidRPr="00EB1471">
              <w:rPr>
                <w:szCs w:val="18"/>
              </w:rPr>
              <w:t xml:space="preserve">with 2 RCTs comparing </w:t>
            </w:r>
            <w:r w:rsidRPr="00564A78">
              <w:rPr>
                <w:szCs w:val="18"/>
              </w:rPr>
              <w:t>bosentan</w:t>
            </w:r>
            <w:r w:rsidRPr="00EB1471">
              <w:rPr>
                <w:szCs w:val="18"/>
              </w:rPr>
              <w:t xml:space="preserve"> with placebo:</w:t>
            </w:r>
          </w:p>
          <w:p w:rsidR="001D0FDA" w:rsidRPr="00EB1471" w:rsidRDefault="001D0FDA" w:rsidP="001D0FDA">
            <w:pPr>
              <w:pStyle w:val="Tabletext"/>
              <w:numPr>
                <w:ilvl w:val="0"/>
                <w:numId w:val="12"/>
              </w:numPr>
              <w:ind w:left="425" w:hanging="283"/>
              <w:rPr>
                <w:szCs w:val="18"/>
              </w:rPr>
            </w:pPr>
            <w:r w:rsidRPr="00EB1471">
              <w:rPr>
                <w:szCs w:val="18"/>
              </w:rPr>
              <w:t xml:space="preserve">BREATHE-1 </w:t>
            </w:r>
            <w:r w:rsidR="001D34EE" w:rsidRPr="001D34EE">
              <w:rPr>
                <w:noProof/>
                <w:szCs w:val="18"/>
                <w:vertAlign w:val="superscript"/>
              </w:rPr>
              <w:t>2</w:t>
            </w:r>
          </w:p>
          <w:p w:rsidR="001D0FDA" w:rsidRDefault="001D0FDA" w:rsidP="001D0FDA">
            <w:pPr>
              <w:pStyle w:val="Tabletext"/>
              <w:numPr>
                <w:ilvl w:val="0"/>
                <w:numId w:val="12"/>
              </w:numPr>
              <w:ind w:left="425" w:hanging="283"/>
              <w:rPr>
                <w:szCs w:val="18"/>
              </w:rPr>
            </w:pPr>
            <w:r>
              <w:rPr>
                <w:szCs w:val="18"/>
              </w:rPr>
              <w:t xml:space="preserve">AC-052-351 </w:t>
            </w:r>
            <w:r w:rsidR="001D34EE" w:rsidRPr="001D34EE">
              <w:rPr>
                <w:noProof/>
                <w:szCs w:val="18"/>
                <w:vertAlign w:val="superscript"/>
              </w:rPr>
              <w:t>4</w:t>
            </w:r>
          </w:p>
          <w:p w:rsidR="001D0FDA" w:rsidRPr="00EB1471" w:rsidRDefault="001D0FDA" w:rsidP="001D0FDA">
            <w:pPr>
              <w:pStyle w:val="Tabletext"/>
              <w:rPr>
                <w:szCs w:val="18"/>
              </w:rPr>
            </w:pPr>
            <w:r>
              <w:rPr>
                <w:szCs w:val="18"/>
              </w:rPr>
              <w:t>via placebo as the common reference</w:t>
            </w:r>
          </w:p>
        </w:tc>
        <w:tc>
          <w:tcPr>
            <w:tcW w:w="1418" w:type="dxa"/>
            <w:tcBorders>
              <w:bottom w:val="single" w:sz="4" w:space="0" w:color="auto"/>
            </w:tcBorders>
          </w:tcPr>
          <w:p w:rsidR="001D0FDA" w:rsidRPr="00EB1471" w:rsidRDefault="001D0FDA" w:rsidP="001D0FDA">
            <w:pPr>
              <w:pStyle w:val="Tabletext"/>
              <w:rPr>
                <w:szCs w:val="18"/>
              </w:rPr>
            </w:pPr>
            <w:r>
              <w:rPr>
                <w:szCs w:val="18"/>
              </w:rPr>
              <w:t>Sildenafil vs bosentan</w:t>
            </w:r>
          </w:p>
        </w:tc>
        <w:tc>
          <w:tcPr>
            <w:tcW w:w="3260" w:type="dxa"/>
            <w:tcBorders>
              <w:bottom w:val="single" w:sz="4" w:space="0" w:color="auto"/>
            </w:tcBorders>
          </w:tcPr>
          <w:p w:rsidR="001D0FDA" w:rsidRPr="00002316" w:rsidRDefault="001D0FDA" w:rsidP="00480FDF">
            <w:pPr>
              <w:pStyle w:val="Tabletext"/>
              <w:numPr>
                <w:ilvl w:val="0"/>
                <w:numId w:val="20"/>
              </w:numPr>
              <w:ind w:left="227" w:hanging="227"/>
            </w:pPr>
            <w:r w:rsidRPr="00002316">
              <w:t xml:space="preserve">Sildenafil was non-inferior to bosentan in terms </w:t>
            </w:r>
            <w:r w:rsidR="00F70738">
              <w:t xml:space="preserve">of </w:t>
            </w:r>
            <w:r w:rsidR="003B6FA8">
              <w:t>improvement in 6MWD</w:t>
            </w:r>
          </w:p>
          <w:p w:rsidR="001D0FDA" w:rsidRPr="00EB1471" w:rsidRDefault="001D0FDA" w:rsidP="00480FDF">
            <w:pPr>
              <w:pStyle w:val="Tabletext"/>
              <w:numPr>
                <w:ilvl w:val="0"/>
                <w:numId w:val="20"/>
              </w:numPr>
              <w:ind w:left="227" w:hanging="227"/>
              <w:rPr>
                <w:szCs w:val="18"/>
              </w:rPr>
            </w:pPr>
            <w:r w:rsidRPr="00002316">
              <w:t>Sildenafil was no worse tha</w:t>
            </w:r>
            <w:r w:rsidR="003B6FA8">
              <w:t>n bosentan in terms of toxicity</w:t>
            </w:r>
          </w:p>
        </w:tc>
      </w:tr>
      <w:tr w:rsidR="00065ABB" w:rsidRPr="003718FE" w:rsidTr="00F52145">
        <w:trPr>
          <w:cantSplit w:val="0"/>
        </w:trPr>
        <w:tc>
          <w:tcPr>
            <w:tcW w:w="2467" w:type="dxa"/>
            <w:gridSpan w:val="2"/>
            <w:shd w:val="clear" w:color="auto" w:fill="000000" w:themeFill="text1"/>
          </w:tcPr>
          <w:p w:rsidR="00065ABB" w:rsidRPr="003718FE" w:rsidRDefault="00065ABB" w:rsidP="001D0FDA">
            <w:pPr>
              <w:pStyle w:val="Tabletext"/>
              <w:rPr>
                <w:b/>
                <w:color w:val="FFFFFF" w:themeColor="background1"/>
                <w:szCs w:val="18"/>
              </w:rPr>
            </w:pPr>
            <w:r w:rsidRPr="003718FE">
              <w:rPr>
                <w:b/>
                <w:color w:val="FFFFFF" w:themeColor="background1"/>
                <w:szCs w:val="18"/>
              </w:rPr>
              <w:t>Tadalafil</w:t>
            </w:r>
          </w:p>
        </w:tc>
        <w:tc>
          <w:tcPr>
            <w:tcW w:w="2693" w:type="dxa"/>
            <w:shd w:val="clear" w:color="auto" w:fill="000000" w:themeFill="text1"/>
          </w:tcPr>
          <w:p w:rsidR="00065ABB" w:rsidRPr="003718FE" w:rsidRDefault="00065ABB" w:rsidP="001D0FDA">
            <w:pPr>
              <w:pStyle w:val="Tabletext"/>
              <w:rPr>
                <w:b/>
                <w:color w:val="FFFFFF" w:themeColor="background1"/>
                <w:szCs w:val="18"/>
              </w:rPr>
            </w:pPr>
          </w:p>
        </w:tc>
        <w:tc>
          <w:tcPr>
            <w:tcW w:w="1418" w:type="dxa"/>
            <w:shd w:val="clear" w:color="auto" w:fill="000000" w:themeFill="text1"/>
          </w:tcPr>
          <w:p w:rsidR="00065ABB" w:rsidRPr="003718FE" w:rsidRDefault="00065ABB" w:rsidP="001D0FDA">
            <w:pPr>
              <w:pStyle w:val="Tabletext"/>
              <w:rPr>
                <w:b/>
                <w:color w:val="FFFFFF" w:themeColor="background1"/>
                <w:szCs w:val="18"/>
              </w:rPr>
            </w:pPr>
          </w:p>
        </w:tc>
        <w:tc>
          <w:tcPr>
            <w:tcW w:w="3260" w:type="dxa"/>
            <w:shd w:val="clear" w:color="auto" w:fill="000000" w:themeFill="text1"/>
          </w:tcPr>
          <w:p w:rsidR="00065ABB" w:rsidRPr="003718FE" w:rsidRDefault="00065ABB" w:rsidP="001D0FDA">
            <w:pPr>
              <w:pStyle w:val="Tabletext"/>
              <w:rPr>
                <w:b/>
                <w:color w:val="FFFFFF" w:themeColor="background1"/>
                <w:szCs w:val="18"/>
              </w:rPr>
            </w:pPr>
          </w:p>
        </w:tc>
      </w:tr>
      <w:tr w:rsidR="001D0FDA" w:rsidRPr="00EB1471" w:rsidTr="00F52145">
        <w:trPr>
          <w:cantSplit w:val="0"/>
        </w:trPr>
        <w:tc>
          <w:tcPr>
            <w:tcW w:w="1191" w:type="dxa"/>
            <w:tcBorders>
              <w:bottom w:val="single" w:sz="4" w:space="0" w:color="auto"/>
            </w:tcBorders>
          </w:tcPr>
          <w:p w:rsidR="001D0FDA" w:rsidRPr="00EB1471" w:rsidRDefault="001D0FDA" w:rsidP="001D0FDA">
            <w:pPr>
              <w:pStyle w:val="Tabletext"/>
              <w:rPr>
                <w:szCs w:val="18"/>
              </w:rPr>
            </w:pPr>
            <w:r w:rsidRPr="00EB1471">
              <w:rPr>
                <w:szCs w:val="18"/>
              </w:rPr>
              <w:t>November 2011</w:t>
            </w:r>
          </w:p>
        </w:tc>
        <w:tc>
          <w:tcPr>
            <w:tcW w:w="1276" w:type="dxa"/>
            <w:tcBorders>
              <w:bottom w:val="single" w:sz="4" w:space="0" w:color="auto"/>
            </w:tcBorders>
          </w:tcPr>
          <w:p w:rsidR="001D0FDA" w:rsidRPr="00EB1471" w:rsidRDefault="001D0FDA" w:rsidP="001D0FDA">
            <w:pPr>
              <w:pStyle w:val="Tabletext"/>
              <w:rPr>
                <w:szCs w:val="18"/>
              </w:rPr>
            </w:pPr>
            <w:r w:rsidRPr="00987BC5">
              <w:t xml:space="preserve">WHO FC III </w:t>
            </w:r>
            <w:r>
              <w:t>IPAH and PAH-CTD</w:t>
            </w:r>
          </w:p>
        </w:tc>
        <w:tc>
          <w:tcPr>
            <w:tcW w:w="2693" w:type="dxa"/>
            <w:tcBorders>
              <w:bottom w:val="single" w:sz="4" w:space="0" w:color="auto"/>
            </w:tcBorders>
          </w:tcPr>
          <w:p w:rsidR="001D0FDA" w:rsidRPr="0064129B" w:rsidRDefault="001D0FDA" w:rsidP="001D0FDA">
            <w:pPr>
              <w:pStyle w:val="Tabletext"/>
              <w:rPr>
                <w:szCs w:val="18"/>
              </w:rPr>
            </w:pPr>
            <w:r w:rsidRPr="00EB1471">
              <w:rPr>
                <w:szCs w:val="18"/>
              </w:rPr>
              <w:t xml:space="preserve">Indirect </w:t>
            </w:r>
            <w:r w:rsidRPr="0064129B">
              <w:rPr>
                <w:szCs w:val="18"/>
              </w:rPr>
              <w:t xml:space="preserve">comparison of 1 RCT comparing tadalafil with placebo: </w:t>
            </w:r>
          </w:p>
          <w:p w:rsidR="001D0FDA" w:rsidRPr="0064129B" w:rsidRDefault="001D0FDA" w:rsidP="001D0FDA">
            <w:pPr>
              <w:pStyle w:val="Tabletext"/>
              <w:numPr>
                <w:ilvl w:val="0"/>
                <w:numId w:val="12"/>
              </w:numPr>
              <w:ind w:left="425" w:hanging="283"/>
              <w:rPr>
                <w:szCs w:val="18"/>
              </w:rPr>
            </w:pPr>
            <w:r w:rsidRPr="0064129B">
              <w:rPr>
                <w:szCs w:val="18"/>
              </w:rPr>
              <w:t xml:space="preserve">PHIRST </w:t>
            </w:r>
            <w:r w:rsidR="001D34EE" w:rsidRPr="001D34EE">
              <w:rPr>
                <w:noProof/>
                <w:szCs w:val="18"/>
                <w:vertAlign w:val="superscript"/>
              </w:rPr>
              <w:t>12-14</w:t>
            </w:r>
            <w:r w:rsidRPr="0064129B">
              <w:rPr>
                <w:szCs w:val="18"/>
              </w:rPr>
              <w:t xml:space="preserve"> (subgroup of no background therapy)</w:t>
            </w:r>
          </w:p>
          <w:p w:rsidR="001D0FDA" w:rsidRPr="0064129B" w:rsidRDefault="001D0FDA" w:rsidP="001D0FDA">
            <w:pPr>
              <w:pStyle w:val="Tabletext"/>
              <w:rPr>
                <w:szCs w:val="18"/>
              </w:rPr>
            </w:pPr>
            <w:r w:rsidRPr="0064129B">
              <w:rPr>
                <w:szCs w:val="18"/>
              </w:rPr>
              <w:t>with 1 RCT comparing sildenafil with placebo:</w:t>
            </w:r>
          </w:p>
          <w:p w:rsidR="001D0FDA" w:rsidRDefault="001D0FDA" w:rsidP="001D0FDA">
            <w:pPr>
              <w:pStyle w:val="Tabletext"/>
              <w:numPr>
                <w:ilvl w:val="0"/>
                <w:numId w:val="12"/>
              </w:numPr>
              <w:ind w:left="425" w:hanging="283"/>
              <w:rPr>
                <w:szCs w:val="18"/>
              </w:rPr>
            </w:pPr>
            <w:r w:rsidRPr="0064129B">
              <w:rPr>
                <w:szCs w:val="18"/>
              </w:rPr>
              <w:t xml:space="preserve">SUPER-1 </w:t>
            </w:r>
            <w:r w:rsidR="001D34EE" w:rsidRPr="001D34EE">
              <w:rPr>
                <w:noProof/>
                <w:szCs w:val="18"/>
                <w:vertAlign w:val="superscript"/>
              </w:rPr>
              <w:t>11, 15-17</w:t>
            </w:r>
            <w:r>
              <w:rPr>
                <w:szCs w:val="18"/>
              </w:rPr>
              <w:t xml:space="preserve"> </w:t>
            </w:r>
          </w:p>
          <w:p w:rsidR="001D0FDA" w:rsidRPr="00EB1471" w:rsidRDefault="001D0FDA" w:rsidP="001D0FDA">
            <w:pPr>
              <w:pStyle w:val="Tabletext"/>
              <w:rPr>
                <w:szCs w:val="18"/>
              </w:rPr>
            </w:pPr>
            <w:r>
              <w:rPr>
                <w:szCs w:val="18"/>
              </w:rPr>
              <w:t>via placebo as the common reference</w:t>
            </w:r>
          </w:p>
        </w:tc>
        <w:tc>
          <w:tcPr>
            <w:tcW w:w="1418" w:type="dxa"/>
            <w:tcBorders>
              <w:bottom w:val="single" w:sz="4" w:space="0" w:color="auto"/>
            </w:tcBorders>
          </w:tcPr>
          <w:p w:rsidR="001D0FDA" w:rsidRPr="00EB1471" w:rsidRDefault="001D0FDA" w:rsidP="001D0FDA">
            <w:pPr>
              <w:pStyle w:val="Tabletext"/>
              <w:rPr>
                <w:szCs w:val="18"/>
              </w:rPr>
            </w:pPr>
            <w:r>
              <w:rPr>
                <w:szCs w:val="18"/>
              </w:rPr>
              <w:t>Tadalafil vs sildenafil</w:t>
            </w:r>
          </w:p>
        </w:tc>
        <w:tc>
          <w:tcPr>
            <w:tcW w:w="3260" w:type="dxa"/>
            <w:tcBorders>
              <w:bottom w:val="single" w:sz="4" w:space="0" w:color="auto"/>
            </w:tcBorders>
          </w:tcPr>
          <w:p w:rsidR="001D0FDA" w:rsidRPr="00002316" w:rsidRDefault="001D0FDA" w:rsidP="00480FDF">
            <w:pPr>
              <w:pStyle w:val="Tabletext"/>
              <w:numPr>
                <w:ilvl w:val="0"/>
                <w:numId w:val="20"/>
              </w:numPr>
              <w:ind w:left="227" w:hanging="227"/>
            </w:pPr>
            <w:r w:rsidRPr="00002316">
              <w:t xml:space="preserve">Tadalafil was non-inferior to sildenafil in terms </w:t>
            </w:r>
            <w:r w:rsidR="00F70738">
              <w:t xml:space="preserve">of </w:t>
            </w:r>
            <w:r w:rsidRPr="00002316">
              <w:t>improvement in 6MWD</w:t>
            </w:r>
            <w:r w:rsidR="0042322C">
              <w:t>.</w:t>
            </w:r>
          </w:p>
          <w:p w:rsidR="001D0FDA" w:rsidRPr="00002316" w:rsidRDefault="00F70738" w:rsidP="00480FDF">
            <w:pPr>
              <w:pStyle w:val="Tabletext"/>
              <w:numPr>
                <w:ilvl w:val="0"/>
                <w:numId w:val="20"/>
              </w:numPr>
              <w:ind w:left="227" w:hanging="227"/>
            </w:pPr>
            <w:r>
              <w:t>There were</w:t>
            </w:r>
            <w:r w:rsidR="001D0FDA" w:rsidRPr="00002316">
              <w:t xml:space="preserve"> no statistically significant differences between tadalafil and sildenafil with respect to improvement in FC, clinical worsen</w:t>
            </w:r>
            <w:r w:rsidR="003B6FA8">
              <w:t>ing and haemodynamic parameters</w:t>
            </w:r>
            <w:r w:rsidR="0042322C">
              <w:t>.</w:t>
            </w:r>
          </w:p>
          <w:p w:rsidR="001D0FDA" w:rsidRPr="00EB1471" w:rsidRDefault="001D0FDA" w:rsidP="00480FDF">
            <w:pPr>
              <w:pStyle w:val="Tabletext"/>
              <w:numPr>
                <w:ilvl w:val="0"/>
                <w:numId w:val="20"/>
              </w:numPr>
              <w:ind w:left="227" w:hanging="227"/>
              <w:rPr>
                <w:szCs w:val="18"/>
              </w:rPr>
            </w:pPr>
            <w:r w:rsidRPr="00002316">
              <w:t>Tadalafil was non-inferior to sildenafil in terms of safety</w:t>
            </w:r>
            <w:r w:rsidR="0042322C">
              <w:t>.</w:t>
            </w:r>
            <w:r>
              <w:rPr>
                <w:szCs w:val="18"/>
              </w:rPr>
              <w:t xml:space="preserve"> </w:t>
            </w:r>
          </w:p>
        </w:tc>
      </w:tr>
      <w:tr w:rsidR="00065ABB" w:rsidRPr="00EB1471" w:rsidTr="00F52145">
        <w:trPr>
          <w:cantSplit w:val="0"/>
        </w:trPr>
        <w:tc>
          <w:tcPr>
            <w:tcW w:w="2467" w:type="dxa"/>
            <w:gridSpan w:val="2"/>
            <w:shd w:val="clear" w:color="auto" w:fill="000000" w:themeFill="text1"/>
          </w:tcPr>
          <w:p w:rsidR="00065ABB" w:rsidRPr="00C04CBB" w:rsidRDefault="00065ABB" w:rsidP="001D0FDA">
            <w:pPr>
              <w:pStyle w:val="Tabletext"/>
              <w:rPr>
                <w:b/>
                <w:szCs w:val="18"/>
              </w:rPr>
            </w:pPr>
            <w:r>
              <w:rPr>
                <w:b/>
                <w:szCs w:val="18"/>
              </w:rPr>
              <w:t>Iloprost</w:t>
            </w:r>
          </w:p>
        </w:tc>
        <w:tc>
          <w:tcPr>
            <w:tcW w:w="2693" w:type="dxa"/>
            <w:shd w:val="clear" w:color="auto" w:fill="000000" w:themeFill="text1"/>
          </w:tcPr>
          <w:p w:rsidR="00065ABB" w:rsidRPr="00C04CBB" w:rsidRDefault="00065ABB" w:rsidP="001D0FDA">
            <w:pPr>
              <w:pStyle w:val="Tabletext"/>
              <w:rPr>
                <w:b/>
                <w:szCs w:val="18"/>
              </w:rPr>
            </w:pPr>
          </w:p>
        </w:tc>
        <w:tc>
          <w:tcPr>
            <w:tcW w:w="1418" w:type="dxa"/>
            <w:shd w:val="clear" w:color="auto" w:fill="000000" w:themeFill="text1"/>
          </w:tcPr>
          <w:p w:rsidR="00065ABB" w:rsidRPr="00EB1471" w:rsidRDefault="00065ABB" w:rsidP="001D0FDA">
            <w:pPr>
              <w:pStyle w:val="Tabletext"/>
              <w:rPr>
                <w:szCs w:val="18"/>
              </w:rPr>
            </w:pPr>
          </w:p>
        </w:tc>
        <w:tc>
          <w:tcPr>
            <w:tcW w:w="3260" w:type="dxa"/>
            <w:shd w:val="clear" w:color="auto" w:fill="000000" w:themeFill="text1"/>
          </w:tcPr>
          <w:p w:rsidR="00065ABB" w:rsidRPr="00EB1471" w:rsidRDefault="00065ABB" w:rsidP="001D0FDA">
            <w:pPr>
              <w:pStyle w:val="Tabletext"/>
              <w:rPr>
                <w:szCs w:val="18"/>
              </w:rPr>
            </w:pPr>
          </w:p>
        </w:tc>
      </w:tr>
      <w:tr w:rsidR="001D0FDA" w:rsidRPr="00EB1471" w:rsidTr="00F52145">
        <w:trPr>
          <w:cantSplit w:val="0"/>
        </w:trPr>
        <w:tc>
          <w:tcPr>
            <w:tcW w:w="1191" w:type="dxa"/>
            <w:tcBorders>
              <w:bottom w:val="single" w:sz="4" w:space="0" w:color="auto"/>
            </w:tcBorders>
          </w:tcPr>
          <w:p w:rsidR="001D0FDA" w:rsidRPr="0049771F" w:rsidRDefault="001D0FDA" w:rsidP="001D0FDA">
            <w:pPr>
              <w:pStyle w:val="Tabletext"/>
              <w:rPr>
                <w:snapToGrid w:val="0"/>
                <w:szCs w:val="18"/>
              </w:rPr>
            </w:pPr>
            <w:r w:rsidRPr="0049771F">
              <w:rPr>
                <w:szCs w:val="18"/>
              </w:rPr>
              <w:t>November 2004</w:t>
            </w:r>
          </w:p>
        </w:tc>
        <w:tc>
          <w:tcPr>
            <w:tcW w:w="1276" w:type="dxa"/>
            <w:tcBorders>
              <w:bottom w:val="single" w:sz="4" w:space="0" w:color="auto"/>
            </w:tcBorders>
          </w:tcPr>
          <w:p w:rsidR="001D0FDA" w:rsidRPr="0049771F" w:rsidRDefault="001D0FDA" w:rsidP="001D0FDA">
            <w:pPr>
              <w:pStyle w:val="Tabletext"/>
              <w:rPr>
                <w:szCs w:val="18"/>
              </w:rPr>
            </w:pPr>
            <w:r w:rsidRPr="0049771F">
              <w:t>WHO FC III/IV IPAH, PAH-CTD and drug-induced PAH</w:t>
            </w:r>
          </w:p>
        </w:tc>
        <w:tc>
          <w:tcPr>
            <w:tcW w:w="2693" w:type="dxa"/>
            <w:tcBorders>
              <w:bottom w:val="single" w:sz="4" w:space="0" w:color="auto"/>
            </w:tcBorders>
          </w:tcPr>
          <w:p w:rsidR="001D0FDA" w:rsidRPr="002046A0" w:rsidRDefault="002046A0" w:rsidP="001D0FDA">
            <w:pPr>
              <w:pStyle w:val="Tabletext"/>
              <w:rPr>
                <w:szCs w:val="18"/>
                <w:highlight w:val="black"/>
              </w:rPr>
            </w:pPr>
            <w:r>
              <w:rPr>
                <w:noProof/>
                <w:color w:val="000000"/>
                <w:szCs w:val="18"/>
                <w:highlight w:val="black"/>
              </w:rPr>
              <w:t xml:space="preserve">''''''''''''''''' ''''''''''''''''''''''''''''' '''' ''' '''''''''' ''''''''''''''''''''''' '''''''''''''''' ''''''''' ''''''''''''''''''''' </w:t>
            </w:r>
          </w:p>
          <w:p w:rsidR="001D0FDA" w:rsidRPr="002046A0" w:rsidRDefault="002046A0" w:rsidP="002046A0">
            <w:pPr>
              <w:pStyle w:val="Tabletext"/>
              <w:ind w:left="425" w:hanging="283"/>
              <w:rPr>
                <w:szCs w:val="18"/>
                <w:highlight w:val="black"/>
              </w:rPr>
            </w:pP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p>
          <w:p w:rsidR="001D0FDA" w:rsidRPr="002046A0" w:rsidRDefault="002046A0" w:rsidP="001D0FDA">
            <w:pPr>
              <w:pStyle w:val="Tabletext"/>
              <w:rPr>
                <w:szCs w:val="18"/>
                <w:highlight w:val="black"/>
              </w:rPr>
            </w:pPr>
            <w:r>
              <w:rPr>
                <w:noProof/>
                <w:color w:val="000000"/>
                <w:szCs w:val="18"/>
                <w:highlight w:val="black"/>
              </w:rPr>
              <w:t>'''''''''' '''' '''''''''''''' ''''''''''''''''''''''' ''''''''''''''''''''' ''''''''' '''''''''''''''''''</w:t>
            </w:r>
          </w:p>
          <w:p w:rsidR="001D0FDA" w:rsidRPr="002046A0" w:rsidRDefault="002046A0" w:rsidP="002046A0">
            <w:pPr>
              <w:pStyle w:val="Tabletext"/>
              <w:ind w:left="425" w:hanging="283"/>
              <w:rPr>
                <w:szCs w:val="18"/>
                <w:highlight w:val="black"/>
              </w:rPr>
            </w:pP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p>
          <w:p w:rsidR="001D0FDA" w:rsidRPr="002046A0" w:rsidRDefault="002046A0" w:rsidP="002046A0">
            <w:pPr>
              <w:pStyle w:val="Tabletext"/>
              <w:ind w:left="425" w:hanging="283"/>
              <w:rPr>
                <w:szCs w:val="18"/>
                <w:highlight w:val="black"/>
              </w:rPr>
            </w:pP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p>
          <w:p w:rsidR="001D0FDA" w:rsidRPr="002046A0" w:rsidRDefault="002046A0" w:rsidP="001D0FDA">
            <w:pPr>
              <w:pStyle w:val="Tabletext"/>
              <w:rPr>
                <w:szCs w:val="18"/>
                <w:highlight w:val="black"/>
              </w:rPr>
            </w:pPr>
            <w:r>
              <w:rPr>
                <w:noProof/>
                <w:color w:val="000000"/>
                <w:szCs w:val="18"/>
                <w:highlight w:val="black"/>
              </w:rPr>
              <w:t>''''''' ''''''''''''''''''' '''''' ''''''' ''''''''''''''''''' ''''''''''''''''''''''''</w:t>
            </w:r>
          </w:p>
        </w:tc>
        <w:tc>
          <w:tcPr>
            <w:tcW w:w="1418" w:type="dxa"/>
            <w:tcBorders>
              <w:bottom w:val="single" w:sz="4" w:space="0" w:color="auto"/>
            </w:tcBorders>
          </w:tcPr>
          <w:p w:rsidR="001D0FDA" w:rsidRPr="002046A0" w:rsidRDefault="002046A0" w:rsidP="001D0FDA">
            <w:pPr>
              <w:pStyle w:val="Tabletext"/>
              <w:rPr>
                <w:szCs w:val="18"/>
                <w:highlight w:val="black"/>
              </w:rPr>
            </w:pPr>
            <w:r>
              <w:rPr>
                <w:noProof/>
                <w:color w:val="000000"/>
                <w:szCs w:val="18"/>
                <w:highlight w:val="black"/>
              </w:rPr>
              <w:t>'''''''''''''''''' ''''' ''''''''''''''''''''''''</w:t>
            </w:r>
          </w:p>
        </w:tc>
        <w:tc>
          <w:tcPr>
            <w:tcW w:w="3260" w:type="dxa"/>
            <w:tcBorders>
              <w:bottom w:val="single" w:sz="4" w:space="0" w:color="auto"/>
            </w:tcBorders>
          </w:tcPr>
          <w:p w:rsidR="001D0FDA"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0FDA" w:rsidRPr="002046A0" w:rsidRDefault="002046A0" w:rsidP="002046A0">
            <w:pPr>
              <w:pStyle w:val="Tabletext"/>
              <w:ind w:left="227" w:hanging="227"/>
              <w:rPr>
                <w:szCs w:val="18"/>
                <w:highlight w:val="black"/>
              </w:rPr>
            </w:pP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p>
        </w:tc>
      </w:tr>
      <w:tr w:rsidR="001D0FDA" w:rsidRPr="00EB1471" w:rsidTr="00F52145">
        <w:trPr>
          <w:cantSplit w:val="0"/>
        </w:trPr>
        <w:tc>
          <w:tcPr>
            <w:tcW w:w="2467" w:type="dxa"/>
            <w:gridSpan w:val="2"/>
            <w:shd w:val="clear" w:color="auto" w:fill="000000" w:themeFill="text1"/>
          </w:tcPr>
          <w:p w:rsidR="001D0FDA" w:rsidRPr="00A107DD" w:rsidRDefault="001D0FDA" w:rsidP="001D0FDA">
            <w:pPr>
              <w:pStyle w:val="Tabletext"/>
              <w:rPr>
                <w:b/>
                <w:szCs w:val="18"/>
              </w:rPr>
            </w:pPr>
            <w:r w:rsidRPr="00A107DD">
              <w:rPr>
                <w:b/>
                <w:szCs w:val="18"/>
              </w:rPr>
              <w:t>Epoprostenol</w:t>
            </w:r>
          </w:p>
        </w:tc>
        <w:tc>
          <w:tcPr>
            <w:tcW w:w="2693" w:type="dxa"/>
            <w:shd w:val="clear" w:color="auto" w:fill="000000" w:themeFill="text1"/>
          </w:tcPr>
          <w:p w:rsidR="001D0FDA" w:rsidRPr="00A107DD" w:rsidRDefault="001D0FDA" w:rsidP="001D0FDA">
            <w:pPr>
              <w:pStyle w:val="Tabletext"/>
              <w:rPr>
                <w:b/>
                <w:szCs w:val="18"/>
              </w:rPr>
            </w:pPr>
          </w:p>
        </w:tc>
        <w:tc>
          <w:tcPr>
            <w:tcW w:w="1418" w:type="dxa"/>
            <w:shd w:val="clear" w:color="auto" w:fill="000000" w:themeFill="text1"/>
          </w:tcPr>
          <w:p w:rsidR="001D0FDA" w:rsidRPr="00EB1471" w:rsidRDefault="001D0FDA" w:rsidP="001D0FDA">
            <w:pPr>
              <w:pStyle w:val="Tabletext"/>
              <w:rPr>
                <w:szCs w:val="18"/>
              </w:rPr>
            </w:pPr>
          </w:p>
        </w:tc>
        <w:tc>
          <w:tcPr>
            <w:tcW w:w="3260" w:type="dxa"/>
            <w:shd w:val="clear" w:color="auto" w:fill="000000" w:themeFill="text1"/>
          </w:tcPr>
          <w:p w:rsidR="001D0FDA" w:rsidRPr="00EB1471" w:rsidRDefault="001D0FDA" w:rsidP="001D0FDA">
            <w:pPr>
              <w:pStyle w:val="Tabletext"/>
              <w:rPr>
                <w:szCs w:val="18"/>
              </w:rPr>
            </w:pPr>
          </w:p>
        </w:tc>
      </w:tr>
      <w:tr w:rsidR="001D0FDA" w:rsidRPr="00EB1471" w:rsidTr="00F52145">
        <w:trPr>
          <w:cantSplit w:val="0"/>
        </w:trPr>
        <w:tc>
          <w:tcPr>
            <w:tcW w:w="1191" w:type="dxa"/>
          </w:tcPr>
          <w:p w:rsidR="001D0FDA" w:rsidRPr="00EB1471" w:rsidRDefault="001D0FDA" w:rsidP="001D0FDA">
            <w:pPr>
              <w:pStyle w:val="Tabletext"/>
              <w:ind w:right="-57"/>
              <w:rPr>
                <w:szCs w:val="18"/>
              </w:rPr>
            </w:pPr>
            <w:r w:rsidRPr="00EB1471">
              <w:rPr>
                <w:szCs w:val="18"/>
              </w:rPr>
              <w:t>March 2006</w:t>
            </w:r>
          </w:p>
        </w:tc>
        <w:tc>
          <w:tcPr>
            <w:tcW w:w="1276" w:type="dxa"/>
          </w:tcPr>
          <w:p w:rsidR="001D0FDA" w:rsidRPr="00A107DD" w:rsidRDefault="001D0FDA" w:rsidP="001D0FDA">
            <w:pPr>
              <w:pStyle w:val="Tabletext"/>
              <w:rPr>
                <w:szCs w:val="18"/>
              </w:rPr>
            </w:pPr>
            <w:r>
              <w:t>WHO FC III/IV IPAH</w:t>
            </w:r>
          </w:p>
        </w:tc>
        <w:tc>
          <w:tcPr>
            <w:tcW w:w="2693" w:type="dxa"/>
          </w:tcPr>
          <w:p w:rsidR="001D0FDA" w:rsidRPr="00A107DD" w:rsidRDefault="001D0FDA" w:rsidP="001D0FDA">
            <w:pPr>
              <w:pStyle w:val="Tabletext"/>
              <w:rPr>
                <w:szCs w:val="18"/>
              </w:rPr>
            </w:pPr>
            <w:r w:rsidRPr="00A107DD">
              <w:rPr>
                <w:szCs w:val="18"/>
              </w:rPr>
              <w:t xml:space="preserve">Indirect comparison of 2 RCTs comparing epoprostenol with conventional therapy: </w:t>
            </w:r>
          </w:p>
          <w:p w:rsidR="001D0FDA" w:rsidRPr="00A107DD" w:rsidRDefault="001D0FDA" w:rsidP="001D0FDA">
            <w:pPr>
              <w:pStyle w:val="Tabletext"/>
              <w:numPr>
                <w:ilvl w:val="0"/>
                <w:numId w:val="12"/>
              </w:numPr>
              <w:ind w:left="425" w:hanging="283"/>
              <w:rPr>
                <w:szCs w:val="18"/>
              </w:rPr>
            </w:pPr>
            <w:r w:rsidRPr="00A107DD">
              <w:rPr>
                <w:szCs w:val="18"/>
              </w:rPr>
              <w:t xml:space="preserve">BW-46 </w:t>
            </w:r>
            <w:r w:rsidR="001D34EE" w:rsidRPr="001D34EE">
              <w:rPr>
                <w:noProof/>
                <w:szCs w:val="18"/>
                <w:vertAlign w:val="superscript"/>
              </w:rPr>
              <w:t>19</w:t>
            </w:r>
          </w:p>
          <w:p w:rsidR="001D0FDA" w:rsidRPr="00A107DD" w:rsidRDefault="001D0FDA" w:rsidP="001D0FDA">
            <w:pPr>
              <w:pStyle w:val="Tabletext"/>
              <w:numPr>
                <w:ilvl w:val="0"/>
                <w:numId w:val="12"/>
              </w:numPr>
              <w:ind w:left="425" w:hanging="283"/>
              <w:rPr>
                <w:szCs w:val="18"/>
              </w:rPr>
            </w:pPr>
            <w:r w:rsidRPr="00A107DD">
              <w:rPr>
                <w:szCs w:val="18"/>
              </w:rPr>
              <w:t xml:space="preserve">BW-35/36 </w:t>
            </w:r>
            <w:r w:rsidR="001D34EE" w:rsidRPr="001D34EE">
              <w:rPr>
                <w:noProof/>
                <w:szCs w:val="18"/>
                <w:vertAlign w:val="superscript"/>
              </w:rPr>
              <w:t>20</w:t>
            </w:r>
          </w:p>
          <w:p w:rsidR="001D0FDA" w:rsidRPr="00A107DD" w:rsidRDefault="001D0FDA" w:rsidP="001D0FDA">
            <w:pPr>
              <w:pStyle w:val="Tabletext"/>
              <w:rPr>
                <w:szCs w:val="18"/>
              </w:rPr>
            </w:pPr>
            <w:r w:rsidRPr="00A107DD">
              <w:rPr>
                <w:szCs w:val="18"/>
              </w:rPr>
              <w:t>with 2 RCTs comparing bosentan with placebo:</w:t>
            </w:r>
          </w:p>
          <w:p w:rsidR="001D0FDA" w:rsidRPr="00A107DD" w:rsidRDefault="001D0FDA" w:rsidP="001D0FDA">
            <w:pPr>
              <w:pStyle w:val="Tabletext"/>
              <w:numPr>
                <w:ilvl w:val="0"/>
                <w:numId w:val="12"/>
              </w:numPr>
              <w:ind w:left="425" w:hanging="283"/>
              <w:rPr>
                <w:szCs w:val="18"/>
              </w:rPr>
            </w:pPr>
            <w:r w:rsidRPr="00A107DD">
              <w:rPr>
                <w:szCs w:val="18"/>
              </w:rPr>
              <w:t xml:space="preserve">BREATHE-1 </w:t>
            </w:r>
            <w:r w:rsidR="001D34EE" w:rsidRPr="001D34EE">
              <w:rPr>
                <w:noProof/>
                <w:szCs w:val="18"/>
                <w:vertAlign w:val="superscript"/>
              </w:rPr>
              <w:t>2</w:t>
            </w:r>
          </w:p>
          <w:p w:rsidR="001D0FDA" w:rsidRDefault="001D0FDA" w:rsidP="001D0FDA">
            <w:pPr>
              <w:pStyle w:val="Tabletext"/>
              <w:numPr>
                <w:ilvl w:val="0"/>
                <w:numId w:val="12"/>
              </w:numPr>
              <w:ind w:left="425" w:hanging="283"/>
              <w:rPr>
                <w:szCs w:val="18"/>
              </w:rPr>
            </w:pPr>
            <w:r w:rsidRPr="00EB1471">
              <w:rPr>
                <w:szCs w:val="18"/>
              </w:rPr>
              <w:t xml:space="preserve">AC-052-351 </w:t>
            </w:r>
            <w:r w:rsidR="001D34EE" w:rsidRPr="001D34EE">
              <w:rPr>
                <w:noProof/>
                <w:szCs w:val="18"/>
                <w:vertAlign w:val="superscript"/>
              </w:rPr>
              <w:t>3</w:t>
            </w:r>
          </w:p>
          <w:p w:rsidR="001D0FDA" w:rsidRPr="00EB1471" w:rsidRDefault="001D0FDA" w:rsidP="001D0FDA">
            <w:pPr>
              <w:pStyle w:val="Tabletext"/>
              <w:rPr>
                <w:szCs w:val="18"/>
              </w:rPr>
            </w:pPr>
            <w:r>
              <w:rPr>
                <w:szCs w:val="18"/>
              </w:rPr>
              <w:t>via placebo/conventional therapy as the common reference</w:t>
            </w:r>
          </w:p>
        </w:tc>
        <w:tc>
          <w:tcPr>
            <w:tcW w:w="1418" w:type="dxa"/>
          </w:tcPr>
          <w:p w:rsidR="001D0FDA" w:rsidRPr="00EB1471" w:rsidRDefault="001D0FDA" w:rsidP="001D0FDA">
            <w:pPr>
              <w:pStyle w:val="Tabletext"/>
              <w:rPr>
                <w:szCs w:val="18"/>
              </w:rPr>
            </w:pPr>
            <w:r>
              <w:rPr>
                <w:szCs w:val="18"/>
              </w:rPr>
              <w:t>Epoprostenol vs bosentan</w:t>
            </w:r>
          </w:p>
        </w:tc>
        <w:tc>
          <w:tcPr>
            <w:tcW w:w="3260" w:type="dxa"/>
          </w:tcPr>
          <w:p w:rsidR="001D0FDA" w:rsidRPr="00002316" w:rsidRDefault="001D0FDA" w:rsidP="00480FDF">
            <w:pPr>
              <w:pStyle w:val="Tabletext"/>
              <w:numPr>
                <w:ilvl w:val="0"/>
                <w:numId w:val="20"/>
              </w:numPr>
              <w:ind w:left="227" w:hanging="227"/>
            </w:pPr>
            <w:r w:rsidRPr="00002316">
              <w:t xml:space="preserve">Epoprostenol was no worse than bosentan </w:t>
            </w:r>
            <w:r w:rsidR="003B6FA8">
              <w:t>in terms of improvement in 6MWD</w:t>
            </w:r>
            <w:r w:rsidR="0042322C">
              <w:t>.</w:t>
            </w:r>
          </w:p>
          <w:p w:rsidR="001D0FDA" w:rsidRPr="00EB1471" w:rsidRDefault="001D0FDA" w:rsidP="00480FDF">
            <w:pPr>
              <w:pStyle w:val="Tabletext"/>
              <w:numPr>
                <w:ilvl w:val="0"/>
                <w:numId w:val="20"/>
              </w:numPr>
              <w:ind w:left="227" w:hanging="227"/>
              <w:rPr>
                <w:szCs w:val="18"/>
              </w:rPr>
            </w:pPr>
            <w:r w:rsidRPr="00002316">
              <w:t>Epoprostenol was non-inferior</w:t>
            </w:r>
            <w:r w:rsidR="003B6FA8">
              <w:t xml:space="preserve"> to bosentan in terms of safety</w:t>
            </w:r>
            <w:r w:rsidR="0042322C">
              <w:t>.</w:t>
            </w:r>
          </w:p>
        </w:tc>
      </w:tr>
      <w:tr w:rsidR="001D0FDA" w:rsidRPr="00EB1471" w:rsidTr="00F52145">
        <w:trPr>
          <w:cantSplit w:val="0"/>
        </w:trPr>
        <w:tc>
          <w:tcPr>
            <w:tcW w:w="1191" w:type="dxa"/>
            <w:tcBorders>
              <w:bottom w:val="single" w:sz="4" w:space="0" w:color="auto"/>
            </w:tcBorders>
          </w:tcPr>
          <w:p w:rsidR="001D0FDA" w:rsidRPr="00EB1471" w:rsidRDefault="001D0FDA" w:rsidP="001D0FDA">
            <w:pPr>
              <w:pStyle w:val="Tabletext"/>
              <w:rPr>
                <w:szCs w:val="18"/>
              </w:rPr>
            </w:pPr>
            <w:r w:rsidRPr="00EB1471">
              <w:rPr>
                <w:szCs w:val="18"/>
              </w:rPr>
              <w:t>November 2011</w:t>
            </w:r>
          </w:p>
        </w:tc>
        <w:tc>
          <w:tcPr>
            <w:tcW w:w="1276" w:type="dxa"/>
            <w:tcBorders>
              <w:bottom w:val="single" w:sz="4" w:space="0" w:color="auto"/>
            </w:tcBorders>
          </w:tcPr>
          <w:p w:rsidR="001D0FDA" w:rsidRPr="00F53FAD" w:rsidRDefault="001D0FDA" w:rsidP="001D0FDA">
            <w:pPr>
              <w:pStyle w:val="Tabletext"/>
              <w:rPr>
                <w:szCs w:val="18"/>
              </w:rPr>
            </w:pPr>
            <w:r w:rsidRPr="00987BC5">
              <w:t xml:space="preserve">WHO FC III </w:t>
            </w:r>
            <w:r>
              <w:t xml:space="preserve">(as secondary therapy) and FC IV (as first-line therapy) </w:t>
            </w:r>
            <w:r w:rsidRPr="00987BC5">
              <w:t>PAH</w:t>
            </w:r>
            <w:r>
              <w:t>-CTD</w:t>
            </w:r>
          </w:p>
        </w:tc>
        <w:tc>
          <w:tcPr>
            <w:tcW w:w="2693" w:type="dxa"/>
            <w:tcBorders>
              <w:bottom w:val="single" w:sz="4" w:space="0" w:color="auto"/>
            </w:tcBorders>
          </w:tcPr>
          <w:p w:rsidR="001D0FDA" w:rsidRPr="00F53FAD" w:rsidRDefault="001D0FDA" w:rsidP="001D0FDA">
            <w:pPr>
              <w:pStyle w:val="Tabletext"/>
              <w:rPr>
                <w:szCs w:val="18"/>
              </w:rPr>
            </w:pPr>
            <w:r w:rsidRPr="00F53FAD">
              <w:rPr>
                <w:szCs w:val="18"/>
              </w:rPr>
              <w:t xml:space="preserve">Indirect comparison of 1 RCT comparing epoprostenol with conventional therapy: </w:t>
            </w:r>
          </w:p>
          <w:p w:rsidR="001D0FDA" w:rsidRPr="00F53FAD" w:rsidRDefault="001D0FDA" w:rsidP="001D0FDA">
            <w:pPr>
              <w:pStyle w:val="Tabletext"/>
              <w:numPr>
                <w:ilvl w:val="0"/>
                <w:numId w:val="12"/>
              </w:numPr>
              <w:ind w:left="425" w:hanging="283"/>
              <w:rPr>
                <w:szCs w:val="18"/>
              </w:rPr>
            </w:pPr>
            <w:r w:rsidRPr="00F53FAD">
              <w:rPr>
                <w:szCs w:val="18"/>
              </w:rPr>
              <w:t xml:space="preserve">VA1A4001 </w:t>
            </w:r>
            <w:r w:rsidR="001D34EE" w:rsidRPr="001D34EE">
              <w:rPr>
                <w:noProof/>
                <w:szCs w:val="18"/>
                <w:vertAlign w:val="superscript"/>
              </w:rPr>
              <w:t>21</w:t>
            </w:r>
          </w:p>
          <w:p w:rsidR="001D0FDA" w:rsidRPr="00F53FAD" w:rsidRDefault="001D0FDA" w:rsidP="001D0FDA">
            <w:pPr>
              <w:pStyle w:val="Tabletext"/>
              <w:rPr>
                <w:szCs w:val="18"/>
              </w:rPr>
            </w:pPr>
            <w:r w:rsidRPr="00F53FAD">
              <w:rPr>
                <w:szCs w:val="18"/>
              </w:rPr>
              <w:t xml:space="preserve">with 1 RCT comparing </w:t>
            </w:r>
            <w:r>
              <w:rPr>
                <w:szCs w:val="18"/>
              </w:rPr>
              <w:t>iloprost</w:t>
            </w:r>
            <w:r w:rsidRPr="00F53FAD">
              <w:rPr>
                <w:szCs w:val="18"/>
              </w:rPr>
              <w:t xml:space="preserve"> with placebo:</w:t>
            </w:r>
          </w:p>
          <w:p w:rsidR="001D0FDA" w:rsidRPr="00F53FAD" w:rsidRDefault="001D0FDA" w:rsidP="001D0FDA">
            <w:pPr>
              <w:pStyle w:val="Tabletext"/>
              <w:numPr>
                <w:ilvl w:val="0"/>
                <w:numId w:val="12"/>
              </w:numPr>
              <w:ind w:left="425" w:hanging="283"/>
              <w:rPr>
                <w:szCs w:val="18"/>
              </w:rPr>
            </w:pPr>
            <w:r w:rsidRPr="00F53FAD">
              <w:rPr>
                <w:szCs w:val="18"/>
              </w:rPr>
              <w:t xml:space="preserve">AIR </w:t>
            </w:r>
            <w:r w:rsidR="001D34EE" w:rsidRPr="001D34EE">
              <w:rPr>
                <w:noProof/>
                <w:szCs w:val="18"/>
                <w:vertAlign w:val="superscript"/>
              </w:rPr>
              <w:t>18</w:t>
            </w:r>
            <w:r w:rsidRPr="00F53FAD">
              <w:rPr>
                <w:szCs w:val="18"/>
              </w:rPr>
              <w:t xml:space="preserve"> (overall population (</w:t>
            </w:r>
            <w:r>
              <w:rPr>
                <w:szCs w:val="18"/>
              </w:rPr>
              <w:t>i</w:t>
            </w:r>
            <w:r w:rsidR="007E4C7F">
              <w:rPr>
                <w:szCs w:val="18"/>
              </w:rPr>
              <w:t>.</w:t>
            </w:r>
            <w:r>
              <w:rPr>
                <w:szCs w:val="18"/>
              </w:rPr>
              <w:t>e</w:t>
            </w:r>
            <w:r w:rsidR="007E4C7F">
              <w:rPr>
                <w:szCs w:val="18"/>
              </w:rPr>
              <w:t>.</w:t>
            </w:r>
            <w:r w:rsidRPr="00F53FAD">
              <w:rPr>
                <w:szCs w:val="18"/>
              </w:rPr>
              <w:t xml:space="preserve"> regardless of PAH aetiology) and secondary PAH subgroup)</w:t>
            </w:r>
          </w:p>
          <w:p w:rsidR="001D0FDA" w:rsidRDefault="001D0FDA" w:rsidP="001D0FDA">
            <w:pPr>
              <w:pStyle w:val="Tabletext"/>
              <w:rPr>
                <w:szCs w:val="18"/>
              </w:rPr>
            </w:pPr>
            <w:r>
              <w:rPr>
                <w:szCs w:val="18"/>
              </w:rPr>
              <w:t>via placebo/conventional therapy as the common reference</w:t>
            </w:r>
          </w:p>
          <w:p w:rsidR="00B14A50" w:rsidRPr="00EB1471" w:rsidRDefault="00B14A50" w:rsidP="001D0FDA">
            <w:pPr>
              <w:pStyle w:val="Tabletext"/>
              <w:rPr>
                <w:szCs w:val="18"/>
              </w:rPr>
            </w:pPr>
          </w:p>
          <w:p w:rsidR="001D0FDA" w:rsidRPr="00EB1471" w:rsidRDefault="001D0FDA" w:rsidP="001D0FDA">
            <w:pPr>
              <w:pStyle w:val="Tabletext"/>
              <w:rPr>
                <w:szCs w:val="18"/>
              </w:rPr>
            </w:pPr>
            <w:r w:rsidRPr="00EB1471">
              <w:rPr>
                <w:szCs w:val="18"/>
              </w:rPr>
              <w:t xml:space="preserve">Indirect comparison of 1 RCT comparing epoprostenol with conventional therapy: </w:t>
            </w:r>
          </w:p>
          <w:p w:rsidR="001D0FDA" w:rsidRPr="00EB1471" w:rsidRDefault="001D0FDA" w:rsidP="001D0FDA">
            <w:pPr>
              <w:pStyle w:val="Tabletext"/>
              <w:numPr>
                <w:ilvl w:val="0"/>
                <w:numId w:val="12"/>
              </w:numPr>
              <w:ind w:left="425" w:hanging="283"/>
              <w:rPr>
                <w:szCs w:val="18"/>
              </w:rPr>
            </w:pPr>
            <w:r w:rsidRPr="00EB1471">
              <w:rPr>
                <w:szCs w:val="18"/>
              </w:rPr>
              <w:t xml:space="preserve">VA1A4001 </w:t>
            </w:r>
            <w:r w:rsidR="001D34EE" w:rsidRPr="001D34EE">
              <w:rPr>
                <w:noProof/>
                <w:szCs w:val="18"/>
                <w:vertAlign w:val="superscript"/>
              </w:rPr>
              <w:t>21</w:t>
            </w:r>
          </w:p>
          <w:p w:rsidR="001D0FDA" w:rsidRPr="00EB1471" w:rsidRDefault="001D0FDA" w:rsidP="001D0FDA">
            <w:pPr>
              <w:pStyle w:val="Tabletext"/>
              <w:rPr>
                <w:szCs w:val="18"/>
              </w:rPr>
            </w:pPr>
            <w:r w:rsidRPr="00EB1471">
              <w:rPr>
                <w:szCs w:val="18"/>
              </w:rPr>
              <w:t>with 2 RCTs comparing bosentan with placebo:</w:t>
            </w:r>
          </w:p>
          <w:p w:rsidR="001D0FDA" w:rsidRPr="00EB1471" w:rsidRDefault="001D0FDA" w:rsidP="001D0FDA">
            <w:pPr>
              <w:pStyle w:val="Tabletext"/>
              <w:numPr>
                <w:ilvl w:val="0"/>
                <w:numId w:val="12"/>
              </w:numPr>
              <w:ind w:left="425" w:hanging="283"/>
              <w:rPr>
                <w:szCs w:val="18"/>
              </w:rPr>
            </w:pPr>
            <w:r w:rsidRPr="00EB1471">
              <w:rPr>
                <w:szCs w:val="18"/>
              </w:rPr>
              <w:t xml:space="preserve">BREATHE-1 </w:t>
            </w:r>
            <w:r w:rsidR="001D34EE" w:rsidRPr="001D34EE">
              <w:rPr>
                <w:noProof/>
                <w:szCs w:val="18"/>
                <w:vertAlign w:val="superscript"/>
              </w:rPr>
              <w:t>22</w:t>
            </w:r>
            <w:r w:rsidRPr="00EB1471">
              <w:rPr>
                <w:szCs w:val="18"/>
              </w:rPr>
              <w:t xml:space="preserve"> (PAH-CTD subgroup)</w:t>
            </w:r>
          </w:p>
          <w:p w:rsidR="001D0FDA" w:rsidRDefault="001D0FDA" w:rsidP="001D0FDA">
            <w:pPr>
              <w:pStyle w:val="Tabletext"/>
              <w:numPr>
                <w:ilvl w:val="0"/>
                <w:numId w:val="12"/>
              </w:numPr>
              <w:ind w:left="425" w:hanging="283"/>
              <w:rPr>
                <w:szCs w:val="18"/>
              </w:rPr>
            </w:pPr>
            <w:r w:rsidRPr="00EB1471">
              <w:rPr>
                <w:szCs w:val="18"/>
              </w:rPr>
              <w:t xml:space="preserve">AC-052-351 </w:t>
            </w:r>
            <w:r w:rsidR="001D34EE" w:rsidRPr="001D34EE">
              <w:rPr>
                <w:noProof/>
                <w:szCs w:val="18"/>
                <w:vertAlign w:val="superscript"/>
              </w:rPr>
              <w:t>22</w:t>
            </w:r>
            <w:r w:rsidRPr="00EB1471">
              <w:rPr>
                <w:szCs w:val="18"/>
              </w:rPr>
              <w:t xml:space="preserve"> (PAH-CTD subgroup)</w:t>
            </w:r>
          </w:p>
          <w:p w:rsidR="001D0FDA" w:rsidRPr="00EB1471" w:rsidRDefault="001D0FDA" w:rsidP="001D0FDA">
            <w:pPr>
              <w:pStyle w:val="Tabletext"/>
              <w:rPr>
                <w:szCs w:val="18"/>
              </w:rPr>
            </w:pPr>
            <w:r>
              <w:rPr>
                <w:szCs w:val="18"/>
              </w:rPr>
              <w:t>via placebo/conventional therapy as the common reference</w:t>
            </w:r>
          </w:p>
        </w:tc>
        <w:tc>
          <w:tcPr>
            <w:tcW w:w="1418" w:type="dxa"/>
            <w:tcBorders>
              <w:bottom w:val="single" w:sz="4" w:space="0" w:color="auto"/>
            </w:tcBorders>
          </w:tcPr>
          <w:p w:rsidR="001D0FDA" w:rsidRDefault="001D0FDA" w:rsidP="001D0FDA">
            <w:pPr>
              <w:pStyle w:val="Tabletext"/>
              <w:rPr>
                <w:szCs w:val="18"/>
              </w:rPr>
            </w:pPr>
            <w:r>
              <w:rPr>
                <w:szCs w:val="18"/>
              </w:rPr>
              <w:t xml:space="preserve">Epoprostenol vs iloprost </w:t>
            </w:r>
          </w:p>
          <w:p w:rsidR="00B14A50" w:rsidRDefault="00B14A50" w:rsidP="001D0FDA">
            <w:pPr>
              <w:pStyle w:val="Tabletext"/>
              <w:rPr>
                <w:szCs w:val="18"/>
              </w:rPr>
            </w:pPr>
          </w:p>
          <w:p w:rsidR="001D0FDA" w:rsidRPr="00EB1471" w:rsidRDefault="001D0FDA" w:rsidP="001D0FDA">
            <w:pPr>
              <w:pStyle w:val="Tabletext"/>
              <w:rPr>
                <w:szCs w:val="18"/>
              </w:rPr>
            </w:pPr>
            <w:r>
              <w:rPr>
                <w:szCs w:val="18"/>
              </w:rPr>
              <w:t>Epoprostenol vs bosentan</w:t>
            </w:r>
          </w:p>
        </w:tc>
        <w:tc>
          <w:tcPr>
            <w:tcW w:w="3260" w:type="dxa"/>
            <w:tcBorders>
              <w:bottom w:val="single" w:sz="4" w:space="0" w:color="auto"/>
            </w:tcBorders>
          </w:tcPr>
          <w:p w:rsidR="001D0FDA" w:rsidRPr="00A7316D" w:rsidRDefault="001D0FDA" w:rsidP="00480FDF">
            <w:pPr>
              <w:pStyle w:val="Tabletext"/>
              <w:numPr>
                <w:ilvl w:val="0"/>
                <w:numId w:val="20"/>
              </w:numPr>
              <w:ind w:left="227" w:hanging="227"/>
            </w:pPr>
            <w:r w:rsidRPr="00A7316D">
              <w:t>Epoprostenol was non-in</w:t>
            </w:r>
            <w:r w:rsidR="002D170B">
              <w:t xml:space="preserve">ferior to iloprost in terms of </w:t>
            </w:r>
            <w:r w:rsidRPr="00A7316D">
              <w:t>improvement in 6MWD and haemodynamic parameters</w:t>
            </w:r>
            <w:r w:rsidR="0042322C">
              <w:t>.</w:t>
            </w:r>
          </w:p>
          <w:p w:rsidR="001D0FDA" w:rsidRPr="00A7316D" w:rsidRDefault="001D0FDA" w:rsidP="00480FDF">
            <w:pPr>
              <w:pStyle w:val="Tabletext"/>
              <w:numPr>
                <w:ilvl w:val="0"/>
                <w:numId w:val="20"/>
              </w:numPr>
              <w:ind w:left="227" w:hanging="227"/>
            </w:pPr>
            <w:r w:rsidRPr="00A7316D">
              <w:t xml:space="preserve">Epoprostenol was non-inferior to </w:t>
            </w:r>
            <w:r w:rsidR="001F432E">
              <w:t>bosentan</w:t>
            </w:r>
            <w:r w:rsidR="001F432E" w:rsidRPr="00A7316D">
              <w:t xml:space="preserve"> </w:t>
            </w:r>
            <w:r w:rsidR="0006512A">
              <w:t xml:space="preserve">in terms of </w:t>
            </w:r>
            <w:r w:rsidRPr="00A7316D">
              <w:t>improvement in 6MWD</w:t>
            </w:r>
            <w:r w:rsidR="0042322C">
              <w:t>.</w:t>
            </w:r>
          </w:p>
          <w:p w:rsidR="001D0FDA" w:rsidRPr="00EB1471" w:rsidRDefault="001D0FDA" w:rsidP="00480FDF">
            <w:pPr>
              <w:pStyle w:val="Tabletext"/>
              <w:numPr>
                <w:ilvl w:val="0"/>
                <w:numId w:val="20"/>
              </w:numPr>
              <w:ind w:left="227" w:hanging="227"/>
              <w:rPr>
                <w:szCs w:val="18"/>
              </w:rPr>
            </w:pPr>
            <w:r w:rsidRPr="00A7316D">
              <w:t>The comparative safety of epoprostenol with iloprost and bosentan was difficult to assess in the absence of head-to head trial data. However, safety profiles of these PAH medicines were well recognised and the safety of epoprostenol was comparable acros</w:t>
            </w:r>
            <w:r w:rsidR="003B6FA8">
              <w:t>s all subgroups of PAH patients</w:t>
            </w:r>
            <w:r w:rsidR="0042322C">
              <w:t>.</w:t>
            </w:r>
          </w:p>
        </w:tc>
      </w:tr>
      <w:tr w:rsidR="00065ABB" w:rsidRPr="00EB1471" w:rsidTr="00F52145">
        <w:trPr>
          <w:cantSplit w:val="0"/>
        </w:trPr>
        <w:tc>
          <w:tcPr>
            <w:tcW w:w="2467" w:type="dxa"/>
            <w:gridSpan w:val="2"/>
            <w:shd w:val="clear" w:color="auto" w:fill="000000" w:themeFill="text1"/>
          </w:tcPr>
          <w:p w:rsidR="00065ABB" w:rsidRPr="00A107DD" w:rsidRDefault="00065ABB" w:rsidP="001D0FDA">
            <w:pPr>
              <w:pStyle w:val="Tabletext"/>
              <w:rPr>
                <w:b/>
                <w:szCs w:val="18"/>
              </w:rPr>
            </w:pPr>
            <w:r>
              <w:rPr>
                <w:b/>
                <w:szCs w:val="18"/>
              </w:rPr>
              <w:t>Riociguat</w:t>
            </w:r>
          </w:p>
        </w:tc>
        <w:tc>
          <w:tcPr>
            <w:tcW w:w="2693" w:type="dxa"/>
            <w:shd w:val="clear" w:color="auto" w:fill="000000" w:themeFill="text1"/>
          </w:tcPr>
          <w:p w:rsidR="00065ABB" w:rsidRPr="00A107DD" w:rsidRDefault="00065ABB" w:rsidP="001D0FDA">
            <w:pPr>
              <w:pStyle w:val="Tabletext"/>
              <w:rPr>
                <w:b/>
                <w:szCs w:val="18"/>
              </w:rPr>
            </w:pPr>
          </w:p>
        </w:tc>
        <w:tc>
          <w:tcPr>
            <w:tcW w:w="1418" w:type="dxa"/>
            <w:shd w:val="clear" w:color="auto" w:fill="000000" w:themeFill="text1"/>
          </w:tcPr>
          <w:p w:rsidR="00065ABB" w:rsidRPr="00EB1471" w:rsidRDefault="00065ABB" w:rsidP="001D0FDA">
            <w:pPr>
              <w:pStyle w:val="Tabletext"/>
              <w:rPr>
                <w:szCs w:val="18"/>
              </w:rPr>
            </w:pPr>
          </w:p>
        </w:tc>
        <w:tc>
          <w:tcPr>
            <w:tcW w:w="3260" w:type="dxa"/>
            <w:shd w:val="clear" w:color="auto" w:fill="000000" w:themeFill="text1"/>
          </w:tcPr>
          <w:p w:rsidR="00065ABB" w:rsidRPr="00EB1471" w:rsidRDefault="00065ABB" w:rsidP="001D0FDA">
            <w:pPr>
              <w:pStyle w:val="Tabletext"/>
              <w:rPr>
                <w:szCs w:val="18"/>
              </w:rPr>
            </w:pPr>
          </w:p>
        </w:tc>
      </w:tr>
      <w:tr w:rsidR="001D0FDA" w:rsidRPr="00EB1471" w:rsidTr="00F52145">
        <w:trPr>
          <w:cantSplit w:val="0"/>
        </w:trPr>
        <w:tc>
          <w:tcPr>
            <w:tcW w:w="1191" w:type="dxa"/>
          </w:tcPr>
          <w:p w:rsidR="001D0FDA" w:rsidRPr="00EB1471" w:rsidRDefault="001D0FDA" w:rsidP="001D0FDA">
            <w:pPr>
              <w:pStyle w:val="Tabletext"/>
              <w:rPr>
                <w:szCs w:val="18"/>
              </w:rPr>
            </w:pPr>
            <w:r w:rsidRPr="00EB1471">
              <w:rPr>
                <w:szCs w:val="18"/>
              </w:rPr>
              <w:t>March 2014</w:t>
            </w:r>
          </w:p>
        </w:tc>
        <w:tc>
          <w:tcPr>
            <w:tcW w:w="1276" w:type="dxa"/>
          </w:tcPr>
          <w:p w:rsidR="001D0FDA" w:rsidRPr="00EB1471" w:rsidRDefault="001D0FDA" w:rsidP="001D0FDA">
            <w:pPr>
              <w:pStyle w:val="Tabletext"/>
              <w:rPr>
                <w:szCs w:val="18"/>
              </w:rPr>
            </w:pPr>
            <w:r w:rsidRPr="00EB1471">
              <w:rPr>
                <w:szCs w:val="18"/>
              </w:rPr>
              <w:t>WHO FC III/IV IPAH, PAH-CTD and PAH-CHD</w:t>
            </w:r>
          </w:p>
        </w:tc>
        <w:tc>
          <w:tcPr>
            <w:tcW w:w="2693" w:type="dxa"/>
          </w:tcPr>
          <w:p w:rsidR="001D0FDA" w:rsidRPr="008D1AEA" w:rsidRDefault="001D0FDA" w:rsidP="001D0FDA">
            <w:pPr>
              <w:pStyle w:val="Tabletext"/>
              <w:rPr>
                <w:szCs w:val="18"/>
              </w:rPr>
            </w:pPr>
            <w:r w:rsidRPr="008D1AEA">
              <w:rPr>
                <w:szCs w:val="18"/>
              </w:rPr>
              <w:t xml:space="preserve">Indirect comparison of 1 RCT comparing riociguat with placebo: </w:t>
            </w:r>
          </w:p>
          <w:p w:rsidR="001D0FDA" w:rsidRPr="008D1AEA" w:rsidRDefault="001D0FDA" w:rsidP="001D0FDA">
            <w:pPr>
              <w:pStyle w:val="Tabletext"/>
              <w:numPr>
                <w:ilvl w:val="0"/>
                <w:numId w:val="12"/>
              </w:numPr>
              <w:ind w:left="425" w:hanging="283"/>
              <w:rPr>
                <w:szCs w:val="18"/>
              </w:rPr>
            </w:pPr>
            <w:r w:rsidRPr="008D1AEA">
              <w:rPr>
                <w:szCs w:val="18"/>
              </w:rPr>
              <w:t xml:space="preserve">PATENT-1 </w:t>
            </w:r>
            <w:r w:rsidR="001D34EE" w:rsidRPr="001D34EE">
              <w:rPr>
                <w:noProof/>
                <w:szCs w:val="18"/>
                <w:vertAlign w:val="superscript"/>
              </w:rPr>
              <w:t>23</w:t>
            </w:r>
            <w:r w:rsidRPr="008D1AEA">
              <w:rPr>
                <w:szCs w:val="18"/>
              </w:rPr>
              <w:t xml:space="preserve"> (treatment-naïve, WHO FC III/IV subgroup)</w:t>
            </w:r>
          </w:p>
          <w:p w:rsidR="001D0FDA" w:rsidRPr="008D1AEA" w:rsidRDefault="001D0FDA" w:rsidP="001D0FDA">
            <w:pPr>
              <w:pStyle w:val="Tabletext"/>
              <w:rPr>
                <w:szCs w:val="18"/>
              </w:rPr>
            </w:pPr>
            <w:r w:rsidRPr="008D1AEA">
              <w:rPr>
                <w:szCs w:val="18"/>
              </w:rPr>
              <w:t>with 3 RCTs comparing bosentan with placebo:</w:t>
            </w:r>
          </w:p>
          <w:p w:rsidR="001D0FDA" w:rsidRPr="008D1AEA" w:rsidRDefault="001D0FDA" w:rsidP="001D0FDA">
            <w:pPr>
              <w:pStyle w:val="Tabletext"/>
              <w:numPr>
                <w:ilvl w:val="0"/>
                <w:numId w:val="12"/>
              </w:numPr>
              <w:ind w:left="425" w:hanging="283"/>
              <w:rPr>
                <w:szCs w:val="18"/>
              </w:rPr>
            </w:pPr>
            <w:r w:rsidRPr="008D1AEA">
              <w:rPr>
                <w:szCs w:val="18"/>
              </w:rPr>
              <w:t xml:space="preserve">BREATHE-1 </w:t>
            </w:r>
            <w:r w:rsidR="001D34EE" w:rsidRPr="001D34EE">
              <w:rPr>
                <w:noProof/>
                <w:szCs w:val="18"/>
                <w:vertAlign w:val="superscript"/>
              </w:rPr>
              <w:t>2</w:t>
            </w:r>
          </w:p>
          <w:p w:rsidR="001D0FDA" w:rsidRPr="008D1AEA" w:rsidRDefault="001D0FDA" w:rsidP="001D0FDA">
            <w:pPr>
              <w:pStyle w:val="Tabletext"/>
              <w:numPr>
                <w:ilvl w:val="0"/>
                <w:numId w:val="12"/>
              </w:numPr>
              <w:ind w:left="425" w:hanging="283"/>
              <w:rPr>
                <w:szCs w:val="18"/>
              </w:rPr>
            </w:pPr>
            <w:r w:rsidRPr="008D1AEA">
              <w:rPr>
                <w:szCs w:val="18"/>
              </w:rPr>
              <w:t xml:space="preserve">AC-052-351 </w:t>
            </w:r>
            <w:r w:rsidR="001D34EE" w:rsidRPr="001D34EE">
              <w:rPr>
                <w:noProof/>
                <w:szCs w:val="18"/>
                <w:vertAlign w:val="superscript"/>
              </w:rPr>
              <w:t>3, 4</w:t>
            </w:r>
          </w:p>
          <w:p w:rsidR="001D0FDA" w:rsidRDefault="001D0FDA" w:rsidP="001D0FDA">
            <w:pPr>
              <w:pStyle w:val="Tabletext"/>
              <w:numPr>
                <w:ilvl w:val="0"/>
                <w:numId w:val="12"/>
              </w:numPr>
              <w:ind w:left="425" w:hanging="283"/>
              <w:rPr>
                <w:szCs w:val="18"/>
              </w:rPr>
            </w:pPr>
            <w:r w:rsidRPr="008D1AEA">
              <w:rPr>
                <w:szCs w:val="18"/>
              </w:rPr>
              <w:t xml:space="preserve">BREATHE-5 </w:t>
            </w:r>
            <w:r w:rsidR="001D34EE" w:rsidRPr="001D34EE">
              <w:rPr>
                <w:noProof/>
                <w:szCs w:val="18"/>
                <w:vertAlign w:val="superscript"/>
              </w:rPr>
              <w:t>5</w:t>
            </w:r>
          </w:p>
          <w:p w:rsidR="001D0FDA" w:rsidRPr="00EB1471" w:rsidRDefault="001D0FDA" w:rsidP="001D0FDA">
            <w:pPr>
              <w:pStyle w:val="Tabletext"/>
              <w:rPr>
                <w:szCs w:val="18"/>
              </w:rPr>
            </w:pPr>
            <w:r>
              <w:rPr>
                <w:szCs w:val="18"/>
              </w:rPr>
              <w:t>via placebo as the common reference</w:t>
            </w:r>
          </w:p>
        </w:tc>
        <w:tc>
          <w:tcPr>
            <w:tcW w:w="1418" w:type="dxa"/>
          </w:tcPr>
          <w:p w:rsidR="001D0FDA" w:rsidRPr="00EB1471" w:rsidRDefault="001D0FDA" w:rsidP="001D0FDA">
            <w:pPr>
              <w:pStyle w:val="Tabletext"/>
              <w:rPr>
                <w:szCs w:val="18"/>
              </w:rPr>
            </w:pPr>
            <w:r>
              <w:rPr>
                <w:szCs w:val="18"/>
              </w:rPr>
              <w:t>Riociguat vs bosentan</w:t>
            </w:r>
          </w:p>
        </w:tc>
        <w:tc>
          <w:tcPr>
            <w:tcW w:w="3260" w:type="dxa"/>
          </w:tcPr>
          <w:p w:rsidR="001D0FDA" w:rsidRPr="00A7316D" w:rsidRDefault="001D0FDA" w:rsidP="00480FDF">
            <w:pPr>
              <w:pStyle w:val="Tabletext"/>
              <w:numPr>
                <w:ilvl w:val="0"/>
                <w:numId w:val="20"/>
              </w:numPr>
              <w:ind w:left="227" w:hanging="227"/>
            </w:pPr>
            <w:r w:rsidRPr="00A7316D">
              <w:t>Riociguat was non-inferior to bosentan in terms of improvement in 6MWD</w:t>
            </w:r>
            <w:r w:rsidR="0042322C">
              <w:t>.</w:t>
            </w:r>
          </w:p>
          <w:p w:rsidR="001D0FDA" w:rsidRPr="00EB1471" w:rsidRDefault="001D0FDA" w:rsidP="00480FDF">
            <w:pPr>
              <w:pStyle w:val="Tabletext"/>
              <w:numPr>
                <w:ilvl w:val="0"/>
                <w:numId w:val="20"/>
              </w:numPr>
              <w:ind w:left="227" w:hanging="227"/>
              <w:rPr>
                <w:szCs w:val="18"/>
              </w:rPr>
            </w:pPr>
            <w:r w:rsidRPr="00A7316D">
              <w:t>The safety profiles of riociguat and bosent</w:t>
            </w:r>
            <w:r w:rsidR="003B6FA8">
              <w:t>an were likely to be dissimilar</w:t>
            </w:r>
            <w:r w:rsidR="0042322C">
              <w:t>.</w:t>
            </w:r>
          </w:p>
        </w:tc>
      </w:tr>
    </w:tbl>
    <w:p w:rsidR="001D0FDA" w:rsidRPr="00EB1471" w:rsidRDefault="001D0FDA" w:rsidP="001D0FDA">
      <w:pPr>
        <w:pStyle w:val="Tablenote"/>
      </w:pPr>
      <w:r>
        <w:t xml:space="preserve">6MWD = 6-minute walk distance; BDI= </w:t>
      </w:r>
      <w:r w:rsidRPr="00D5633D">
        <w:t xml:space="preserve">Borg </w:t>
      </w:r>
      <w:r w:rsidR="0006512A" w:rsidRPr="00D5633D">
        <w:t>Dyspnoea</w:t>
      </w:r>
      <w:r w:rsidRPr="00D5633D">
        <w:t xml:space="preserve"> Index</w:t>
      </w:r>
      <w:r>
        <w:t xml:space="preserve">; </w:t>
      </w:r>
      <w:r w:rsidRPr="00EB1471">
        <w:t xml:space="preserve">FC = functional class; IPAH = idiopathic pulmonary arterial hypertension; PAH = pulmonary arterial hypertension; PAH-CTD = </w:t>
      </w:r>
      <w:r w:rsidR="00B923F1">
        <w:t>PAH</w:t>
      </w:r>
      <w:r w:rsidRPr="00EB1471">
        <w:t xml:space="preserve"> associated with connective tissue disease; PAH-CHD = </w:t>
      </w:r>
      <w:r w:rsidR="00B923F1">
        <w:t>PAH</w:t>
      </w:r>
      <w:r w:rsidRPr="00EB1471">
        <w:t xml:space="preserve"> associated with congenital heart disease; RCT = randomised controlled trial; WHO = World Health Organization</w:t>
      </w:r>
    </w:p>
    <w:p w:rsidR="00073A00" w:rsidRDefault="001D0FDA" w:rsidP="001D0FDA">
      <w:pPr>
        <w:pStyle w:val="Tablenote"/>
        <w:rPr>
          <w:i/>
        </w:rPr>
      </w:pPr>
      <w:r w:rsidRPr="00EB1471">
        <w:rPr>
          <w:i/>
        </w:rPr>
        <w:t>Source: Relevant Public summary documents and ratified PBAC minutes</w:t>
      </w:r>
    </w:p>
    <w:p w:rsidR="00073A00" w:rsidRDefault="00073A00">
      <w:pPr>
        <w:spacing w:before="0" w:line="240" w:lineRule="auto"/>
        <w:rPr>
          <w:rFonts w:ascii="Arial" w:eastAsiaTheme="minorEastAsia" w:hAnsi="Arial" w:cs="Baskerville"/>
          <w:i/>
          <w:sz w:val="18"/>
          <w:szCs w:val="20"/>
          <w:lang w:eastAsia="en-AU"/>
        </w:rPr>
      </w:pPr>
      <w:r>
        <w:rPr>
          <w:i/>
        </w:rPr>
        <w:br w:type="page"/>
      </w:r>
    </w:p>
    <w:p w:rsidR="00FC1362" w:rsidRPr="00EB1471" w:rsidRDefault="00FC1362" w:rsidP="00D103A9">
      <w:pPr>
        <w:pStyle w:val="Heading3"/>
      </w:pPr>
      <w:bookmarkStart w:id="19" w:name="_Toc38360267"/>
      <w:r w:rsidRPr="00EB1471">
        <w:t>Effectiveness and safety of dual combination therapy</w:t>
      </w:r>
      <w:bookmarkEnd w:id="19"/>
    </w:p>
    <w:p w:rsidR="005A0C83" w:rsidRPr="00532B79" w:rsidRDefault="005A0C83" w:rsidP="005A0C83">
      <w:pPr>
        <w:pStyle w:val="ToRText"/>
        <w:shd w:val="clear" w:color="auto" w:fill="F2F2F2" w:themeFill="background1" w:themeFillShade="F2"/>
        <w:spacing w:before="240"/>
        <w:rPr>
          <w:b w:val="0"/>
          <w:color w:val="auto"/>
          <w:shd w:val="clear" w:color="auto" w:fill="F2F2F2" w:themeFill="background1" w:themeFillShade="F2"/>
        </w:rPr>
      </w:pPr>
      <w:r w:rsidRPr="00532B79">
        <w:rPr>
          <w:b w:val="0"/>
          <w:color w:val="auto"/>
          <w:shd w:val="clear" w:color="auto" w:fill="F2F2F2" w:themeFill="background1" w:themeFillShade="F2"/>
        </w:rPr>
        <w:t>Q3.</w:t>
      </w:r>
      <w:r w:rsidRPr="00532B79">
        <w:rPr>
          <w:b w:val="0"/>
          <w:color w:val="auto"/>
          <w:shd w:val="clear" w:color="auto" w:fill="F2F2F2" w:themeFill="background1" w:themeFillShade="F2"/>
        </w:rPr>
        <w:tab/>
        <w:t>What is the effectiveness and safety of dual combination therapy involving any combination of an ERA, a PDE 5 inhibitor, a prostanoid, or a sGC stimulat</w:t>
      </w:r>
      <w:r>
        <w:rPr>
          <w:b w:val="0"/>
          <w:color w:val="auto"/>
          <w:shd w:val="clear" w:color="auto" w:fill="F2F2F2" w:themeFill="background1" w:themeFillShade="F2"/>
        </w:rPr>
        <w:t xml:space="preserve">or, compared to monotherapy, </w:t>
      </w:r>
      <w:proofErr w:type="gramStart"/>
      <w:r>
        <w:rPr>
          <w:b w:val="0"/>
          <w:color w:val="auto"/>
          <w:shd w:val="clear" w:color="auto" w:fill="F2F2F2" w:themeFill="background1" w:themeFillShade="F2"/>
        </w:rPr>
        <w:t>in</w:t>
      </w:r>
      <w:r w:rsidR="00697712">
        <w:rPr>
          <w:b w:val="0"/>
          <w:color w:val="auto"/>
          <w:shd w:val="clear" w:color="auto" w:fill="F2F2F2" w:themeFill="background1" w:themeFillShade="F2"/>
        </w:rPr>
        <w:t>:</w:t>
      </w:r>
      <w:proofErr w:type="gramEnd"/>
    </w:p>
    <w:p w:rsidR="005A0C83" w:rsidRPr="00532B79" w:rsidRDefault="005A0C83" w:rsidP="005A0C83">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i)</w:t>
      </w:r>
      <w:r w:rsidRPr="00532B79">
        <w:rPr>
          <w:b w:val="0"/>
          <w:color w:val="auto"/>
          <w:shd w:val="clear" w:color="auto" w:fill="F2F2F2" w:themeFill="background1" w:themeFillShade="F2"/>
        </w:rPr>
        <w:tab/>
        <w:t>PAH patients, irrespective of disease severity or aetiology;</w:t>
      </w:r>
    </w:p>
    <w:p w:rsidR="005A0C83" w:rsidRPr="00532B79" w:rsidRDefault="005A0C83" w:rsidP="005A0C83">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ii)</w:t>
      </w:r>
      <w:r w:rsidRPr="00532B79">
        <w:rPr>
          <w:b w:val="0"/>
          <w:color w:val="auto"/>
          <w:shd w:val="clear" w:color="auto" w:fill="F2F2F2" w:themeFill="background1" w:themeFillShade="F2"/>
        </w:rPr>
        <w:tab/>
        <w:t>PAH patients with FC III or IV; and</w:t>
      </w:r>
    </w:p>
    <w:p w:rsidR="005A0C83" w:rsidRPr="00D228A6" w:rsidRDefault="005A0C83" w:rsidP="005A0C83">
      <w:pPr>
        <w:pStyle w:val="ToRText"/>
        <w:shd w:val="clear" w:color="auto" w:fill="F2F2F2" w:themeFill="background1" w:themeFillShade="F2"/>
        <w:rPr>
          <w:b w:val="0"/>
          <w:color w:val="auto"/>
        </w:rPr>
      </w:pPr>
      <w:r w:rsidRPr="00532B79">
        <w:rPr>
          <w:b w:val="0"/>
          <w:color w:val="auto"/>
          <w:shd w:val="clear" w:color="auto" w:fill="F2F2F2" w:themeFill="background1" w:themeFillShade="F2"/>
        </w:rPr>
        <w:t>iii)</w:t>
      </w:r>
      <w:r w:rsidRPr="00532B79">
        <w:rPr>
          <w:b w:val="0"/>
          <w:color w:val="auto"/>
          <w:shd w:val="clear" w:color="auto" w:fill="F2F2F2" w:themeFill="background1" w:themeFillShade="F2"/>
        </w:rPr>
        <w:tab/>
        <w:t>PAH patients with different disease aetiologies?</w:t>
      </w:r>
    </w:p>
    <w:p w:rsidR="009B35CE" w:rsidRPr="006316DF" w:rsidRDefault="00441F08" w:rsidP="00003E50">
      <w:pPr>
        <w:pStyle w:val="Heading4"/>
        <w:tabs>
          <w:tab w:val="left" w:pos="993"/>
          <w:tab w:val="left" w:pos="1134"/>
        </w:tabs>
      </w:pPr>
      <w:r>
        <w:t>4.1.3.1</w:t>
      </w:r>
      <w:r>
        <w:tab/>
      </w:r>
      <w:r w:rsidR="009B35CE" w:rsidRPr="006316DF">
        <w:t xml:space="preserve">ERA </w:t>
      </w:r>
      <w:r w:rsidR="009B35CE" w:rsidRPr="00EF6A61">
        <w:t>in addition to PDE-5 inhibitor</w:t>
      </w:r>
    </w:p>
    <w:p w:rsidR="009B35CE" w:rsidRPr="00107676" w:rsidRDefault="009B35CE" w:rsidP="009B35CE">
      <w:pPr>
        <w:pStyle w:val="Heading5"/>
      </w:pPr>
      <w:r w:rsidRPr="00107676">
        <w:t>Clinical effectiveness</w:t>
      </w:r>
    </w:p>
    <w:p w:rsidR="00B14A50" w:rsidRDefault="00B14A50" w:rsidP="00B14A50">
      <w:r w:rsidRPr="00822C52">
        <w:t>Four RCTs reported on the effectiveness of an ERA in addition to a PDE-5</w:t>
      </w:r>
      <w:r>
        <w:t xml:space="preserve"> </w:t>
      </w:r>
      <w:r w:rsidRPr="00C5017B">
        <w:t xml:space="preserve">inhibitor </w:t>
      </w:r>
      <w:r w:rsidRPr="00822C52">
        <w:t xml:space="preserve">in treating PAH compared with placebo plus a </w:t>
      </w:r>
      <w:r>
        <w:t>PDE-5 inhibitor</w:t>
      </w:r>
      <w:r w:rsidRPr="00822C52">
        <w:t xml:space="preserve"> in patients with PAH</w:t>
      </w:r>
      <w:r>
        <w:t>:</w:t>
      </w:r>
    </w:p>
    <w:p w:rsidR="00B14A50" w:rsidRPr="00B607A5" w:rsidRDefault="00B14A50" w:rsidP="0086175F">
      <w:pPr>
        <w:pStyle w:val="Bullettext"/>
      </w:pPr>
      <w:r w:rsidRPr="00B607A5">
        <w:t>Three trials (EARLY, COMPASS-2 and SERAPHIN) enrolled patients on stable PDE-5 inhibitor monotherapy (sequential combination therapy)</w:t>
      </w:r>
      <w:r w:rsidR="004E3670" w:rsidRPr="00B607A5">
        <w:t>.</w:t>
      </w:r>
    </w:p>
    <w:p w:rsidR="00B14A50" w:rsidRPr="00B607A5" w:rsidRDefault="00B14A50" w:rsidP="0086175F">
      <w:pPr>
        <w:pStyle w:val="Bullettext"/>
      </w:pPr>
      <w:r w:rsidRPr="00B607A5">
        <w:t>One trial (AMBITION) enrolled treatment naïve patients (initial combination therapy)</w:t>
      </w:r>
    </w:p>
    <w:p w:rsidR="00B14A50" w:rsidRPr="00B607A5" w:rsidRDefault="00B14A50" w:rsidP="0086175F">
      <w:pPr>
        <w:pStyle w:val="Bullettext"/>
      </w:pPr>
      <w:r w:rsidRPr="00B607A5">
        <w:t>There were no statistically significant differences in the effectiveness of treatment for patients receiving initial combination therapy versus monotherapy and patients receiving sequential combination therapy versus monotherapy.</w:t>
      </w:r>
    </w:p>
    <w:p w:rsidR="00B14A50" w:rsidRPr="00B607A5" w:rsidRDefault="00B14A50" w:rsidP="0086175F">
      <w:pPr>
        <w:pStyle w:val="Bullettext"/>
      </w:pPr>
      <w:r w:rsidRPr="00B607A5">
        <w:t>Two RCTs included a subgroup analysis for patients with WHO FC III/IV PAH.</w:t>
      </w:r>
    </w:p>
    <w:p w:rsidR="00B14A50" w:rsidRPr="00B607A5" w:rsidRDefault="00B14A50" w:rsidP="0086175F">
      <w:pPr>
        <w:pStyle w:val="Bullettext"/>
      </w:pPr>
      <w:r w:rsidRPr="00B607A5">
        <w:t>Two RCTs included a subgroup analysis for patients with different PAH aetiologies.</w:t>
      </w:r>
    </w:p>
    <w:p w:rsidR="009B35CE" w:rsidRDefault="009B35CE" w:rsidP="008A00DA">
      <w:r>
        <w:t>The evidence provided by these trials is summarised in</w:t>
      </w:r>
      <w:r w:rsidR="008A00DA">
        <w:t xml:space="preserve"> Table 4.5.</w:t>
      </w:r>
    </w:p>
    <w:p w:rsidR="00073A00" w:rsidRDefault="00843DF8" w:rsidP="00550EA7">
      <w:r>
        <w:t xml:space="preserve">Overall, </w:t>
      </w:r>
      <w:r w:rsidRPr="00C84392">
        <w:t xml:space="preserve">there is </w:t>
      </w:r>
      <w:r w:rsidR="00CA6CD8" w:rsidRPr="00C84392">
        <w:t>some evidence to suggest</w:t>
      </w:r>
      <w:r w:rsidR="00CA6CD8">
        <w:t xml:space="preserve"> that</w:t>
      </w:r>
      <w:r w:rsidRPr="00843DF8">
        <w:t xml:space="preserve"> the use of an ERA in addition to PDE-5 inhibitor, relative to PDE-5 inhibitor monotherapy to treat PAH patients is likely to be beneficial</w:t>
      </w:r>
      <w:r w:rsidR="009B35CE" w:rsidRPr="006316DF">
        <w:t xml:space="preserve">. </w:t>
      </w:r>
      <w:r w:rsidR="009B35CE">
        <w:t>The evidence for patients with WHO FC III/IV PAH</w:t>
      </w:r>
      <w:r w:rsidR="009B35CE" w:rsidRPr="00FD4377">
        <w:t xml:space="preserve"> </w:t>
      </w:r>
      <w:r w:rsidR="009B35CE">
        <w:t xml:space="preserve">and </w:t>
      </w:r>
      <w:r w:rsidR="009A6001">
        <w:t xml:space="preserve">for </w:t>
      </w:r>
      <w:r w:rsidR="009B35CE">
        <w:t xml:space="preserve">patients </w:t>
      </w:r>
      <w:r w:rsidR="009A6001">
        <w:t>with different PAH aetiologies i</w:t>
      </w:r>
      <w:r w:rsidR="009B35CE">
        <w:t>s more limited</w:t>
      </w:r>
      <w:r w:rsidR="009A6001">
        <w:t xml:space="preserve">, </w:t>
      </w:r>
      <w:r w:rsidR="00CA6CD8">
        <w:t>introducing more</w:t>
      </w:r>
      <w:r w:rsidR="009A6001">
        <w:t xml:space="preserve"> uncertainty</w:t>
      </w:r>
      <w:r w:rsidR="009B35CE">
        <w:t>.</w:t>
      </w:r>
    </w:p>
    <w:p w:rsidR="00073A00" w:rsidRDefault="00073A00">
      <w:pPr>
        <w:spacing w:before="0" w:line="240" w:lineRule="auto"/>
      </w:pPr>
      <w:r>
        <w:br w:type="page"/>
      </w:r>
    </w:p>
    <w:p w:rsidR="009B35CE" w:rsidRDefault="00272F8F" w:rsidP="00BC5A2B">
      <w:pPr>
        <w:pStyle w:val="Caption"/>
      </w:pPr>
      <w:bookmarkStart w:id="20" w:name="_Ref506283556"/>
      <w:bookmarkStart w:id="21" w:name="_Toc38360302"/>
      <w:r>
        <w:t>Table 4.</w:t>
      </w:r>
      <w:r w:rsidR="003951FA">
        <w:rPr>
          <w:noProof/>
        </w:rPr>
        <w:t>5</w:t>
      </w:r>
      <w:bookmarkEnd w:id="20"/>
      <w:r w:rsidR="00550EA7">
        <w:tab/>
      </w:r>
      <w:r w:rsidR="009B35CE">
        <w:t xml:space="preserve">Summary of the evidence for the clinical effectiveness of an </w:t>
      </w:r>
      <w:r w:rsidR="009B35CE" w:rsidRPr="00542902">
        <w:t xml:space="preserve">ERA in addition to </w:t>
      </w:r>
      <w:r w:rsidR="009B35CE">
        <w:t xml:space="preserve">a </w:t>
      </w:r>
      <w:r w:rsidR="009B35CE" w:rsidRPr="00542902">
        <w:t>PDE-5 inhibitor, relative</w:t>
      </w:r>
      <w:r w:rsidR="009B35CE">
        <w:t xml:space="preserve"> to PDE-5 inhibitor monotherapy</w:t>
      </w:r>
      <w:bookmarkEnd w:id="21"/>
    </w:p>
    <w:tbl>
      <w:tblPr>
        <w:tblStyle w:val="TableGrid"/>
        <w:tblW w:w="9634" w:type="dxa"/>
        <w:tblLayout w:type="fixed"/>
        <w:tblLook w:val="04A0" w:firstRow="1" w:lastRow="0" w:firstColumn="1" w:lastColumn="0" w:noHBand="0" w:noVBand="1"/>
        <w:tblCaption w:val="Summary of the evidence for the clinical effectiveness of an ERA in addition to a PDE-5 inhibitor, relative to PDE-5 inhibitor monotherapy"/>
      </w:tblPr>
      <w:tblGrid>
        <w:gridCol w:w="1555"/>
        <w:gridCol w:w="2188"/>
        <w:gridCol w:w="5891"/>
      </w:tblGrid>
      <w:tr w:rsidR="009B35CE" w:rsidRPr="00550EA7" w:rsidTr="00F52145">
        <w:trPr>
          <w:cnfStyle w:val="100000000000" w:firstRow="1" w:lastRow="0" w:firstColumn="0" w:lastColumn="0" w:oddVBand="0" w:evenVBand="0" w:oddHBand="0" w:evenHBand="0" w:firstRowFirstColumn="0" w:firstRowLastColumn="0" w:lastRowFirstColumn="0" w:lastRowLastColumn="0"/>
        </w:trPr>
        <w:tc>
          <w:tcPr>
            <w:tcW w:w="1555" w:type="dxa"/>
          </w:tcPr>
          <w:p w:rsidR="009B35CE" w:rsidRPr="00550EA7" w:rsidRDefault="009B35CE" w:rsidP="00550EA7">
            <w:pPr>
              <w:pStyle w:val="Tabletext"/>
              <w:rPr>
                <w:rFonts w:asciiTheme="minorHAnsi" w:hAnsiTheme="minorHAnsi"/>
                <w:b/>
              </w:rPr>
            </w:pPr>
            <w:r w:rsidRPr="00550EA7">
              <w:rPr>
                <w:b/>
              </w:rPr>
              <w:t>Outcome</w:t>
            </w:r>
          </w:p>
        </w:tc>
        <w:tc>
          <w:tcPr>
            <w:tcW w:w="2188" w:type="dxa"/>
          </w:tcPr>
          <w:p w:rsidR="00293DE5" w:rsidRDefault="009B35CE" w:rsidP="00293DE5">
            <w:pPr>
              <w:pStyle w:val="Tabletext"/>
              <w:rPr>
                <w:b/>
              </w:rPr>
            </w:pPr>
            <w:r w:rsidRPr="00550EA7">
              <w:rPr>
                <w:b/>
              </w:rPr>
              <w:t xml:space="preserve">Included trials </w:t>
            </w:r>
          </w:p>
          <w:p w:rsidR="00293DE5" w:rsidRPr="00293DE5" w:rsidRDefault="00293DE5" w:rsidP="00293DE5">
            <w:pPr>
              <w:pStyle w:val="Tabletext"/>
              <w:rPr>
                <w:b/>
              </w:rPr>
            </w:pPr>
            <w:r w:rsidRPr="00293DE5">
              <w:rPr>
                <w:b/>
              </w:rPr>
              <w:t>No. of patients</w:t>
            </w:r>
          </w:p>
        </w:tc>
        <w:tc>
          <w:tcPr>
            <w:tcW w:w="5891" w:type="dxa"/>
          </w:tcPr>
          <w:p w:rsidR="009B35CE" w:rsidRPr="00550EA7" w:rsidRDefault="009B35CE" w:rsidP="00550EA7">
            <w:pPr>
              <w:pStyle w:val="Tabletext"/>
              <w:rPr>
                <w:rFonts w:asciiTheme="minorHAnsi" w:hAnsiTheme="minorHAnsi"/>
                <w:b/>
              </w:rPr>
            </w:pPr>
            <w:r w:rsidRPr="00550EA7">
              <w:rPr>
                <w:b/>
              </w:rPr>
              <w:t>Summary of evidence</w:t>
            </w:r>
          </w:p>
        </w:tc>
      </w:tr>
      <w:tr w:rsidR="009B35CE" w:rsidTr="00550EA7">
        <w:tc>
          <w:tcPr>
            <w:tcW w:w="9634" w:type="dxa"/>
            <w:gridSpan w:val="3"/>
            <w:shd w:val="clear" w:color="auto" w:fill="000000" w:themeFill="text1"/>
          </w:tcPr>
          <w:p w:rsidR="009B35CE" w:rsidRDefault="009B35CE" w:rsidP="00550EA7">
            <w:pPr>
              <w:pStyle w:val="Tabletext"/>
              <w:rPr>
                <w:rFonts w:asciiTheme="minorHAnsi" w:hAnsiTheme="minorHAnsi"/>
              </w:rPr>
            </w:pPr>
            <w:r>
              <w:t>All PAH patients</w:t>
            </w:r>
          </w:p>
        </w:tc>
      </w:tr>
      <w:tr w:rsidR="009B35CE" w:rsidTr="00F52145">
        <w:tc>
          <w:tcPr>
            <w:tcW w:w="1555" w:type="dxa"/>
          </w:tcPr>
          <w:p w:rsidR="009B35CE" w:rsidRPr="0049771F" w:rsidRDefault="009B35CE" w:rsidP="00550EA7">
            <w:pPr>
              <w:pStyle w:val="Tabletext"/>
            </w:pPr>
            <w:r w:rsidRPr="0049771F">
              <w:t>Clinical worsening</w:t>
            </w:r>
          </w:p>
        </w:tc>
        <w:tc>
          <w:tcPr>
            <w:tcW w:w="2188" w:type="dxa"/>
          </w:tcPr>
          <w:p w:rsidR="009B35CE" w:rsidRPr="0049771F" w:rsidRDefault="009B35CE" w:rsidP="00550EA7">
            <w:pPr>
              <w:pStyle w:val="Tabletext"/>
            </w:pPr>
            <w:r w:rsidRPr="0049771F">
              <w:t>EARLY</w:t>
            </w:r>
            <w:r w:rsidR="00E85CDD" w:rsidRPr="0049771F">
              <w:br/>
            </w:r>
            <w:r w:rsidRPr="0049771F">
              <w:t>(bosentan/sildenafil)</w:t>
            </w:r>
          </w:p>
          <w:p w:rsidR="009B35CE" w:rsidRPr="0049771F" w:rsidRDefault="009B35CE" w:rsidP="00550EA7">
            <w:pPr>
              <w:pStyle w:val="Tabletext"/>
            </w:pPr>
            <w:r w:rsidRPr="0049771F">
              <w:t>COMPASS-2</w:t>
            </w:r>
            <w:r w:rsidR="00E85CDD" w:rsidRPr="0049771F">
              <w:br/>
            </w:r>
            <w:r w:rsidRPr="0049771F">
              <w:t>(bosentan/sildenafil)</w:t>
            </w:r>
          </w:p>
          <w:p w:rsidR="009B35CE" w:rsidRPr="0049771F" w:rsidRDefault="009B35CE" w:rsidP="00550EA7">
            <w:pPr>
              <w:pStyle w:val="Tabletext"/>
            </w:pPr>
            <w:r w:rsidRPr="0049771F">
              <w:t>SERAPHIN</w:t>
            </w:r>
            <w:r w:rsidR="00E85CDD" w:rsidRPr="0049771F">
              <w:br/>
            </w:r>
            <w:r w:rsidRPr="0049771F">
              <w:t>(macitentan/any PDE-5i)</w:t>
            </w:r>
          </w:p>
          <w:p w:rsidR="009B35CE" w:rsidRPr="0049771F" w:rsidRDefault="009B35CE" w:rsidP="00E85CDD">
            <w:pPr>
              <w:pStyle w:val="Tabletext"/>
            </w:pPr>
            <w:r w:rsidRPr="0049771F">
              <w:t>AMBITION</w:t>
            </w:r>
            <w:r w:rsidR="00E85CDD" w:rsidRPr="0049771F">
              <w:br/>
            </w:r>
            <w:r w:rsidRPr="0049771F">
              <w:t>(ambrisentan/tadalafil)</w:t>
            </w:r>
          </w:p>
          <w:p w:rsidR="00293DE5" w:rsidRPr="0049771F" w:rsidRDefault="00293DE5" w:rsidP="00E85CDD">
            <w:pPr>
              <w:pStyle w:val="Tabletext"/>
            </w:pPr>
            <w:r w:rsidRPr="0049771F">
              <w:t>N=1,124</w:t>
            </w:r>
          </w:p>
        </w:tc>
        <w:tc>
          <w:tcPr>
            <w:tcW w:w="5891" w:type="dxa"/>
          </w:tcPr>
          <w:p w:rsidR="009B35CE" w:rsidRPr="0049771F" w:rsidRDefault="009B35CE" w:rsidP="00480FDF">
            <w:pPr>
              <w:pStyle w:val="Tabletext"/>
              <w:numPr>
                <w:ilvl w:val="0"/>
                <w:numId w:val="25"/>
              </w:numPr>
              <w:ind w:left="227" w:hanging="219"/>
              <w:rPr>
                <w:szCs w:val="18"/>
              </w:rPr>
            </w:pPr>
            <w:r w:rsidRPr="0049771F">
              <w:t>High quality</w:t>
            </w:r>
            <w:r w:rsidRPr="0049771F">
              <w:rPr>
                <w:rFonts w:cs="Cambria Math"/>
              </w:rPr>
              <w:t xml:space="preserve"> evidence (GRADE </w:t>
            </w:r>
            <w:r w:rsidRPr="0049771F">
              <w:rPr>
                <w:rFonts w:ascii="Cambria Math" w:hAnsi="Cambria Math" w:cs="Cambria Math"/>
                <w:color w:val="00B050"/>
              </w:rPr>
              <w:t>⨁⨁⨁⨁</w:t>
            </w:r>
            <w:r w:rsidRPr="0049771F">
              <w:t>)</w:t>
            </w:r>
          </w:p>
          <w:p w:rsidR="009B35CE" w:rsidRPr="002046A0" w:rsidRDefault="002046A0" w:rsidP="002046A0">
            <w:pPr>
              <w:pStyle w:val="Tabletext"/>
              <w:ind w:left="227" w:hanging="219"/>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0E0079" w:rsidRPr="002046A0" w:rsidRDefault="002046A0" w:rsidP="002046A0">
            <w:pPr>
              <w:pStyle w:val="Tabletext"/>
              <w:ind w:left="227" w:hanging="219"/>
              <w:rPr>
                <w:szCs w:val="18"/>
                <w:highlight w:val="black"/>
              </w:rPr>
            </w:pP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r w:rsidRPr="00DD3F6A">
              <w:rPr>
                <w:rFonts w:ascii="Symbol" w:hAnsi="Symbol"/>
                <w:noProof/>
                <w:color w:val="000000"/>
                <w:sz w:val="12"/>
                <w:szCs w:val="18"/>
                <w:highlight w:val="black"/>
              </w:rPr>
              <w:t></w:t>
            </w:r>
          </w:p>
        </w:tc>
      </w:tr>
      <w:tr w:rsidR="009B35CE" w:rsidTr="00F52145">
        <w:tc>
          <w:tcPr>
            <w:tcW w:w="1555" w:type="dxa"/>
          </w:tcPr>
          <w:p w:rsidR="009B35CE" w:rsidRPr="0049771F" w:rsidRDefault="009B35CE" w:rsidP="00550EA7">
            <w:pPr>
              <w:pStyle w:val="Tabletext"/>
            </w:pPr>
            <w:r w:rsidRPr="0049771F">
              <w:t>All-cause mortality</w:t>
            </w:r>
          </w:p>
        </w:tc>
        <w:tc>
          <w:tcPr>
            <w:tcW w:w="2188" w:type="dxa"/>
          </w:tcPr>
          <w:p w:rsidR="009B35CE" w:rsidRPr="0049771F" w:rsidRDefault="009B35CE" w:rsidP="00550EA7">
            <w:pPr>
              <w:pStyle w:val="Tabletext"/>
            </w:pPr>
            <w:r w:rsidRPr="0049771F">
              <w:t>EARLY</w:t>
            </w:r>
            <w:r w:rsidR="00E85CDD" w:rsidRPr="0049771F">
              <w:br/>
            </w:r>
            <w:r w:rsidRPr="0049771F">
              <w:t>(bosentan/sildenafil)</w:t>
            </w:r>
          </w:p>
          <w:p w:rsidR="009B35CE" w:rsidRPr="0049771F" w:rsidRDefault="009B35CE" w:rsidP="00550EA7">
            <w:pPr>
              <w:pStyle w:val="Tabletext"/>
            </w:pPr>
            <w:r w:rsidRPr="0049771F">
              <w:t>COMPASS-2 (bosentan/sildenafil)</w:t>
            </w:r>
          </w:p>
          <w:p w:rsidR="009B35CE" w:rsidRPr="0049771F" w:rsidRDefault="009B35CE" w:rsidP="00550EA7">
            <w:pPr>
              <w:pStyle w:val="Tabletext"/>
            </w:pPr>
            <w:r w:rsidRPr="0049771F">
              <w:t>SERAPHIN</w:t>
            </w:r>
            <w:r w:rsidR="00E85CDD" w:rsidRPr="0049771F">
              <w:br/>
            </w:r>
            <w:r w:rsidRPr="0049771F">
              <w:t>(macitentan/any PDE-5i)</w:t>
            </w:r>
          </w:p>
          <w:p w:rsidR="009B35CE" w:rsidRPr="0049771F" w:rsidRDefault="009B35CE" w:rsidP="00550EA7">
            <w:pPr>
              <w:pStyle w:val="Tabletext"/>
            </w:pPr>
            <w:r w:rsidRPr="0049771F">
              <w:t>AMBITION (ambrisentan/tadalafil)</w:t>
            </w:r>
          </w:p>
          <w:p w:rsidR="00293DE5" w:rsidRPr="0049771F" w:rsidRDefault="00293DE5" w:rsidP="009F446F">
            <w:pPr>
              <w:pStyle w:val="Tabletext"/>
            </w:pPr>
            <w:r w:rsidRPr="0049771F">
              <w:t>N=1,</w:t>
            </w:r>
            <w:r w:rsidR="009F446F" w:rsidRPr="0049771F">
              <w:t>124</w:t>
            </w:r>
          </w:p>
        </w:tc>
        <w:tc>
          <w:tcPr>
            <w:tcW w:w="5891" w:type="dxa"/>
          </w:tcPr>
          <w:p w:rsidR="009B35CE" w:rsidRPr="0049771F" w:rsidRDefault="00C52089" w:rsidP="00480FDF">
            <w:pPr>
              <w:pStyle w:val="Tabletext"/>
              <w:numPr>
                <w:ilvl w:val="0"/>
                <w:numId w:val="26"/>
              </w:numPr>
              <w:ind w:left="227" w:hanging="219"/>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eastAsia="Times New Roman" w:hAnsi="Cambria Math"/>
                <w:color w:val="C00000"/>
              </w:rPr>
              <w:t>⨀</w:t>
            </w:r>
            <w:r w:rsidR="009B35CE" w:rsidRPr="0049771F">
              <w:t>)</w:t>
            </w:r>
          </w:p>
          <w:p w:rsidR="009B35CE" w:rsidRPr="002046A0" w:rsidRDefault="002046A0" w:rsidP="002046A0">
            <w:pPr>
              <w:pStyle w:val="Tabletext"/>
              <w:ind w:left="227" w:hanging="219"/>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0E0079" w:rsidRPr="002046A0" w:rsidRDefault="002046A0" w:rsidP="00480FDF">
            <w:pPr>
              <w:pStyle w:val="Tabletext"/>
              <w:numPr>
                <w:ilvl w:val="0"/>
                <w:numId w:val="26"/>
              </w:numPr>
              <w:ind w:left="227" w:hanging="219"/>
              <w:rPr>
                <w:highlight w:val="black"/>
              </w:rPr>
            </w:pPr>
            <w:r>
              <w:rPr>
                <w:noProof/>
                <w:color w:val="000000"/>
                <w:szCs w:val="18"/>
                <w:highlight w:val="black"/>
              </w:rPr>
              <w:t>'''''''''''''''' ''''''''''' '''''' ''''''''''''''''''''''''' '''''''''''''''''''''''''''' '''' '''''''''''''''''''''''' '''''''''''''''''''''''''''' '''''' '''''''' ''''''''''''''''''''' ''''''''''''''''''''' '''''''''''''''''''''''''''''''</w:t>
            </w:r>
            <w:r w:rsidR="00B14A50" w:rsidRPr="002046A0">
              <w:rPr>
                <w:szCs w:val="18"/>
                <w:highlight w:val="black"/>
              </w:rPr>
              <w:t xml:space="preserve"> </w:t>
            </w:r>
          </w:p>
        </w:tc>
      </w:tr>
      <w:tr w:rsidR="009B35CE" w:rsidTr="00F52145">
        <w:tc>
          <w:tcPr>
            <w:tcW w:w="1555" w:type="dxa"/>
          </w:tcPr>
          <w:p w:rsidR="009B35CE" w:rsidRPr="001D637C" w:rsidRDefault="009B35CE" w:rsidP="00C84392">
            <w:pPr>
              <w:pStyle w:val="Tabletext"/>
            </w:pPr>
            <w:r>
              <w:t>Hospitalisation</w:t>
            </w:r>
            <w:r w:rsidR="00E26A38">
              <w:t xml:space="preserve"> </w:t>
            </w:r>
            <w:r w:rsidR="00C84392">
              <w:t>due to</w:t>
            </w:r>
            <w:r w:rsidR="00E26A38">
              <w:t xml:space="preserve"> </w:t>
            </w:r>
            <w:r w:rsidR="006F1431">
              <w:t xml:space="preserve">worsening </w:t>
            </w:r>
            <w:r w:rsidR="00C84392">
              <w:t>PAH</w:t>
            </w:r>
          </w:p>
        </w:tc>
        <w:tc>
          <w:tcPr>
            <w:tcW w:w="2188" w:type="dxa"/>
          </w:tcPr>
          <w:p w:rsidR="009B35CE" w:rsidRDefault="009B35CE" w:rsidP="00550EA7">
            <w:pPr>
              <w:pStyle w:val="Tabletext"/>
            </w:pPr>
            <w:r>
              <w:t>SERAPHIN</w:t>
            </w:r>
            <w:r w:rsidR="00E85CDD">
              <w:br/>
            </w:r>
            <w:r>
              <w:t>(macitentan/any PDE-5i)</w:t>
            </w:r>
          </w:p>
          <w:p w:rsidR="009B35CE" w:rsidRDefault="009B35CE" w:rsidP="00550EA7">
            <w:pPr>
              <w:pStyle w:val="Tabletext"/>
            </w:pPr>
            <w:r>
              <w:t>AMBITION (ambrisentan/tadalafil)</w:t>
            </w:r>
          </w:p>
          <w:p w:rsidR="00EC5CFD" w:rsidRPr="001D637C" w:rsidRDefault="00EC5CFD" w:rsidP="009F446F">
            <w:pPr>
              <w:pStyle w:val="Tabletext"/>
            </w:pPr>
            <w:r>
              <w:t>N=</w:t>
            </w:r>
            <w:r w:rsidR="009F446F">
              <w:t>7</w:t>
            </w:r>
            <w:r>
              <w:t>6</w:t>
            </w:r>
            <w:r w:rsidR="009F446F">
              <w:t>1</w:t>
            </w:r>
          </w:p>
        </w:tc>
        <w:tc>
          <w:tcPr>
            <w:tcW w:w="5891" w:type="dxa"/>
          </w:tcPr>
          <w:p w:rsidR="009B35CE" w:rsidRPr="006B11DC" w:rsidRDefault="009B35CE" w:rsidP="00480FDF">
            <w:pPr>
              <w:pStyle w:val="Tabletext"/>
              <w:numPr>
                <w:ilvl w:val="0"/>
                <w:numId w:val="27"/>
              </w:numPr>
              <w:ind w:left="227" w:hanging="219"/>
            </w:pPr>
            <w:r w:rsidRPr="006B11DC">
              <w:t>High quality</w:t>
            </w:r>
            <w:r w:rsidRPr="006B11DC">
              <w:rPr>
                <w:rFonts w:cs="Cambria Math"/>
              </w:rPr>
              <w:t xml:space="preserve"> evidence (GRADE </w:t>
            </w:r>
            <w:r w:rsidRPr="006B11DC">
              <w:rPr>
                <w:rFonts w:ascii="Cambria Math" w:hAnsi="Cambria Math" w:cs="Cambria Math"/>
                <w:color w:val="00B050"/>
              </w:rPr>
              <w:t>⨁⨁⨁⨁</w:t>
            </w:r>
            <w:r w:rsidRPr="006B11DC">
              <w:t>)</w:t>
            </w:r>
          </w:p>
          <w:p w:rsidR="009B35CE" w:rsidRDefault="00767852" w:rsidP="00480FDF">
            <w:pPr>
              <w:pStyle w:val="Tabletext"/>
              <w:numPr>
                <w:ilvl w:val="0"/>
                <w:numId w:val="27"/>
              </w:numPr>
              <w:ind w:left="227" w:hanging="219"/>
            </w:pPr>
            <w:r w:rsidRPr="00767852">
              <w:t xml:space="preserve">Significantly fewer patients </w:t>
            </w:r>
            <w:r>
              <w:t xml:space="preserve">were hospitalised for worsening PAH </w:t>
            </w:r>
            <w:r w:rsidRPr="00767852">
              <w:t>with combination therapy compared with monotherapy</w:t>
            </w:r>
            <w:r w:rsidRPr="00767852" w:rsidDel="00767852">
              <w:t xml:space="preserve"> </w:t>
            </w:r>
            <w:r w:rsidR="009B35CE" w:rsidRPr="006B11DC">
              <w:t>(</w:t>
            </w:r>
            <w:r w:rsidR="009B35CE">
              <w:t xml:space="preserve">pooled </w:t>
            </w:r>
            <w:r w:rsidR="009B35CE" w:rsidRPr="006B11DC">
              <w:t xml:space="preserve">RR = </w:t>
            </w:r>
            <w:r w:rsidR="009B35CE">
              <w:t>0</w:t>
            </w:r>
            <w:r w:rsidR="009B35CE" w:rsidRPr="006B11DC">
              <w:t>.</w:t>
            </w:r>
            <w:r w:rsidR="00EE4DF7">
              <w:t>6</w:t>
            </w:r>
            <w:r>
              <w:t>7</w:t>
            </w:r>
            <w:r w:rsidR="009B35CE" w:rsidRPr="006B11DC">
              <w:t xml:space="preserve">; 95% CI </w:t>
            </w:r>
            <w:r w:rsidR="009B35CE">
              <w:t>0</w:t>
            </w:r>
            <w:r w:rsidR="009B35CE" w:rsidRPr="006B11DC">
              <w:t>.</w:t>
            </w:r>
            <w:r w:rsidR="00EE4DF7">
              <w:t>4</w:t>
            </w:r>
            <w:r w:rsidR="009B35CE">
              <w:t>5</w:t>
            </w:r>
            <w:r w:rsidR="009B35CE" w:rsidRPr="006B11DC">
              <w:t xml:space="preserve">, </w:t>
            </w:r>
            <w:r w:rsidR="009B35CE">
              <w:t>0</w:t>
            </w:r>
            <w:r>
              <w:t>.9</w:t>
            </w:r>
            <w:r w:rsidR="00EE4DF7">
              <w:t>8</w:t>
            </w:r>
            <w:r w:rsidR="009B35CE" w:rsidRPr="006B11DC">
              <w:t>)</w:t>
            </w:r>
            <w:r w:rsidR="0042322C">
              <w:t>.</w:t>
            </w:r>
          </w:p>
          <w:p w:rsidR="000E0079" w:rsidRPr="006B11DC" w:rsidRDefault="000E0079" w:rsidP="00480FDF">
            <w:pPr>
              <w:pStyle w:val="Tabletext"/>
              <w:numPr>
                <w:ilvl w:val="0"/>
                <w:numId w:val="27"/>
              </w:numPr>
              <w:ind w:left="227" w:hanging="219"/>
            </w:pPr>
            <w:r w:rsidRPr="000E0079">
              <w:rPr>
                <w:szCs w:val="18"/>
              </w:rPr>
              <w:t xml:space="preserve">There were no significant differences in </w:t>
            </w:r>
            <w:r w:rsidR="00B14A50">
              <w:rPr>
                <w:szCs w:val="18"/>
              </w:rPr>
              <w:t xml:space="preserve">treatment </w:t>
            </w:r>
            <w:r w:rsidRPr="000E0079">
              <w:rPr>
                <w:szCs w:val="18"/>
              </w:rPr>
              <w:t xml:space="preserve">effectiveness for </w:t>
            </w:r>
            <w:r w:rsidR="00B14A50">
              <w:rPr>
                <w:szCs w:val="18"/>
              </w:rPr>
              <w:t xml:space="preserve">the </w:t>
            </w:r>
            <w:r w:rsidRPr="000E0079">
              <w:rPr>
                <w:szCs w:val="18"/>
              </w:rPr>
              <w:t>different treatment combinations</w:t>
            </w:r>
            <w:r w:rsidR="0042322C">
              <w:rPr>
                <w:szCs w:val="18"/>
              </w:rPr>
              <w:t>.</w:t>
            </w:r>
          </w:p>
        </w:tc>
      </w:tr>
      <w:tr w:rsidR="009B35CE" w:rsidTr="00F52145">
        <w:tc>
          <w:tcPr>
            <w:tcW w:w="1555" w:type="dxa"/>
          </w:tcPr>
          <w:p w:rsidR="009B35CE" w:rsidRPr="001D637C" w:rsidRDefault="009B35CE" w:rsidP="00550EA7">
            <w:pPr>
              <w:pStyle w:val="Tabletext"/>
            </w:pPr>
            <w:r w:rsidRPr="00FA1124">
              <w:t>Improved WHO FC</w:t>
            </w:r>
          </w:p>
        </w:tc>
        <w:tc>
          <w:tcPr>
            <w:tcW w:w="2188" w:type="dxa"/>
          </w:tcPr>
          <w:p w:rsidR="009B35CE" w:rsidRDefault="009B35CE" w:rsidP="00550EA7">
            <w:pPr>
              <w:pStyle w:val="Tabletext"/>
            </w:pPr>
            <w:r>
              <w:t xml:space="preserve">COMPASS-2 </w:t>
            </w:r>
            <w:r w:rsidRPr="00542902">
              <w:t>(bosentan/sildenafil)</w:t>
            </w:r>
          </w:p>
          <w:p w:rsidR="009B35CE" w:rsidRDefault="009B35CE" w:rsidP="00550EA7">
            <w:pPr>
              <w:pStyle w:val="Tabletext"/>
            </w:pPr>
            <w:r>
              <w:t>AMBITION (ambrisentan/tadalafil)</w:t>
            </w:r>
          </w:p>
          <w:p w:rsidR="00D03AF8" w:rsidRPr="001D637C" w:rsidRDefault="00D03AF8" w:rsidP="00550EA7">
            <w:pPr>
              <w:pStyle w:val="Tabletext"/>
            </w:pPr>
            <w:r>
              <w:t>N=7</w:t>
            </w:r>
            <w:r w:rsidRPr="006316DF">
              <w:t>0</w:t>
            </w:r>
            <w:r>
              <w:t>6</w:t>
            </w:r>
          </w:p>
        </w:tc>
        <w:tc>
          <w:tcPr>
            <w:tcW w:w="5891" w:type="dxa"/>
          </w:tcPr>
          <w:p w:rsidR="00D103A9" w:rsidRPr="006B11DC" w:rsidRDefault="00D103A9" w:rsidP="00480FDF">
            <w:pPr>
              <w:pStyle w:val="Tabletext"/>
              <w:numPr>
                <w:ilvl w:val="0"/>
                <w:numId w:val="27"/>
              </w:numPr>
              <w:ind w:left="227" w:hanging="219"/>
            </w:pPr>
            <w:r w:rsidRPr="006B11DC">
              <w:t>High quality</w:t>
            </w:r>
            <w:r w:rsidRPr="006B11DC">
              <w:rPr>
                <w:rFonts w:cs="Cambria Math"/>
              </w:rPr>
              <w:t xml:space="preserve"> evidence (GRADE </w:t>
            </w:r>
            <w:r w:rsidRPr="006B11DC">
              <w:rPr>
                <w:rFonts w:ascii="Cambria Math" w:hAnsi="Cambria Math" w:cs="Cambria Math"/>
                <w:color w:val="00B050"/>
              </w:rPr>
              <w:t>⨁⨁⨁⨁</w:t>
            </w:r>
            <w:r w:rsidRPr="006B11DC">
              <w:t>)</w:t>
            </w:r>
          </w:p>
          <w:p w:rsidR="009B35CE" w:rsidRDefault="009B35CE" w:rsidP="00480FDF">
            <w:pPr>
              <w:pStyle w:val="Tabletext"/>
              <w:numPr>
                <w:ilvl w:val="0"/>
                <w:numId w:val="27"/>
              </w:numPr>
              <w:ind w:left="227" w:hanging="219"/>
            </w:pPr>
            <w:r w:rsidRPr="00550EA7">
              <w:t xml:space="preserve">There was little difference in the proportion of patients whose </w:t>
            </w:r>
            <w:r w:rsidRPr="006B11DC">
              <w:t xml:space="preserve">WHO FC </w:t>
            </w:r>
            <w:r>
              <w:t xml:space="preserve">improved </w:t>
            </w:r>
            <w:r w:rsidRPr="006B11DC">
              <w:t xml:space="preserve">with </w:t>
            </w:r>
            <w:r>
              <w:t>combination therapy</w:t>
            </w:r>
            <w:r w:rsidRPr="006B11DC">
              <w:t xml:space="preserve"> compared with </w:t>
            </w:r>
            <w:r>
              <w:t>monotherapy</w:t>
            </w:r>
            <w:r w:rsidRPr="006B11DC">
              <w:t xml:space="preserve"> (</w:t>
            </w:r>
            <w:r>
              <w:t xml:space="preserve">pooled </w:t>
            </w:r>
            <w:r w:rsidRPr="006B11DC">
              <w:t xml:space="preserve">RR = </w:t>
            </w:r>
            <w:r>
              <w:t>1</w:t>
            </w:r>
            <w:r w:rsidRPr="006B11DC">
              <w:t>.1</w:t>
            </w:r>
            <w:r>
              <w:t>0</w:t>
            </w:r>
            <w:r w:rsidRPr="006B11DC">
              <w:t>; 95% CI 0.</w:t>
            </w:r>
            <w:r>
              <w:t>85</w:t>
            </w:r>
            <w:r w:rsidRPr="006B11DC">
              <w:t>, 1.</w:t>
            </w:r>
            <w:r>
              <w:t>42</w:t>
            </w:r>
            <w:r w:rsidRPr="006B11DC">
              <w:t>)</w:t>
            </w:r>
            <w:r w:rsidR="0042322C">
              <w:t>.</w:t>
            </w:r>
          </w:p>
          <w:p w:rsidR="000E0079" w:rsidRPr="006B11DC" w:rsidRDefault="000E0079" w:rsidP="00480FDF">
            <w:pPr>
              <w:pStyle w:val="Tabletext"/>
              <w:numPr>
                <w:ilvl w:val="0"/>
                <w:numId w:val="27"/>
              </w:numPr>
              <w:ind w:left="227" w:hanging="219"/>
            </w:pPr>
            <w:r w:rsidRPr="000E0079">
              <w:rPr>
                <w:szCs w:val="18"/>
              </w:rPr>
              <w:t xml:space="preserve">There were no significant differences in </w:t>
            </w:r>
            <w:r w:rsidR="00B14A50">
              <w:rPr>
                <w:szCs w:val="18"/>
              </w:rPr>
              <w:t xml:space="preserve">treatment </w:t>
            </w:r>
            <w:r w:rsidRPr="000E0079">
              <w:rPr>
                <w:szCs w:val="18"/>
              </w:rPr>
              <w:t xml:space="preserve">effectiveness for </w:t>
            </w:r>
            <w:r w:rsidR="00B14A50">
              <w:rPr>
                <w:szCs w:val="18"/>
              </w:rPr>
              <w:t xml:space="preserve">the </w:t>
            </w:r>
            <w:r w:rsidRPr="000E0079">
              <w:rPr>
                <w:szCs w:val="18"/>
              </w:rPr>
              <w:t>different treatment combinations</w:t>
            </w:r>
            <w:r w:rsidR="0042322C">
              <w:rPr>
                <w:szCs w:val="18"/>
              </w:rPr>
              <w:t>.</w:t>
            </w:r>
          </w:p>
        </w:tc>
      </w:tr>
      <w:tr w:rsidR="009B35CE" w:rsidTr="00F52145">
        <w:tc>
          <w:tcPr>
            <w:tcW w:w="1555" w:type="dxa"/>
          </w:tcPr>
          <w:p w:rsidR="009B35CE" w:rsidRPr="001D637C" w:rsidRDefault="009B35CE" w:rsidP="00550EA7">
            <w:pPr>
              <w:pStyle w:val="Tabletext"/>
            </w:pPr>
            <w:r>
              <w:t>Worsened WHO FC</w:t>
            </w:r>
          </w:p>
        </w:tc>
        <w:tc>
          <w:tcPr>
            <w:tcW w:w="2188" w:type="dxa"/>
          </w:tcPr>
          <w:p w:rsidR="009B35CE" w:rsidRDefault="009B35CE" w:rsidP="00550EA7">
            <w:pPr>
              <w:pStyle w:val="Tabletext"/>
            </w:pPr>
            <w:r>
              <w:t xml:space="preserve">COMPASS-2 </w:t>
            </w:r>
            <w:r w:rsidRPr="00542902">
              <w:t>(bosentan/sildenafil)</w:t>
            </w:r>
          </w:p>
          <w:p w:rsidR="00D03AF8" w:rsidRDefault="009B35CE" w:rsidP="00D03AF8">
            <w:pPr>
              <w:pStyle w:val="Tabletext"/>
            </w:pPr>
            <w:r>
              <w:t>AMBITION (ambrisentan/tadalafil)</w:t>
            </w:r>
            <w:r w:rsidR="00D03AF8">
              <w:t xml:space="preserve"> </w:t>
            </w:r>
          </w:p>
          <w:p w:rsidR="009B35CE" w:rsidRPr="001D637C" w:rsidRDefault="00D03AF8" w:rsidP="00D03AF8">
            <w:pPr>
              <w:pStyle w:val="Tabletext"/>
            </w:pPr>
            <w:r>
              <w:t>N=7</w:t>
            </w:r>
            <w:r w:rsidRPr="006316DF">
              <w:t>0</w:t>
            </w:r>
            <w:r>
              <w:t>6</w:t>
            </w:r>
          </w:p>
        </w:tc>
        <w:tc>
          <w:tcPr>
            <w:tcW w:w="5891" w:type="dxa"/>
          </w:tcPr>
          <w:p w:rsidR="00D103A9" w:rsidRPr="006B11DC" w:rsidRDefault="00D103A9" w:rsidP="00480FDF">
            <w:pPr>
              <w:pStyle w:val="Tabletext"/>
              <w:numPr>
                <w:ilvl w:val="0"/>
                <w:numId w:val="27"/>
              </w:numPr>
              <w:ind w:left="227" w:hanging="219"/>
            </w:pPr>
            <w:r w:rsidRPr="006B11DC">
              <w:t>High quality</w:t>
            </w:r>
            <w:r w:rsidRPr="006B11DC">
              <w:rPr>
                <w:rFonts w:cs="Cambria Math"/>
              </w:rPr>
              <w:t xml:space="preserve"> evidence (GRADE </w:t>
            </w:r>
            <w:r w:rsidRPr="006B11DC">
              <w:rPr>
                <w:rFonts w:ascii="Cambria Math" w:hAnsi="Cambria Math" w:cs="Cambria Math"/>
                <w:color w:val="00B050"/>
              </w:rPr>
              <w:t>⨁⨁⨁⨁</w:t>
            </w:r>
            <w:r w:rsidRPr="006B11DC">
              <w:t>)</w:t>
            </w:r>
          </w:p>
          <w:p w:rsidR="009B35CE" w:rsidRDefault="009B35CE" w:rsidP="00480FDF">
            <w:pPr>
              <w:pStyle w:val="Tabletext"/>
              <w:numPr>
                <w:ilvl w:val="0"/>
                <w:numId w:val="27"/>
              </w:numPr>
              <w:ind w:left="227" w:hanging="219"/>
            </w:pPr>
            <w:r w:rsidRPr="00550EA7">
              <w:t xml:space="preserve">There was no difference in the proportion of patients whose </w:t>
            </w:r>
            <w:r w:rsidRPr="006B11DC">
              <w:t xml:space="preserve">WHO FC </w:t>
            </w:r>
            <w:r>
              <w:t xml:space="preserve">worsened </w:t>
            </w:r>
            <w:r w:rsidRPr="006B11DC">
              <w:t xml:space="preserve">with </w:t>
            </w:r>
            <w:r>
              <w:t>combination therapy</w:t>
            </w:r>
            <w:r w:rsidRPr="006B11DC">
              <w:t xml:space="preserve"> compared with </w:t>
            </w:r>
            <w:r>
              <w:t>monotherapy</w:t>
            </w:r>
            <w:r w:rsidRPr="006B11DC">
              <w:t xml:space="preserve"> (</w:t>
            </w:r>
            <w:r>
              <w:t xml:space="preserve">pooled </w:t>
            </w:r>
            <w:r w:rsidRPr="006B11DC">
              <w:t xml:space="preserve">RR = </w:t>
            </w:r>
            <w:r>
              <w:t>1.00</w:t>
            </w:r>
            <w:r w:rsidRPr="006B11DC">
              <w:t>; 95% CI 0.</w:t>
            </w:r>
            <w:r>
              <w:t>58</w:t>
            </w:r>
            <w:r w:rsidRPr="006B11DC">
              <w:t>, 1.</w:t>
            </w:r>
            <w:r>
              <w:t>73</w:t>
            </w:r>
            <w:r w:rsidRPr="006B11DC">
              <w:t>)</w:t>
            </w:r>
            <w:r w:rsidR="0042322C">
              <w:t>.</w:t>
            </w:r>
          </w:p>
          <w:p w:rsidR="000E0079" w:rsidRPr="006B11DC" w:rsidRDefault="000E0079" w:rsidP="00480FDF">
            <w:pPr>
              <w:pStyle w:val="Tabletext"/>
              <w:numPr>
                <w:ilvl w:val="0"/>
                <w:numId w:val="27"/>
              </w:numPr>
              <w:ind w:left="227" w:hanging="219"/>
            </w:pPr>
            <w:r w:rsidRPr="000E0079">
              <w:rPr>
                <w:szCs w:val="18"/>
              </w:rPr>
              <w:t xml:space="preserve">There were no significant differences in </w:t>
            </w:r>
            <w:r w:rsidR="00D63B76">
              <w:rPr>
                <w:szCs w:val="18"/>
              </w:rPr>
              <w:t xml:space="preserve">treatment </w:t>
            </w:r>
            <w:r w:rsidRPr="000E0079">
              <w:rPr>
                <w:szCs w:val="18"/>
              </w:rPr>
              <w:t xml:space="preserve">effectiveness for </w:t>
            </w:r>
            <w:r w:rsidR="00D63B76">
              <w:rPr>
                <w:szCs w:val="18"/>
              </w:rPr>
              <w:t xml:space="preserve">the </w:t>
            </w:r>
            <w:r w:rsidRPr="000E0079">
              <w:rPr>
                <w:szCs w:val="18"/>
              </w:rPr>
              <w:t>different treatment combinations</w:t>
            </w:r>
            <w:r w:rsidR="0042322C">
              <w:rPr>
                <w:szCs w:val="18"/>
              </w:rPr>
              <w:t>.</w:t>
            </w:r>
          </w:p>
        </w:tc>
      </w:tr>
      <w:tr w:rsidR="009B35CE" w:rsidTr="00F52145">
        <w:tc>
          <w:tcPr>
            <w:tcW w:w="1555" w:type="dxa"/>
          </w:tcPr>
          <w:p w:rsidR="009B35CE" w:rsidRPr="001D637C" w:rsidRDefault="009B35CE" w:rsidP="00550EA7">
            <w:pPr>
              <w:pStyle w:val="Tabletext"/>
            </w:pPr>
            <w:r>
              <w:t>Change in 6MWD</w:t>
            </w:r>
            <w:r w:rsidR="006F1431">
              <w:t xml:space="preserve"> from baseline</w:t>
            </w:r>
          </w:p>
        </w:tc>
        <w:tc>
          <w:tcPr>
            <w:tcW w:w="2188" w:type="dxa"/>
          </w:tcPr>
          <w:p w:rsidR="009B35CE" w:rsidRDefault="009B35CE" w:rsidP="00550EA7">
            <w:pPr>
              <w:pStyle w:val="Tabletext"/>
            </w:pPr>
            <w:r>
              <w:t>EARLY</w:t>
            </w:r>
            <w:r w:rsidR="00B37D37">
              <w:br/>
            </w:r>
            <w:r>
              <w:t>(bosentan/sildenafil)</w:t>
            </w:r>
          </w:p>
          <w:p w:rsidR="009B35CE" w:rsidRDefault="009B35CE" w:rsidP="00550EA7">
            <w:pPr>
              <w:pStyle w:val="Tabletext"/>
            </w:pPr>
            <w:r>
              <w:t>COMPASS-2</w:t>
            </w:r>
            <w:r w:rsidR="00B37D37">
              <w:br/>
            </w:r>
            <w:r w:rsidRPr="00542902">
              <w:t>(bosentan/sildenafil)</w:t>
            </w:r>
          </w:p>
          <w:p w:rsidR="009B35CE" w:rsidRDefault="009B35CE" w:rsidP="00550EA7">
            <w:pPr>
              <w:pStyle w:val="Tabletext"/>
            </w:pPr>
            <w:r>
              <w:t>SERAPHIN</w:t>
            </w:r>
            <w:r w:rsidR="00B37D37">
              <w:br/>
            </w:r>
            <w:r>
              <w:t>(macitentan/any PDE-5i)</w:t>
            </w:r>
          </w:p>
          <w:p w:rsidR="00D03AF8" w:rsidRDefault="009B35CE" w:rsidP="00550EA7">
            <w:pPr>
              <w:pStyle w:val="Tabletext"/>
            </w:pPr>
            <w:r>
              <w:t>AMBITION (ambrisentan/tadalafil)</w:t>
            </w:r>
            <w:r w:rsidR="00D03AF8" w:rsidRPr="006316DF">
              <w:t xml:space="preserve"> </w:t>
            </w:r>
          </w:p>
          <w:p w:rsidR="009B35CE" w:rsidRPr="001D637C" w:rsidRDefault="00D03AF8" w:rsidP="00550EA7">
            <w:pPr>
              <w:pStyle w:val="Tabletext"/>
            </w:pPr>
            <w:r w:rsidRPr="006316DF">
              <w:t>N=1</w:t>
            </w:r>
            <w:r>
              <w:t>,0</w:t>
            </w:r>
            <w:r w:rsidRPr="006316DF">
              <w:t>4</w:t>
            </w:r>
            <w:r>
              <w:t>6</w:t>
            </w:r>
          </w:p>
        </w:tc>
        <w:tc>
          <w:tcPr>
            <w:tcW w:w="5891" w:type="dxa"/>
          </w:tcPr>
          <w:p w:rsidR="00D103A9" w:rsidRPr="006B11DC" w:rsidRDefault="00B179F1" w:rsidP="00480FDF">
            <w:pPr>
              <w:pStyle w:val="Tabletext"/>
              <w:numPr>
                <w:ilvl w:val="0"/>
                <w:numId w:val="27"/>
              </w:numPr>
              <w:ind w:left="227" w:hanging="219"/>
            </w:pPr>
            <w:r>
              <w:t>Low</w:t>
            </w:r>
            <w:r w:rsidR="00F705F8" w:rsidRPr="006B11DC">
              <w:t xml:space="preserve"> </w:t>
            </w:r>
            <w:r w:rsidR="00D103A9" w:rsidRPr="006B11DC">
              <w:t>quality</w:t>
            </w:r>
            <w:r w:rsidR="00D103A9" w:rsidRPr="006B11DC">
              <w:rPr>
                <w:rFonts w:cs="Cambria Math"/>
              </w:rPr>
              <w:t xml:space="preserve"> evidence (GRADE </w:t>
            </w:r>
            <w:r w:rsidR="00D103A9" w:rsidRPr="006B11DC">
              <w:rPr>
                <w:rFonts w:ascii="Cambria Math" w:hAnsi="Cambria Math" w:cs="Cambria Math"/>
                <w:color w:val="00B050"/>
              </w:rPr>
              <w:t>⨁⨁</w:t>
            </w:r>
            <w:r w:rsidRPr="00FA1124">
              <w:rPr>
                <w:rFonts w:ascii="Cambria Math" w:hAnsi="Cambria Math" w:cs="Cambria Math"/>
                <w:color w:val="C00000"/>
              </w:rPr>
              <w:t>⨀</w:t>
            </w:r>
            <w:r w:rsidR="00F705F8" w:rsidRPr="006316DF">
              <w:rPr>
                <w:rFonts w:ascii="Cambria Math" w:hAnsi="Cambria Math" w:cs="Cambria Math"/>
                <w:color w:val="C00000"/>
              </w:rPr>
              <w:t>⨀</w:t>
            </w:r>
            <w:r w:rsidR="00D103A9" w:rsidRPr="006B11DC">
              <w:t>)</w:t>
            </w:r>
          </w:p>
          <w:p w:rsidR="009B35CE" w:rsidRPr="006F1431" w:rsidRDefault="006B2E03" w:rsidP="00480FDF">
            <w:pPr>
              <w:pStyle w:val="Tabletext"/>
              <w:numPr>
                <w:ilvl w:val="0"/>
                <w:numId w:val="27"/>
              </w:numPr>
              <w:ind w:left="227" w:hanging="219"/>
            </w:pPr>
            <w:r w:rsidRPr="006F1431">
              <w:t>In 3 out of 4 studies, p</w:t>
            </w:r>
            <w:r w:rsidR="009B35CE" w:rsidRPr="006F1431">
              <w:t>atients on combination therapy had a larger mean improvement in their 6MWD than those on monotherapy</w:t>
            </w:r>
            <w:r w:rsidR="00F91388" w:rsidRPr="006F1431">
              <w:t>, but the difference was not clinically important</w:t>
            </w:r>
            <w:r w:rsidR="009B35CE" w:rsidRPr="006F1431">
              <w:t xml:space="preserve"> (range 17.</w:t>
            </w:r>
            <w:r w:rsidR="006B2A7D" w:rsidRPr="006F1431">
              <w:t>3</w:t>
            </w:r>
            <w:r w:rsidR="009B6434" w:rsidRPr="006F1431">
              <w:t xml:space="preserve"> m less to</w:t>
            </w:r>
            <w:r w:rsidR="009B35CE" w:rsidRPr="006F1431">
              <w:t xml:space="preserve"> 26.3</w:t>
            </w:r>
            <w:r w:rsidR="009B6434" w:rsidRPr="006F1431">
              <w:t xml:space="preserve"> m </w:t>
            </w:r>
            <w:r w:rsidR="00D63B76" w:rsidRPr="006F1431">
              <w:t xml:space="preserve">walked </w:t>
            </w:r>
            <w:r w:rsidR="009B6434" w:rsidRPr="006F1431">
              <w:t>further</w:t>
            </w:r>
            <w:r w:rsidR="009B35CE" w:rsidRPr="006F1431">
              <w:t>)</w:t>
            </w:r>
            <w:r w:rsidR="0042322C">
              <w:t>.</w:t>
            </w:r>
          </w:p>
          <w:p w:rsidR="000E0079" w:rsidRPr="006B11DC" w:rsidRDefault="000E0079" w:rsidP="00480FDF">
            <w:pPr>
              <w:pStyle w:val="Tabletext"/>
              <w:numPr>
                <w:ilvl w:val="0"/>
                <w:numId w:val="27"/>
              </w:numPr>
              <w:ind w:left="227" w:hanging="219"/>
            </w:pPr>
            <w:r w:rsidRPr="006F1431">
              <w:rPr>
                <w:szCs w:val="18"/>
              </w:rPr>
              <w:t xml:space="preserve">There were no significant differences in </w:t>
            </w:r>
            <w:r w:rsidR="004E3670" w:rsidRPr="006F1431">
              <w:rPr>
                <w:szCs w:val="18"/>
              </w:rPr>
              <w:t xml:space="preserve">treatment </w:t>
            </w:r>
            <w:r w:rsidRPr="006F1431">
              <w:rPr>
                <w:szCs w:val="18"/>
              </w:rPr>
              <w:t xml:space="preserve">effectiveness for </w:t>
            </w:r>
            <w:r w:rsidR="004E3670" w:rsidRPr="006F1431">
              <w:rPr>
                <w:szCs w:val="18"/>
              </w:rPr>
              <w:t xml:space="preserve">the </w:t>
            </w:r>
            <w:r w:rsidRPr="006F1431">
              <w:rPr>
                <w:szCs w:val="18"/>
              </w:rPr>
              <w:t>different treatment combinations</w:t>
            </w:r>
            <w:r w:rsidR="0042322C">
              <w:rPr>
                <w:szCs w:val="18"/>
              </w:rPr>
              <w:t>.</w:t>
            </w:r>
          </w:p>
        </w:tc>
      </w:tr>
      <w:tr w:rsidR="009B35CE" w:rsidTr="00F52145">
        <w:tc>
          <w:tcPr>
            <w:tcW w:w="1555" w:type="dxa"/>
          </w:tcPr>
          <w:p w:rsidR="009B35CE" w:rsidRDefault="009B35CE" w:rsidP="00550EA7">
            <w:pPr>
              <w:pStyle w:val="Tabletext"/>
            </w:pPr>
            <w:r>
              <w:t>Change in QoL</w:t>
            </w:r>
            <w:r w:rsidR="006F1431">
              <w:t xml:space="preserve"> from baseline</w:t>
            </w:r>
            <w:r>
              <w:t>:</w:t>
            </w:r>
          </w:p>
          <w:p w:rsidR="009B35CE" w:rsidRPr="001D637C" w:rsidRDefault="009B35CE" w:rsidP="00550EA7">
            <w:pPr>
              <w:pStyle w:val="Tabletext"/>
            </w:pPr>
            <w:r>
              <w:t>SF-36</w:t>
            </w:r>
            <w:r w:rsidR="000A7CB9">
              <w:t xml:space="preserve"> physical component</w:t>
            </w:r>
            <w:r w:rsidR="00384D2C" w:rsidRPr="00384D2C">
              <w:rPr>
                <w:vertAlign w:val="superscript"/>
              </w:rPr>
              <w:t>a</w:t>
            </w:r>
          </w:p>
        </w:tc>
        <w:tc>
          <w:tcPr>
            <w:tcW w:w="2188" w:type="dxa"/>
          </w:tcPr>
          <w:p w:rsidR="00D03AF8" w:rsidRDefault="009B35CE" w:rsidP="00B37D37">
            <w:pPr>
              <w:pStyle w:val="Tabletext"/>
            </w:pPr>
            <w:r>
              <w:t>SERAPHIN</w:t>
            </w:r>
            <w:r w:rsidR="00B37D37">
              <w:br/>
            </w:r>
            <w:r>
              <w:t>(macitentan/any PDE-5i)</w:t>
            </w:r>
            <w:r w:rsidR="00D03AF8" w:rsidRPr="006316DF">
              <w:t xml:space="preserve"> </w:t>
            </w:r>
          </w:p>
          <w:p w:rsidR="009B35CE" w:rsidRPr="001D637C" w:rsidRDefault="00D03AF8" w:rsidP="00B37D37">
            <w:pPr>
              <w:pStyle w:val="Tabletext"/>
            </w:pPr>
            <w:r w:rsidRPr="006316DF">
              <w:t>N=</w:t>
            </w:r>
            <w:r>
              <w:t>299</w:t>
            </w:r>
          </w:p>
        </w:tc>
        <w:tc>
          <w:tcPr>
            <w:tcW w:w="5891" w:type="dxa"/>
          </w:tcPr>
          <w:p w:rsidR="00D103A9" w:rsidRPr="006B11DC" w:rsidRDefault="00D103A9" w:rsidP="00480FDF">
            <w:pPr>
              <w:pStyle w:val="Tabletext"/>
              <w:numPr>
                <w:ilvl w:val="0"/>
                <w:numId w:val="27"/>
              </w:numPr>
              <w:ind w:left="227" w:hanging="219"/>
            </w:pPr>
            <w:r w:rsidRPr="006B11DC">
              <w:t>High quality</w:t>
            </w:r>
            <w:r w:rsidRPr="006B11DC">
              <w:rPr>
                <w:rFonts w:cs="Cambria Math"/>
              </w:rPr>
              <w:t xml:space="preserve"> evidence (GRADE </w:t>
            </w:r>
            <w:r w:rsidRPr="006B11DC">
              <w:rPr>
                <w:rFonts w:ascii="Cambria Math" w:hAnsi="Cambria Math" w:cs="Cambria Math"/>
                <w:color w:val="00B050"/>
              </w:rPr>
              <w:t>⨁⨁⨁⨁</w:t>
            </w:r>
            <w:r w:rsidRPr="006B11DC">
              <w:t>)</w:t>
            </w:r>
          </w:p>
          <w:p w:rsidR="009B35CE" w:rsidRPr="006B11DC" w:rsidRDefault="009B35CE" w:rsidP="00480FDF">
            <w:pPr>
              <w:pStyle w:val="Tabletext"/>
              <w:numPr>
                <w:ilvl w:val="0"/>
                <w:numId w:val="27"/>
              </w:numPr>
              <w:ind w:left="227" w:hanging="219"/>
            </w:pPr>
            <w:r w:rsidRPr="006B11DC">
              <w:t xml:space="preserve">Patients </w:t>
            </w:r>
            <w:r>
              <w:t>on combination therapy</w:t>
            </w:r>
            <w:r w:rsidRPr="006B11DC">
              <w:t xml:space="preserve"> had a larger mean improvement in their </w:t>
            </w:r>
            <w:r w:rsidR="006B2E03">
              <w:t>QoL</w:t>
            </w:r>
            <w:r w:rsidRPr="006B11DC">
              <w:t xml:space="preserve"> than those </w:t>
            </w:r>
            <w:r>
              <w:t>on monotherapy</w:t>
            </w:r>
            <w:r w:rsidRPr="006B11DC">
              <w:t xml:space="preserve"> (</w:t>
            </w:r>
            <w:r w:rsidRPr="00550EA7">
              <w:t>MD = 1.4 point improvement; 95% CI 0, 2.9)</w:t>
            </w:r>
            <w:r w:rsidR="0042322C">
              <w:t>.</w:t>
            </w:r>
          </w:p>
        </w:tc>
      </w:tr>
      <w:tr w:rsidR="009B35CE" w:rsidTr="00550EA7">
        <w:tc>
          <w:tcPr>
            <w:tcW w:w="9634" w:type="dxa"/>
            <w:gridSpan w:val="3"/>
            <w:shd w:val="clear" w:color="auto" w:fill="000000" w:themeFill="text1"/>
          </w:tcPr>
          <w:p w:rsidR="009B35CE" w:rsidRPr="0034017B" w:rsidRDefault="009B35CE" w:rsidP="00B37D37">
            <w:pPr>
              <w:pStyle w:val="Tabletext"/>
              <w:keepNext/>
            </w:pPr>
            <w:r>
              <w:t>P</w:t>
            </w:r>
            <w:r w:rsidRPr="0034017B">
              <w:t>atients with WHO FC III/IV PAH</w:t>
            </w:r>
          </w:p>
        </w:tc>
      </w:tr>
      <w:tr w:rsidR="009B35CE" w:rsidRPr="0049771F" w:rsidTr="00F52145">
        <w:tc>
          <w:tcPr>
            <w:tcW w:w="1555" w:type="dxa"/>
          </w:tcPr>
          <w:p w:rsidR="009B35CE" w:rsidRPr="0049771F" w:rsidRDefault="009B35CE" w:rsidP="00550EA7">
            <w:pPr>
              <w:pStyle w:val="Tabletext"/>
            </w:pPr>
            <w:r w:rsidRPr="0049771F">
              <w:t>Clinical worsening</w:t>
            </w:r>
          </w:p>
        </w:tc>
        <w:tc>
          <w:tcPr>
            <w:tcW w:w="2188" w:type="dxa"/>
          </w:tcPr>
          <w:p w:rsidR="009B35CE" w:rsidRPr="0049771F" w:rsidRDefault="009B35CE" w:rsidP="00550EA7">
            <w:pPr>
              <w:pStyle w:val="Tabletext"/>
            </w:pPr>
            <w:r w:rsidRPr="0049771F">
              <w:t>COMPASS-2 (bosentan/sildenafil)</w:t>
            </w:r>
          </w:p>
          <w:p w:rsidR="00D03AF8" w:rsidRPr="0049771F" w:rsidRDefault="009B35CE" w:rsidP="00B37D37">
            <w:pPr>
              <w:pStyle w:val="Tabletext"/>
            </w:pPr>
            <w:r w:rsidRPr="0049771F">
              <w:t>SERAPHIN</w:t>
            </w:r>
            <w:r w:rsidR="00B37D37" w:rsidRPr="0049771F">
              <w:br/>
            </w:r>
            <w:r w:rsidRPr="0049771F">
              <w:t>(macitentan/any PDE-5i)</w:t>
            </w:r>
            <w:r w:rsidR="00D03AF8" w:rsidRPr="0049771F">
              <w:t xml:space="preserve"> </w:t>
            </w:r>
          </w:p>
          <w:p w:rsidR="009B35CE" w:rsidRPr="0049771F" w:rsidRDefault="00D03AF8" w:rsidP="00B37D37">
            <w:pPr>
              <w:pStyle w:val="Tabletext"/>
            </w:pPr>
            <w:r w:rsidRPr="0049771F">
              <w:t>N=351</w:t>
            </w:r>
          </w:p>
        </w:tc>
        <w:tc>
          <w:tcPr>
            <w:tcW w:w="5891" w:type="dxa"/>
          </w:tcPr>
          <w:p w:rsidR="00D103A9" w:rsidRPr="0049771F" w:rsidRDefault="00D103A9" w:rsidP="00480FDF">
            <w:pPr>
              <w:pStyle w:val="Tabletext"/>
              <w:numPr>
                <w:ilvl w:val="0"/>
                <w:numId w:val="27"/>
              </w:numPr>
              <w:ind w:left="227" w:hanging="219"/>
            </w:pPr>
            <w:r w:rsidRPr="0049771F">
              <w:t>High quality</w:t>
            </w:r>
            <w:r w:rsidRPr="0049771F">
              <w:rPr>
                <w:rFonts w:cs="Cambria Math"/>
              </w:rPr>
              <w:t xml:space="preserve"> evidence (GRADE </w:t>
            </w:r>
            <w:r w:rsidRPr="0049771F">
              <w:rPr>
                <w:rFonts w:ascii="Cambria Math" w:hAnsi="Cambria Math" w:cs="Cambria Math"/>
                <w:color w:val="00B050"/>
              </w:rPr>
              <w:t>⨁⨁⨁⨁</w:t>
            </w:r>
            <w:r w:rsidRPr="0049771F">
              <w:t>)</w:t>
            </w:r>
          </w:p>
          <w:p w:rsidR="009B35CE" w:rsidRPr="002046A0" w:rsidRDefault="002046A0" w:rsidP="002046A0">
            <w:pPr>
              <w:pStyle w:val="Tabletext"/>
              <w:ind w:left="227" w:hanging="219"/>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0E0079" w:rsidRPr="002046A0" w:rsidRDefault="002046A0" w:rsidP="002046A0">
            <w:pPr>
              <w:pStyle w:val="Tabletext"/>
              <w:ind w:left="227" w:hanging="219"/>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Tr="00F52145">
        <w:tc>
          <w:tcPr>
            <w:tcW w:w="1555" w:type="dxa"/>
          </w:tcPr>
          <w:p w:rsidR="009B35CE" w:rsidRPr="0049771F" w:rsidRDefault="009B35CE" w:rsidP="00550EA7">
            <w:pPr>
              <w:pStyle w:val="Tabletext"/>
            </w:pPr>
            <w:r w:rsidRPr="0049771F">
              <w:t>All-cause mortality</w:t>
            </w:r>
          </w:p>
        </w:tc>
        <w:tc>
          <w:tcPr>
            <w:tcW w:w="2188" w:type="dxa"/>
          </w:tcPr>
          <w:p w:rsidR="00D03AF8" w:rsidRPr="0049771F" w:rsidRDefault="009B35CE" w:rsidP="00B37D37">
            <w:pPr>
              <w:pStyle w:val="Tabletext"/>
            </w:pPr>
            <w:r w:rsidRPr="0049771F">
              <w:t>SERAPHIN</w:t>
            </w:r>
            <w:r w:rsidR="00B37D37" w:rsidRPr="0049771F">
              <w:br/>
            </w:r>
            <w:r w:rsidRPr="0049771F">
              <w:t>(macitentan/any PDE-5i)</w:t>
            </w:r>
            <w:r w:rsidR="00D03AF8" w:rsidRPr="0049771F">
              <w:t xml:space="preserve"> </w:t>
            </w:r>
          </w:p>
          <w:p w:rsidR="009B35CE" w:rsidRPr="0049771F" w:rsidRDefault="00D03AF8" w:rsidP="00B37D37">
            <w:pPr>
              <w:pStyle w:val="Tabletext"/>
            </w:pPr>
            <w:r w:rsidRPr="0049771F">
              <w:t>N=157</w:t>
            </w:r>
          </w:p>
        </w:tc>
        <w:tc>
          <w:tcPr>
            <w:tcW w:w="5891" w:type="dxa"/>
          </w:tcPr>
          <w:p w:rsidR="00D103A9" w:rsidRPr="0049771F" w:rsidRDefault="00D103A9" w:rsidP="00480FDF">
            <w:pPr>
              <w:pStyle w:val="Tabletext"/>
              <w:numPr>
                <w:ilvl w:val="0"/>
                <w:numId w:val="27"/>
              </w:numPr>
              <w:ind w:left="227" w:hanging="219"/>
            </w:pPr>
            <w:r w:rsidRPr="0049771F">
              <w:t>High quality</w:t>
            </w:r>
            <w:r w:rsidRPr="0049771F">
              <w:rPr>
                <w:rFonts w:cs="Cambria Math"/>
              </w:rPr>
              <w:t xml:space="preserve"> evidence (GRADE </w:t>
            </w:r>
            <w:r w:rsidRPr="0049771F">
              <w:rPr>
                <w:rFonts w:ascii="Cambria Math" w:hAnsi="Cambria Math" w:cs="Cambria Math"/>
                <w:color w:val="00B050"/>
              </w:rPr>
              <w:t>⨁⨁⨁⨁</w:t>
            </w:r>
            <w:r w:rsidRPr="0049771F">
              <w:t>)</w:t>
            </w:r>
          </w:p>
          <w:p w:rsidR="009B35CE" w:rsidRPr="002046A0" w:rsidRDefault="002046A0" w:rsidP="002046A0">
            <w:pPr>
              <w:pStyle w:val="Tabletext"/>
              <w:ind w:left="227" w:hanging="219"/>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Tr="00550EA7">
        <w:tc>
          <w:tcPr>
            <w:tcW w:w="9634" w:type="dxa"/>
            <w:gridSpan w:val="3"/>
            <w:shd w:val="clear" w:color="auto" w:fill="000000" w:themeFill="text1"/>
          </w:tcPr>
          <w:p w:rsidR="009B35CE" w:rsidRPr="0034017B" w:rsidRDefault="009B35CE" w:rsidP="00550EA7">
            <w:pPr>
              <w:pStyle w:val="Tabletext"/>
            </w:pPr>
            <w:r>
              <w:t>P</w:t>
            </w:r>
            <w:r w:rsidRPr="0034017B">
              <w:t>atients with different PAH aetiologies</w:t>
            </w:r>
          </w:p>
        </w:tc>
      </w:tr>
      <w:tr w:rsidR="009B35CE" w:rsidTr="00F52145">
        <w:tc>
          <w:tcPr>
            <w:tcW w:w="1555" w:type="dxa"/>
          </w:tcPr>
          <w:p w:rsidR="009B35CE" w:rsidRDefault="009B35CE" w:rsidP="00550EA7">
            <w:pPr>
              <w:pStyle w:val="Tabletext"/>
            </w:pPr>
            <w:r w:rsidRPr="009F7572">
              <w:rPr>
                <w:rFonts w:cs="Tahoma"/>
              </w:rPr>
              <w:t>Clinical worsening in IPAH/HPAH</w:t>
            </w:r>
          </w:p>
        </w:tc>
        <w:tc>
          <w:tcPr>
            <w:tcW w:w="2188" w:type="dxa"/>
          </w:tcPr>
          <w:p w:rsidR="00D03AF8" w:rsidRDefault="009B35CE" w:rsidP="00550EA7">
            <w:pPr>
              <w:pStyle w:val="Tabletext"/>
            </w:pPr>
            <w:r>
              <w:t xml:space="preserve">COMPASS-2 </w:t>
            </w:r>
            <w:r w:rsidRPr="00542902">
              <w:t>(bosentan/sildenafil)</w:t>
            </w:r>
            <w:r w:rsidR="00D03AF8" w:rsidRPr="006316DF">
              <w:t xml:space="preserve"> </w:t>
            </w:r>
          </w:p>
          <w:p w:rsidR="009B35CE" w:rsidRDefault="00D03AF8" w:rsidP="00550EA7">
            <w:pPr>
              <w:pStyle w:val="Tabletext"/>
            </w:pPr>
            <w:r w:rsidRPr="006316DF">
              <w:t>N=</w:t>
            </w:r>
            <w:r>
              <w:t>226</w:t>
            </w:r>
          </w:p>
        </w:tc>
        <w:tc>
          <w:tcPr>
            <w:tcW w:w="5891" w:type="dxa"/>
          </w:tcPr>
          <w:p w:rsidR="00D103A9" w:rsidRPr="006B11DC" w:rsidRDefault="00D103A9" w:rsidP="00480FDF">
            <w:pPr>
              <w:pStyle w:val="Tabletext"/>
              <w:numPr>
                <w:ilvl w:val="0"/>
                <w:numId w:val="27"/>
              </w:numPr>
              <w:ind w:left="227" w:hanging="219"/>
            </w:pPr>
            <w:r w:rsidRPr="006B11DC">
              <w:t>High quality</w:t>
            </w:r>
            <w:r w:rsidRPr="006B11DC">
              <w:rPr>
                <w:rFonts w:cs="Cambria Math"/>
              </w:rPr>
              <w:t xml:space="preserve"> evidence (GRADE </w:t>
            </w:r>
            <w:r w:rsidRPr="006B11DC">
              <w:rPr>
                <w:rFonts w:ascii="Cambria Math" w:hAnsi="Cambria Math" w:cs="Cambria Math"/>
                <w:color w:val="00B050"/>
              </w:rPr>
              <w:t>⨁⨁⨁⨁</w:t>
            </w:r>
            <w:r w:rsidRPr="006B11DC">
              <w:t>)</w:t>
            </w:r>
          </w:p>
          <w:p w:rsidR="009B35CE" w:rsidRPr="006B11DC" w:rsidRDefault="009B35CE" w:rsidP="00480FDF">
            <w:pPr>
              <w:pStyle w:val="Tabletext"/>
              <w:numPr>
                <w:ilvl w:val="0"/>
                <w:numId w:val="27"/>
              </w:numPr>
              <w:ind w:left="227" w:hanging="219"/>
            </w:pPr>
            <w:r w:rsidRPr="00550EA7">
              <w:t>Fewer patients experienced clinical</w:t>
            </w:r>
            <w:r w:rsidRPr="0047271D">
              <w:t xml:space="preserve"> worsening with combination therapy compared with monotherapy</w:t>
            </w:r>
            <w:r>
              <w:t>,</w:t>
            </w:r>
            <w:r w:rsidRPr="0047271D">
              <w:t xml:space="preserve"> but the </w:t>
            </w:r>
            <w:r w:rsidR="00D84687">
              <w:t>95% CI indicates</w:t>
            </w:r>
            <w:r w:rsidRPr="0047271D">
              <w:t xml:space="preserve"> that there may also be </w:t>
            </w:r>
            <w:r w:rsidR="00CA40B9">
              <w:t>an</w:t>
            </w:r>
            <w:r>
              <w:t xml:space="preserve"> effect</w:t>
            </w:r>
            <w:r w:rsidRPr="0047271D">
              <w:t xml:space="preserve"> </w:t>
            </w:r>
            <w:r w:rsidR="00CA40B9">
              <w:t xml:space="preserve">in the opposite direction </w:t>
            </w:r>
            <w:r w:rsidRPr="0047271D">
              <w:t>(</w:t>
            </w:r>
            <w:r w:rsidR="000A7CB9">
              <w:t>H</w:t>
            </w:r>
            <w:r w:rsidRPr="0047271D">
              <w:t>R = 0.</w:t>
            </w:r>
            <w:r>
              <w:t>82</w:t>
            </w:r>
            <w:r w:rsidRPr="0047271D">
              <w:t>; 95% CI 0.</w:t>
            </w:r>
            <w:r>
              <w:t>5</w:t>
            </w:r>
            <w:r w:rsidRPr="0047271D">
              <w:t xml:space="preserve">5, </w:t>
            </w:r>
            <w:r>
              <w:t>1</w:t>
            </w:r>
            <w:r w:rsidRPr="0047271D">
              <w:t>.</w:t>
            </w:r>
            <w:r>
              <w:t>21</w:t>
            </w:r>
            <w:r w:rsidRPr="0047271D">
              <w:t>)</w:t>
            </w:r>
            <w:r w:rsidR="0042322C">
              <w:t>.</w:t>
            </w:r>
          </w:p>
        </w:tc>
      </w:tr>
      <w:tr w:rsidR="009B35CE" w:rsidTr="00F52145">
        <w:tc>
          <w:tcPr>
            <w:tcW w:w="1555" w:type="dxa"/>
          </w:tcPr>
          <w:p w:rsidR="009B35CE" w:rsidRDefault="009B35CE" w:rsidP="00550EA7">
            <w:pPr>
              <w:pStyle w:val="Tabletext"/>
            </w:pPr>
            <w:r w:rsidRPr="009F7572">
              <w:rPr>
                <w:rFonts w:cs="Tahoma"/>
              </w:rPr>
              <w:t>Clinical worsening in PAH CTD</w:t>
            </w:r>
          </w:p>
        </w:tc>
        <w:tc>
          <w:tcPr>
            <w:tcW w:w="2188" w:type="dxa"/>
          </w:tcPr>
          <w:p w:rsidR="009B35CE" w:rsidRDefault="009B35CE" w:rsidP="00550EA7">
            <w:pPr>
              <w:pStyle w:val="Tabletext"/>
            </w:pPr>
            <w:r>
              <w:t xml:space="preserve">COMPASS-2 </w:t>
            </w:r>
            <w:r w:rsidRPr="00542902">
              <w:t>(bosentan/sildenafil)</w:t>
            </w:r>
          </w:p>
          <w:p w:rsidR="00D03AF8" w:rsidRDefault="009B35CE" w:rsidP="00550EA7">
            <w:pPr>
              <w:pStyle w:val="Tabletext"/>
            </w:pPr>
            <w:r>
              <w:t>AMBITION (ambrisentan/tadalafil)</w:t>
            </w:r>
            <w:r w:rsidR="00D03AF8" w:rsidRPr="006316DF">
              <w:t xml:space="preserve"> </w:t>
            </w:r>
          </w:p>
          <w:p w:rsidR="009B35CE" w:rsidRDefault="00D03AF8" w:rsidP="00550EA7">
            <w:pPr>
              <w:pStyle w:val="Tabletext"/>
            </w:pPr>
            <w:r w:rsidRPr="006316DF">
              <w:t>N=</w:t>
            </w:r>
            <w:r>
              <w:t>231</w:t>
            </w:r>
          </w:p>
        </w:tc>
        <w:tc>
          <w:tcPr>
            <w:tcW w:w="5891" w:type="dxa"/>
          </w:tcPr>
          <w:p w:rsidR="00D103A9" w:rsidRPr="006B11DC" w:rsidRDefault="00D103A9" w:rsidP="00480FDF">
            <w:pPr>
              <w:pStyle w:val="Tabletext"/>
              <w:numPr>
                <w:ilvl w:val="0"/>
                <w:numId w:val="27"/>
              </w:numPr>
              <w:ind w:left="227" w:hanging="219"/>
            </w:pPr>
            <w:r w:rsidRPr="006B11DC">
              <w:t>High quality</w:t>
            </w:r>
            <w:r w:rsidRPr="006B11DC">
              <w:rPr>
                <w:rFonts w:cs="Cambria Math"/>
              </w:rPr>
              <w:t xml:space="preserve"> evidence (GRADE </w:t>
            </w:r>
            <w:r w:rsidRPr="006B11DC">
              <w:rPr>
                <w:rFonts w:ascii="Cambria Math" w:hAnsi="Cambria Math" w:cs="Cambria Math"/>
                <w:color w:val="00B050"/>
              </w:rPr>
              <w:t>⨁⨁⨁⨁</w:t>
            </w:r>
            <w:r w:rsidRPr="006B11DC">
              <w:t>)</w:t>
            </w:r>
          </w:p>
          <w:p w:rsidR="009B35CE" w:rsidRPr="008D242E" w:rsidRDefault="009B35CE" w:rsidP="00480FDF">
            <w:pPr>
              <w:pStyle w:val="Tabletext"/>
              <w:numPr>
                <w:ilvl w:val="0"/>
                <w:numId w:val="27"/>
              </w:numPr>
              <w:ind w:left="227" w:hanging="219"/>
            </w:pPr>
            <w:r>
              <w:t>Could not calculate RR due to missing numerator in one arm of one study</w:t>
            </w:r>
            <w:r w:rsidR="0042322C">
              <w:t>.</w:t>
            </w:r>
          </w:p>
          <w:p w:rsidR="009B35CE" w:rsidRPr="006B11DC" w:rsidRDefault="009B35CE" w:rsidP="00480FDF">
            <w:pPr>
              <w:pStyle w:val="Tabletext"/>
              <w:numPr>
                <w:ilvl w:val="0"/>
                <w:numId w:val="27"/>
              </w:numPr>
              <w:ind w:left="227" w:hanging="219"/>
            </w:pPr>
            <w:r w:rsidRPr="00550EA7">
              <w:t>Fewer patients experienced clinical</w:t>
            </w:r>
            <w:r w:rsidRPr="0047271D">
              <w:t xml:space="preserve"> worsening with combination therapy compared with monotherapy</w:t>
            </w:r>
            <w:r>
              <w:t>,</w:t>
            </w:r>
            <w:r w:rsidRPr="0047271D">
              <w:t xml:space="preserve"> but </w:t>
            </w:r>
            <w:r w:rsidR="004E3670">
              <w:t>this did not quite reach statistical significance</w:t>
            </w:r>
            <w:r w:rsidRPr="0047271D">
              <w:t xml:space="preserve"> (</w:t>
            </w:r>
            <w:r>
              <w:t>pooled</w:t>
            </w:r>
            <w:r w:rsidRPr="0047271D">
              <w:t xml:space="preserve"> </w:t>
            </w:r>
            <w:r>
              <w:t>H</w:t>
            </w:r>
            <w:r w:rsidRPr="0047271D">
              <w:t>R = 0.</w:t>
            </w:r>
            <w:r>
              <w:t>59</w:t>
            </w:r>
            <w:r w:rsidRPr="0047271D">
              <w:t>; 95% CI 0.</w:t>
            </w:r>
            <w:r>
              <w:t>12</w:t>
            </w:r>
            <w:r w:rsidRPr="0047271D">
              <w:t xml:space="preserve">, </w:t>
            </w:r>
            <w:r>
              <w:t>1</w:t>
            </w:r>
            <w:r w:rsidRPr="0047271D">
              <w:t>.</w:t>
            </w:r>
            <w:r>
              <w:t>07</w:t>
            </w:r>
            <w:r w:rsidRPr="0047271D">
              <w:t>)</w:t>
            </w:r>
            <w:r w:rsidR="0042322C">
              <w:t>.</w:t>
            </w:r>
          </w:p>
        </w:tc>
      </w:tr>
      <w:tr w:rsidR="009B35CE" w:rsidTr="00F52145">
        <w:tc>
          <w:tcPr>
            <w:tcW w:w="1555" w:type="dxa"/>
          </w:tcPr>
          <w:p w:rsidR="009B35CE" w:rsidRDefault="009B35CE" w:rsidP="00550EA7">
            <w:pPr>
              <w:pStyle w:val="Tabletext"/>
              <w:keepNext/>
            </w:pPr>
            <w:r w:rsidRPr="009F7572">
              <w:rPr>
                <w:rFonts w:cs="Tahoma"/>
              </w:rPr>
              <w:t>Clinical worsening in PAH-CHD</w:t>
            </w:r>
          </w:p>
        </w:tc>
        <w:tc>
          <w:tcPr>
            <w:tcW w:w="2188" w:type="dxa"/>
          </w:tcPr>
          <w:p w:rsidR="00D03AF8" w:rsidRDefault="009B35CE" w:rsidP="00550EA7">
            <w:pPr>
              <w:pStyle w:val="Tabletext"/>
              <w:keepNext/>
            </w:pPr>
            <w:r>
              <w:t xml:space="preserve">COMPASS-2 </w:t>
            </w:r>
            <w:r w:rsidRPr="00542902">
              <w:t>(bosentan/sildenafil)</w:t>
            </w:r>
            <w:r w:rsidR="00D03AF8" w:rsidRPr="006316DF">
              <w:t xml:space="preserve"> </w:t>
            </w:r>
          </w:p>
          <w:p w:rsidR="009B35CE" w:rsidRDefault="00D03AF8" w:rsidP="00550EA7">
            <w:pPr>
              <w:pStyle w:val="Tabletext"/>
              <w:keepNext/>
            </w:pPr>
            <w:r w:rsidRPr="006316DF">
              <w:t>N=</w:t>
            </w:r>
            <w:r>
              <w:t>20</w:t>
            </w:r>
          </w:p>
        </w:tc>
        <w:tc>
          <w:tcPr>
            <w:tcW w:w="5891" w:type="dxa"/>
          </w:tcPr>
          <w:p w:rsidR="00D103A9" w:rsidRPr="006B11DC" w:rsidRDefault="003E2CD7" w:rsidP="00480FDF">
            <w:pPr>
              <w:pStyle w:val="Tabletext"/>
              <w:numPr>
                <w:ilvl w:val="0"/>
                <w:numId w:val="27"/>
              </w:numPr>
              <w:ind w:left="227" w:hanging="219"/>
            </w:pPr>
            <w:r>
              <w:t>Low</w:t>
            </w:r>
            <w:r w:rsidRPr="006B11DC">
              <w:t xml:space="preserve"> quality</w:t>
            </w:r>
            <w:r w:rsidRPr="006B11DC">
              <w:rPr>
                <w:rFonts w:cs="Cambria Math"/>
              </w:rPr>
              <w:t xml:space="preserve"> evidence (GRADE </w:t>
            </w:r>
            <w:r w:rsidRPr="006B11DC">
              <w:rPr>
                <w:rFonts w:ascii="Cambria Math" w:hAnsi="Cambria Math" w:cs="Cambria Math"/>
                <w:color w:val="00B050"/>
              </w:rPr>
              <w:t>⨁⨁</w:t>
            </w:r>
            <w:r>
              <w:rPr>
                <w:rFonts w:ascii="Cambria Math" w:hAnsi="Cambria Math" w:cs="Cambria Math"/>
                <w:bCs/>
                <w:color w:val="C00000"/>
              </w:rPr>
              <w:t>⨀</w:t>
            </w:r>
            <w:r w:rsidRPr="00E564DD">
              <w:rPr>
                <w:rFonts w:ascii="Cambria Math" w:eastAsia="Times New Roman" w:hAnsi="Cambria Math" w:cs="Cambria Math"/>
                <w:bCs/>
                <w:color w:val="C00000"/>
              </w:rPr>
              <w:t>⨀</w:t>
            </w:r>
            <w:r w:rsidRPr="006B11DC">
              <w:t>)</w:t>
            </w:r>
          </w:p>
          <w:p w:rsidR="009B35CE" w:rsidRPr="006B11DC" w:rsidRDefault="009B35CE" w:rsidP="00480FDF">
            <w:pPr>
              <w:pStyle w:val="Tabletext"/>
              <w:keepNext/>
              <w:numPr>
                <w:ilvl w:val="0"/>
                <w:numId w:val="27"/>
              </w:numPr>
              <w:ind w:left="227" w:hanging="219"/>
            </w:pPr>
            <w:r w:rsidRPr="00550EA7">
              <w:t>Fewer patients experienced clinical</w:t>
            </w:r>
            <w:r w:rsidRPr="0047271D">
              <w:t xml:space="preserve"> worsening with combination therapy compared with monotherapy</w:t>
            </w:r>
            <w:r>
              <w:t>,</w:t>
            </w:r>
            <w:r w:rsidRPr="0047271D">
              <w:t xml:space="preserve"> but the </w:t>
            </w:r>
            <w:r w:rsidR="00CA40B9">
              <w:t xml:space="preserve">wide </w:t>
            </w:r>
            <w:r w:rsidR="00D84687">
              <w:t>95% CI indicates</w:t>
            </w:r>
            <w:r w:rsidRPr="0047271D">
              <w:t xml:space="preserve"> that </w:t>
            </w:r>
            <w:r w:rsidR="004E3670">
              <w:t>the study was underpowered for this outcome</w:t>
            </w:r>
            <w:r w:rsidRPr="0047271D">
              <w:t xml:space="preserve"> (</w:t>
            </w:r>
            <w:r>
              <w:t>H</w:t>
            </w:r>
            <w:r w:rsidRPr="0047271D">
              <w:t>R = 0.</w:t>
            </w:r>
            <w:r>
              <w:t>57</w:t>
            </w:r>
            <w:r w:rsidRPr="0047271D">
              <w:t>; 95% CI 0.</w:t>
            </w:r>
            <w:r>
              <w:t>10</w:t>
            </w:r>
            <w:r w:rsidRPr="0047271D">
              <w:t xml:space="preserve">, </w:t>
            </w:r>
            <w:r>
              <w:t>3</w:t>
            </w:r>
            <w:r w:rsidRPr="0047271D">
              <w:t>.</w:t>
            </w:r>
            <w:r>
              <w:t>17</w:t>
            </w:r>
            <w:r w:rsidRPr="0047271D">
              <w:t>)</w:t>
            </w:r>
            <w:r w:rsidR="0042322C">
              <w:t>.</w:t>
            </w:r>
          </w:p>
        </w:tc>
      </w:tr>
    </w:tbl>
    <w:p w:rsidR="00384D2C" w:rsidRDefault="00384D2C" w:rsidP="00550EA7">
      <w:pPr>
        <w:pStyle w:val="Tablenote"/>
      </w:pPr>
      <w:proofErr w:type="gramStart"/>
      <w:r w:rsidRPr="00384D2C">
        <w:rPr>
          <w:vertAlign w:val="superscript"/>
        </w:rPr>
        <w:t>a</w:t>
      </w:r>
      <w:proofErr w:type="gramEnd"/>
      <w:r>
        <w:t xml:space="preserve"> </w:t>
      </w:r>
      <w:r w:rsidRPr="00384D2C">
        <w:t xml:space="preserve">SF-36 </w:t>
      </w:r>
      <w:r w:rsidR="006778E8">
        <w:t xml:space="preserve">physical component summary scores range from 0 to 100. A higher </w:t>
      </w:r>
      <w:r w:rsidRPr="00384D2C">
        <w:t xml:space="preserve">score </w:t>
      </w:r>
      <w:r>
        <w:t>indicates</w:t>
      </w:r>
      <w:r w:rsidRPr="00384D2C">
        <w:t xml:space="preserve"> better QoL. </w:t>
      </w:r>
    </w:p>
    <w:p w:rsidR="00862E9C" w:rsidRPr="006316DF" w:rsidRDefault="009B35CE" w:rsidP="00550EA7">
      <w:pPr>
        <w:pStyle w:val="Tablenote"/>
      </w:pPr>
      <w:proofErr w:type="gramStart"/>
      <w:r>
        <w:t xml:space="preserve">6MWD = 6-minute </w:t>
      </w:r>
      <w:r w:rsidR="0082368E">
        <w:t>walk distance</w:t>
      </w:r>
      <w:r>
        <w: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862E9C" w:rsidRPr="009E3B52">
        <w:t xml:space="preserve">; </w:t>
      </w:r>
      <w:r w:rsidRPr="00C65B42">
        <w:t xml:space="preserve">HPAH = heritable PAH; HR = hazard ratio; IPAH = idiopathic PAH; </w:t>
      </w:r>
      <w:r>
        <w:t xml:space="preserve">MD = mean difference; </w:t>
      </w:r>
      <w:r w:rsidRPr="00C65B42">
        <w:t xml:space="preserve">PAH = pulmonary arterial hypertension; </w:t>
      </w:r>
      <w:r w:rsidR="00B923F1">
        <w:t>PAH-</w:t>
      </w:r>
      <w:r w:rsidR="00B923F1" w:rsidRPr="00822C52">
        <w:t xml:space="preserve">CHD = </w:t>
      </w:r>
      <w:r w:rsidR="00B923F1">
        <w:t xml:space="preserve">PAH associated with </w:t>
      </w:r>
      <w:r w:rsidR="00B923F1" w:rsidRPr="00822C52">
        <w:t xml:space="preserve">congenital heart disease; </w:t>
      </w:r>
      <w:r w:rsidR="00B923F1">
        <w:t>PAH-</w:t>
      </w:r>
      <w:r w:rsidR="00B923F1" w:rsidRPr="00822C52">
        <w:t xml:space="preserve">CTD = </w:t>
      </w:r>
      <w:r w:rsidR="00B923F1">
        <w:t xml:space="preserve">PAH associated with </w:t>
      </w:r>
      <w:r w:rsidR="00B923F1" w:rsidRPr="00822C52">
        <w:t xml:space="preserve">connective tissue disease; </w:t>
      </w:r>
      <w:r w:rsidRPr="009B5AB3">
        <w:t>PDE-5 = phosphodiesterase type-5</w:t>
      </w:r>
      <w:r>
        <w:t>;</w:t>
      </w:r>
      <w:r w:rsidRPr="009B5AB3">
        <w:t xml:space="preserve"> </w:t>
      </w:r>
      <w:r>
        <w:t xml:space="preserve">QoL = quality of life; RR = relative risk; </w:t>
      </w:r>
      <w:r w:rsidRPr="00C65B42">
        <w:t>SF-36 = short form 36</w:t>
      </w:r>
      <w:r>
        <w:t>; WHO = World Health Organization</w:t>
      </w:r>
      <w:proofErr w:type="gramEnd"/>
    </w:p>
    <w:p w:rsidR="009B35CE" w:rsidRPr="0042195A" w:rsidRDefault="009B35CE" w:rsidP="009B35CE">
      <w:pPr>
        <w:pStyle w:val="Heading5"/>
      </w:pPr>
      <w:r w:rsidRPr="0042195A">
        <w:t>Safety</w:t>
      </w:r>
    </w:p>
    <w:p w:rsidR="009B35CE" w:rsidRDefault="009B35CE" w:rsidP="009B35CE">
      <w:r>
        <w:t xml:space="preserve">Three RCTs reported on the comparative safety of treatment with an ERA </w:t>
      </w:r>
      <w:proofErr w:type="gramStart"/>
      <w:r>
        <w:t>plus</w:t>
      </w:r>
      <w:proofErr w:type="gramEnd"/>
      <w:r>
        <w:t xml:space="preserve"> a PDE-5 inhibitor compared with a PDE-5 inhibitor alone in any patient with PAH:</w:t>
      </w:r>
    </w:p>
    <w:p w:rsidR="009B35CE" w:rsidRPr="00B607A5" w:rsidRDefault="009B35CE" w:rsidP="00D103A9">
      <w:pPr>
        <w:pStyle w:val="Bullettext"/>
      </w:pPr>
      <w:r w:rsidRPr="00B607A5">
        <w:t>COMPASS-2, SERAPHIN and AMBITION</w:t>
      </w:r>
    </w:p>
    <w:p w:rsidR="009B35CE" w:rsidRPr="00B607A5" w:rsidRDefault="00E20AB7" w:rsidP="00D103A9">
      <w:pPr>
        <w:pStyle w:val="Bullettext"/>
      </w:pPr>
      <w:r w:rsidRPr="00B607A5">
        <w:t>There were no new safety signals identified.</w:t>
      </w:r>
    </w:p>
    <w:p w:rsidR="009B35CE" w:rsidRDefault="009B35CE" w:rsidP="00550EA7">
      <w:r>
        <w:t>The evidence provided by these trials is summarised in</w:t>
      </w:r>
      <w:r w:rsidR="00550EA7">
        <w:t xml:space="preserve"> </w:t>
      </w:r>
      <w:r w:rsidR="003951FA">
        <w:t>Table 4.</w:t>
      </w:r>
      <w:r w:rsidR="003951FA">
        <w:rPr>
          <w:noProof/>
        </w:rPr>
        <w:t>6</w:t>
      </w:r>
      <w:r>
        <w:t>.</w:t>
      </w:r>
    </w:p>
    <w:p w:rsidR="009B35CE" w:rsidRDefault="009A6001" w:rsidP="009B35CE">
      <w:r>
        <w:t xml:space="preserve">Overall, </w:t>
      </w:r>
      <w:r w:rsidR="00FB01E0">
        <w:t>use of</w:t>
      </w:r>
      <w:r w:rsidRPr="009A6001">
        <w:t xml:space="preserve"> an ERA in addition to </w:t>
      </w:r>
      <w:r w:rsidR="00FB01E0">
        <w:t xml:space="preserve">a </w:t>
      </w:r>
      <w:r w:rsidRPr="009A6001">
        <w:t>PDE-5 inhibitor</w:t>
      </w:r>
      <w:r w:rsidR="00FB01E0">
        <w:t xml:space="preserve"> could be </w:t>
      </w:r>
      <w:r w:rsidR="009D77E2">
        <w:t>non-</w:t>
      </w:r>
      <w:r w:rsidR="00FB01E0">
        <w:t xml:space="preserve">inferior to </w:t>
      </w:r>
      <w:r w:rsidRPr="009A6001">
        <w:t xml:space="preserve">PDE-5 inhibitor monotherapy </w:t>
      </w:r>
      <w:r w:rsidR="00FB01E0">
        <w:t xml:space="preserve">in terms of safety </w:t>
      </w:r>
      <w:r w:rsidRPr="009A6001">
        <w:t>when treating PAH patients.</w:t>
      </w:r>
      <w:r w:rsidR="009B35CE">
        <w:t xml:space="preserve"> </w:t>
      </w:r>
      <w:r w:rsidR="001217C9">
        <w:t>The comparative safety of an ERA plus a PDE-5 inhibitor relative to PDE-5 inhibitor monotherapy i</w:t>
      </w:r>
      <w:r w:rsidR="00A7777A">
        <w:t xml:space="preserve">n </w:t>
      </w:r>
      <w:r w:rsidR="00813A0D">
        <w:t xml:space="preserve">the subgroup of </w:t>
      </w:r>
      <w:r w:rsidR="00A7777A" w:rsidRPr="00FD4377">
        <w:t xml:space="preserve">patients with </w:t>
      </w:r>
      <w:r w:rsidR="00A7777A">
        <w:t>I</w:t>
      </w:r>
      <w:r w:rsidR="00A7777A" w:rsidRPr="00FD4377">
        <w:t>PAH</w:t>
      </w:r>
      <w:r w:rsidR="00A7777A">
        <w:t xml:space="preserve">/HPAH and in </w:t>
      </w:r>
      <w:r w:rsidR="00813A0D">
        <w:t xml:space="preserve">the subgroup of patients with </w:t>
      </w:r>
      <w:r w:rsidR="00A7777A">
        <w:t>PAH-CTD</w:t>
      </w:r>
      <w:r w:rsidR="001217C9">
        <w:t xml:space="preserve"> appeared </w:t>
      </w:r>
      <w:r w:rsidR="00813A0D">
        <w:t xml:space="preserve">to be largely </w:t>
      </w:r>
      <w:r w:rsidR="001217C9">
        <w:t xml:space="preserve">consistent with </w:t>
      </w:r>
      <w:r w:rsidR="00813A0D">
        <w:t>the comparative safety in the overall PAH population</w:t>
      </w:r>
      <w:r w:rsidR="009B35CE">
        <w:t>.</w:t>
      </w:r>
    </w:p>
    <w:p w:rsidR="009B35CE" w:rsidRDefault="00272F8F" w:rsidP="00BC5A2B">
      <w:pPr>
        <w:pStyle w:val="Caption"/>
      </w:pPr>
      <w:bookmarkStart w:id="22" w:name="_Ref505951366"/>
      <w:bookmarkStart w:id="23" w:name="_Toc38360303"/>
      <w:r>
        <w:t>Table 4.</w:t>
      </w:r>
      <w:r w:rsidR="003951FA">
        <w:rPr>
          <w:noProof/>
        </w:rPr>
        <w:t>6</w:t>
      </w:r>
      <w:bookmarkEnd w:id="22"/>
      <w:r w:rsidR="00550EA7">
        <w:tab/>
      </w:r>
      <w:r w:rsidR="009B35CE">
        <w:t xml:space="preserve">Summary of the evidence for the safety of an </w:t>
      </w:r>
      <w:r w:rsidR="009B35CE" w:rsidRPr="00542902">
        <w:t xml:space="preserve">ERA in addition to </w:t>
      </w:r>
      <w:r w:rsidR="009B35CE">
        <w:t xml:space="preserve">a </w:t>
      </w:r>
      <w:r w:rsidR="009B35CE" w:rsidRPr="00542902">
        <w:t>PDE-5 inhibitor, relative</w:t>
      </w:r>
      <w:r w:rsidR="009B35CE">
        <w:t xml:space="preserve"> to PDE-5 inhibitor monotherapy</w:t>
      </w:r>
      <w:bookmarkEnd w:id="23"/>
    </w:p>
    <w:tbl>
      <w:tblPr>
        <w:tblStyle w:val="TableGrid"/>
        <w:tblW w:w="9634" w:type="dxa"/>
        <w:tblLook w:val="04A0" w:firstRow="1" w:lastRow="0" w:firstColumn="1" w:lastColumn="0" w:noHBand="0" w:noVBand="1"/>
        <w:tblCaption w:val="Summary of the evidence for the safety of an ERA in addition to a PDE-5 inhibitor, relative to PDE-5 inhibitor monotherapy"/>
      </w:tblPr>
      <w:tblGrid>
        <w:gridCol w:w="1552"/>
        <w:gridCol w:w="2093"/>
        <w:gridCol w:w="5989"/>
      </w:tblGrid>
      <w:tr w:rsidR="009B35CE" w:rsidRPr="00550EA7" w:rsidTr="00550EA7">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550EA7" w:rsidRDefault="009B35CE" w:rsidP="00550EA7">
            <w:pPr>
              <w:pStyle w:val="Tabletext"/>
              <w:rPr>
                <w:rFonts w:asciiTheme="minorHAnsi" w:hAnsiTheme="minorHAnsi"/>
                <w:b/>
              </w:rPr>
            </w:pPr>
            <w:r w:rsidRPr="00550EA7">
              <w:rPr>
                <w:b/>
              </w:rPr>
              <w:t>Outcome</w:t>
            </w:r>
          </w:p>
        </w:tc>
        <w:tc>
          <w:tcPr>
            <w:tcW w:w="1984" w:type="dxa"/>
            <w:tcBorders>
              <w:top w:val="single" w:sz="4" w:space="0" w:color="auto"/>
              <w:left w:val="single" w:sz="4" w:space="0" w:color="auto"/>
              <w:bottom w:val="single" w:sz="4" w:space="0" w:color="auto"/>
              <w:right w:val="single" w:sz="4" w:space="0" w:color="auto"/>
            </w:tcBorders>
          </w:tcPr>
          <w:p w:rsidR="00D03AF8" w:rsidRDefault="009B35CE" w:rsidP="00D03AF8">
            <w:pPr>
              <w:pStyle w:val="Tabletext"/>
              <w:rPr>
                <w:b/>
              </w:rPr>
            </w:pPr>
            <w:r w:rsidRPr="00550EA7">
              <w:rPr>
                <w:b/>
              </w:rPr>
              <w:t xml:space="preserve">Included trials </w:t>
            </w:r>
          </w:p>
          <w:p w:rsidR="009B35CE" w:rsidRPr="00550EA7" w:rsidRDefault="00D03AF8" w:rsidP="00D03AF8">
            <w:pPr>
              <w:pStyle w:val="Tabletext"/>
              <w:rPr>
                <w:rFonts w:asciiTheme="minorHAnsi" w:hAnsiTheme="minorHAnsi"/>
                <w:b/>
              </w:rPr>
            </w:pPr>
            <w:r w:rsidRPr="00293DE5">
              <w:rPr>
                <w:b/>
              </w:rPr>
              <w:t>No. of patients</w:t>
            </w:r>
          </w:p>
        </w:tc>
        <w:tc>
          <w:tcPr>
            <w:tcW w:w="6095" w:type="dxa"/>
            <w:tcBorders>
              <w:top w:val="single" w:sz="4" w:space="0" w:color="auto"/>
              <w:left w:val="single" w:sz="4" w:space="0" w:color="auto"/>
              <w:bottom w:val="single" w:sz="4" w:space="0" w:color="auto"/>
              <w:right w:val="single" w:sz="4" w:space="0" w:color="auto"/>
            </w:tcBorders>
          </w:tcPr>
          <w:p w:rsidR="009B35CE" w:rsidRPr="00550EA7" w:rsidRDefault="009B35CE" w:rsidP="00550EA7">
            <w:pPr>
              <w:pStyle w:val="Tabletext"/>
              <w:rPr>
                <w:rFonts w:asciiTheme="minorHAnsi" w:hAnsiTheme="minorHAnsi"/>
                <w:b/>
              </w:rPr>
            </w:pPr>
            <w:r w:rsidRPr="00550EA7">
              <w:rPr>
                <w:b/>
              </w:rPr>
              <w:t>Summary of evidence</w:t>
            </w:r>
          </w:p>
        </w:tc>
      </w:tr>
      <w:tr w:rsidR="009B35CE" w:rsidTr="00550EA7">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9B35CE" w:rsidP="00550EA7">
            <w:pPr>
              <w:pStyle w:val="Tabletext"/>
              <w:keepNext/>
              <w:rPr>
                <w:rFonts w:asciiTheme="minorHAnsi" w:hAnsiTheme="minorHAnsi"/>
              </w:rPr>
            </w:pPr>
            <w:r>
              <w:t>A</w:t>
            </w:r>
            <w:r w:rsidRPr="00FD4377">
              <w:t>ll PAH patients</w:t>
            </w:r>
          </w:p>
        </w:tc>
      </w:tr>
      <w:tr w:rsidR="009B35CE" w:rsidTr="00550EA7">
        <w:tc>
          <w:tcPr>
            <w:tcW w:w="1555" w:type="dxa"/>
            <w:tcBorders>
              <w:top w:val="single" w:sz="4" w:space="0" w:color="auto"/>
              <w:left w:val="single" w:sz="4" w:space="0" w:color="auto"/>
              <w:bottom w:val="single" w:sz="4" w:space="0" w:color="auto"/>
              <w:right w:val="single" w:sz="4" w:space="0" w:color="auto"/>
            </w:tcBorders>
          </w:tcPr>
          <w:p w:rsidR="009B35CE" w:rsidRPr="001D637C" w:rsidRDefault="009B35CE" w:rsidP="00550EA7">
            <w:pPr>
              <w:pStyle w:val="Tabletext"/>
            </w:pPr>
            <w:r>
              <w:t>Any AE</w:t>
            </w:r>
          </w:p>
        </w:tc>
        <w:tc>
          <w:tcPr>
            <w:tcW w:w="1984" w:type="dxa"/>
            <w:tcBorders>
              <w:top w:val="single" w:sz="4" w:space="0" w:color="auto"/>
              <w:left w:val="single" w:sz="4" w:space="0" w:color="auto"/>
              <w:bottom w:val="single" w:sz="4" w:space="0" w:color="auto"/>
              <w:right w:val="single" w:sz="4" w:space="0" w:color="auto"/>
            </w:tcBorders>
          </w:tcPr>
          <w:p w:rsidR="00D03AF8" w:rsidRDefault="009B35CE" w:rsidP="00550EA7">
            <w:pPr>
              <w:pStyle w:val="Tabletext"/>
            </w:pPr>
            <w:r>
              <w:t xml:space="preserve">COMPASS-2 </w:t>
            </w:r>
            <w:r w:rsidRPr="00542902">
              <w:t>(bosentan/sildenafil)</w:t>
            </w:r>
            <w:r w:rsidR="00D03AF8">
              <w:t xml:space="preserve"> </w:t>
            </w:r>
          </w:p>
          <w:p w:rsidR="009B35CE" w:rsidRPr="001D637C" w:rsidRDefault="00D03AF8" w:rsidP="00550EA7">
            <w:pPr>
              <w:pStyle w:val="Tabletext"/>
            </w:pPr>
            <w:r>
              <w:t>N=333</w:t>
            </w:r>
          </w:p>
        </w:tc>
        <w:tc>
          <w:tcPr>
            <w:tcW w:w="6095" w:type="dxa"/>
            <w:tcBorders>
              <w:top w:val="single" w:sz="4" w:space="0" w:color="auto"/>
              <w:left w:val="single" w:sz="4" w:space="0" w:color="auto"/>
              <w:bottom w:val="single" w:sz="4" w:space="0" w:color="auto"/>
              <w:right w:val="single" w:sz="4" w:space="0" w:color="auto"/>
            </w:tcBorders>
          </w:tcPr>
          <w:p w:rsidR="009B35CE" w:rsidRPr="00B96C6F" w:rsidRDefault="009B35CE" w:rsidP="00480FDF">
            <w:pPr>
              <w:pStyle w:val="Tabletext"/>
              <w:numPr>
                <w:ilvl w:val="0"/>
                <w:numId w:val="28"/>
              </w:numPr>
              <w:ind w:left="227" w:hanging="219"/>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9B35CE" w:rsidRPr="00B96C6F" w:rsidRDefault="009B35CE" w:rsidP="00480FDF">
            <w:pPr>
              <w:pStyle w:val="Tabletext"/>
              <w:numPr>
                <w:ilvl w:val="0"/>
                <w:numId w:val="28"/>
              </w:numPr>
              <w:ind w:left="227" w:hanging="219"/>
            </w:pPr>
            <w:r w:rsidRPr="00B96C6F">
              <w:t>The</w:t>
            </w:r>
            <w:r>
              <w:t xml:space="preserve"> </w:t>
            </w:r>
            <w:r w:rsidRPr="00B96C6F">
              <w:t>proportion of patients who had any AE was the same for both the combination therapy and monotherapy arms (RR = 0.</w:t>
            </w:r>
            <w:r>
              <w:t>99</w:t>
            </w:r>
            <w:r w:rsidRPr="00B96C6F">
              <w:t>; 95% CI 0.</w:t>
            </w:r>
            <w:r>
              <w:t>93</w:t>
            </w:r>
            <w:r w:rsidRPr="00B96C6F">
              <w:t>, 1.0</w:t>
            </w:r>
            <w:r>
              <w:t>6</w:t>
            </w:r>
            <w:r w:rsidRPr="00B96C6F">
              <w:t>)</w:t>
            </w:r>
            <w:r w:rsidR="00E74E34">
              <w:t>.</w:t>
            </w:r>
          </w:p>
        </w:tc>
      </w:tr>
      <w:tr w:rsidR="009B35CE" w:rsidTr="00550EA7">
        <w:tc>
          <w:tcPr>
            <w:tcW w:w="1555" w:type="dxa"/>
          </w:tcPr>
          <w:p w:rsidR="009B35CE" w:rsidRPr="001D637C" w:rsidRDefault="009B35CE" w:rsidP="00550EA7">
            <w:pPr>
              <w:pStyle w:val="Tabletext"/>
            </w:pPr>
            <w:r>
              <w:t>Serious AEs</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550EA7">
            <w:pPr>
              <w:pStyle w:val="Tabletext"/>
            </w:pPr>
            <w:r>
              <w:t xml:space="preserve">COMPASS-2 </w:t>
            </w:r>
            <w:r w:rsidRPr="00542902">
              <w:t>(bosentan/sildenafil)</w:t>
            </w:r>
          </w:p>
          <w:p w:rsidR="00D03AF8" w:rsidRDefault="009B35CE" w:rsidP="00550EA7">
            <w:pPr>
              <w:pStyle w:val="Tabletext"/>
            </w:pPr>
            <w:r>
              <w:t>AMBITION (ambrisentan/tadalafil)</w:t>
            </w:r>
            <w:r w:rsidR="00D03AF8" w:rsidRPr="006316DF">
              <w:t xml:space="preserve"> </w:t>
            </w:r>
          </w:p>
          <w:p w:rsidR="009B35CE" w:rsidRPr="001D637C" w:rsidRDefault="00D03AF8" w:rsidP="00550EA7">
            <w:pPr>
              <w:pStyle w:val="Tabletext"/>
            </w:pPr>
            <w:r w:rsidRPr="006316DF">
              <w:t>N=</w:t>
            </w:r>
            <w:r>
              <w:t>70</w:t>
            </w:r>
            <w:r w:rsidRPr="006316DF">
              <w:t>5</w:t>
            </w:r>
          </w:p>
        </w:tc>
        <w:tc>
          <w:tcPr>
            <w:tcW w:w="6095" w:type="dxa"/>
          </w:tcPr>
          <w:p w:rsidR="00D103A9" w:rsidRPr="00B96C6F" w:rsidRDefault="00D103A9" w:rsidP="00480FDF">
            <w:pPr>
              <w:pStyle w:val="Tabletext"/>
              <w:numPr>
                <w:ilvl w:val="0"/>
                <w:numId w:val="28"/>
              </w:numPr>
              <w:ind w:left="227" w:hanging="219"/>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9B35CE" w:rsidRPr="00B96C6F" w:rsidRDefault="009B35CE" w:rsidP="00480FDF">
            <w:pPr>
              <w:pStyle w:val="Tabletext"/>
              <w:numPr>
                <w:ilvl w:val="0"/>
                <w:numId w:val="28"/>
              </w:numPr>
              <w:ind w:left="227" w:hanging="219"/>
            </w:pPr>
            <w:r w:rsidRPr="00550EA7">
              <w:t xml:space="preserve">Significantly fewer patients </w:t>
            </w:r>
            <w:r w:rsidR="001902A8">
              <w:t>had</w:t>
            </w:r>
            <w:r w:rsidR="005425F7">
              <w:t xml:space="preserve"> </w:t>
            </w:r>
            <w:r w:rsidRPr="00550EA7">
              <w:t>a serious AE</w:t>
            </w:r>
            <w:r w:rsidRPr="00B96C6F">
              <w:t xml:space="preserve"> with combination the</w:t>
            </w:r>
            <w:r>
              <w:t>rapy compared with monotherapy</w:t>
            </w:r>
            <w:r w:rsidRPr="00B96C6F">
              <w:t xml:space="preserve"> (</w:t>
            </w:r>
            <w:r>
              <w:t>pooled R</w:t>
            </w:r>
            <w:r w:rsidRPr="00B96C6F">
              <w:t>R = 0.8</w:t>
            </w:r>
            <w:r>
              <w:t>2</w:t>
            </w:r>
            <w:r w:rsidRPr="00B96C6F">
              <w:t>; 95% CI 0.</w:t>
            </w:r>
            <w:r>
              <w:t>69</w:t>
            </w:r>
            <w:r w:rsidRPr="00B96C6F">
              <w:t xml:space="preserve">, </w:t>
            </w:r>
            <w:r>
              <w:t>0</w:t>
            </w:r>
            <w:r w:rsidRPr="00B96C6F">
              <w:t>.</w:t>
            </w:r>
            <w:r>
              <w:t>96</w:t>
            </w:r>
            <w:r w:rsidRPr="00B96C6F">
              <w:t>)</w:t>
            </w:r>
            <w:r w:rsidR="00E74E34">
              <w:t>.</w:t>
            </w:r>
          </w:p>
        </w:tc>
      </w:tr>
      <w:tr w:rsidR="009B35CE" w:rsidTr="00550EA7">
        <w:tc>
          <w:tcPr>
            <w:tcW w:w="1555" w:type="dxa"/>
          </w:tcPr>
          <w:p w:rsidR="009B35CE" w:rsidRDefault="009B35CE" w:rsidP="00550EA7">
            <w:pPr>
              <w:pStyle w:val="Tabletext"/>
            </w:pPr>
            <w:r w:rsidRPr="00B96C6F">
              <w:t>AEs leading to treatment discontinuation</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550EA7">
            <w:pPr>
              <w:pStyle w:val="Tabletext"/>
            </w:pPr>
            <w:r>
              <w:t xml:space="preserve">COMPASS-2 </w:t>
            </w:r>
            <w:r w:rsidRPr="00542902">
              <w:t>(bosentan/sildenafil)</w:t>
            </w:r>
          </w:p>
          <w:p w:rsidR="00D03AF8" w:rsidRDefault="009B35CE" w:rsidP="00D03AF8">
            <w:pPr>
              <w:pStyle w:val="Tabletext"/>
            </w:pPr>
            <w:r>
              <w:t>AMBITION (ambrisentan/tadalafil)</w:t>
            </w:r>
            <w:r w:rsidR="00D03AF8">
              <w:t xml:space="preserve"> </w:t>
            </w:r>
          </w:p>
          <w:p w:rsidR="009B35CE" w:rsidRDefault="00D03AF8" w:rsidP="00D03AF8">
            <w:pPr>
              <w:pStyle w:val="Tabletext"/>
            </w:pPr>
            <w:r w:rsidRPr="006316DF">
              <w:t>N=</w:t>
            </w:r>
            <w:r>
              <w:t>70</w:t>
            </w:r>
            <w:r w:rsidRPr="006316DF">
              <w:t>5</w:t>
            </w:r>
          </w:p>
        </w:tc>
        <w:tc>
          <w:tcPr>
            <w:tcW w:w="6095" w:type="dxa"/>
            <w:tcBorders>
              <w:top w:val="single" w:sz="4" w:space="0" w:color="auto"/>
              <w:left w:val="single" w:sz="4" w:space="0" w:color="auto"/>
              <w:bottom w:val="single" w:sz="4" w:space="0" w:color="auto"/>
              <w:right w:val="single" w:sz="4" w:space="0" w:color="auto"/>
            </w:tcBorders>
          </w:tcPr>
          <w:p w:rsidR="00D103A9" w:rsidRPr="00B96C6F" w:rsidRDefault="00D103A9" w:rsidP="00480FDF">
            <w:pPr>
              <w:pStyle w:val="Tabletext"/>
              <w:numPr>
                <w:ilvl w:val="0"/>
                <w:numId w:val="28"/>
              </w:numPr>
              <w:ind w:left="227" w:hanging="219"/>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9B35CE" w:rsidRPr="006B11DC" w:rsidRDefault="009B35CE" w:rsidP="00480FDF">
            <w:pPr>
              <w:pStyle w:val="Tabletext"/>
              <w:numPr>
                <w:ilvl w:val="0"/>
                <w:numId w:val="28"/>
              </w:numPr>
              <w:ind w:left="227" w:hanging="219"/>
            </w:pPr>
            <w:r w:rsidRPr="00F3410B">
              <w:t>More patients had an AE leading to treatment discontinuation</w:t>
            </w:r>
            <w:r w:rsidRPr="00B96C6F">
              <w:t xml:space="preserve"> with combination therapy compared with monotherapy, </w:t>
            </w:r>
            <w:r w:rsidRPr="00F3410B">
              <w:t xml:space="preserve">but the </w:t>
            </w:r>
            <w:r w:rsidR="00D84687">
              <w:t>95% CI indicates</w:t>
            </w:r>
            <w:r w:rsidRPr="00F3410B">
              <w:t xml:space="preserve"> that there could also be </w:t>
            </w:r>
            <w:r w:rsidR="00CA40B9">
              <w:t>an</w:t>
            </w:r>
            <w:r w:rsidR="00AD2B3C">
              <w:t xml:space="preserve"> </w:t>
            </w:r>
            <w:r w:rsidRPr="00F3410B">
              <w:t>effect</w:t>
            </w:r>
            <w:r w:rsidRPr="00B96C6F">
              <w:t xml:space="preserve"> </w:t>
            </w:r>
            <w:r w:rsidR="00CA40B9">
              <w:t xml:space="preserve">in the opposite direction </w:t>
            </w:r>
            <w:r w:rsidRPr="00B96C6F">
              <w:t xml:space="preserve">(pooled RR = </w:t>
            </w:r>
            <w:r>
              <w:t>1</w:t>
            </w:r>
            <w:r w:rsidRPr="00B96C6F">
              <w:t>.</w:t>
            </w:r>
            <w:r>
              <w:t>4</w:t>
            </w:r>
            <w:r w:rsidRPr="00B96C6F">
              <w:t>7; 95% CI 0.</w:t>
            </w:r>
            <w:r>
              <w:t>81</w:t>
            </w:r>
            <w:r w:rsidRPr="00B96C6F">
              <w:t xml:space="preserve">, </w:t>
            </w:r>
            <w:r>
              <w:t>2</w:t>
            </w:r>
            <w:r w:rsidRPr="00B96C6F">
              <w:t>.</w:t>
            </w:r>
            <w:r>
              <w:t>66</w:t>
            </w:r>
            <w:r w:rsidRPr="00B96C6F">
              <w:t>)</w:t>
            </w:r>
            <w:r w:rsidR="00E74E34">
              <w:t>.</w:t>
            </w:r>
          </w:p>
        </w:tc>
      </w:tr>
      <w:tr w:rsidR="00CA6CD8" w:rsidTr="00550EA7">
        <w:tc>
          <w:tcPr>
            <w:tcW w:w="9634" w:type="dxa"/>
            <w:gridSpan w:val="3"/>
            <w:tcBorders>
              <w:top w:val="nil"/>
              <w:left w:val="single" w:sz="4" w:space="0" w:color="auto"/>
              <w:bottom w:val="single" w:sz="4" w:space="0" w:color="auto"/>
              <w:right w:val="single" w:sz="4" w:space="0" w:color="auto"/>
            </w:tcBorders>
            <w:shd w:val="clear" w:color="auto" w:fill="000000"/>
          </w:tcPr>
          <w:p w:rsidR="00CA6CD8" w:rsidRPr="00FD4377" w:rsidRDefault="00CA6CD8" w:rsidP="00306B37">
            <w:pPr>
              <w:pStyle w:val="Tabletext"/>
              <w:keepNext/>
            </w:pPr>
            <w:r>
              <w:t>P</w:t>
            </w:r>
            <w:r w:rsidRPr="00FD4377">
              <w:t xml:space="preserve">atients with </w:t>
            </w:r>
            <w:r>
              <w:t>IPAH/HPAH</w:t>
            </w:r>
          </w:p>
        </w:tc>
      </w:tr>
      <w:tr w:rsidR="00CA6CD8" w:rsidTr="00550EA7">
        <w:tc>
          <w:tcPr>
            <w:tcW w:w="1555" w:type="dxa"/>
            <w:tcBorders>
              <w:top w:val="single" w:sz="4" w:space="0" w:color="auto"/>
              <w:left w:val="single" w:sz="4" w:space="0" w:color="auto"/>
              <w:bottom w:val="single" w:sz="4" w:space="0" w:color="auto"/>
              <w:right w:val="single" w:sz="4" w:space="0" w:color="auto"/>
            </w:tcBorders>
          </w:tcPr>
          <w:p w:rsidR="00CA6CD8" w:rsidRPr="00B96C6F" w:rsidRDefault="00CA6CD8" w:rsidP="00CA6CD8">
            <w:pPr>
              <w:pStyle w:val="Tabletext"/>
            </w:pPr>
            <w:r w:rsidRPr="00F3410B">
              <w:rPr>
                <w:rFonts w:cs="Tahoma"/>
              </w:rPr>
              <w:t>Any AE in IPAH/HPAH</w:t>
            </w:r>
          </w:p>
        </w:tc>
        <w:tc>
          <w:tcPr>
            <w:tcW w:w="1984" w:type="dxa"/>
            <w:tcBorders>
              <w:top w:val="single" w:sz="4" w:space="0" w:color="auto"/>
              <w:left w:val="single" w:sz="4" w:space="0" w:color="auto"/>
              <w:bottom w:val="single" w:sz="4" w:space="0" w:color="auto"/>
              <w:right w:val="single" w:sz="4" w:space="0" w:color="auto"/>
            </w:tcBorders>
          </w:tcPr>
          <w:p w:rsidR="00CA6CD8" w:rsidRDefault="00CA6CD8" w:rsidP="00CA6CD8">
            <w:pPr>
              <w:pStyle w:val="Tabletext"/>
            </w:pPr>
            <w:r>
              <w:t>AMBITION (ambrisentan/tadalafil)</w:t>
            </w:r>
          </w:p>
          <w:p w:rsidR="00D03AF8" w:rsidRDefault="00D03AF8" w:rsidP="00CA6CD8">
            <w:pPr>
              <w:pStyle w:val="Tabletext"/>
            </w:pPr>
            <w:r>
              <w:t>N=204</w:t>
            </w:r>
          </w:p>
        </w:tc>
        <w:tc>
          <w:tcPr>
            <w:tcW w:w="6095" w:type="dxa"/>
            <w:tcBorders>
              <w:top w:val="single" w:sz="4" w:space="0" w:color="auto"/>
              <w:left w:val="single" w:sz="4" w:space="0" w:color="auto"/>
              <w:bottom w:val="single" w:sz="4" w:space="0" w:color="auto"/>
              <w:right w:val="single" w:sz="4" w:space="0" w:color="auto"/>
            </w:tcBorders>
          </w:tcPr>
          <w:p w:rsidR="00CA6CD8" w:rsidRPr="00B96C6F" w:rsidRDefault="00CA6CD8" w:rsidP="00480FDF">
            <w:pPr>
              <w:pStyle w:val="Tabletext"/>
              <w:numPr>
                <w:ilvl w:val="0"/>
                <w:numId w:val="28"/>
              </w:numPr>
              <w:ind w:left="227" w:hanging="219"/>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CA6CD8" w:rsidRPr="00B96C6F" w:rsidRDefault="00CA6CD8" w:rsidP="00480FDF">
            <w:pPr>
              <w:pStyle w:val="Tabletext"/>
              <w:numPr>
                <w:ilvl w:val="0"/>
                <w:numId w:val="28"/>
              </w:numPr>
              <w:ind w:left="227" w:hanging="219"/>
            </w:pPr>
            <w:r w:rsidRPr="00B96C6F">
              <w:t>The</w:t>
            </w:r>
            <w:r>
              <w:t xml:space="preserve"> </w:t>
            </w:r>
            <w:r w:rsidRPr="00B96C6F">
              <w:t xml:space="preserve">proportion of patients who had any AE was the same for both the combination therapy and monotherapy arms (RR = </w:t>
            </w:r>
            <w:r>
              <w:t>1</w:t>
            </w:r>
            <w:r w:rsidRPr="00B96C6F">
              <w:t>.</w:t>
            </w:r>
            <w:r>
              <w:t>04</w:t>
            </w:r>
            <w:r w:rsidRPr="00B96C6F">
              <w:t>; 95% CI 0.</w:t>
            </w:r>
            <w:r>
              <w:t>97</w:t>
            </w:r>
            <w:r w:rsidRPr="00B96C6F">
              <w:t>, 1.</w:t>
            </w:r>
            <w:r>
              <w:t>12</w:t>
            </w:r>
            <w:r w:rsidRPr="00B96C6F">
              <w:t>)</w:t>
            </w:r>
            <w:r w:rsidR="00E74E34">
              <w:t>.</w:t>
            </w:r>
          </w:p>
        </w:tc>
      </w:tr>
      <w:tr w:rsidR="00CA6CD8" w:rsidTr="00550EA7">
        <w:tc>
          <w:tcPr>
            <w:tcW w:w="1555" w:type="dxa"/>
          </w:tcPr>
          <w:p w:rsidR="00CA6CD8" w:rsidRPr="00B96C6F" w:rsidRDefault="00CA6CD8" w:rsidP="00CA6CD8">
            <w:pPr>
              <w:pStyle w:val="Tabletext"/>
            </w:pPr>
            <w:r w:rsidRPr="00F3410B">
              <w:rPr>
                <w:rFonts w:cs="Tahoma"/>
              </w:rPr>
              <w:t>Serious AEs in IPAH/HPAH</w:t>
            </w:r>
          </w:p>
        </w:tc>
        <w:tc>
          <w:tcPr>
            <w:tcW w:w="1984" w:type="dxa"/>
          </w:tcPr>
          <w:p w:rsidR="00D03AF8" w:rsidRDefault="00CA6CD8" w:rsidP="00D03AF8">
            <w:pPr>
              <w:pStyle w:val="Tabletext"/>
            </w:pPr>
            <w:r>
              <w:t>AMBITION (ambrisentan/tadalafil)</w:t>
            </w:r>
            <w:r w:rsidR="00D03AF8">
              <w:t xml:space="preserve"> </w:t>
            </w:r>
          </w:p>
          <w:p w:rsidR="00CA6CD8" w:rsidRDefault="00D03AF8" w:rsidP="00D03AF8">
            <w:pPr>
              <w:pStyle w:val="Tabletext"/>
            </w:pPr>
            <w:r>
              <w:t>N=204</w:t>
            </w:r>
          </w:p>
        </w:tc>
        <w:tc>
          <w:tcPr>
            <w:tcW w:w="6095" w:type="dxa"/>
          </w:tcPr>
          <w:p w:rsidR="00CA6CD8" w:rsidRPr="00B96C6F" w:rsidRDefault="00CA6CD8" w:rsidP="00480FDF">
            <w:pPr>
              <w:pStyle w:val="Tabletext"/>
              <w:numPr>
                <w:ilvl w:val="0"/>
                <w:numId w:val="28"/>
              </w:numPr>
              <w:ind w:left="227" w:hanging="219"/>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CA6CD8" w:rsidRPr="00B96C6F" w:rsidRDefault="00CA6CD8" w:rsidP="00480FDF">
            <w:pPr>
              <w:pStyle w:val="Tabletext"/>
              <w:numPr>
                <w:ilvl w:val="0"/>
                <w:numId w:val="28"/>
              </w:numPr>
              <w:ind w:left="227" w:hanging="219"/>
            </w:pPr>
            <w:r>
              <w:t>Fewer</w:t>
            </w:r>
            <w:r w:rsidRPr="00F3410B">
              <w:t xml:space="preserve"> patients had a</w:t>
            </w:r>
            <w:r>
              <w:t xml:space="preserve"> serious</w:t>
            </w:r>
            <w:r w:rsidRPr="00F3410B">
              <w:t xml:space="preserve"> AE </w:t>
            </w:r>
            <w:r w:rsidRPr="00B96C6F">
              <w:t xml:space="preserve">with combination therapy compared with monotherapy, </w:t>
            </w:r>
            <w:r w:rsidR="00CA40B9" w:rsidRPr="00160CDF">
              <w:t xml:space="preserve">but the 95% CI indicates that there could also be </w:t>
            </w:r>
            <w:r w:rsidR="00CA40B9">
              <w:t>an</w:t>
            </w:r>
            <w:r w:rsidR="00CA40B9" w:rsidRPr="00160CDF">
              <w:t xml:space="preserve"> effect</w:t>
            </w:r>
            <w:r w:rsidR="00CA40B9">
              <w:t xml:space="preserve"> in the opposite direction</w:t>
            </w:r>
            <w:r w:rsidRPr="00B96C6F">
              <w:t xml:space="preserve"> (RR = 0.</w:t>
            </w:r>
            <w:r>
              <w:t>85</w:t>
            </w:r>
            <w:r w:rsidRPr="00B96C6F">
              <w:t>; 95% CI 0.5</w:t>
            </w:r>
            <w:r>
              <w:t>8</w:t>
            </w:r>
            <w:r w:rsidRPr="00B96C6F">
              <w:t xml:space="preserve">, </w:t>
            </w:r>
            <w:r>
              <w:t>1.25)</w:t>
            </w:r>
            <w:r w:rsidR="00E74E34">
              <w:t>.</w:t>
            </w:r>
          </w:p>
        </w:tc>
      </w:tr>
      <w:tr w:rsidR="00CA6CD8" w:rsidTr="00550EA7">
        <w:tc>
          <w:tcPr>
            <w:tcW w:w="1555" w:type="dxa"/>
          </w:tcPr>
          <w:p w:rsidR="00CA6CD8" w:rsidRPr="00B96C6F" w:rsidRDefault="00CA6CD8" w:rsidP="00CA6CD8">
            <w:pPr>
              <w:pStyle w:val="Tabletext"/>
            </w:pPr>
            <w:r w:rsidRPr="00F3410B">
              <w:rPr>
                <w:rFonts w:cs="Tahoma"/>
              </w:rPr>
              <w:t>AEs leading to treatment discontinuation in IPAH/HPAH</w:t>
            </w:r>
          </w:p>
        </w:tc>
        <w:tc>
          <w:tcPr>
            <w:tcW w:w="1984" w:type="dxa"/>
          </w:tcPr>
          <w:p w:rsidR="00D03AF8" w:rsidRDefault="00CA6CD8" w:rsidP="00D03AF8">
            <w:pPr>
              <w:pStyle w:val="Tabletext"/>
            </w:pPr>
            <w:r>
              <w:t>AMBITION (ambrisentan/tadalafil)</w:t>
            </w:r>
            <w:r w:rsidR="00D03AF8">
              <w:t xml:space="preserve"> </w:t>
            </w:r>
          </w:p>
          <w:p w:rsidR="00CA6CD8" w:rsidRDefault="00D03AF8" w:rsidP="00D03AF8">
            <w:pPr>
              <w:pStyle w:val="Tabletext"/>
            </w:pPr>
            <w:r>
              <w:t>N=204</w:t>
            </w:r>
          </w:p>
        </w:tc>
        <w:tc>
          <w:tcPr>
            <w:tcW w:w="6095" w:type="dxa"/>
          </w:tcPr>
          <w:p w:rsidR="00CA6CD8" w:rsidRPr="00B96C6F" w:rsidRDefault="006C297E" w:rsidP="00480FDF">
            <w:pPr>
              <w:pStyle w:val="Tabletext"/>
              <w:numPr>
                <w:ilvl w:val="0"/>
                <w:numId w:val="28"/>
              </w:numPr>
              <w:ind w:left="227" w:hanging="219"/>
              <w:rPr>
                <w:szCs w:val="18"/>
              </w:rPr>
            </w:pPr>
            <w:r>
              <w:t>Moderate</w:t>
            </w:r>
            <w:r w:rsidR="00CA6CD8" w:rsidRPr="00B96C6F">
              <w:t xml:space="preserve"> quality</w:t>
            </w:r>
            <w:r w:rsidR="00CA6CD8" w:rsidRPr="00B96C6F">
              <w:rPr>
                <w:rFonts w:cs="Cambria Math"/>
              </w:rPr>
              <w:t xml:space="preserve"> evidence (GRADE </w:t>
            </w:r>
            <w:r w:rsidR="00CA6CD8" w:rsidRPr="00B96C6F">
              <w:rPr>
                <w:rFonts w:ascii="Cambria Math" w:hAnsi="Cambria Math" w:cs="Cambria Math"/>
                <w:color w:val="00B050"/>
              </w:rPr>
              <w:t>⨁⨁⨁</w:t>
            </w:r>
            <w:r w:rsidRPr="00E564DD">
              <w:rPr>
                <w:rFonts w:ascii="Cambria Math" w:eastAsia="Times New Roman" w:hAnsi="Cambria Math" w:cs="Cambria Math"/>
                <w:bCs/>
                <w:color w:val="C00000"/>
              </w:rPr>
              <w:t>⨀</w:t>
            </w:r>
            <w:r w:rsidR="00CA6CD8" w:rsidRPr="00B96C6F">
              <w:t>)</w:t>
            </w:r>
          </w:p>
          <w:p w:rsidR="00CA6CD8" w:rsidRPr="00B96C6F" w:rsidRDefault="00CA6CD8" w:rsidP="00480FDF">
            <w:pPr>
              <w:pStyle w:val="Tabletext"/>
              <w:numPr>
                <w:ilvl w:val="0"/>
                <w:numId w:val="28"/>
              </w:numPr>
              <w:ind w:left="227" w:hanging="219"/>
            </w:pPr>
            <w:r w:rsidRPr="00B96C6F">
              <w:t>The</w:t>
            </w:r>
            <w:r>
              <w:t xml:space="preserve"> </w:t>
            </w:r>
            <w:r w:rsidRPr="00B96C6F">
              <w:t xml:space="preserve">proportion of patients who had an AE </w:t>
            </w:r>
            <w:r>
              <w:t xml:space="preserve">leading to treatment discontinuation </w:t>
            </w:r>
            <w:r w:rsidRPr="00B96C6F">
              <w:t xml:space="preserve">was the same for both the combination therapy and monotherapy (RR = </w:t>
            </w:r>
            <w:r>
              <w:t>0</w:t>
            </w:r>
            <w:r w:rsidRPr="00B96C6F">
              <w:t>.</w:t>
            </w:r>
            <w:r>
              <w:t>98</w:t>
            </w:r>
            <w:r w:rsidRPr="00B96C6F">
              <w:t>; 95% CI 0.</w:t>
            </w:r>
            <w:r>
              <w:t>44</w:t>
            </w:r>
            <w:r w:rsidRPr="00B96C6F">
              <w:t xml:space="preserve">, </w:t>
            </w:r>
            <w:r>
              <w:t>2</w:t>
            </w:r>
            <w:r w:rsidRPr="00B96C6F">
              <w:t>.</w:t>
            </w:r>
            <w:r>
              <w:t>20</w:t>
            </w:r>
            <w:r w:rsidRPr="00B96C6F">
              <w:t>)</w:t>
            </w:r>
            <w:r w:rsidR="00E74E34">
              <w:t>.</w:t>
            </w:r>
          </w:p>
        </w:tc>
      </w:tr>
      <w:tr w:rsidR="00CA6CD8" w:rsidTr="00550EA7">
        <w:tc>
          <w:tcPr>
            <w:tcW w:w="9634" w:type="dxa"/>
            <w:gridSpan w:val="3"/>
            <w:tcBorders>
              <w:top w:val="nil"/>
              <w:left w:val="single" w:sz="4" w:space="0" w:color="auto"/>
              <w:bottom w:val="single" w:sz="4" w:space="0" w:color="auto"/>
              <w:right w:val="single" w:sz="4" w:space="0" w:color="auto"/>
            </w:tcBorders>
            <w:shd w:val="clear" w:color="auto" w:fill="000000"/>
          </w:tcPr>
          <w:p w:rsidR="00CA6CD8" w:rsidRPr="00FD4377" w:rsidRDefault="00CA6CD8" w:rsidP="00306B37">
            <w:pPr>
              <w:pStyle w:val="Tabletext"/>
              <w:keepNext/>
            </w:pPr>
            <w:r>
              <w:t>P</w:t>
            </w:r>
            <w:r w:rsidRPr="00FD4377">
              <w:t xml:space="preserve">atients with </w:t>
            </w:r>
            <w:r>
              <w:t>PAH-CTD</w:t>
            </w:r>
          </w:p>
        </w:tc>
      </w:tr>
      <w:tr w:rsidR="00CA6CD8" w:rsidTr="00550EA7">
        <w:tc>
          <w:tcPr>
            <w:tcW w:w="1555" w:type="dxa"/>
            <w:tcBorders>
              <w:top w:val="single" w:sz="4" w:space="0" w:color="auto"/>
              <w:left w:val="single" w:sz="4" w:space="0" w:color="auto"/>
              <w:bottom w:val="single" w:sz="4" w:space="0" w:color="auto"/>
              <w:right w:val="single" w:sz="4" w:space="0" w:color="auto"/>
            </w:tcBorders>
          </w:tcPr>
          <w:p w:rsidR="00CA6CD8" w:rsidRPr="00B96C6F" w:rsidRDefault="00CA6CD8" w:rsidP="00CA6CD8">
            <w:pPr>
              <w:pStyle w:val="Tabletext"/>
            </w:pPr>
            <w:r w:rsidRPr="00F3410B">
              <w:rPr>
                <w:rFonts w:cs="Tahoma"/>
              </w:rPr>
              <w:t>Any AE in PAH-CTD</w:t>
            </w:r>
          </w:p>
        </w:tc>
        <w:tc>
          <w:tcPr>
            <w:tcW w:w="1984" w:type="dxa"/>
            <w:tcBorders>
              <w:top w:val="single" w:sz="4" w:space="0" w:color="auto"/>
              <w:left w:val="single" w:sz="4" w:space="0" w:color="auto"/>
              <w:bottom w:val="single" w:sz="4" w:space="0" w:color="auto"/>
              <w:right w:val="single" w:sz="4" w:space="0" w:color="auto"/>
            </w:tcBorders>
          </w:tcPr>
          <w:p w:rsidR="00D03AF8" w:rsidRDefault="00CA6CD8" w:rsidP="00D03AF8">
            <w:pPr>
              <w:pStyle w:val="Tabletext"/>
            </w:pPr>
            <w:r>
              <w:t>AMBITION (ambrisentan/tadalafil)</w:t>
            </w:r>
            <w:r w:rsidR="00D03AF8">
              <w:t xml:space="preserve"> </w:t>
            </w:r>
          </w:p>
          <w:p w:rsidR="00CA6CD8" w:rsidRDefault="00D03AF8" w:rsidP="00D03AF8">
            <w:pPr>
              <w:pStyle w:val="Tabletext"/>
            </w:pPr>
            <w:r>
              <w:t>N=143</w:t>
            </w:r>
          </w:p>
        </w:tc>
        <w:tc>
          <w:tcPr>
            <w:tcW w:w="6095" w:type="dxa"/>
          </w:tcPr>
          <w:p w:rsidR="00CA6CD8" w:rsidRPr="00B96C6F" w:rsidRDefault="00CA6CD8" w:rsidP="00480FDF">
            <w:pPr>
              <w:pStyle w:val="Tabletext"/>
              <w:numPr>
                <w:ilvl w:val="0"/>
                <w:numId w:val="28"/>
              </w:numPr>
              <w:ind w:left="227" w:hanging="219"/>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CA6CD8" w:rsidRPr="00B96C6F" w:rsidRDefault="00CA6CD8" w:rsidP="00480FDF">
            <w:pPr>
              <w:pStyle w:val="Tabletext"/>
              <w:numPr>
                <w:ilvl w:val="0"/>
                <w:numId w:val="28"/>
              </w:numPr>
              <w:ind w:left="227" w:hanging="219"/>
            </w:pPr>
            <w:r w:rsidRPr="00B96C6F">
              <w:t>The</w:t>
            </w:r>
            <w:r>
              <w:t xml:space="preserve"> </w:t>
            </w:r>
            <w:r w:rsidRPr="00B96C6F">
              <w:t>proportion of patients who had any AE was the same for both the combination therapy and monotherapy arms (</w:t>
            </w:r>
            <w:r>
              <w:t>R</w:t>
            </w:r>
            <w:r w:rsidRPr="00B96C6F">
              <w:t xml:space="preserve">R = </w:t>
            </w:r>
            <w:r>
              <w:t>1.</w:t>
            </w:r>
            <w:r w:rsidRPr="00B96C6F">
              <w:t>0</w:t>
            </w:r>
            <w:r>
              <w:t>2</w:t>
            </w:r>
            <w:r w:rsidRPr="00B96C6F">
              <w:t>; 95% CI 0.</w:t>
            </w:r>
            <w:r>
              <w:t>96</w:t>
            </w:r>
            <w:r w:rsidRPr="00B96C6F">
              <w:t xml:space="preserve">, </w:t>
            </w:r>
            <w:r>
              <w:t>1</w:t>
            </w:r>
            <w:r w:rsidRPr="00B96C6F">
              <w:t>.</w:t>
            </w:r>
            <w:r>
              <w:t>07</w:t>
            </w:r>
            <w:r w:rsidRPr="00B96C6F">
              <w:t>)</w:t>
            </w:r>
            <w:r w:rsidR="00E74E34">
              <w:t>.</w:t>
            </w:r>
          </w:p>
        </w:tc>
      </w:tr>
      <w:tr w:rsidR="00CA6CD8" w:rsidTr="00550EA7">
        <w:tc>
          <w:tcPr>
            <w:tcW w:w="1555" w:type="dxa"/>
            <w:tcBorders>
              <w:top w:val="single" w:sz="4" w:space="0" w:color="auto"/>
              <w:left w:val="single" w:sz="4" w:space="0" w:color="auto"/>
              <w:bottom w:val="single" w:sz="4" w:space="0" w:color="auto"/>
              <w:right w:val="single" w:sz="4" w:space="0" w:color="auto"/>
            </w:tcBorders>
          </w:tcPr>
          <w:p w:rsidR="00CA6CD8" w:rsidRPr="00B96C6F" w:rsidRDefault="00CA6CD8" w:rsidP="00CA6CD8">
            <w:pPr>
              <w:pStyle w:val="Tabletext"/>
            </w:pPr>
            <w:r w:rsidRPr="00F3410B">
              <w:rPr>
                <w:rFonts w:cs="Tahoma"/>
              </w:rPr>
              <w:t>Serious AEs in PAH-CTD</w:t>
            </w:r>
          </w:p>
        </w:tc>
        <w:tc>
          <w:tcPr>
            <w:tcW w:w="1984" w:type="dxa"/>
            <w:tcBorders>
              <w:top w:val="single" w:sz="4" w:space="0" w:color="auto"/>
              <w:left w:val="single" w:sz="4" w:space="0" w:color="auto"/>
              <w:bottom w:val="single" w:sz="4" w:space="0" w:color="auto"/>
              <w:right w:val="single" w:sz="4" w:space="0" w:color="auto"/>
            </w:tcBorders>
          </w:tcPr>
          <w:p w:rsidR="00D03AF8" w:rsidRDefault="00CA6CD8" w:rsidP="00D03AF8">
            <w:pPr>
              <w:pStyle w:val="Tabletext"/>
            </w:pPr>
            <w:r>
              <w:t>AMBITION (ambrisentan/tadalafil)</w:t>
            </w:r>
            <w:r w:rsidR="00D03AF8">
              <w:t xml:space="preserve"> </w:t>
            </w:r>
          </w:p>
          <w:p w:rsidR="00CA6CD8" w:rsidRDefault="00D03AF8" w:rsidP="00D03AF8">
            <w:pPr>
              <w:pStyle w:val="Tabletext"/>
            </w:pPr>
            <w:r>
              <w:t>N=143</w:t>
            </w:r>
          </w:p>
        </w:tc>
        <w:tc>
          <w:tcPr>
            <w:tcW w:w="6095" w:type="dxa"/>
            <w:tcBorders>
              <w:top w:val="single" w:sz="4" w:space="0" w:color="auto"/>
              <w:left w:val="single" w:sz="4" w:space="0" w:color="auto"/>
              <w:bottom w:val="single" w:sz="4" w:space="0" w:color="auto"/>
              <w:right w:val="single" w:sz="4" w:space="0" w:color="auto"/>
            </w:tcBorders>
          </w:tcPr>
          <w:p w:rsidR="00CA6CD8" w:rsidRPr="00B96C6F" w:rsidRDefault="00CA6CD8" w:rsidP="00480FDF">
            <w:pPr>
              <w:pStyle w:val="Tabletext"/>
              <w:numPr>
                <w:ilvl w:val="0"/>
                <w:numId w:val="28"/>
              </w:numPr>
              <w:ind w:left="227" w:hanging="219"/>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CA6CD8" w:rsidRPr="00B96C6F" w:rsidRDefault="00CA6CD8" w:rsidP="00480FDF">
            <w:pPr>
              <w:pStyle w:val="Tabletext"/>
              <w:numPr>
                <w:ilvl w:val="0"/>
                <w:numId w:val="28"/>
              </w:numPr>
              <w:ind w:left="227" w:hanging="219"/>
            </w:pPr>
            <w:r w:rsidRPr="00550EA7">
              <w:t>Fewer patients had a serious AE</w:t>
            </w:r>
            <w:r w:rsidRPr="00B96C6F">
              <w:t xml:space="preserve"> with combination therapy compared with monotherapy</w:t>
            </w:r>
            <w:r>
              <w:t>,</w:t>
            </w:r>
            <w:r w:rsidRPr="00B96C6F">
              <w:t xml:space="preserve"> </w:t>
            </w:r>
            <w:r w:rsidRPr="00F3410B">
              <w:t xml:space="preserve">but the </w:t>
            </w:r>
            <w:r w:rsidR="00D84687">
              <w:t>95% CI indicates</w:t>
            </w:r>
            <w:r w:rsidRPr="00F3410B">
              <w:t xml:space="preserve"> that there could also be </w:t>
            </w:r>
            <w:r w:rsidR="00CA40B9">
              <w:t xml:space="preserve">an </w:t>
            </w:r>
            <w:r w:rsidRPr="00F3410B">
              <w:t>effect</w:t>
            </w:r>
            <w:r w:rsidRPr="00B96C6F">
              <w:t xml:space="preserve"> </w:t>
            </w:r>
            <w:r w:rsidR="00CA40B9">
              <w:t xml:space="preserve">in the opposite direction </w:t>
            </w:r>
            <w:r w:rsidRPr="00B96C6F">
              <w:t>(RR = 0.</w:t>
            </w:r>
            <w:r>
              <w:t>87</w:t>
            </w:r>
            <w:r w:rsidRPr="00B96C6F">
              <w:t>; 95% CI 0.</w:t>
            </w:r>
            <w:r>
              <w:t>60</w:t>
            </w:r>
            <w:r w:rsidRPr="00B96C6F">
              <w:t xml:space="preserve">, </w:t>
            </w:r>
            <w:r>
              <w:t>1.28</w:t>
            </w:r>
            <w:r w:rsidRPr="00B96C6F">
              <w:t>)</w:t>
            </w:r>
            <w:r w:rsidR="00E74E34">
              <w:t>.</w:t>
            </w:r>
          </w:p>
        </w:tc>
      </w:tr>
      <w:tr w:rsidR="00CA6CD8" w:rsidTr="00550EA7">
        <w:tc>
          <w:tcPr>
            <w:tcW w:w="1555" w:type="dxa"/>
          </w:tcPr>
          <w:p w:rsidR="00CA6CD8" w:rsidRPr="00B96C6F" w:rsidRDefault="00CA6CD8" w:rsidP="00B970A7">
            <w:pPr>
              <w:pStyle w:val="Tabletext"/>
              <w:keepNext/>
            </w:pPr>
            <w:r w:rsidRPr="00F3410B">
              <w:rPr>
                <w:rFonts w:cs="Tahoma"/>
              </w:rPr>
              <w:t>AEs leading to treatment discontinuation in PAH-CTD</w:t>
            </w:r>
          </w:p>
        </w:tc>
        <w:tc>
          <w:tcPr>
            <w:tcW w:w="1984" w:type="dxa"/>
          </w:tcPr>
          <w:p w:rsidR="00D03AF8" w:rsidRDefault="00CA6CD8" w:rsidP="00D03AF8">
            <w:pPr>
              <w:pStyle w:val="Tabletext"/>
            </w:pPr>
            <w:r>
              <w:t>AMBITION (ambrisentan/tadalafil)</w:t>
            </w:r>
            <w:r w:rsidR="00D03AF8">
              <w:t xml:space="preserve"> </w:t>
            </w:r>
          </w:p>
          <w:p w:rsidR="00CA6CD8" w:rsidRDefault="00D03AF8" w:rsidP="00D03AF8">
            <w:pPr>
              <w:pStyle w:val="Tabletext"/>
              <w:keepNext/>
            </w:pPr>
            <w:r>
              <w:t>N=143</w:t>
            </w:r>
          </w:p>
        </w:tc>
        <w:tc>
          <w:tcPr>
            <w:tcW w:w="6095" w:type="dxa"/>
          </w:tcPr>
          <w:p w:rsidR="00CA6CD8" w:rsidRPr="00B96C6F" w:rsidRDefault="006C297E" w:rsidP="00480FDF">
            <w:pPr>
              <w:pStyle w:val="Tabletext"/>
              <w:numPr>
                <w:ilvl w:val="0"/>
                <w:numId w:val="28"/>
              </w:numPr>
              <w:ind w:left="227" w:hanging="219"/>
              <w:rPr>
                <w:szCs w:val="18"/>
              </w:rPr>
            </w:pPr>
            <w:r>
              <w:t>Moderate</w:t>
            </w:r>
            <w:r w:rsidR="00CA6CD8" w:rsidRPr="00B96C6F">
              <w:t xml:space="preserve"> quality</w:t>
            </w:r>
            <w:r w:rsidR="00CA6CD8" w:rsidRPr="00B96C6F">
              <w:rPr>
                <w:rFonts w:cs="Cambria Math"/>
              </w:rPr>
              <w:t xml:space="preserve"> evidence (GRADE </w:t>
            </w:r>
            <w:r w:rsidR="00CA6CD8" w:rsidRPr="00B96C6F">
              <w:rPr>
                <w:rFonts w:ascii="Cambria Math" w:hAnsi="Cambria Math" w:cs="Cambria Math"/>
                <w:color w:val="00B050"/>
              </w:rPr>
              <w:t>⨁⨁⨁</w:t>
            </w:r>
            <w:r w:rsidRPr="00E564DD">
              <w:rPr>
                <w:rFonts w:ascii="Cambria Math" w:eastAsia="Times New Roman" w:hAnsi="Cambria Math" w:cs="Cambria Math"/>
                <w:bCs/>
                <w:color w:val="C00000"/>
              </w:rPr>
              <w:t>⨀</w:t>
            </w:r>
            <w:r w:rsidR="00CA6CD8" w:rsidRPr="00B96C6F">
              <w:t>)</w:t>
            </w:r>
          </w:p>
          <w:p w:rsidR="00CA6CD8" w:rsidRPr="00B96C6F" w:rsidRDefault="00CA40B9" w:rsidP="00480FDF">
            <w:pPr>
              <w:pStyle w:val="Tabletext"/>
              <w:numPr>
                <w:ilvl w:val="0"/>
                <w:numId w:val="28"/>
              </w:numPr>
              <w:ind w:left="227" w:hanging="219"/>
            </w:pPr>
            <w:r>
              <w:t>Fewer</w:t>
            </w:r>
            <w:r w:rsidRPr="00B96C6F">
              <w:t xml:space="preserve"> patients had an AE </w:t>
            </w:r>
            <w:r>
              <w:t xml:space="preserve">leading to treatment discontinuation with </w:t>
            </w:r>
            <w:r w:rsidRPr="00B96C6F">
              <w:t xml:space="preserve">combination therapy </w:t>
            </w:r>
            <w:r>
              <w:t>compared with</w:t>
            </w:r>
            <w:r w:rsidRPr="00B96C6F">
              <w:t xml:space="preserve"> monotherapy</w:t>
            </w:r>
            <w:r w:rsidRPr="00160CDF">
              <w:t xml:space="preserve">, but the 95% CI indicates that there could also be </w:t>
            </w:r>
            <w:r>
              <w:t>an</w:t>
            </w:r>
            <w:r w:rsidRPr="00160CDF">
              <w:t xml:space="preserve"> effect</w:t>
            </w:r>
            <w:r>
              <w:t xml:space="preserve"> in the opposite direction</w:t>
            </w:r>
            <w:r w:rsidR="00CA6CD8" w:rsidRPr="00B96C6F">
              <w:t xml:space="preserve"> (RR = </w:t>
            </w:r>
            <w:r w:rsidR="00CA6CD8">
              <w:t>0</w:t>
            </w:r>
            <w:r w:rsidR="00CA6CD8" w:rsidRPr="00B96C6F">
              <w:t>.</w:t>
            </w:r>
            <w:r w:rsidR="00CA6CD8">
              <w:t>91</w:t>
            </w:r>
            <w:r w:rsidR="00CA6CD8" w:rsidRPr="00B96C6F">
              <w:t>; 95% CI 0.</w:t>
            </w:r>
            <w:r w:rsidR="00CA6CD8">
              <w:t>37</w:t>
            </w:r>
            <w:r w:rsidR="00CA6CD8" w:rsidRPr="00B96C6F">
              <w:t xml:space="preserve">, </w:t>
            </w:r>
            <w:r w:rsidR="00CA6CD8">
              <w:t>2</w:t>
            </w:r>
            <w:r w:rsidR="00CA6CD8" w:rsidRPr="00B96C6F">
              <w:t>.</w:t>
            </w:r>
            <w:r w:rsidR="00CA6CD8">
              <w:t>19</w:t>
            </w:r>
            <w:r w:rsidR="00CA6CD8" w:rsidRPr="00B96C6F">
              <w:t>)</w:t>
            </w:r>
            <w:r w:rsidR="00E74E34">
              <w:t>.</w:t>
            </w:r>
          </w:p>
        </w:tc>
      </w:tr>
    </w:tbl>
    <w:p w:rsidR="00B970A7" w:rsidRDefault="00B970A7" w:rsidP="00550EA7">
      <w:pPr>
        <w:pStyle w:val="Tablenote"/>
      </w:pPr>
      <w:r>
        <w:t xml:space="preserve">AE = adverse event; </w:t>
      </w:r>
      <w:r w:rsidR="009B35CE">
        <w:t>CI = confidence interval; ERA = e</w:t>
      </w:r>
      <w:r w:rsidR="009B35CE" w:rsidRPr="00107676">
        <w:t xml:space="preserve">ndothelin </w:t>
      </w:r>
      <w:r w:rsidR="009B35CE">
        <w:t>r</w:t>
      </w:r>
      <w:r w:rsidR="009B35CE" w:rsidRPr="00107676">
        <w:t xml:space="preserve">eceptor </w:t>
      </w:r>
      <w:r w:rsidR="009B35CE">
        <w:t>a</w:t>
      </w:r>
      <w:r w:rsidR="009B35CE" w:rsidRPr="00107676">
        <w:t>ntagonist</w:t>
      </w:r>
      <w:r w:rsidR="009B35CE">
        <w:t>;</w:t>
      </w:r>
      <w:r w:rsidR="00F20C66" w:rsidRPr="00F20C66">
        <w:t xml:space="preserve"> </w:t>
      </w:r>
      <w:r w:rsidR="00385E5A">
        <w:t>GRADE = grading of recommendations assessment, development and evaluation</w:t>
      </w:r>
      <w:r w:rsidR="001D34EE" w:rsidRPr="001D34EE">
        <w:rPr>
          <w:noProof/>
          <w:vertAlign w:val="superscript"/>
        </w:rPr>
        <w:t>1</w:t>
      </w:r>
      <w:r w:rsidR="00F20C66" w:rsidRPr="009E3B52">
        <w:t>;</w:t>
      </w:r>
      <w:r w:rsidR="009B35CE">
        <w:t xml:space="preserve"> </w:t>
      </w:r>
      <w:r w:rsidR="009B35CE" w:rsidRPr="00C65B42">
        <w:t xml:space="preserve">HPAH = heritable PAH; IPAH = idiopathic PAH; PAH = pulmonary arterial hypertension; </w:t>
      </w:r>
      <w:r w:rsidR="00B923F1">
        <w:t>PAH-</w:t>
      </w:r>
      <w:r w:rsidR="00B923F1" w:rsidRPr="00822C52">
        <w:t xml:space="preserve">CTD = </w:t>
      </w:r>
      <w:r w:rsidR="00B923F1">
        <w:t xml:space="preserve">PAH associated with </w:t>
      </w:r>
      <w:r w:rsidR="00B923F1" w:rsidRPr="00822C52">
        <w:t xml:space="preserve">connective tissue disease; </w:t>
      </w:r>
      <w:r w:rsidR="009B35CE" w:rsidRPr="009B5AB3">
        <w:t>PDE-5 = phosphodiesterase type-5</w:t>
      </w:r>
      <w:r w:rsidR="009B35CE">
        <w:t>;</w:t>
      </w:r>
      <w:r w:rsidR="009B35CE" w:rsidRPr="009B5AB3">
        <w:t xml:space="preserve"> </w:t>
      </w:r>
      <w:r w:rsidR="009B35CE">
        <w:t>RR = relative risk</w:t>
      </w:r>
    </w:p>
    <w:p w:rsidR="009B35CE" w:rsidRPr="006316DF" w:rsidRDefault="00441F08" w:rsidP="00003E50">
      <w:pPr>
        <w:pStyle w:val="Heading4"/>
        <w:tabs>
          <w:tab w:val="left" w:pos="993"/>
          <w:tab w:val="left" w:pos="1134"/>
        </w:tabs>
      </w:pPr>
      <w:r>
        <w:t>4.1.3.2</w:t>
      </w:r>
      <w:r>
        <w:tab/>
      </w:r>
      <w:r w:rsidR="009B35CE" w:rsidRPr="006316DF">
        <w:t xml:space="preserve">ERA </w:t>
      </w:r>
      <w:r w:rsidR="009B35CE" w:rsidRPr="00EF6A61">
        <w:t xml:space="preserve">in addition to </w:t>
      </w:r>
      <w:r w:rsidR="000E0079">
        <w:t>prostanoid</w:t>
      </w:r>
    </w:p>
    <w:p w:rsidR="009B35CE" w:rsidRPr="00107676" w:rsidRDefault="009B35CE" w:rsidP="009B35CE">
      <w:pPr>
        <w:pStyle w:val="Heading5"/>
      </w:pPr>
      <w:r w:rsidRPr="00107676">
        <w:t>Clinical effectiveness</w:t>
      </w:r>
    </w:p>
    <w:p w:rsidR="009B35CE" w:rsidRPr="00C77B6A" w:rsidRDefault="009B35CE" w:rsidP="009B35CE">
      <w:pPr>
        <w:spacing w:after="40"/>
      </w:pPr>
      <w:r w:rsidRPr="00C77B6A">
        <w:t xml:space="preserve">Two RCTs reported on the effectiveness of an ERA in addition to </w:t>
      </w:r>
      <w:r w:rsidR="0017012F" w:rsidRPr="0017012F">
        <w:t xml:space="preserve">prostanoid </w:t>
      </w:r>
      <w:r w:rsidR="00762E16">
        <w:t xml:space="preserve">therapy </w:t>
      </w:r>
      <w:r w:rsidRPr="00C77B6A">
        <w:t>in treating PAH compared with place</w:t>
      </w:r>
      <w:r>
        <w:t xml:space="preserve">bo plus a </w:t>
      </w:r>
      <w:r w:rsidR="0017012F" w:rsidRPr="0017012F">
        <w:t>prostanoid</w:t>
      </w:r>
      <w:r>
        <w:t>:</w:t>
      </w:r>
    </w:p>
    <w:p w:rsidR="009B35CE" w:rsidRPr="00B607A5" w:rsidRDefault="009B35CE" w:rsidP="0086175F">
      <w:pPr>
        <w:pStyle w:val="Bullettext"/>
        <w:rPr>
          <w:bCs/>
        </w:rPr>
      </w:pPr>
      <w:r w:rsidRPr="00B607A5">
        <w:t xml:space="preserve">BREATHE-2 enrolled treatment-naïve patients with </w:t>
      </w:r>
      <w:r w:rsidR="006B4B22" w:rsidRPr="00B607A5">
        <w:t>WHO</w:t>
      </w:r>
      <w:r w:rsidRPr="00B607A5">
        <w:t xml:space="preserve"> FC III/IV PAH to receive combination therapy or monotherapy</w:t>
      </w:r>
    </w:p>
    <w:p w:rsidR="009B35CE" w:rsidRPr="00B607A5" w:rsidRDefault="009B35CE" w:rsidP="0086175F">
      <w:pPr>
        <w:pStyle w:val="Bullettext"/>
        <w:rPr>
          <w:bCs/>
        </w:rPr>
      </w:pPr>
      <w:r w:rsidRPr="00B607A5">
        <w:t>Han 2017 enrolled treatment-naïve patients with WHO FC III/IV PAH to receive combination therapy or monotherapy</w:t>
      </w:r>
    </w:p>
    <w:p w:rsidR="009B35CE" w:rsidRDefault="009B35CE" w:rsidP="00EE7D4B">
      <w:pPr>
        <w:spacing w:before="0" w:line="240" w:lineRule="auto"/>
      </w:pPr>
      <w:r w:rsidRPr="00550EA7">
        <w:t>The evidence provided by these trials for patients with WHO FC III/IV PAH is summarised in</w:t>
      </w:r>
      <w:r w:rsidR="0044469E">
        <w:t xml:space="preserve"> Table </w:t>
      </w:r>
      <w:r w:rsidR="00EE7D4B">
        <w:t>4.7</w:t>
      </w:r>
      <w:r>
        <w:t>.</w:t>
      </w:r>
    </w:p>
    <w:p w:rsidR="009B35CE" w:rsidRDefault="001E5DED" w:rsidP="009B35CE">
      <w:r>
        <w:t xml:space="preserve">Overall, </w:t>
      </w:r>
      <w:r w:rsidRPr="001E5DED">
        <w:t>the</w:t>
      </w:r>
      <w:r w:rsidR="00A7777A">
        <w:t xml:space="preserve">re is </w:t>
      </w:r>
      <w:r w:rsidR="00F9446B">
        <w:t xml:space="preserve">uncertainty as to whether </w:t>
      </w:r>
      <w:r w:rsidRPr="001E5DED">
        <w:t>an ERA in addition to prostanoid</w:t>
      </w:r>
      <w:r w:rsidR="00762E16">
        <w:t xml:space="preserve"> therapy</w:t>
      </w:r>
      <w:r w:rsidRPr="001E5DED">
        <w:t>, relative to prostanoid monotherapy</w:t>
      </w:r>
      <w:r w:rsidR="00F9446B">
        <w:t>,</w:t>
      </w:r>
      <w:r w:rsidRPr="001E5DED">
        <w:t xml:space="preserve"> </w:t>
      </w:r>
      <w:r w:rsidR="00F9446B">
        <w:t xml:space="preserve">is beneficial in </w:t>
      </w:r>
      <w:r w:rsidRPr="001E5DED">
        <w:t>patients with WHO FC III/IV PAH</w:t>
      </w:r>
      <w:r w:rsidR="009B35CE" w:rsidRPr="006316DF">
        <w:t>.</w:t>
      </w:r>
    </w:p>
    <w:p w:rsidR="005035F1" w:rsidRDefault="005035F1">
      <w:pPr>
        <w:spacing w:before="0" w:line="240" w:lineRule="auto"/>
        <w:rPr>
          <w:b/>
          <w:iCs/>
          <w:szCs w:val="18"/>
        </w:rPr>
      </w:pPr>
      <w:bookmarkStart w:id="24" w:name="_Ref505953962"/>
      <w:r>
        <w:br w:type="page"/>
      </w:r>
    </w:p>
    <w:p w:rsidR="009B35CE" w:rsidRDefault="00272F8F" w:rsidP="00BC5A2B">
      <w:pPr>
        <w:pStyle w:val="Caption"/>
      </w:pPr>
      <w:bookmarkStart w:id="25" w:name="_Toc38360304"/>
      <w:r>
        <w:t>Table 4.</w:t>
      </w:r>
      <w:r w:rsidR="003951FA">
        <w:rPr>
          <w:noProof/>
        </w:rPr>
        <w:t>7</w:t>
      </w:r>
      <w:bookmarkEnd w:id="24"/>
      <w:r w:rsidR="00550EA7">
        <w:tab/>
      </w:r>
      <w:r w:rsidR="009B35CE">
        <w:t xml:space="preserve">Summary of the evidence for the clinical effectiveness of an </w:t>
      </w:r>
      <w:r w:rsidR="009B35CE" w:rsidRPr="00542902">
        <w:t xml:space="preserve">ERA in addition to </w:t>
      </w:r>
      <w:r w:rsidR="009B35CE">
        <w:t xml:space="preserve">a </w:t>
      </w:r>
      <w:r w:rsidR="000E0079">
        <w:t>prostanoid</w:t>
      </w:r>
      <w:r w:rsidR="009B35CE" w:rsidRPr="00542902">
        <w:t>, relative</w:t>
      </w:r>
      <w:r w:rsidR="009B35CE">
        <w:t xml:space="preserve"> to </w:t>
      </w:r>
      <w:r w:rsidR="000E0079">
        <w:t>prostanoid</w:t>
      </w:r>
      <w:r w:rsidR="009B35CE">
        <w:t xml:space="preserve"> monotherapy</w:t>
      </w:r>
      <w:bookmarkEnd w:id="25"/>
    </w:p>
    <w:tbl>
      <w:tblPr>
        <w:tblStyle w:val="TableGrid"/>
        <w:tblW w:w="9634" w:type="dxa"/>
        <w:tblLook w:val="04A0" w:firstRow="1" w:lastRow="0" w:firstColumn="1" w:lastColumn="0" w:noHBand="0" w:noVBand="1"/>
        <w:tblCaption w:val="Summary of the evidence for the clinical effectiveness of an ERA in addition to a prostanoid, relative to prostanoid monotherapy"/>
      </w:tblPr>
      <w:tblGrid>
        <w:gridCol w:w="1549"/>
        <w:gridCol w:w="2283"/>
        <w:gridCol w:w="5802"/>
      </w:tblGrid>
      <w:tr w:rsidR="009B35CE" w:rsidRPr="00550EA7" w:rsidTr="00550EA7">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550EA7" w:rsidRDefault="009B35CE" w:rsidP="00550EA7">
            <w:pPr>
              <w:pStyle w:val="Tabletext"/>
              <w:rPr>
                <w:rFonts w:asciiTheme="minorHAnsi" w:hAnsiTheme="minorHAnsi"/>
                <w:b/>
              </w:rPr>
            </w:pPr>
            <w:r w:rsidRPr="00550EA7">
              <w:rPr>
                <w:b/>
              </w:rPr>
              <w:t>Outcome</w:t>
            </w:r>
          </w:p>
        </w:tc>
        <w:tc>
          <w:tcPr>
            <w:tcW w:w="1984" w:type="dxa"/>
            <w:tcBorders>
              <w:top w:val="single" w:sz="4" w:space="0" w:color="auto"/>
              <w:left w:val="single" w:sz="4" w:space="0" w:color="auto"/>
              <w:bottom w:val="single" w:sz="4" w:space="0" w:color="auto"/>
              <w:right w:val="single" w:sz="4" w:space="0" w:color="auto"/>
            </w:tcBorders>
          </w:tcPr>
          <w:p w:rsidR="00D03AF8" w:rsidRDefault="009B35CE" w:rsidP="00D03AF8">
            <w:pPr>
              <w:pStyle w:val="Tabletext"/>
              <w:rPr>
                <w:b/>
              </w:rPr>
            </w:pPr>
            <w:r w:rsidRPr="00550EA7">
              <w:rPr>
                <w:b/>
              </w:rPr>
              <w:t xml:space="preserve">Included trials </w:t>
            </w:r>
          </w:p>
          <w:p w:rsidR="009B35CE" w:rsidRPr="00550EA7" w:rsidRDefault="00D03AF8" w:rsidP="00D03AF8">
            <w:pPr>
              <w:pStyle w:val="Tabletext"/>
              <w:rPr>
                <w:rFonts w:asciiTheme="minorHAnsi" w:hAnsiTheme="minorHAnsi"/>
                <w:b/>
              </w:rPr>
            </w:pPr>
            <w:r w:rsidRPr="00293DE5">
              <w:rPr>
                <w:b/>
              </w:rPr>
              <w:t>No. of patients</w:t>
            </w:r>
          </w:p>
        </w:tc>
        <w:tc>
          <w:tcPr>
            <w:tcW w:w="6095" w:type="dxa"/>
            <w:tcBorders>
              <w:top w:val="single" w:sz="4" w:space="0" w:color="auto"/>
              <w:left w:val="single" w:sz="4" w:space="0" w:color="auto"/>
              <w:bottom w:val="single" w:sz="4" w:space="0" w:color="auto"/>
              <w:right w:val="single" w:sz="4" w:space="0" w:color="auto"/>
            </w:tcBorders>
          </w:tcPr>
          <w:p w:rsidR="009B35CE" w:rsidRPr="00550EA7" w:rsidRDefault="009B35CE" w:rsidP="00550EA7">
            <w:pPr>
              <w:pStyle w:val="Tabletext"/>
              <w:rPr>
                <w:rFonts w:asciiTheme="minorHAnsi" w:hAnsiTheme="minorHAnsi"/>
                <w:b/>
              </w:rPr>
            </w:pPr>
            <w:r w:rsidRPr="00550EA7">
              <w:rPr>
                <w:b/>
              </w:rPr>
              <w:t>Summary of evidence</w:t>
            </w:r>
          </w:p>
        </w:tc>
      </w:tr>
      <w:tr w:rsidR="009B35CE" w:rsidTr="00550EA7">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9B35CE" w:rsidP="00550EA7">
            <w:pPr>
              <w:pStyle w:val="Tabletext"/>
              <w:rPr>
                <w:rFonts w:asciiTheme="minorHAnsi" w:hAnsiTheme="minorHAnsi"/>
              </w:rPr>
            </w:pPr>
            <w:r>
              <w:t>P</w:t>
            </w:r>
            <w:r w:rsidRPr="00FD4377">
              <w:t>atients with WHO FC III/IV PAH</w:t>
            </w:r>
          </w:p>
        </w:tc>
      </w:tr>
      <w:tr w:rsidR="00695728" w:rsidTr="00550EA7">
        <w:tc>
          <w:tcPr>
            <w:tcW w:w="1555" w:type="dxa"/>
          </w:tcPr>
          <w:p w:rsidR="00695728" w:rsidRPr="001D637C" w:rsidRDefault="00695728" w:rsidP="00695728">
            <w:pPr>
              <w:pStyle w:val="Tabletext"/>
            </w:pPr>
            <w:r>
              <w:t>All-cause mortality</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BREATHE-2 (bosentan/epoprostenol)</w:t>
            </w:r>
          </w:p>
          <w:p w:rsidR="00695728" w:rsidRPr="001D637C" w:rsidRDefault="00695728" w:rsidP="00695728">
            <w:pPr>
              <w:pStyle w:val="Tabletext"/>
            </w:pPr>
            <w:r>
              <w:t>N=33</w:t>
            </w:r>
          </w:p>
        </w:tc>
        <w:tc>
          <w:tcPr>
            <w:tcW w:w="6095" w:type="dxa"/>
          </w:tcPr>
          <w:p w:rsidR="00695728" w:rsidRPr="00C77B6A" w:rsidRDefault="00695728" w:rsidP="00480FDF">
            <w:pPr>
              <w:pStyle w:val="Tabletext"/>
              <w:numPr>
                <w:ilvl w:val="0"/>
                <w:numId w:val="29"/>
              </w:numPr>
              <w:ind w:left="227" w:hanging="219"/>
            </w:pPr>
            <w:r>
              <w:t>Low</w:t>
            </w:r>
            <w:r w:rsidRPr="00C77B6A">
              <w:t xml:space="preserve"> quality</w:t>
            </w:r>
            <w:r w:rsidRPr="00C77B6A">
              <w:rPr>
                <w:rFonts w:cs="Cambria Math"/>
              </w:rPr>
              <w:t xml:space="preserve"> evidence (GRADE </w:t>
            </w:r>
            <w:r w:rsidRPr="00C77B6A">
              <w:rPr>
                <w:rFonts w:ascii="Cambria Math" w:hAnsi="Cambria Math" w:cs="Cambria Math"/>
                <w:color w:val="00B050"/>
              </w:rPr>
              <w:t>⨁⨁</w:t>
            </w:r>
            <w:r w:rsidRPr="006316DF">
              <w:rPr>
                <w:rFonts w:ascii="Cambria Math" w:hAnsi="Cambria Math" w:cs="Cambria Math"/>
                <w:color w:val="C00000"/>
              </w:rPr>
              <w:t>⨀⨀</w:t>
            </w:r>
            <w:r w:rsidRPr="00C77B6A">
              <w:t>)</w:t>
            </w:r>
          </w:p>
          <w:p w:rsidR="00695728" w:rsidRPr="00C77B6A" w:rsidRDefault="00695728" w:rsidP="00480FDF">
            <w:pPr>
              <w:pStyle w:val="Tabletext"/>
              <w:numPr>
                <w:ilvl w:val="0"/>
                <w:numId w:val="29"/>
              </w:numPr>
              <w:ind w:left="227" w:hanging="219"/>
            </w:pPr>
            <w:r>
              <w:t>More</w:t>
            </w:r>
            <w:r w:rsidRPr="00B92556">
              <w:t xml:space="preserve"> patients die</w:t>
            </w:r>
            <w:r>
              <w:t>d</w:t>
            </w:r>
            <w:r w:rsidRPr="00B92556">
              <w:t xml:space="preserve"> from any cause with combination therapy compared with monotherapy, but </w:t>
            </w:r>
            <w:r>
              <w:t xml:space="preserve">the </w:t>
            </w:r>
            <w:r w:rsidR="00CA40B9">
              <w:t>wide 95% CI indicates that the study was underpowered for this outcome</w:t>
            </w:r>
            <w:r w:rsidR="00CA40B9" w:rsidRPr="00B92556">
              <w:t xml:space="preserve"> </w:t>
            </w:r>
            <w:r w:rsidRPr="00B92556">
              <w:t>(</w:t>
            </w:r>
            <w:r>
              <w:t>ARD</w:t>
            </w:r>
            <w:r w:rsidRPr="00B92556">
              <w:t xml:space="preserve"> = 13.6%; 95% CI −0.7</w:t>
            </w:r>
            <w:r>
              <w:t xml:space="preserve">, </w:t>
            </w:r>
            <w:r w:rsidRPr="00B92556">
              <w:t>28.0)</w:t>
            </w:r>
            <w:r w:rsidR="00E74E34">
              <w:t>.</w:t>
            </w:r>
          </w:p>
        </w:tc>
      </w:tr>
      <w:tr w:rsidR="00695728" w:rsidTr="00550EA7">
        <w:tc>
          <w:tcPr>
            <w:tcW w:w="1555" w:type="dxa"/>
            <w:tcBorders>
              <w:top w:val="single" w:sz="4" w:space="0" w:color="auto"/>
              <w:left w:val="single" w:sz="4" w:space="0" w:color="auto"/>
              <w:bottom w:val="single" w:sz="4" w:space="0" w:color="auto"/>
              <w:right w:val="single" w:sz="4" w:space="0" w:color="auto"/>
            </w:tcBorders>
          </w:tcPr>
          <w:p w:rsidR="00695728" w:rsidRPr="001D637C" w:rsidRDefault="00695728" w:rsidP="00695728">
            <w:pPr>
              <w:pStyle w:val="Tabletext"/>
            </w:pPr>
            <w:r w:rsidRPr="00FA1124">
              <w:t>Improved WHO FC</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 xml:space="preserve">BREATHE-2 (bosentan/epoprostenol) </w:t>
            </w:r>
          </w:p>
          <w:p w:rsidR="00695728" w:rsidRPr="001D637C" w:rsidRDefault="00695728" w:rsidP="00695728">
            <w:pPr>
              <w:pStyle w:val="Tabletext"/>
            </w:pPr>
            <w:r>
              <w:t>N=33</w:t>
            </w:r>
          </w:p>
        </w:tc>
        <w:tc>
          <w:tcPr>
            <w:tcW w:w="6095" w:type="dxa"/>
            <w:tcBorders>
              <w:top w:val="single" w:sz="4" w:space="0" w:color="auto"/>
              <w:left w:val="single" w:sz="4" w:space="0" w:color="auto"/>
              <w:bottom w:val="single" w:sz="4" w:space="0" w:color="auto"/>
              <w:right w:val="single" w:sz="4" w:space="0" w:color="auto"/>
            </w:tcBorders>
          </w:tcPr>
          <w:p w:rsidR="00695728" w:rsidRPr="00C77B6A" w:rsidRDefault="00695728" w:rsidP="00480FDF">
            <w:pPr>
              <w:pStyle w:val="Tabletext"/>
              <w:numPr>
                <w:ilvl w:val="0"/>
                <w:numId w:val="29"/>
              </w:numPr>
              <w:ind w:left="227" w:hanging="219"/>
            </w:pPr>
            <w:r>
              <w:t>Very low</w:t>
            </w:r>
            <w:r w:rsidRPr="00C77B6A">
              <w:t xml:space="preserve"> quality</w:t>
            </w:r>
            <w:r w:rsidRPr="00C77B6A">
              <w:rPr>
                <w:rFonts w:cs="Cambria Math"/>
              </w:rPr>
              <w:t xml:space="preserve"> evidence (GRADE </w:t>
            </w:r>
            <w:r w:rsidRPr="00C77B6A">
              <w:rPr>
                <w:rFonts w:ascii="Cambria Math" w:hAnsi="Cambria Math" w:cs="Cambria Math"/>
                <w:color w:val="00B050"/>
              </w:rPr>
              <w:t>⨁</w:t>
            </w:r>
            <w:r w:rsidRPr="006316DF">
              <w:rPr>
                <w:rFonts w:ascii="Cambria Math" w:hAnsi="Cambria Math" w:cs="Cambria Math"/>
                <w:color w:val="C00000"/>
              </w:rPr>
              <w:t>⨀⨀</w:t>
            </w:r>
            <w:r w:rsidRPr="00E564DD">
              <w:rPr>
                <w:rFonts w:ascii="Cambria Math" w:eastAsia="Times New Roman" w:hAnsi="Cambria Math" w:cs="Cambria Math"/>
                <w:bCs/>
                <w:color w:val="C00000"/>
              </w:rPr>
              <w:t>⨀</w:t>
            </w:r>
            <w:r w:rsidRPr="00C77B6A">
              <w:t>)</w:t>
            </w:r>
          </w:p>
          <w:p w:rsidR="00695728" w:rsidRPr="006B11DC" w:rsidRDefault="00695728" w:rsidP="00480FDF">
            <w:pPr>
              <w:pStyle w:val="Tabletext"/>
              <w:numPr>
                <w:ilvl w:val="0"/>
                <w:numId w:val="29"/>
              </w:numPr>
              <w:ind w:left="227" w:hanging="219"/>
            </w:pPr>
            <w:r>
              <w:t>More</w:t>
            </w:r>
            <w:r w:rsidRPr="00B92556">
              <w:t xml:space="preserve"> patients </w:t>
            </w:r>
            <w:r>
              <w:t>improved their WHO FC</w:t>
            </w:r>
            <w:r w:rsidRPr="00B92556">
              <w:t xml:space="preserve"> with combination therapy compared with monotherapy, but the </w:t>
            </w:r>
            <w:r w:rsidR="00CA40B9">
              <w:t>wide 95% CI indicates that the study was underpowered for this outcome</w:t>
            </w:r>
            <w:r w:rsidRPr="00B92556">
              <w:t xml:space="preserve"> </w:t>
            </w:r>
            <w:r w:rsidRPr="006B11DC">
              <w:t xml:space="preserve">(RR = </w:t>
            </w:r>
            <w:r>
              <w:t>1</w:t>
            </w:r>
            <w:r w:rsidRPr="006B11DC">
              <w:t>.</w:t>
            </w:r>
            <w:r>
              <w:t>30</w:t>
            </w:r>
            <w:r w:rsidRPr="006B11DC">
              <w:t>; 95% CI 0.</w:t>
            </w:r>
            <w:r>
              <w:t>62</w:t>
            </w:r>
            <w:r w:rsidRPr="006B11DC">
              <w:t xml:space="preserve">, </w:t>
            </w:r>
            <w:r>
              <w:t>2</w:t>
            </w:r>
            <w:r w:rsidRPr="006B11DC">
              <w:t>.</w:t>
            </w:r>
            <w:r>
              <w:t>71</w:t>
            </w:r>
            <w:r w:rsidRPr="006B11DC">
              <w:t>)</w:t>
            </w:r>
            <w:r w:rsidR="00E74E34">
              <w:t>.</w:t>
            </w:r>
          </w:p>
        </w:tc>
      </w:tr>
      <w:tr w:rsidR="00695728" w:rsidTr="007E6052">
        <w:tc>
          <w:tcPr>
            <w:tcW w:w="1555" w:type="dxa"/>
          </w:tcPr>
          <w:p w:rsidR="00695728" w:rsidRPr="001D637C" w:rsidRDefault="00695728" w:rsidP="00695728">
            <w:pPr>
              <w:pStyle w:val="Tabletext"/>
            </w:pPr>
            <w:r>
              <w:t>Change in 6MWD</w:t>
            </w:r>
            <w:r>
              <w:rPr>
                <w:rFonts w:cs="Arial"/>
              </w:rPr>
              <w:t xml:space="preserve"> from baseline</w:t>
            </w:r>
          </w:p>
        </w:tc>
        <w:tc>
          <w:tcPr>
            <w:tcW w:w="1984" w:type="dxa"/>
          </w:tcPr>
          <w:p w:rsidR="00695728" w:rsidRDefault="00695728" w:rsidP="00695728">
            <w:pPr>
              <w:pStyle w:val="Tabletext"/>
            </w:pPr>
            <w:r>
              <w:t>BREATHE-2 (bosentan/epoprostenol)</w:t>
            </w:r>
          </w:p>
          <w:p w:rsidR="00695728" w:rsidRDefault="00695728" w:rsidP="00695728">
            <w:pPr>
              <w:pStyle w:val="Tabletext"/>
            </w:pPr>
            <w:r>
              <w:t>Han 2017 (bosentan/iloprost)</w:t>
            </w:r>
          </w:p>
          <w:p w:rsidR="00695728" w:rsidRPr="001D637C" w:rsidRDefault="00695728" w:rsidP="00695728">
            <w:pPr>
              <w:pStyle w:val="Tabletext"/>
            </w:pPr>
            <w:r>
              <w:t>N=47</w:t>
            </w:r>
          </w:p>
        </w:tc>
        <w:tc>
          <w:tcPr>
            <w:tcW w:w="6095" w:type="dxa"/>
          </w:tcPr>
          <w:p w:rsidR="00695728" w:rsidRPr="006B11DC" w:rsidRDefault="00695728" w:rsidP="00480FDF">
            <w:pPr>
              <w:pStyle w:val="Tabletext"/>
              <w:numPr>
                <w:ilvl w:val="0"/>
                <w:numId w:val="29"/>
              </w:numPr>
              <w:ind w:left="227" w:hanging="219"/>
            </w:pPr>
            <w:r>
              <w:t>Very low</w:t>
            </w:r>
            <w:r w:rsidRPr="006B11DC">
              <w:t xml:space="preserve"> quality evidence (GRADE </w:t>
            </w:r>
            <w:r w:rsidRPr="006316DF">
              <w:rPr>
                <w:rFonts w:ascii="Cambria Math" w:hAnsi="Cambria Math" w:cs="Cambria Math"/>
                <w:color w:val="00B050"/>
              </w:rPr>
              <w:t>⨁</w:t>
            </w:r>
            <w:r w:rsidRPr="006316DF">
              <w:rPr>
                <w:rFonts w:ascii="Cambria Math" w:hAnsi="Cambria Math" w:cs="Cambria Math"/>
                <w:color w:val="C00000"/>
              </w:rPr>
              <w:t>⨀⨀⨀</w:t>
            </w:r>
            <w:r w:rsidRPr="006B11DC">
              <w:t>)</w:t>
            </w:r>
          </w:p>
          <w:p w:rsidR="00695728" w:rsidRDefault="00695728" w:rsidP="00480FDF">
            <w:pPr>
              <w:pStyle w:val="Tabletext"/>
              <w:numPr>
                <w:ilvl w:val="0"/>
                <w:numId w:val="29"/>
              </w:numPr>
              <w:ind w:left="227" w:hanging="219"/>
            </w:pPr>
            <w:r>
              <w:t>In 1 out of 2 studies p</w:t>
            </w:r>
            <w:r w:rsidRPr="006B11DC">
              <w:t xml:space="preserve">atients </w:t>
            </w:r>
            <w:r>
              <w:t>on combination therapy</w:t>
            </w:r>
            <w:r w:rsidRPr="006B11DC">
              <w:t xml:space="preserve"> had</w:t>
            </w:r>
            <w:r w:rsidR="002449DC">
              <w:t xml:space="preserve"> </w:t>
            </w:r>
            <w:r>
              <w:t>a</w:t>
            </w:r>
            <w:r w:rsidRPr="006B11DC">
              <w:t xml:space="preserve"> large</w:t>
            </w:r>
            <w:r>
              <w:t xml:space="preserve"> clinically important</w:t>
            </w:r>
            <w:r w:rsidRPr="006B11DC">
              <w:t xml:space="preserve"> improvement in their 6MWD </w:t>
            </w:r>
            <w:r>
              <w:t>compared with</w:t>
            </w:r>
            <w:r w:rsidRPr="006B11DC">
              <w:t xml:space="preserve"> those </w:t>
            </w:r>
            <w:r>
              <w:t>on monotherapy</w:t>
            </w:r>
            <w:r w:rsidRPr="006B11DC">
              <w:t xml:space="preserve"> (</w:t>
            </w:r>
            <w:r>
              <w:t>range</w:t>
            </w:r>
            <w:r w:rsidRPr="006B11DC">
              <w:t xml:space="preserve"> </w:t>
            </w:r>
            <w:r>
              <w:t>6</w:t>
            </w:r>
            <w:r w:rsidRPr="006B11DC">
              <w:t>.</w:t>
            </w:r>
            <w:r>
              <w:t>0 m less to</w:t>
            </w:r>
            <w:r w:rsidRPr="006B11DC">
              <w:t xml:space="preserve"> </w:t>
            </w:r>
            <w:r>
              <w:t xml:space="preserve">123.6 m </w:t>
            </w:r>
            <w:r w:rsidR="00002D3C">
              <w:t xml:space="preserve">walked </w:t>
            </w:r>
            <w:r>
              <w:t>further</w:t>
            </w:r>
            <w:r w:rsidRPr="006B11DC">
              <w:t>)</w:t>
            </w:r>
            <w:r w:rsidR="00E74E34">
              <w:t>.</w:t>
            </w:r>
          </w:p>
          <w:p w:rsidR="00695728" w:rsidRPr="006B11DC" w:rsidRDefault="00CA40B9" w:rsidP="00480FDF">
            <w:pPr>
              <w:pStyle w:val="Tabletext"/>
              <w:numPr>
                <w:ilvl w:val="0"/>
                <w:numId w:val="29"/>
              </w:numPr>
              <w:ind w:left="227" w:hanging="219"/>
            </w:pPr>
            <w:r>
              <w:t>Two studies were too small to determine whether the two different treatment combinations differ in their treatment effectiveness</w:t>
            </w:r>
            <w:r w:rsidR="00E74E34">
              <w:t>.</w:t>
            </w:r>
          </w:p>
        </w:tc>
      </w:tr>
      <w:tr w:rsidR="00695728" w:rsidTr="007E6052">
        <w:tc>
          <w:tcPr>
            <w:tcW w:w="1555" w:type="dxa"/>
          </w:tcPr>
          <w:p w:rsidR="00695728" w:rsidRDefault="00695728" w:rsidP="00695728">
            <w:pPr>
              <w:pStyle w:val="Tabletext"/>
            </w:pPr>
            <w:r>
              <w:t>Change in QoL</w:t>
            </w:r>
            <w:r>
              <w:rPr>
                <w:rFonts w:cs="Arial"/>
              </w:rPr>
              <w:t xml:space="preserve"> from baseline</w:t>
            </w:r>
            <w:r>
              <w:t>:</w:t>
            </w:r>
          </w:p>
          <w:p w:rsidR="00695728" w:rsidRPr="001D637C" w:rsidRDefault="00695728" w:rsidP="00695728">
            <w:pPr>
              <w:pStyle w:val="Tabletext"/>
            </w:pPr>
            <w:r>
              <w:t>MLHF</w:t>
            </w:r>
            <w:r w:rsidRPr="000054CF">
              <w:rPr>
                <w:vertAlign w:val="superscript"/>
              </w:rPr>
              <w:t>a</w:t>
            </w:r>
          </w:p>
        </w:tc>
        <w:tc>
          <w:tcPr>
            <w:tcW w:w="1984" w:type="dxa"/>
          </w:tcPr>
          <w:p w:rsidR="00695728" w:rsidRDefault="00695728" w:rsidP="00695728">
            <w:pPr>
              <w:pStyle w:val="Tabletext"/>
            </w:pPr>
            <w:r>
              <w:t xml:space="preserve">Han 2017 (bosentan/iloprost) </w:t>
            </w:r>
          </w:p>
          <w:p w:rsidR="00695728" w:rsidRPr="001D637C" w:rsidRDefault="00695728" w:rsidP="00695728">
            <w:pPr>
              <w:pStyle w:val="Tabletext"/>
            </w:pPr>
            <w:r>
              <w:t>N=14</w:t>
            </w:r>
          </w:p>
        </w:tc>
        <w:tc>
          <w:tcPr>
            <w:tcW w:w="6095" w:type="dxa"/>
          </w:tcPr>
          <w:p w:rsidR="00695728" w:rsidRPr="00C77B6A" w:rsidRDefault="00695728" w:rsidP="00480FDF">
            <w:pPr>
              <w:pStyle w:val="Tabletext"/>
              <w:numPr>
                <w:ilvl w:val="0"/>
                <w:numId w:val="29"/>
              </w:numPr>
              <w:ind w:left="227" w:hanging="219"/>
            </w:pPr>
            <w:r>
              <w:t>Very low</w:t>
            </w:r>
            <w:r w:rsidRPr="00C77B6A">
              <w:t xml:space="preserve"> quality</w:t>
            </w:r>
            <w:r w:rsidRPr="00C77B6A">
              <w:rPr>
                <w:rFonts w:cs="Cambria Math"/>
              </w:rPr>
              <w:t xml:space="preserve"> evidence (GRADE </w:t>
            </w:r>
            <w:r w:rsidRPr="00C77B6A">
              <w:rPr>
                <w:rFonts w:ascii="Cambria Math" w:hAnsi="Cambria Math" w:cs="Cambria Math"/>
                <w:color w:val="00B050"/>
              </w:rPr>
              <w:t>⨁</w:t>
            </w:r>
            <w:r>
              <w:rPr>
                <w:rFonts w:ascii="Cambria Math" w:hAnsi="Cambria Math" w:cs="Cambria Math"/>
                <w:color w:val="C00000"/>
              </w:rPr>
              <w:t>⨀</w:t>
            </w:r>
            <w:r>
              <w:rPr>
                <w:rFonts w:ascii="Cambria Math" w:hAnsi="Cambria Math" w:cs="Cambria Math"/>
                <w:bCs/>
                <w:color w:val="FF0000"/>
              </w:rPr>
              <w:t>⨀⨀</w:t>
            </w:r>
            <w:r w:rsidRPr="00C77B6A">
              <w:t>)</w:t>
            </w:r>
          </w:p>
          <w:p w:rsidR="00695728" w:rsidRPr="006B11DC" w:rsidRDefault="00695728" w:rsidP="00480FDF">
            <w:pPr>
              <w:pStyle w:val="Tabletext"/>
              <w:numPr>
                <w:ilvl w:val="0"/>
                <w:numId w:val="29"/>
              </w:numPr>
              <w:ind w:left="227" w:hanging="219"/>
            </w:pPr>
            <w:r w:rsidRPr="006B11DC">
              <w:t xml:space="preserve">Patients </w:t>
            </w:r>
            <w:r>
              <w:t>on combination therapy</w:t>
            </w:r>
            <w:r w:rsidRPr="006B11DC">
              <w:t xml:space="preserve"> had a larger mean improvement in their </w:t>
            </w:r>
            <w:r>
              <w:t>QoL</w:t>
            </w:r>
            <w:r w:rsidRPr="006B11DC">
              <w:t xml:space="preserve"> than those </w:t>
            </w:r>
            <w:r>
              <w:t>on monotherapy</w:t>
            </w:r>
            <w:r w:rsidRPr="006B11DC">
              <w:t xml:space="preserve"> (</w:t>
            </w:r>
            <w:r w:rsidRPr="00550EA7">
              <w:t>MD = 35.34 point improvement</w:t>
            </w:r>
            <w:r w:rsidR="00CA40B9">
              <w:t xml:space="preserve"> was a clinically important </w:t>
            </w:r>
            <w:r w:rsidR="00955FF7">
              <w:t>difference</w:t>
            </w:r>
            <w:r w:rsidRPr="006B11DC">
              <w:t>)</w:t>
            </w:r>
            <w:r w:rsidR="00E74E34">
              <w:t>.</w:t>
            </w:r>
          </w:p>
        </w:tc>
      </w:tr>
      <w:tr w:rsidR="00695728" w:rsidTr="00550EA7">
        <w:tc>
          <w:tcPr>
            <w:tcW w:w="1555" w:type="dxa"/>
          </w:tcPr>
          <w:p w:rsidR="00695728" w:rsidRDefault="00695728" w:rsidP="00695728">
            <w:pPr>
              <w:pStyle w:val="Tabletext"/>
            </w:pPr>
            <w:r>
              <w:t>Change in haemodynamic parameters</w:t>
            </w:r>
            <w:r>
              <w:rPr>
                <w:rFonts w:cs="Arial"/>
              </w:rPr>
              <w:t xml:space="preserve"> from baseline</w:t>
            </w:r>
            <w:r>
              <w:t>:</w:t>
            </w:r>
          </w:p>
          <w:p w:rsidR="00695728" w:rsidRPr="001D637C" w:rsidRDefault="00695728" w:rsidP="00695728">
            <w:pPr>
              <w:pStyle w:val="Tabletext"/>
            </w:pPr>
            <w:r>
              <w:t>CAI, PVR, mPAP</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BREATHE-2 (bosentan/epoprostenol)</w:t>
            </w:r>
          </w:p>
          <w:p w:rsidR="00695728" w:rsidRDefault="00695728" w:rsidP="00695728">
            <w:pPr>
              <w:pStyle w:val="Tabletext"/>
            </w:pPr>
            <w:r>
              <w:t xml:space="preserve">Han 2017 (bosentan/iloprost) </w:t>
            </w:r>
          </w:p>
          <w:p w:rsidR="00695728" w:rsidRPr="001D637C" w:rsidRDefault="00695728" w:rsidP="00695728">
            <w:pPr>
              <w:pStyle w:val="Tabletext"/>
            </w:pPr>
            <w:r>
              <w:t>N=47</w:t>
            </w:r>
          </w:p>
        </w:tc>
        <w:tc>
          <w:tcPr>
            <w:tcW w:w="6095" w:type="dxa"/>
          </w:tcPr>
          <w:p w:rsidR="00695728" w:rsidRPr="006B11DC" w:rsidRDefault="00695728" w:rsidP="00480FDF">
            <w:pPr>
              <w:pStyle w:val="Tabletext"/>
              <w:numPr>
                <w:ilvl w:val="0"/>
                <w:numId w:val="29"/>
              </w:numPr>
              <w:ind w:left="227" w:hanging="219"/>
            </w:pPr>
            <w:r>
              <w:t>Very low</w:t>
            </w:r>
            <w:r w:rsidRPr="006B11DC">
              <w:t xml:space="preserve"> quality evidence (GRADE </w:t>
            </w:r>
            <w:r w:rsidRPr="006316DF">
              <w:rPr>
                <w:rFonts w:ascii="Cambria Math" w:hAnsi="Cambria Math" w:cs="Cambria Math"/>
                <w:color w:val="00B050"/>
              </w:rPr>
              <w:t>⨁</w:t>
            </w:r>
            <w:r w:rsidRPr="006316DF">
              <w:rPr>
                <w:rFonts w:ascii="Cambria Math" w:hAnsi="Cambria Math" w:cs="Cambria Math"/>
                <w:color w:val="C00000"/>
              </w:rPr>
              <w:t>⨀⨀⨀</w:t>
            </w:r>
            <w:r w:rsidRPr="006B11DC">
              <w:t>)</w:t>
            </w:r>
          </w:p>
          <w:p w:rsidR="00695728" w:rsidRDefault="00695728" w:rsidP="00480FDF">
            <w:pPr>
              <w:pStyle w:val="Tabletext"/>
              <w:numPr>
                <w:ilvl w:val="0"/>
                <w:numId w:val="29"/>
              </w:numPr>
              <w:ind w:left="227" w:hanging="219"/>
            </w:pPr>
            <w:r w:rsidRPr="00550EA7">
              <w:t>Patients on combination therapy had a larger mean improvement in their haemodynamic parameters</w:t>
            </w:r>
            <w:r w:rsidR="002449DC">
              <w:t xml:space="preserve"> </w:t>
            </w:r>
            <w:r w:rsidRPr="00550EA7">
              <w:t>than those on monotherapy</w:t>
            </w:r>
            <w:r>
              <w:t xml:space="preserve"> and were likely to be clinically important in 1 out of 2 studies</w:t>
            </w:r>
            <w:r w:rsidRPr="00550EA7">
              <w:t xml:space="preserve"> (CAI range 10.8−</w:t>
            </w:r>
            <w:proofErr w:type="gramStart"/>
            <w:r w:rsidRPr="00550EA7">
              <w:t>17</w:t>
            </w:r>
            <w:r>
              <w:t>%</w:t>
            </w:r>
            <w:proofErr w:type="gramEnd"/>
            <w:r>
              <w:t xml:space="preserve"> improvement</w:t>
            </w:r>
            <w:r w:rsidRPr="00550EA7">
              <w:t>; PVR range 9.5−</w:t>
            </w:r>
            <w:r>
              <w:t>2</w:t>
            </w:r>
            <w:r w:rsidRPr="00550EA7">
              <w:t>1.5</w:t>
            </w:r>
            <w:r>
              <w:t>% improvement</w:t>
            </w:r>
            <w:r w:rsidRPr="00550EA7">
              <w:t>; mPAP range 6.8−26.3</w:t>
            </w:r>
            <w:r>
              <w:t>% improvement</w:t>
            </w:r>
            <w:r w:rsidRPr="00550EA7">
              <w:t>)</w:t>
            </w:r>
            <w:r w:rsidR="00E74E34">
              <w:t>.</w:t>
            </w:r>
          </w:p>
          <w:p w:rsidR="00695728" w:rsidRPr="006B11DC" w:rsidRDefault="00CA40B9" w:rsidP="00480FDF">
            <w:pPr>
              <w:pStyle w:val="Tabletext"/>
              <w:numPr>
                <w:ilvl w:val="0"/>
                <w:numId w:val="29"/>
              </w:numPr>
              <w:ind w:left="227" w:hanging="219"/>
            </w:pPr>
            <w:r w:rsidRPr="00CA40B9">
              <w:t>The two studies were too small to determine whether the two different treatment combinations differ in their treatment effectiveness</w:t>
            </w:r>
            <w:r w:rsidR="00E74E34">
              <w:t>.</w:t>
            </w:r>
          </w:p>
        </w:tc>
      </w:tr>
      <w:tr w:rsidR="00695728" w:rsidTr="00550EA7">
        <w:tc>
          <w:tcPr>
            <w:tcW w:w="1555" w:type="dxa"/>
          </w:tcPr>
          <w:p w:rsidR="00695728" w:rsidRDefault="00695728" w:rsidP="00695728">
            <w:pPr>
              <w:pStyle w:val="Tabletext"/>
            </w:pPr>
            <w:r>
              <w:t>Change in haemodynamic parameters</w:t>
            </w:r>
            <w:r>
              <w:rPr>
                <w:rFonts w:cs="Arial"/>
              </w:rPr>
              <w:t xml:space="preserve"> from baseline</w:t>
            </w:r>
            <w:r>
              <w:t>:</w:t>
            </w:r>
          </w:p>
          <w:p w:rsidR="00695728" w:rsidRPr="001D637C" w:rsidRDefault="00695728" w:rsidP="00695728">
            <w:pPr>
              <w:pStyle w:val="Tabletext"/>
            </w:pPr>
            <w:r>
              <w:t>mRAP, TPR</w:t>
            </w:r>
          </w:p>
        </w:tc>
        <w:tc>
          <w:tcPr>
            <w:tcW w:w="1984" w:type="dxa"/>
          </w:tcPr>
          <w:p w:rsidR="00695728" w:rsidRDefault="00695728" w:rsidP="00695728">
            <w:pPr>
              <w:pStyle w:val="Tabletext"/>
            </w:pPr>
            <w:r>
              <w:t xml:space="preserve">BREATHE-2 (bosentan/epoprostenol) </w:t>
            </w:r>
          </w:p>
          <w:p w:rsidR="00695728" w:rsidRPr="001D637C" w:rsidRDefault="00695728" w:rsidP="00695728">
            <w:pPr>
              <w:pStyle w:val="Tabletext"/>
            </w:pPr>
            <w:r>
              <w:t>N=33</w:t>
            </w:r>
          </w:p>
        </w:tc>
        <w:tc>
          <w:tcPr>
            <w:tcW w:w="6095" w:type="dxa"/>
          </w:tcPr>
          <w:p w:rsidR="00695728" w:rsidRPr="00C77B6A" w:rsidRDefault="00872747" w:rsidP="00480FDF">
            <w:pPr>
              <w:pStyle w:val="Tabletext"/>
              <w:numPr>
                <w:ilvl w:val="0"/>
                <w:numId w:val="29"/>
              </w:numPr>
              <w:ind w:left="227" w:hanging="219"/>
            </w:pPr>
            <w:r>
              <w:t>Very l</w:t>
            </w:r>
            <w:r w:rsidR="00695728">
              <w:t>ow</w:t>
            </w:r>
            <w:r w:rsidR="00695728" w:rsidRPr="00C77B6A">
              <w:t xml:space="preserve"> quality</w:t>
            </w:r>
            <w:r w:rsidR="00695728" w:rsidRPr="00C77B6A">
              <w:rPr>
                <w:rFonts w:cs="Cambria Math"/>
              </w:rPr>
              <w:t xml:space="preserve"> evidence (GRADE </w:t>
            </w:r>
            <w:r w:rsidR="00695728" w:rsidRPr="00C77B6A">
              <w:rPr>
                <w:rFonts w:ascii="Cambria Math" w:hAnsi="Cambria Math" w:cs="Cambria Math"/>
                <w:color w:val="00B050"/>
              </w:rPr>
              <w:t>⨁</w:t>
            </w:r>
            <w:r w:rsidRPr="006316DF">
              <w:rPr>
                <w:rFonts w:ascii="Cambria Math" w:hAnsi="Cambria Math" w:cs="Cambria Math"/>
                <w:color w:val="C00000"/>
              </w:rPr>
              <w:t>⨀</w:t>
            </w:r>
            <w:r w:rsidR="00695728" w:rsidRPr="006316DF">
              <w:rPr>
                <w:rFonts w:ascii="Cambria Math" w:hAnsi="Cambria Math" w:cs="Cambria Math"/>
                <w:color w:val="C00000"/>
              </w:rPr>
              <w:t>⨀⨀</w:t>
            </w:r>
            <w:r w:rsidR="00695728" w:rsidRPr="00C77B6A">
              <w:t>)</w:t>
            </w:r>
          </w:p>
          <w:p w:rsidR="00695728" w:rsidRPr="006B11DC" w:rsidRDefault="00695728" w:rsidP="00480FDF">
            <w:pPr>
              <w:pStyle w:val="Tabletext"/>
              <w:numPr>
                <w:ilvl w:val="0"/>
                <w:numId w:val="29"/>
              </w:numPr>
              <w:ind w:left="227" w:hanging="219"/>
            </w:pPr>
            <w:r w:rsidRPr="006B11DC">
              <w:t xml:space="preserve">Patients </w:t>
            </w:r>
            <w:r>
              <w:t>on combination therapy</w:t>
            </w:r>
            <w:r w:rsidRPr="006B11DC">
              <w:t xml:space="preserve"> had a larger mean improvement in their </w:t>
            </w:r>
            <w:r w:rsidRPr="00550EA7">
              <w:t xml:space="preserve">haemodynamic parameters </w:t>
            </w:r>
            <w:r w:rsidRPr="006B11DC">
              <w:t xml:space="preserve">than those </w:t>
            </w:r>
            <w:r>
              <w:t>on monotherapy</w:t>
            </w:r>
            <w:r w:rsidRPr="006B11DC">
              <w:t xml:space="preserve"> (</w:t>
            </w:r>
            <w:r>
              <w:t>mRAP MD</w:t>
            </w:r>
            <w:r w:rsidRPr="006B11DC">
              <w:t xml:space="preserve"> = </w:t>
            </w:r>
            <w:r>
              <w:t>2</w:t>
            </w:r>
            <w:r w:rsidRPr="006B11DC">
              <w:t>.</w:t>
            </w:r>
            <w:r>
              <w:t>2</w:t>
            </w:r>
            <w:r w:rsidRPr="006B11DC">
              <w:t xml:space="preserve"> m</w:t>
            </w:r>
            <w:r>
              <w:t xml:space="preserve">mHg improvement; TPR MD = </w:t>
            </w:r>
            <w:r w:rsidRPr="006B11DC">
              <w:t>1</w:t>
            </w:r>
            <w:r>
              <w:t>3.7% improvement)</w:t>
            </w:r>
            <w:r w:rsidR="00E74E34">
              <w:t>.</w:t>
            </w:r>
          </w:p>
        </w:tc>
      </w:tr>
    </w:tbl>
    <w:p w:rsidR="000054CF" w:rsidRDefault="000054CF" w:rsidP="00550EA7">
      <w:pPr>
        <w:pStyle w:val="Tablenote"/>
      </w:pPr>
      <w:proofErr w:type="gramStart"/>
      <w:r w:rsidRPr="000054CF">
        <w:rPr>
          <w:vertAlign w:val="superscript"/>
        </w:rPr>
        <w:t>a</w:t>
      </w:r>
      <w:proofErr w:type="gramEnd"/>
      <w:r>
        <w:t xml:space="preserve"> MLHF </w:t>
      </w:r>
      <w:r w:rsidR="00FB4615">
        <w:t xml:space="preserve">questionnaire </w:t>
      </w:r>
      <w:r>
        <w:t>total scores range from 0 to 105. A higher</w:t>
      </w:r>
      <w:r w:rsidRPr="000054CF">
        <w:t xml:space="preserve"> score </w:t>
      </w:r>
      <w:r w:rsidR="003903A0">
        <w:t>indicates</w:t>
      </w:r>
      <w:r w:rsidRPr="000054CF">
        <w:t xml:space="preserve"> poorer QoL</w:t>
      </w:r>
      <w:r>
        <w:t xml:space="preserve">. </w:t>
      </w:r>
    </w:p>
    <w:p w:rsidR="00F20C66" w:rsidRDefault="009B35CE" w:rsidP="00550EA7">
      <w:pPr>
        <w:pStyle w:val="Tablenote"/>
      </w:pPr>
      <w:proofErr w:type="gramStart"/>
      <w:r>
        <w:t xml:space="preserve">6MWD = 6-minute </w:t>
      </w:r>
      <w:r w:rsidR="0082368E">
        <w:t>walk distance</w:t>
      </w:r>
      <w:r w:rsidR="00B21201">
        <w:t>; ARD</w:t>
      </w:r>
      <w:r>
        <w:t xml:space="preserve"> = absolute risk </w:t>
      </w:r>
      <w:r w:rsidR="00B21201">
        <w:t>difference</w:t>
      </w:r>
      <w:r>
        <w:t xml:space="preserve">; </w:t>
      </w:r>
      <w:r w:rsidR="00D103A9">
        <w:t xml:space="preserve">CAI = cardiac index; </w:t>
      </w:r>
      <w:r>
        <w:t>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F20C66" w:rsidRPr="009E3B52">
        <w:t xml:space="preserve">; </w:t>
      </w:r>
      <w:r>
        <w:t xml:space="preserve">MD = mean difference; </w:t>
      </w:r>
      <w:r w:rsidR="00DF4187">
        <w:t xml:space="preserve">MLHF = Minnesota living with heart failure; </w:t>
      </w:r>
      <w:r w:rsidR="004510DE">
        <w:t>mPAP = mean pulmonary artery</w:t>
      </w:r>
      <w:r>
        <w:t xml:space="preserve"> pressure; mRAP = mean right atrial pressure;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xml:space="preserve">; QoL = quality of life; RR = relative risk; </w:t>
      </w:r>
      <w:r w:rsidRPr="00474FD8">
        <w:t>TPR = total pulmonary resistance</w:t>
      </w:r>
      <w:r>
        <w:t>;</w:t>
      </w:r>
      <w:r w:rsidRPr="00474FD8">
        <w:t xml:space="preserve"> </w:t>
      </w:r>
      <w:r>
        <w:t>WHO = World Health Organization</w:t>
      </w:r>
      <w:proofErr w:type="gramEnd"/>
    </w:p>
    <w:p w:rsidR="009B35CE" w:rsidRPr="0042195A" w:rsidRDefault="009B35CE" w:rsidP="009B35CE">
      <w:pPr>
        <w:pStyle w:val="Heading5"/>
      </w:pPr>
      <w:r w:rsidRPr="0042195A">
        <w:t>Safety</w:t>
      </w:r>
    </w:p>
    <w:p w:rsidR="009B35CE" w:rsidRDefault="009B35CE" w:rsidP="009B35CE">
      <w:r>
        <w:t>T</w:t>
      </w:r>
      <w:r w:rsidR="00CA40B9">
        <w:t>wo</w:t>
      </w:r>
      <w:r>
        <w:t xml:space="preserve"> RCTs reported on the comparative safety of treatment with an ERA </w:t>
      </w:r>
      <w:proofErr w:type="gramStart"/>
      <w:r>
        <w:t>plus</w:t>
      </w:r>
      <w:proofErr w:type="gramEnd"/>
      <w:r>
        <w:t xml:space="preserve"> a </w:t>
      </w:r>
      <w:r w:rsidR="006A201F">
        <w:t>pros</w:t>
      </w:r>
      <w:r w:rsidR="000167B4">
        <w:t>t</w:t>
      </w:r>
      <w:r w:rsidR="006A201F">
        <w:t>anoid</w:t>
      </w:r>
      <w:r>
        <w:t xml:space="preserve"> compared with a </w:t>
      </w:r>
      <w:r w:rsidR="000167B4">
        <w:t>prostanoid</w:t>
      </w:r>
      <w:r>
        <w:t xml:space="preserve"> alone in any patient with PAH:</w:t>
      </w:r>
    </w:p>
    <w:p w:rsidR="009B35CE" w:rsidRPr="00B607A5" w:rsidRDefault="00CA40B9" w:rsidP="00D103A9">
      <w:pPr>
        <w:pStyle w:val="Bullettext"/>
      </w:pPr>
      <w:r w:rsidRPr="00B607A5">
        <w:t>BREATH</w:t>
      </w:r>
      <w:r w:rsidR="00B607A5">
        <w:t>E</w:t>
      </w:r>
      <w:r w:rsidRPr="00B607A5">
        <w:t>-2 and Han 2017</w:t>
      </w:r>
    </w:p>
    <w:p w:rsidR="009B35CE" w:rsidRPr="00B607A5" w:rsidRDefault="00E20AB7" w:rsidP="00D103A9">
      <w:pPr>
        <w:pStyle w:val="Bullettext"/>
      </w:pPr>
      <w:r w:rsidRPr="00B607A5">
        <w:t>There were no new safety signals identified</w:t>
      </w:r>
      <w:r w:rsidR="009B35CE" w:rsidRPr="00B607A5">
        <w:t>.</w:t>
      </w:r>
    </w:p>
    <w:p w:rsidR="009B35CE" w:rsidRDefault="009B35CE" w:rsidP="00550EA7">
      <w:r>
        <w:t>The evidence provided by these trials for patients</w:t>
      </w:r>
      <w:r w:rsidRPr="007D34E3">
        <w:t xml:space="preserve"> with WHO FC III/IV PAH</w:t>
      </w:r>
      <w:r>
        <w:t xml:space="preserve"> is summarised in</w:t>
      </w:r>
      <w:r w:rsidR="00550EA7">
        <w:t xml:space="preserve"> </w:t>
      </w:r>
      <w:r w:rsidR="003951FA">
        <w:t>Table 4.</w:t>
      </w:r>
      <w:r w:rsidR="003951FA">
        <w:rPr>
          <w:noProof/>
        </w:rPr>
        <w:t>8</w:t>
      </w:r>
      <w:r w:rsidR="00550EA7">
        <w:t>.</w:t>
      </w:r>
    </w:p>
    <w:p w:rsidR="009B35CE" w:rsidRDefault="00D875C8" w:rsidP="009B35CE">
      <w:r>
        <w:t>Overall</w:t>
      </w:r>
      <w:r w:rsidRPr="006316DF">
        <w:t xml:space="preserve">, </w:t>
      </w:r>
      <w:r>
        <w:t xml:space="preserve">although </w:t>
      </w:r>
      <w:r w:rsidRPr="000522D6">
        <w:t>the</w:t>
      </w:r>
      <w:r>
        <w:t>re is uncertainty,</w:t>
      </w:r>
      <w:r w:rsidRPr="000522D6">
        <w:t xml:space="preserve"> </w:t>
      </w:r>
      <w:r w:rsidRPr="006316DF">
        <w:t xml:space="preserve">use of an ERA </w:t>
      </w:r>
      <w:r w:rsidRPr="000522D6">
        <w:t xml:space="preserve">in addition to </w:t>
      </w:r>
      <w:r>
        <w:t>a prostanoid</w:t>
      </w:r>
      <w:r w:rsidRPr="000522D6">
        <w:t xml:space="preserve"> </w:t>
      </w:r>
      <w:r>
        <w:t>could</w:t>
      </w:r>
      <w:r w:rsidRPr="006316DF">
        <w:t xml:space="preserve"> be </w:t>
      </w:r>
      <w:r>
        <w:t>non-inferior to</w:t>
      </w:r>
      <w:r w:rsidRPr="000522D6">
        <w:t xml:space="preserve"> </w:t>
      </w:r>
      <w:r>
        <w:t>prostanoid</w:t>
      </w:r>
      <w:r w:rsidRPr="000522D6">
        <w:t xml:space="preserve"> monotherapy </w:t>
      </w:r>
      <w:r>
        <w:t>when</w:t>
      </w:r>
      <w:r w:rsidRPr="006316DF">
        <w:t xml:space="preserve"> treat</w:t>
      </w:r>
      <w:r>
        <w:t>ing</w:t>
      </w:r>
      <w:r w:rsidRPr="006316DF">
        <w:t xml:space="preserve"> </w:t>
      </w:r>
      <w:r>
        <w:t xml:space="preserve">patients with </w:t>
      </w:r>
      <w:r w:rsidRPr="00C754B8">
        <w:t>WHO FC III/IV PAH</w:t>
      </w:r>
      <w:r>
        <w:t>.</w:t>
      </w:r>
    </w:p>
    <w:p w:rsidR="009B35CE" w:rsidRDefault="00272F8F" w:rsidP="00BC5A2B">
      <w:pPr>
        <w:pStyle w:val="Caption"/>
      </w:pPr>
      <w:bookmarkStart w:id="26" w:name="_Ref506192023"/>
      <w:bookmarkStart w:id="27" w:name="_Toc38360305"/>
      <w:r>
        <w:t>Table 4.</w:t>
      </w:r>
      <w:r w:rsidR="003951FA">
        <w:rPr>
          <w:noProof/>
        </w:rPr>
        <w:t>8</w:t>
      </w:r>
      <w:bookmarkEnd w:id="26"/>
      <w:r w:rsidR="00550EA7">
        <w:tab/>
      </w:r>
      <w:r w:rsidR="009B35CE">
        <w:t xml:space="preserve">Summary of the evidence for the safety of an </w:t>
      </w:r>
      <w:r w:rsidR="009B35CE" w:rsidRPr="00542902">
        <w:t xml:space="preserve">ERA in addition to </w:t>
      </w:r>
      <w:r w:rsidR="000167B4">
        <w:t xml:space="preserve">a </w:t>
      </w:r>
      <w:r w:rsidR="000E0079">
        <w:t>prostanoid</w:t>
      </w:r>
      <w:r w:rsidR="009B35CE" w:rsidRPr="00542902">
        <w:t>, relative</w:t>
      </w:r>
      <w:r w:rsidR="009B35CE">
        <w:t xml:space="preserve"> to </w:t>
      </w:r>
      <w:r w:rsidR="000E0079">
        <w:t>prostanoid</w:t>
      </w:r>
      <w:r w:rsidR="009B35CE">
        <w:t xml:space="preserve"> monotherapy</w:t>
      </w:r>
      <w:bookmarkEnd w:id="27"/>
    </w:p>
    <w:tbl>
      <w:tblPr>
        <w:tblStyle w:val="TableGrid"/>
        <w:tblW w:w="9776" w:type="dxa"/>
        <w:tblLook w:val="04A0" w:firstRow="1" w:lastRow="0" w:firstColumn="1" w:lastColumn="0" w:noHBand="0" w:noVBand="1"/>
        <w:tblCaption w:val="Summary of the evidence for the safety of an ERA in addition to a prostanoid, relative to prostanoid monotherapy"/>
      </w:tblPr>
      <w:tblGrid>
        <w:gridCol w:w="1548"/>
        <w:gridCol w:w="2283"/>
        <w:gridCol w:w="5945"/>
      </w:tblGrid>
      <w:tr w:rsidR="009B35CE" w:rsidRPr="00737EA5" w:rsidTr="00550EA7">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6C297E" w:rsidRDefault="009B35CE" w:rsidP="000E0079">
            <w:pPr>
              <w:pStyle w:val="Tabletext"/>
              <w:rPr>
                <w:rFonts w:asciiTheme="minorHAnsi" w:hAnsiTheme="minorHAnsi"/>
                <w:b/>
              </w:rPr>
            </w:pPr>
            <w:r w:rsidRPr="006C297E">
              <w:rPr>
                <w:b/>
              </w:rPr>
              <w:t>Outcome</w:t>
            </w:r>
          </w:p>
        </w:tc>
        <w:tc>
          <w:tcPr>
            <w:tcW w:w="1984" w:type="dxa"/>
            <w:tcBorders>
              <w:top w:val="single" w:sz="4" w:space="0" w:color="auto"/>
              <w:left w:val="single" w:sz="4" w:space="0" w:color="auto"/>
              <w:bottom w:val="single" w:sz="4" w:space="0" w:color="auto"/>
              <w:right w:val="single" w:sz="4" w:space="0" w:color="auto"/>
            </w:tcBorders>
          </w:tcPr>
          <w:p w:rsidR="009B35CE" w:rsidRPr="006C297E" w:rsidRDefault="009B35CE" w:rsidP="000E0079">
            <w:pPr>
              <w:pStyle w:val="Tabletext"/>
              <w:rPr>
                <w:rFonts w:asciiTheme="minorHAnsi" w:hAnsiTheme="minorHAnsi"/>
                <w:b/>
              </w:rPr>
            </w:pPr>
            <w:r w:rsidRPr="006C297E">
              <w:rPr>
                <w:b/>
              </w:rPr>
              <w:t xml:space="preserve">Included trials </w:t>
            </w:r>
          </w:p>
        </w:tc>
        <w:tc>
          <w:tcPr>
            <w:tcW w:w="6237" w:type="dxa"/>
            <w:tcBorders>
              <w:top w:val="single" w:sz="4" w:space="0" w:color="auto"/>
              <w:left w:val="single" w:sz="4" w:space="0" w:color="auto"/>
              <w:bottom w:val="single" w:sz="4" w:space="0" w:color="auto"/>
              <w:right w:val="single" w:sz="4" w:space="0" w:color="auto"/>
            </w:tcBorders>
          </w:tcPr>
          <w:p w:rsidR="009B35CE" w:rsidRPr="006C297E" w:rsidRDefault="009B35CE" w:rsidP="000E0079">
            <w:pPr>
              <w:pStyle w:val="Tabletext"/>
              <w:rPr>
                <w:rFonts w:asciiTheme="minorHAnsi" w:hAnsiTheme="minorHAnsi"/>
                <w:b/>
              </w:rPr>
            </w:pPr>
            <w:r w:rsidRPr="006C297E">
              <w:rPr>
                <w:b/>
              </w:rPr>
              <w:t>Summary of evidence</w:t>
            </w:r>
          </w:p>
        </w:tc>
      </w:tr>
      <w:tr w:rsidR="009B35CE" w:rsidTr="00550EA7">
        <w:tc>
          <w:tcPr>
            <w:tcW w:w="9776" w:type="dxa"/>
            <w:gridSpan w:val="3"/>
            <w:tcBorders>
              <w:top w:val="nil"/>
              <w:left w:val="single" w:sz="4" w:space="0" w:color="auto"/>
              <w:bottom w:val="single" w:sz="4" w:space="0" w:color="auto"/>
              <w:right w:val="single" w:sz="4" w:space="0" w:color="auto"/>
            </w:tcBorders>
            <w:shd w:val="clear" w:color="auto" w:fill="000000"/>
          </w:tcPr>
          <w:p w:rsidR="009B35CE" w:rsidRDefault="009B35CE" w:rsidP="000E0079">
            <w:pPr>
              <w:pStyle w:val="Tabletext"/>
              <w:keepNext/>
              <w:rPr>
                <w:rFonts w:asciiTheme="minorHAnsi" w:hAnsiTheme="minorHAnsi"/>
              </w:rPr>
            </w:pPr>
            <w:r>
              <w:t>P</w:t>
            </w:r>
            <w:r w:rsidRPr="00FD4377">
              <w:t>atients with WHO FC III/IV PAH</w:t>
            </w:r>
          </w:p>
        </w:tc>
      </w:tr>
      <w:tr w:rsidR="00695728" w:rsidTr="00550EA7">
        <w:tc>
          <w:tcPr>
            <w:tcW w:w="1555" w:type="dxa"/>
            <w:tcBorders>
              <w:top w:val="single" w:sz="4" w:space="0" w:color="auto"/>
              <w:left w:val="single" w:sz="4" w:space="0" w:color="auto"/>
              <w:bottom w:val="single" w:sz="4" w:space="0" w:color="auto"/>
              <w:right w:val="single" w:sz="4" w:space="0" w:color="auto"/>
            </w:tcBorders>
          </w:tcPr>
          <w:p w:rsidR="00695728" w:rsidRPr="001D637C" w:rsidRDefault="00695728" w:rsidP="00695728">
            <w:pPr>
              <w:pStyle w:val="Tabletext"/>
            </w:pPr>
            <w:r>
              <w:t>Any AE</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Han 2017 (bosentan/iloprost)</w:t>
            </w:r>
          </w:p>
          <w:p w:rsidR="00695728" w:rsidRPr="001D637C" w:rsidRDefault="00695728" w:rsidP="00695728">
            <w:pPr>
              <w:pStyle w:val="Tabletext"/>
            </w:pPr>
            <w:r>
              <w:t>N=14</w:t>
            </w:r>
          </w:p>
        </w:tc>
        <w:tc>
          <w:tcPr>
            <w:tcW w:w="6237" w:type="dxa"/>
            <w:tcBorders>
              <w:top w:val="single" w:sz="4" w:space="0" w:color="auto"/>
              <w:left w:val="single" w:sz="4" w:space="0" w:color="auto"/>
              <w:bottom w:val="single" w:sz="4" w:space="0" w:color="auto"/>
              <w:right w:val="single" w:sz="4" w:space="0" w:color="auto"/>
            </w:tcBorders>
          </w:tcPr>
          <w:p w:rsidR="00695728" w:rsidRPr="00B96C6F" w:rsidRDefault="00695728" w:rsidP="00480FDF">
            <w:pPr>
              <w:pStyle w:val="Tabletext"/>
              <w:numPr>
                <w:ilvl w:val="0"/>
                <w:numId w:val="44"/>
              </w:numPr>
              <w:ind w:left="227" w:hanging="219"/>
              <w:rPr>
                <w:szCs w:val="18"/>
              </w:rPr>
            </w:pPr>
            <w:r>
              <w:t>Low</w:t>
            </w:r>
            <w:r w:rsidRPr="00B96C6F">
              <w:t xml:space="preserve"> quality</w:t>
            </w:r>
            <w:r w:rsidRPr="00B96C6F">
              <w:rPr>
                <w:rFonts w:cs="Cambria Math"/>
              </w:rPr>
              <w:t xml:space="preserve"> evidence (GRADE </w:t>
            </w:r>
            <w:r w:rsidRPr="00B96C6F">
              <w:rPr>
                <w:rFonts w:ascii="Cambria Math" w:hAnsi="Cambria Math" w:cs="Cambria Math"/>
                <w:color w:val="00B050"/>
              </w:rPr>
              <w:t>⨁⨁</w:t>
            </w:r>
            <w:r w:rsidRPr="00E564DD">
              <w:rPr>
                <w:rFonts w:ascii="Cambria Math" w:eastAsia="Times New Roman" w:hAnsi="Cambria Math" w:cs="Cambria Math"/>
                <w:bCs/>
                <w:color w:val="C00000"/>
              </w:rPr>
              <w:t>⨀</w:t>
            </w:r>
            <w:r w:rsidRPr="006316DF">
              <w:rPr>
                <w:rFonts w:ascii="Cambria Math" w:hAnsi="Cambria Math" w:cs="Cambria Math"/>
                <w:color w:val="C00000"/>
              </w:rPr>
              <w:t>⨀</w:t>
            </w:r>
            <w:r w:rsidRPr="00B96C6F">
              <w:t>)</w:t>
            </w:r>
          </w:p>
          <w:p w:rsidR="00695728" w:rsidRPr="00B96C6F" w:rsidRDefault="00695728" w:rsidP="00480FDF">
            <w:pPr>
              <w:pStyle w:val="Tabletext"/>
              <w:numPr>
                <w:ilvl w:val="0"/>
                <w:numId w:val="44"/>
              </w:numPr>
              <w:ind w:left="227" w:hanging="219"/>
            </w:pPr>
            <w:r w:rsidRPr="00B96C6F">
              <w:t>The</w:t>
            </w:r>
            <w:r>
              <w:t xml:space="preserve"> </w:t>
            </w:r>
            <w:r w:rsidRPr="00B96C6F">
              <w:t xml:space="preserve">proportion of patients who had any AE was </w:t>
            </w:r>
            <w:r>
              <w:t>similar</w:t>
            </w:r>
            <w:r w:rsidRPr="00B96C6F">
              <w:t xml:space="preserve"> for both the combination therapy and monotherapy arms</w:t>
            </w:r>
            <w:r>
              <w:t>, but the 95% CI indicates that there could be an effect favouring either treatment arm</w:t>
            </w:r>
            <w:r w:rsidRPr="00B96C6F">
              <w:t xml:space="preserve"> (RR = </w:t>
            </w:r>
            <w:r>
              <w:t>1</w:t>
            </w:r>
            <w:r w:rsidRPr="00B96C6F">
              <w:t>.</w:t>
            </w:r>
            <w:r>
              <w:t>05</w:t>
            </w:r>
            <w:r w:rsidRPr="00B96C6F">
              <w:t>; 95% CI 0.</w:t>
            </w:r>
            <w:r>
              <w:t>67</w:t>
            </w:r>
            <w:r w:rsidRPr="00B96C6F">
              <w:t>, 1.</w:t>
            </w:r>
            <w:r>
              <w:t>64</w:t>
            </w:r>
            <w:r w:rsidRPr="00B96C6F">
              <w:t>)</w:t>
            </w:r>
            <w:r w:rsidR="00E74E34">
              <w:t>.</w:t>
            </w:r>
          </w:p>
        </w:tc>
      </w:tr>
      <w:tr w:rsidR="00695728" w:rsidTr="00550EA7">
        <w:tc>
          <w:tcPr>
            <w:tcW w:w="1555" w:type="dxa"/>
          </w:tcPr>
          <w:p w:rsidR="00695728" w:rsidRPr="001D637C" w:rsidRDefault="00695728" w:rsidP="00695728">
            <w:pPr>
              <w:pStyle w:val="Tabletext"/>
            </w:pPr>
            <w:r>
              <w:t>Serious AEs</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BREATHE-2 (bosentan/epoprostenol)</w:t>
            </w:r>
          </w:p>
          <w:p w:rsidR="009A57D8" w:rsidRPr="001D637C" w:rsidRDefault="009A57D8" w:rsidP="00695728">
            <w:pPr>
              <w:pStyle w:val="Tabletext"/>
            </w:pPr>
            <w:r>
              <w:t>N=44</w:t>
            </w:r>
          </w:p>
        </w:tc>
        <w:tc>
          <w:tcPr>
            <w:tcW w:w="6237" w:type="dxa"/>
          </w:tcPr>
          <w:p w:rsidR="00695728" w:rsidRPr="00B96C6F" w:rsidRDefault="00695728" w:rsidP="00480FDF">
            <w:pPr>
              <w:pStyle w:val="Tabletext"/>
              <w:numPr>
                <w:ilvl w:val="0"/>
                <w:numId w:val="44"/>
              </w:numPr>
              <w:ind w:left="227" w:hanging="219"/>
            </w:pPr>
            <w:r>
              <w:t>Very low</w:t>
            </w:r>
            <w:r w:rsidRPr="00B96C6F">
              <w:t xml:space="preserve"> quality</w:t>
            </w:r>
            <w:r w:rsidRPr="00D103A9">
              <w:t xml:space="preserve"> evidence (GRADE </w:t>
            </w:r>
            <w:r w:rsidRPr="006316DF">
              <w:rPr>
                <w:rFonts w:ascii="Cambria Math" w:hAnsi="Cambria Math" w:cs="Cambria Math"/>
                <w:color w:val="00B050"/>
              </w:rPr>
              <w:t>⨁</w:t>
            </w:r>
            <w:r w:rsidRPr="00E564DD">
              <w:rPr>
                <w:rFonts w:ascii="Cambria Math" w:eastAsia="Times New Roman" w:hAnsi="Cambria Math" w:cs="Cambria Math"/>
                <w:bCs/>
                <w:color w:val="C00000"/>
              </w:rPr>
              <w:t>⨀⨀</w:t>
            </w:r>
            <w:r w:rsidRPr="006316DF">
              <w:rPr>
                <w:rFonts w:ascii="Cambria Math" w:hAnsi="Cambria Math" w:cs="Cambria Math"/>
                <w:color w:val="C00000"/>
              </w:rPr>
              <w:t>⨀</w:t>
            </w:r>
            <w:r w:rsidRPr="00B96C6F">
              <w:t>)</w:t>
            </w:r>
          </w:p>
          <w:p w:rsidR="00695728" w:rsidRPr="00B96C6F" w:rsidRDefault="00695728" w:rsidP="00480FDF">
            <w:pPr>
              <w:pStyle w:val="Tabletext"/>
              <w:numPr>
                <w:ilvl w:val="0"/>
                <w:numId w:val="44"/>
              </w:numPr>
              <w:ind w:left="227" w:hanging="219"/>
            </w:pPr>
            <w:r w:rsidRPr="00D103A9">
              <w:t xml:space="preserve">Fewer patients </w:t>
            </w:r>
            <w:r>
              <w:t xml:space="preserve">experienced </w:t>
            </w:r>
            <w:r w:rsidRPr="00D103A9">
              <w:t>a serious AE</w:t>
            </w:r>
            <w:r w:rsidRPr="00B96C6F">
              <w:t xml:space="preserve"> with combination the</w:t>
            </w:r>
            <w:r>
              <w:t>rapy compared with monotherapy,</w:t>
            </w:r>
            <w:r w:rsidRPr="00B96C6F">
              <w:t xml:space="preserve"> </w:t>
            </w:r>
            <w:r w:rsidRPr="00F3410B">
              <w:t xml:space="preserve">but </w:t>
            </w:r>
            <w:r w:rsidR="009A57D8">
              <w:t>the wide 95% CI indicates</w:t>
            </w:r>
            <w:r w:rsidR="009A57D8" w:rsidRPr="00F3410B">
              <w:t xml:space="preserve"> that </w:t>
            </w:r>
            <w:r w:rsidR="009A57D8">
              <w:t>the study was likely underpowered for this outcome</w:t>
            </w:r>
            <w:r w:rsidRPr="00B96C6F">
              <w:t xml:space="preserve"> (</w:t>
            </w:r>
            <w:r>
              <w:t>RR = 0.75</w:t>
            </w:r>
            <w:r w:rsidRPr="00B96C6F">
              <w:t>; 95% CI 0.</w:t>
            </w:r>
            <w:r>
              <w:t>15</w:t>
            </w:r>
            <w:r w:rsidRPr="00B96C6F">
              <w:t xml:space="preserve">, </w:t>
            </w:r>
            <w:r>
              <w:t>3</w:t>
            </w:r>
            <w:r w:rsidRPr="00B96C6F">
              <w:t>.</w:t>
            </w:r>
            <w:r>
              <w:t>85</w:t>
            </w:r>
            <w:r w:rsidRPr="00B96C6F">
              <w:t>)</w:t>
            </w:r>
            <w:r w:rsidR="00E74E34">
              <w:t>.</w:t>
            </w:r>
          </w:p>
        </w:tc>
      </w:tr>
      <w:tr w:rsidR="00695728" w:rsidTr="00550EA7">
        <w:tc>
          <w:tcPr>
            <w:tcW w:w="1555" w:type="dxa"/>
          </w:tcPr>
          <w:p w:rsidR="00695728" w:rsidRDefault="00695728" w:rsidP="00695728">
            <w:pPr>
              <w:pStyle w:val="Tabletext"/>
            </w:pPr>
            <w:r w:rsidRPr="00B96C6F">
              <w:t>AEs leading to treatment discontinuation</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 xml:space="preserve">BREATHE-2 (bosentan/epoprostenol) </w:t>
            </w:r>
          </w:p>
          <w:p w:rsidR="00695728" w:rsidRDefault="00695728" w:rsidP="00695728">
            <w:pPr>
              <w:pStyle w:val="Tabletext"/>
            </w:pPr>
            <w:r>
              <w:t>N=44</w:t>
            </w:r>
          </w:p>
        </w:tc>
        <w:tc>
          <w:tcPr>
            <w:tcW w:w="6237" w:type="dxa"/>
            <w:tcBorders>
              <w:top w:val="single" w:sz="4" w:space="0" w:color="auto"/>
              <w:left w:val="single" w:sz="4" w:space="0" w:color="auto"/>
              <w:bottom w:val="single" w:sz="4" w:space="0" w:color="auto"/>
              <w:right w:val="single" w:sz="4" w:space="0" w:color="auto"/>
            </w:tcBorders>
          </w:tcPr>
          <w:p w:rsidR="00695728" w:rsidRPr="00D103A9" w:rsidRDefault="00695728" w:rsidP="00480FDF">
            <w:pPr>
              <w:pStyle w:val="Tabletext"/>
              <w:numPr>
                <w:ilvl w:val="0"/>
                <w:numId w:val="44"/>
              </w:numPr>
              <w:ind w:left="227" w:hanging="219"/>
            </w:pPr>
            <w:r>
              <w:t>Very low</w:t>
            </w:r>
            <w:r w:rsidRPr="00B96C6F">
              <w:t xml:space="preserve"> quality</w:t>
            </w:r>
            <w:r w:rsidRPr="00D103A9">
              <w:t xml:space="preserve"> evidence (GRADE </w:t>
            </w:r>
            <w:r w:rsidRPr="006316DF">
              <w:rPr>
                <w:rFonts w:ascii="Cambria Math" w:hAnsi="Cambria Math" w:cs="Cambria Math"/>
                <w:color w:val="00B050"/>
              </w:rPr>
              <w:t>⨁</w:t>
            </w:r>
            <w:r w:rsidRPr="00E564DD">
              <w:rPr>
                <w:rFonts w:ascii="Cambria Math" w:eastAsia="Times New Roman" w:hAnsi="Cambria Math" w:cs="Cambria Math"/>
                <w:bCs/>
                <w:color w:val="C00000"/>
              </w:rPr>
              <w:t>⨀⨀</w:t>
            </w:r>
            <w:r w:rsidRPr="006316DF">
              <w:rPr>
                <w:rFonts w:ascii="Cambria Math" w:hAnsi="Cambria Math" w:cs="Cambria Math"/>
                <w:color w:val="C00000"/>
              </w:rPr>
              <w:t>⨀</w:t>
            </w:r>
            <w:r w:rsidRPr="00B96C6F">
              <w:t>)</w:t>
            </w:r>
          </w:p>
          <w:p w:rsidR="00695728" w:rsidRPr="006B11DC" w:rsidRDefault="00695728" w:rsidP="00480FDF">
            <w:pPr>
              <w:pStyle w:val="Tabletext"/>
              <w:numPr>
                <w:ilvl w:val="0"/>
                <w:numId w:val="44"/>
              </w:numPr>
              <w:ind w:left="227" w:hanging="219"/>
            </w:pPr>
            <w:r>
              <w:t>Fewer</w:t>
            </w:r>
            <w:r w:rsidRPr="00F3410B">
              <w:t xml:space="preserve"> patients had an AE leading to treatment discontinuation</w:t>
            </w:r>
            <w:r w:rsidRPr="00B96C6F">
              <w:t xml:space="preserve"> with combination therapy compared with monotherapy, </w:t>
            </w:r>
            <w:r w:rsidRPr="00F3410B">
              <w:t xml:space="preserve">but the </w:t>
            </w:r>
            <w:r w:rsidR="009A57D8">
              <w:t>wide 95% CI indicates</w:t>
            </w:r>
            <w:r w:rsidR="009A57D8" w:rsidRPr="00F3410B">
              <w:t xml:space="preserve"> that </w:t>
            </w:r>
            <w:r w:rsidR="009A57D8">
              <w:t>the study was likely underpowered for this outcome</w:t>
            </w:r>
            <w:r w:rsidRPr="00B96C6F">
              <w:t xml:space="preserve"> (RR = </w:t>
            </w:r>
            <w:r>
              <w:t>0</w:t>
            </w:r>
            <w:r w:rsidRPr="00B96C6F">
              <w:t>.</w:t>
            </w:r>
            <w:r>
              <w:t>50</w:t>
            </w:r>
            <w:r w:rsidRPr="00B96C6F">
              <w:t>; 95% CI 0.</w:t>
            </w:r>
            <w:r>
              <w:t>03</w:t>
            </w:r>
            <w:r w:rsidRPr="00B96C6F">
              <w:t xml:space="preserve">, </w:t>
            </w:r>
            <w:r>
              <w:t>7</w:t>
            </w:r>
            <w:r w:rsidRPr="00B96C6F">
              <w:t>.</w:t>
            </w:r>
            <w:r>
              <w:t>26</w:t>
            </w:r>
            <w:r w:rsidRPr="00B96C6F">
              <w:t>)</w:t>
            </w:r>
            <w:r w:rsidR="00E74E34">
              <w:t>.</w:t>
            </w:r>
          </w:p>
        </w:tc>
      </w:tr>
    </w:tbl>
    <w:p w:rsidR="006B2C7A" w:rsidRPr="006316DF" w:rsidRDefault="009B35CE" w:rsidP="00D103A9">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6B2C7A" w:rsidRPr="009E3B52">
        <w:t xml:space="preserve">; </w:t>
      </w:r>
      <w:r w:rsidRPr="009123E2">
        <w:t>PAH</w:t>
      </w:r>
      <w:r>
        <w:t xml:space="preserve"> = p</w:t>
      </w:r>
      <w:r w:rsidRPr="009123E2">
        <w:t xml:space="preserve">ulmonary </w:t>
      </w:r>
      <w:r>
        <w:t>a</w:t>
      </w:r>
      <w:r w:rsidRPr="009123E2">
        <w:t xml:space="preserve">rterial </w:t>
      </w:r>
      <w:r>
        <w:t>h</w:t>
      </w:r>
      <w:r w:rsidRPr="009123E2">
        <w:t>ypertension</w:t>
      </w:r>
      <w:r>
        <w:t>; RR = relative risk; WHO = World Health Organization</w:t>
      </w:r>
    </w:p>
    <w:p w:rsidR="009B35CE" w:rsidRDefault="00441F08" w:rsidP="00003E50">
      <w:pPr>
        <w:pStyle w:val="Heading4"/>
        <w:tabs>
          <w:tab w:val="left" w:pos="993"/>
          <w:tab w:val="left" w:pos="1134"/>
        </w:tabs>
      </w:pPr>
      <w:r>
        <w:t>4.1.3.3</w:t>
      </w:r>
      <w:r>
        <w:tab/>
      </w:r>
      <w:r w:rsidR="009B35CE" w:rsidRPr="00D90EBF">
        <w:t>PDE-5 inhibitor in addition to ERA</w:t>
      </w:r>
    </w:p>
    <w:p w:rsidR="009B35CE" w:rsidRPr="00107676" w:rsidRDefault="009B35CE" w:rsidP="009B35CE">
      <w:pPr>
        <w:pStyle w:val="Heading5"/>
      </w:pPr>
      <w:r w:rsidRPr="00107676">
        <w:t>Clinical effectiveness</w:t>
      </w:r>
    </w:p>
    <w:p w:rsidR="009B35CE" w:rsidRDefault="009B35CE" w:rsidP="009B35CE">
      <w:r w:rsidRPr="00822C52">
        <w:t>F</w:t>
      </w:r>
      <w:r>
        <w:t>ive</w:t>
      </w:r>
      <w:r w:rsidRPr="00822C52">
        <w:t xml:space="preserve"> RCTs reported on the effectiveness of a PDE-5</w:t>
      </w:r>
      <w:r>
        <w:t xml:space="preserve"> </w:t>
      </w:r>
      <w:r w:rsidRPr="00C5017B">
        <w:t xml:space="preserve">inhibitor </w:t>
      </w:r>
      <w:r w:rsidRPr="00822C52">
        <w:t xml:space="preserve">in addition to an ERA in treating PAH </w:t>
      </w:r>
      <w:r w:rsidR="001902A8">
        <w:t xml:space="preserve">patients </w:t>
      </w:r>
      <w:r w:rsidRPr="00822C52">
        <w:t xml:space="preserve">compared with placebo plus </w:t>
      </w:r>
      <w:r>
        <w:t>an ERA:</w:t>
      </w:r>
    </w:p>
    <w:p w:rsidR="009B35CE" w:rsidRPr="00B607A5" w:rsidRDefault="009B35CE" w:rsidP="00D103A9">
      <w:pPr>
        <w:pStyle w:val="Bullettext"/>
      </w:pPr>
      <w:r w:rsidRPr="00B607A5">
        <w:t>Four trials (PHIRST, Mainguy 2013, Vizza 2017 and Zhuang 2014) enrolled patients on stable PDE-5 inhibitor monotherapy (sequential combination therapy)</w:t>
      </w:r>
      <w:r w:rsidR="001902A8" w:rsidRPr="00B607A5">
        <w:t>.</w:t>
      </w:r>
    </w:p>
    <w:p w:rsidR="009B35CE" w:rsidRPr="00B607A5" w:rsidRDefault="009B35CE" w:rsidP="00D103A9">
      <w:pPr>
        <w:pStyle w:val="Bullettext"/>
      </w:pPr>
      <w:r w:rsidRPr="00B607A5">
        <w:t>One trial (AMBITION) enrolled treatment naïve patients (initial combination therapy)</w:t>
      </w:r>
    </w:p>
    <w:p w:rsidR="009B35CE" w:rsidRPr="00B607A5" w:rsidRDefault="009B35CE" w:rsidP="0086175F">
      <w:pPr>
        <w:pStyle w:val="Bullettext"/>
      </w:pPr>
      <w:r w:rsidRPr="00B607A5">
        <w:t xml:space="preserve">There were no statistically significant differences in </w:t>
      </w:r>
      <w:r w:rsidR="001902A8" w:rsidRPr="00B607A5">
        <w:t>outcomes</w:t>
      </w:r>
      <w:r w:rsidRPr="00B607A5">
        <w:t xml:space="preserve"> for patients receiving initial combination therapy versus monotherapy and patients receiving sequential combination therapy versus monotherapy</w:t>
      </w:r>
      <w:r w:rsidR="001902A8" w:rsidRPr="00B607A5">
        <w:t>.</w:t>
      </w:r>
    </w:p>
    <w:p w:rsidR="009B35CE" w:rsidRPr="00B607A5" w:rsidRDefault="009B35CE" w:rsidP="00D103A9">
      <w:pPr>
        <w:pStyle w:val="Bullettext"/>
      </w:pPr>
      <w:r w:rsidRPr="00B607A5">
        <w:t xml:space="preserve">Two RCTs included </w:t>
      </w:r>
      <w:r w:rsidR="001902A8" w:rsidRPr="00B607A5">
        <w:t xml:space="preserve">a </w:t>
      </w:r>
      <w:r w:rsidRPr="00B607A5">
        <w:t>subgroup analysis for patients with WHO FC III/IV PAH</w:t>
      </w:r>
      <w:r w:rsidR="001902A8" w:rsidRPr="00B607A5">
        <w:t>.</w:t>
      </w:r>
    </w:p>
    <w:p w:rsidR="009B35CE" w:rsidRPr="00B607A5" w:rsidRDefault="009B35CE" w:rsidP="00D103A9">
      <w:pPr>
        <w:pStyle w:val="Bullettext"/>
      </w:pPr>
      <w:r w:rsidRPr="00B607A5">
        <w:t xml:space="preserve">Three RCTs included </w:t>
      </w:r>
      <w:r w:rsidR="001902A8" w:rsidRPr="00B607A5">
        <w:t xml:space="preserve">a </w:t>
      </w:r>
      <w:r w:rsidRPr="00B607A5">
        <w:t>subgroup analysis for patients with different PAH aetiologies.</w:t>
      </w:r>
    </w:p>
    <w:p w:rsidR="009B35CE" w:rsidRPr="0034017B" w:rsidRDefault="009B35CE" w:rsidP="00D103A9">
      <w:r w:rsidRPr="0034017B">
        <w:t xml:space="preserve">The evidence provided by these trials for all PAH patients </w:t>
      </w:r>
      <w:proofErr w:type="gramStart"/>
      <w:r w:rsidRPr="0034017B">
        <w:t>is</w:t>
      </w:r>
      <w:proofErr w:type="gramEnd"/>
      <w:r w:rsidRPr="0034017B">
        <w:t xml:space="preserve"> summarised in</w:t>
      </w:r>
      <w:r w:rsidR="00D103A9">
        <w:t xml:space="preserve"> </w:t>
      </w:r>
      <w:r w:rsidR="003951FA">
        <w:t>Table 4.</w:t>
      </w:r>
      <w:r w:rsidR="003951FA">
        <w:rPr>
          <w:noProof/>
        </w:rPr>
        <w:t>9</w:t>
      </w:r>
      <w:r w:rsidRPr="0034017B">
        <w:t>.</w:t>
      </w:r>
    </w:p>
    <w:p w:rsidR="009B35CE" w:rsidRPr="0034017B" w:rsidRDefault="001E5DED" w:rsidP="009B35CE">
      <w:r>
        <w:t xml:space="preserve">Overall, </w:t>
      </w:r>
      <w:r w:rsidRPr="00C84392">
        <w:t xml:space="preserve">there is </w:t>
      </w:r>
      <w:r w:rsidR="0074627B" w:rsidRPr="00C84392">
        <w:t>some evidence</w:t>
      </w:r>
      <w:r w:rsidR="0074627B">
        <w:t xml:space="preserve"> to suggest that</w:t>
      </w:r>
      <w:r w:rsidRPr="001E5DED">
        <w:t xml:space="preserve"> the use of a PDE-5 inhibitor in addition to an ERA</w:t>
      </w:r>
      <w:r w:rsidR="001902A8" w:rsidRPr="001902A8">
        <w:t xml:space="preserve"> </w:t>
      </w:r>
      <w:r w:rsidR="001902A8" w:rsidRPr="001E5DED">
        <w:t>to treat PAH patients</w:t>
      </w:r>
      <w:r w:rsidRPr="001E5DED">
        <w:t>, relative to ERA monotherapy</w:t>
      </w:r>
      <w:r w:rsidR="001902A8">
        <w:t>,</w:t>
      </w:r>
      <w:r w:rsidRPr="001E5DED">
        <w:t xml:space="preserve"> is likely to be beneficial</w:t>
      </w:r>
      <w:r w:rsidR="009B35CE" w:rsidRPr="0034017B">
        <w:t xml:space="preserve">. </w:t>
      </w:r>
      <w:r w:rsidR="009B35CE">
        <w:t>The evidence for patients with WHO FC III/IV PAH,</w:t>
      </w:r>
      <w:r w:rsidR="009B35CE" w:rsidRPr="00FD4377">
        <w:t xml:space="preserve"> </w:t>
      </w:r>
      <w:r w:rsidR="009B35CE">
        <w:t>and for patients with either</w:t>
      </w:r>
      <w:r w:rsidR="009B35CE" w:rsidRPr="00F83D2D">
        <w:t xml:space="preserve"> IPAH/HPAH </w:t>
      </w:r>
      <w:r w:rsidR="009B35CE">
        <w:t xml:space="preserve">or PAH-CTD is </w:t>
      </w:r>
      <w:r>
        <w:t xml:space="preserve">more </w:t>
      </w:r>
      <w:r w:rsidR="009B35CE">
        <w:t>limited.</w:t>
      </w:r>
    </w:p>
    <w:p w:rsidR="009B35CE" w:rsidRPr="0034017B" w:rsidRDefault="00272F8F" w:rsidP="00BC5A2B">
      <w:pPr>
        <w:pStyle w:val="Caption"/>
      </w:pPr>
      <w:bookmarkStart w:id="28" w:name="_Ref506191091"/>
      <w:bookmarkStart w:id="29" w:name="_Toc38360306"/>
      <w:r>
        <w:t>Table 4.</w:t>
      </w:r>
      <w:r w:rsidR="003951FA">
        <w:rPr>
          <w:noProof/>
        </w:rPr>
        <w:t>9</w:t>
      </w:r>
      <w:bookmarkEnd w:id="28"/>
      <w:r w:rsidR="00D103A9">
        <w:tab/>
      </w:r>
      <w:r w:rsidR="009B35CE" w:rsidRPr="0034017B">
        <w:t>Summary of the evidence for</w:t>
      </w:r>
      <w:r w:rsidR="009B35CE">
        <w:t xml:space="preserve"> the clinical effectiveness of</w:t>
      </w:r>
      <w:r w:rsidR="009B35CE" w:rsidRPr="0034017B">
        <w:t xml:space="preserve"> a PDE-5 inhibitor</w:t>
      </w:r>
      <w:r w:rsidR="000E0079" w:rsidRPr="000E0079">
        <w:t xml:space="preserve"> </w:t>
      </w:r>
      <w:r w:rsidR="000E0079" w:rsidRPr="0034017B">
        <w:t>in addition to</w:t>
      </w:r>
      <w:r w:rsidR="000E0079" w:rsidRPr="000E0079">
        <w:t xml:space="preserve"> </w:t>
      </w:r>
      <w:r w:rsidR="000E0079" w:rsidRPr="0034017B">
        <w:t>an ERA</w:t>
      </w:r>
      <w:r w:rsidR="009B35CE" w:rsidRPr="0034017B">
        <w:t xml:space="preserve">, relative to </w:t>
      </w:r>
      <w:r w:rsidR="00BC132E">
        <w:t>ERA monotherapy</w:t>
      </w:r>
      <w:bookmarkEnd w:id="29"/>
    </w:p>
    <w:tbl>
      <w:tblPr>
        <w:tblStyle w:val="TableGrid"/>
        <w:tblW w:w="9634" w:type="dxa"/>
        <w:tblLook w:val="04A0" w:firstRow="1" w:lastRow="0" w:firstColumn="1" w:lastColumn="0" w:noHBand="0" w:noVBand="1"/>
        <w:tblCaption w:val="Summary of the evidence for the clinical effectiveness of a PDE-5 inhibitor in addition to an ERA, relative to ERA monotherapy"/>
      </w:tblPr>
      <w:tblGrid>
        <w:gridCol w:w="1553"/>
        <w:gridCol w:w="2093"/>
        <w:gridCol w:w="5988"/>
      </w:tblGrid>
      <w:tr w:rsidR="009B35CE" w:rsidRPr="00D103A9"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D103A9" w:rsidRDefault="009B35CE" w:rsidP="00D103A9">
            <w:pPr>
              <w:pStyle w:val="Tabletext"/>
              <w:rPr>
                <w:rFonts w:asciiTheme="minorHAnsi" w:hAnsiTheme="minorHAnsi"/>
                <w:b/>
              </w:rPr>
            </w:pPr>
            <w:r w:rsidRPr="00D103A9">
              <w:rPr>
                <w:b/>
              </w:rPr>
              <w:t>Outcome</w:t>
            </w:r>
          </w:p>
        </w:tc>
        <w:tc>
          <w:tcPr>
            <w:tcW w:w="1984" w:type="dxa"/>
            <w:tcBorders>
              <w:top w:val="single" w:sz="4" w:space="0" w:color="auto"/>
              <w:left w:val="single" w:sz="4" w:space="0" w:color="auto"/>
              <w:bottom w:val="single" w:sz="4" w:space="0" w:color="auto"/>
              <w:right w:val="single" w:sz="4" w:space="0" w:color="auto"/>
            </w:tcBorders>
          </w:tcPr>
          <w:p w:rsidR="00787DD0" w:rsidRDefault="009B35CE" w:rsidP="00787DD0">
            <w:pPr>
              <w:pStyle w:val="Tabletext"/>
              <w:rPr>
                <w:b/>
              </w:rPr>
            </w:pPr>
            <w:r w:rsidRPr="00D103A9">
              <w:rPr>
                <w:b/>
              </w:rPr>
              <w:t xml:space="preserve">Included trials </w:t>
            </w:r>
          </w:p>
          <w:p w:rsidR="009B35CE" w:rsidRPr="00D103A9" w:rsidRDefault="00787DD0" w:rsidP="00787DD0">
            <w:pPr>
              <w:pStyle w:val="Tabletext"/>
              <w:rPr>
                <w:rFonts w:asciiTheme="minorHAnsi" w:hAnsiTheme="minorHAnsi"/>
                <w:b/>
              </w:rPr>
            </w:pPr>
            <w:r w:rsidRPr="00293DE5">
              <w:rPr>
                <w:b/>
              </w:rPr>
              <w:t>No. of patients</w:t>
            </w:r>
          </w:p>
        </w:tc>
        <w:tc>
          <w:tcPr>
            <w:tcW w:w="6095" w:type="dxa"/>
            <w:tcBorders>
              <w:top w:val="single" w:sz="4" w:space="0" w:color="auto"/>
              <w:left w:val="single" w:sz="4" w:space="0" w:color="auto"/>
              <w:bottom w:val="single" w:sz="4" w:space="0" w:color="auto"/>
              <w:right w:val="single" w:sz="4" w:space="0" w:color="auto"/>
            </w:tcBorders>
          </w:tcPr>
          <w:p w:rsidR="009B35CE" w:rsidRPr="00D103A9" w:rsidRDefault="009B35CE" w:rsidP="00D103A9">
            <w:pPr>
              <w:pStyle w:val="Tabletext"/>
              <w:rPr>
                <w:rFonts w:asciiTheme="minorHAnsi" w:hAnsiTheme="minorHAnsi"/>
                <w:b/>
              </w:rPr>
            </w:pPr>
            <w:r w:rsidRPr="00D103A9">
              <w:rPr>
                <w:b/>
              </w:rPr>
              <w:t>Summary of evidence</w:t>
            </w:r>
          </w:p>
        </w:tc>
      </w:tr>
      <w:tr w:rsidR="009B35CE" w:rsidRPr="0034017B"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Pr="0034017B" w:rsidRDefault="006B2C7A" w:rsidP="00695728">
            <w:pPr>
              <w:pStyle w:val="Tabletext"/>
              <w:keepNext/>
              <w:rPr>
                <w:rFonts w:asciiTheme="minorHAnsi" w:hAnsiTheme="minorHAnsi"/>
              </w:rPr>
            </w:pPr>
            <w:r>
              <w:t>A</w:t>
            </w:r>
            <w:r w:rsidR="009B35CE" w:rsidRPr="00FD4377">
              <w:t>ll PAH patients</w:t>
            </w:r>
          </w:p>
        </w:tc>
      </w:tr>
      <w:tr w:rsidR="009B35CE" w:rsidRPr="0034017B" w:rsidTr="00D103A9">
        <w:tc>
          <w:tcPr>
            <w:tcW w:w="1555" w:type="dxa"/>
            <w:tcBorders>
              <w:top w:val="single" w:sz="4" w:space="0" w:color="auto"/>
              <w:left w:val="single" w:sz="4" w:space="0" w:color="auto"/>
              <w:bottom w:val="single" w:sz="4" w:space="0" w:color="auto"/>
              <w:right w:val="single" w:sz="4" w:space="0" w:color="auto"/>
            </w:tcBorders>
          </w:tcPr>
          <w:p w:rsidR="009B35CE" w:rsidRPr="0034017B" w:rsidRDefault="009B35CE" w:rsidP="00D103A9">
            <w:pPr>
              <w:pStyle w:val="Tabletext"/>
            </w:pPr>
            <w:r w:rsidRPr="0034017B">
              <w:t>Clinical worsening</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AMBITION (tadalafil/ambrisentan)</w:t>
            </w:r>
          </w:p>
          <w:p w:rsidR="009B35CE" w:rsidRDefault="009B35CE" w:rsidP="00D103A9">
            <w:pPr>
              <w:pStyle w:val="Tabletext"/>
            </w:pPr>
            <w:r>
              <w:t>PHIRST</w:t>
            </w:r>
            <w:r w:rsidR="00B37D37">
              <w:br/>
            </w:r>
            <w:r>
              <w:t>(tadalafil/</w:t>
            </w:r>
            <w:r w:rsidRPr="00885C20">
              <w:t>b</w:t>
            </w:r>
            <w:r>
              <w:t>o</w:t>
            </w:r>
            <w:r w:rsidRPr="00885C20">
              <w:t>sentan)</w:t>
            </w:r>
          </w:p>
          <w:p w:rsidR="009B35CE" w:rsidRDefault="009B35CE" w:rsidP="00D103A9">
            <w:pPr>
              <w:pStyle w:val="Tabletext"/>
            </w:pPr>
            <w:r>
              <w:t>Z</w:t>
            </w:r>
            <w:r w:rsidR="008D6E18">
              <w:t>h</w:t>
            </w:r>
            <w:r>
              <w:t>uang 2014 (tadalafil/ambrisentan)</w:t>
            </w:r>
          </w:p>
          <w:p w:rsidR="009B35CE" w:rsidRDefault="009B35CE" w:rsidP="00D103A9">
            <w:pPr>
              <w:pStyle w:val="Tabletext"/>
            </w:pPr>
            <w:r>
              <w:t>Vizza 2017 (sildenafil/bosentan)</w:t>
            </w:r>
          </w:p>
          <w:p w:rsidR="00787DD0" w:rsidRPr="0034017B" w:rsidRDefault="00787DD0" w:rsidP="00D103A9">
            <w:pPr>
              <w:pStyle w:val="Tabletext"/>
            </w:pPr>
            <w:r>
              <w:t>N=694</w:t>
            </w:r>
          </w:p>
        </w:tc>
        <w:tc>
          <w:tcPr>
            <w:tcW w:w="6095" w:type="dxa"/>
            <w:tcBorders>
              <w:top w:val="single" w:sz="4" w:space="0" w:color="auto"/>
              <w:left w:val="single" w:sz="4" w:space="0" w:color="auto"/>
              <w:bottom w:val="single" w:sz="4" w:space="0" w:color="auto"/>
              <w:right w:val="single" w:sz="4" w:space="0" w:color="auto"/>
            </w:tcBorders>
          </w:tcPr>
          <w:p w:rsidR="009B35CE" w:rsidRPr="0034017B" w:rsidRDefault="009B35CE" w:rsidP="00480FDF">
            <w:pPr>
              <w:pStyle w:val="Tabletext"/>
              <w:numPr>
                <w:ilvl w:val="0"/>
                <w:numId w:val="30"/>
              </w:numPr>
              <w:ind w:left="227" w:hanging="227"/>
              <w:rPr>
                <w:szCs w:val="18"/>
              </w:rPr>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Default="009B35CE" w:rsidP="00480FDF">
            <w:pPr>
              <w:pStyle w:val="Tabletext"/>
              <w:numPr>
                <w:ilvl w:val="0"/>
                <w:numId w:val="30"/>
              </w:numPr>
              <w:ind w:left="227" w:hanging="227"/>
            </w:pPr>
            <w:r w:rsidRPr="0034017B">
              <w:rPr>
                <w:szCs w:val="18"/>
              </w:rPr>
              <w:t>Significantly fewer patients experienced clinical</w:t>
            </w:r>
            <w:r w:rsidRPr="0034017B">
              <w:t xml:space="preserve"> worsening with combination therapy compared with monotherapy (pooled RR = 0.</w:t>
            </w:r>
            <w:r>
              <w:t>53</w:t>
            </w:r>
            <w:r w:rsidRPr="0034017B">
              <w:t>; 95% CI 0.</w:t>
            </w:r>
            <w:r>
              <w:t>38</w:t>
            </w:r>
            <w:r w:rsidRPr="0034017B">
              <w:t>, 0.</w:t>
            </w:r>
            <w:r>
              <w:t>73</w:t>
            </w:r>
            <w:r w:rsidRPr="0034017B">
              <w:t>)</w:t>
            </w:r>
            <w:r w:rsidR="00E74E34">
              <w:t>.</w:t>
            </w:r>
          </w:p>
          <w:p w:rsidR="00BC132E" w:rsidRPr="00BC132E" w:rsidRDefault="001902A8" w:rsidP="00480FDF">
            <w:pPr>
              <w:pStyle w:val="Tabletext"/>
              <w:numPr>
                <w:ilvl w:val="0"/>
                <w:numId w:val="30"/>
              </w:numPr>
              <w:ind w:left="227" w:hanging="227"/>
              <w:rPr>
                <w:szCs w:val="18"/>
              </w:rPr>
            </w:pPr>
            <w:r>
              <w:rPr>
                <w:szCs w:val="18"/>
              </w:rPr>
              <w:t>There were</w:t>
            </w:r>
            <w:r w:rsidR="00BC132E">
              <w:rPr>
                <w:szCs w:val="18"/>
              </w:rPr>
              <w:t xml:space="preserve"> n</w:t>
            </w:r>
            <w:r w:rsidR="00BC132E" w:rsidRPr="0034017B">
              <w:rPr>
                <w:szCs w:val="18"/>
              </w:rPr>
              <w:t xml:space="preserve">o significant differences in </w:t>
            </w:r>
            <w:r>
              <w:rPr>
                <w:szCs w:val="18"/>
              </w:rPr>
              <w:t xml:space="preserve">treatment </w:t>
            </w:r>
            <w:r w:rsidR="00BC132E" w:rsidRPr="0034017B">
              <w:rPr>
                <w:szCs w:val="18"/>
              </w:rPr>
              <w:t xml:space="preserve">effectiveness for </w:t>
            </w:r>
            <w:r>
              <w:rPr>
                <w:szCs w:val="18"/>
              </w:rPr>
              <w:t xml:space="preserve">the </w:t>
            </w:r>
            <w:r w:rsidR="00BC132E" w:rsidRPr="0034017B">
              <w:rPr>
                <w:szCs w:val="18"/>
              </w:rPr>
              <w:t>d</w:t>
            </w:r>
            <w:r w:rsidR="00BC132E">
              <w:rPr>
                <w:szCs w:val="18"/>
              </w:rPr>
              <w:t>ifferent treatment combinations</w:t>
            </w:r>
            <w:r w:rsidR="0085196B">
              <w:rPr>
                <w:szCs w:val="18"/>
              </w:rPr>
              <w:t>, but the point estimate for Vizza 2017 showed the opposite effect</w:t>
            </w:r>
            <w:r w:rsidR="00E74E34">
              <w:rPr>
                <w:szCs w:val="18"/>
              </w:rPr>
              <w:t>.</w:t>
            </w:r>
          </w:p>
        </w:tc>
      </w:tr>
      <w:tr w:rsidR="009B35CE" w:rsidRPr="0034017B" w:rsidTr="00D103A9">
        <w:tc>
          <w:tcPr>
            <w:tcW w:w="1555" w:type="dxa"/>
          </w:tcPr>
          <w:p w:rsidR="009B35CE" w:rsidRPr="0034017B" w:rsidRDefault="009B35CE" w:rsidP="00D103A9">
            <w:pPr>
              <w:pStyle w:val="Tabletext"/>
            </w:pPr>
            <w:r w:rsidRPr="0034017B">
              <w:t>All-cause mortality</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AMBITION (tadalafil/ambrisentan)</w:t>
            </w:r>
          </w:p>
          <w:p w:rsidR="009B35CE" w:rsidRDefault="009B35CE" w:rsidP="00D103A9">
            <w:pPr>
              <w:pStyle w:val="Tabletext"/>
            </w:pPr>
            <w:r>
              <w:t>Z</w:t>
            </w:r>
            <w:r w:rsidR="008D6E18">
              <w:t>h</w:t>
            </w:r>
            <w:r>
              <w:t>uang 2014 (tadalafil/ambrisentan)</w:t>
            </w:r>
          </w:p>
          <w:p w:rsidR="009B35CE" w:rsidRDefault="009B35CE" w:rsidP="00D103A9">
            <w:pPr>
              <w:pStyle w:val="Tabletext"/>
            </w:pPr>
            <w:r>
              <w:t>Vizza 2017 (sildenafil/bosentan)</w:t>
            </w:r>
          </w:p>
          <w:p w:rsidR="00787DD0" w:rsidRPr="0034017B" w:rsidRDefault="00787DD0" w:rsidP="00D103A9">
            <w:pPr>
              <w:pStyle w:val="Tabletext"/>
            </w:pPr>
            <w:r>
              <w:t>N=682</w:t>
            </w:r>
          </w:p>
        </w:tc>
        <w:tc>
          <w:tcPr>
            <w:tcW w:w="6095" w:type="dxa"/>
          </w:tcPr>
          <w:p w:rsidR="009B35CE" w:rsidRPr="0034017B" w:rsidRDefault="00695728" w:rsidP="00480FDF">
            <w:pPr>
              <w:pStyle w:val="Tabletext"/>
              <w:numPr>
                <w:ilvl w:val="0"/>
                <w:numId w:val="30"/>
              </w:numPr>
              <w:ind w:left="227" w:hanging="227"/>
            </w:pPr>
            <w:r>
              <w:t>Moderate</w:t>
            </w:r>
            <w:r w:rsidRPr="0034017B">
              <w:t xml:space="preserve"> quality</w:t>
            </w:r>
            <w:r w:rsidRPr="0034017B">
              <w:rPr>
                <w:rFonts w:cs="Cambria Math"/>
              </w:rPr>
              <w:t xml:space="preserve"> evidence (GRADE </w:t>
            </w:r>
            <w:r w:rsidRPr="0034017B">
              <w:rPr>
                <w:rFonts w:ascii="Cambria Math" w:hAnsi="Cambria Math" w:cs="Cambria Math"/>
                <w:color w:val="00B050"/>
              </w:rPr>
              <w:t>⨁⨁⨁</w:t>
            </w:r>
            <w:r w:rsidRPr="006316DF">
              <w:rPr>
                <w:rFonts w:ascii="Cambria Math" w:hAnsi="Cambria Math" w:cs="Cambria Math"/>
                <w:color w:val="C00000"/>
              </w:rPr>
              <w:t>⨀</w:t>
            </w:r>
            <w:r w:rsidRPr="0034017B">
              <w:t>)</w:t>
            </w:r>
          </w:p>
          <w:p w:rsidR="009B35CE" w:rsidRPr="001902A8" w:rsidRDefault="009B35CE" w:rsidP="00480FDF">
            <w:pPr>
              <w:pStyle w:val="Tabletext"/>
              <w:numPr>
                <w:ilvl w:val="0"/>
                <w:numId w:val="30"/>
              </w:numPr>
              <w:ind w:left="227" w:hanging="227"/>
              <w:rPr>
                <w:szCs w:val="18"/>
              </w:rPr>
            </w:pPr>
            <w:r w:rsidRPr="0034017B">
              <w:rPr>
                <w:szCs w:val="18"/>
              </w:rPr>
              <w:t>Fewer patients died from any cause</w:t>
            </w:r>
            <w:r w:rsidRPr="001902A8">
              <w:rPr>
                <w:szCs w:val="18"/>
              </w:rPr>
              <w:t xml:space="preserve"> with combination therapy compared with monotherapy, but the </w:t>
            </w:r>
            <w:r w:rsidR="00D84687" w:rsidRPr="001902A8">
              <w:rPr>
                <w:szCs w:val="18"/>
              </w:rPr>
              <w:t>95% CI indicates</w:t>
            </w:r>
            <w:r w:rsidRPr="001902A8">
              <w:rPr>
                <w:szCs w:val="18"/>
              </w:rPr>
              <w:t xml:space="preserve"> that </w:t>
            </w:r>
            <w:r w:rsidR="009A57D8">
              <w:rPr>
                <w:szCs w:val="18"/>
              </w:rPr>
              <w:t>there could also be an effect in the opposite direction</w:t>
            </w:r>
            <w:r w:rsidR="001902A8" w:rsidRPr="001902A8">
              <w:rPr>
                <w:szCs w:val="18"/>
              </w:rPr>
              <w:t xml:space="preserve"> </w:t>
            </w:r>
            <w:r w:rsidRPr="001902A8">
              <w:rPr>
                <w:szCs w:val="18"/>
              </w:rPr>
              <w:t>(pooled RR = 0.64; 95% CI 0.18, 2.36)</w:t>
            </w:r>
          </w:p>
          <w:p w:rsidR="00BC132E" w:rsidRPr="0034017B" w:rsidRDefault="00BC132E" w:rsidP="00480FDF">
            <w:pPr>
              <w:pStyle w:val="Tabletext"/>
              <w:numPr>
                <w:ilvl w:val="0"/>
                <w:numId w:val="30"/>
              </w:numPr>
              <w:ind w:left="227" w:hanging="227"/>
            </w:pPr>
            <w:r>
              <w:rPr>
                <w:szCs w:val="18"/>
              </w:rPr>
              <w:t>There w</w:t>
            </w:r>
            <w:r w:rsidR="001902A8">
              <w:rPr>
                <w:szCs w:val="18"/>
              </w:rPr>
              <w:t>ere</w:t>
            </w:r>
            <w:r>
              <w:rPr>
                <w:szCs w:val="18"/>
              </w:rPr>
              <w:t xml:space="preserve"> n</w:t>
            </w:r>
            <w:r w:rsidRPr="0034017B">
              <w:rPr>
                <w:szCs w:val="18"/>
              </w:rPr>
              <w:t xml:space="preserve">o significant differences in </w:t>
            </w:r>
            <w:r w:rsidR="001902A8">
              <w:rPr>
                <w:szCs w:val="18"/>
              </w:rPr>
              <w:t xml:space="preserve">treatment </w:t>
            </w:r>
            <w:r w:rsidRPr="0034017B">
              <w:rPr>
                <w:szCs w:val="18"/>
              </w:rPr>
              <w:t xml:space="preserve">effectiveness for </w:t>
            </w:r>
            <w:r w:rsidR="001902A8">
              <w:rPr>
                <w:szCs w:val="18"/>
              </w:rPr>
              <w:t xml:space="preserve">the </w:t>
            </w:r>
            <w:r w:rsidRPr="0034017B">
              <w:rPr>
                <w:szCs w:val="18"/>
              </w:rPr>
              <w:t>d</w:t>
            </w:r>
            <w:r>
              <w:rPr>
                <w:szCs w:val="18"/>
              </w:rPr>
              <w:t>ifferent treatment combinations</w:t>
            </w:r>
            <w:r w:rsidR="0085196B">
              <w:rPr>
                <w:szCs w:val="18"/>
              </w:rPr>
              <w:t>, but the point estimate for Vizza 2017 showed the opposite effect</w:t>
            </w:r>
            <w:r w:rsidR="00E74E34">
              <w:rPr>
                <w:szCs w:val="18"/>
              </w:rPr>
              <w:t>.</w:t>
            </w:r>
          </w:p>
        </w:tc>
      </w:tr>
      <w:tr w:rsidR="009B35CE" w:rsidRPr="0034017B" w:rsidTr="00D103A9">
        <w:tc>
          <w:tcPr>
            <w:tcW w:w="1555" w:type="dxa"/>
            <w:tcBorders>
              <w:top w:val="single" w:sz="4" w:space="0" w:color="auto"/>
              <w:left w:val="single" w:sz="4" w:space="0" w:color="auto"/>
              <w:bottom w:val="single" w:sz="4" w:space="0" w:color="auto"/>
              <w:right w:val="single" w:sz="4" w:space="0" w:color="auto"/>
            </w:tcBorders>
          </w:tcPr>
          <w:p w:rsidR="009B35CE" w:rsidRPr="0034017B" w:rsidRDefault="009B35CE" w:rsidP="00D103A9">
            <w:pPr>
              <w:pStyle w:val="Tabletext"/>
            </w:pPr>
            <w:r w:rsidRPr="0034017B">
              <w:t>Hospitalisation</w:t>
            </w:r>
            <w:r w:rsidR="00951198">
              <w:t xml:space="preserve"> due to </w:t>
            </w:r>
            <w:r w:rsidR="00695728">
              <w:t xml:space="preserve">worsening </w:t>
            </w:r>
            <w:r w:rsidR="00951198">
              <w:t>PAH</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AMBITION (tadalafil/ambrisentan)</w:t>
            </w:r>
          </w:p>
          <w:p w:rsidR="009B35CE" w:rsidRDefault="009B35CE" w:rsidP="00D103A9">
            <w:pPr>
              <w:pStyle w:val="Tabletext"/>
            </w:pPr>
            <w:r>
              <w:t>Z</w:t>
            </w:r>
            <w:r w:rsidR="008D6E18">
              <w:t>h</w:t>
            </w:r>
            <w:r>
              <w:t>uang 2014 (tadalafil/ambrisentan)</w:t>
            </w:r>
          </w:p>
          <w:p w:rsidR="009B35CE" w:rsidRDefault="009B35CE" w:rsidP="00D103A9">
            <w:pPr>
              <w:pStyle w:val="Tabletext"/>
            </w:pPr>
            <w:r>
              <w:t>Vizza 2017 (sildenafil/bosentan)</w:t>
            </w:r>
          </w:p>
          <w:p w:rsidR="00787DD0" w:rsidRPr="0034017B" w:rsidRDefault="00787DD0" w:rsidP="00D103A9">
            <w:pPr>
              <w:pStyle w:val="Tabletext"/>
            </w:pPr>
            <w:r>
              <w:t>N=607</w:t>
            </w:r>
          </w:p>
        </w:tc>
        <w:tc>
          <w:tcPr>
            <w:tcW w:w="6095" w:type="dxa"/>
            <w:tcBorders>
              <w:top w:val="single" w:sz="4" w:space="0" w:color="auto"/>
              <w:left w:val="single" w:sz="4" w:space="0" w:color="auto"/>
              <w:bottom w:val="single" w:sz="4" w:space="0" w:color="auto"/>
              <w:right w:val="single" w:sz="4" w:space="0" w:color="auto"/>
            </w:tcBorders>
          </w:tcPr>
          <w:p w:rsidR="009B35CE" w:rsidRPr="0034017B" w:rsidRDefault="009B35CE" w:rsidP="00480FDF">
            <w:pPr>
              <w:pStyle w:val="Tabletext"/>
              <w:numPr>
                <w:ilvl w:val="0"/>
                <w:numId w:val="30"/>
              </w:numPr>
              <w:ind w:left="227" w:hanging="227"/>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Default="00951198" w:rsidP="00480FDF">
            <w:pPr>
              <w:pStyle w:val="Tabletext"/>
              <w:numPr>
                <w:ilvl w:val="0"/>
                <w:numId w:val="30"/>
              </w:numPr>
              <w:ind w:left="227" w:hanging="227"/>
            </w:pPr>
            <w:r>
              <w:rPr>
                <w:szCs w:val="18"/>
              </w:rPr>
              <w:t>Significantly f</w:t>
            </w:r>
            <w:r w:rsidR="009B35CE" w:rsidRPr="0034017B">
              <w:rPr>
                <w:szCs w:val="18"/>
              </w:rPr>
              <w:t xml:space="preserve">ewer patients </w:t>
            </w:r>
            <w:r w:rsidR="009B35CE">
              <w:rPr>
                <w:szCs w:val="18"/>
              </w:rPr>
              <w:t>were hospitalised</w:t>
            </w:r>
            <w:r w:rsidR="009B35CE" w:rsidRPr="0034017B">
              <w:t xml:space="preserve"> with combination therapy compared with monotherapy (pooled RR = 0.</w:t>
            </w:r>
            <w:r>
              <w:t>42</w:t>
            </w:r>
            <w:r w:rsidR="009B35CE" w:rsidRPr="0034017B">
              <w:t>; 95% CI 0.</w:t>
            </w:r>
            <w:r>
              <w:t>2</w:t>
            </w:r>
            <w:r w:rsidR="009B35CE" w:rsidRPr="0034017B">
              <w:t>5, 0</w:t>
            </w:r>
            <w:r>
              <w:t>.</w:t>
            </w:r>
            <w:r w:rsidR="009B35CE">
              <w:t>7</w:t>
            </w:r>
            <w:r>
              <w:t>0</w:t>
            </w:r>
            <w:r w:rsidR="009B35CE" w:rsidRPr="0034017B">
              <w:t>)</w:t>
            </w:r>
            <w:r w:rsidR="00E74E34">
              <w:t>.</w:t>
            </w:r>
          </w:p>
          <w:p w:rsidR="00BC132E" w:rsidRPr="0034017B" w:rsidRDefault="001902A8" w:rsidP="00480FDF">
            <w:pPr>
              <w:pStyle w:val="Tabletext"/>
              <w:numPr>
                <w:ilvl w:val="0"/>
                <w:numId w:val="30"/>
              </w:numPr>
              <w:ind w:left="227" w:hanging="227"/>
            </w:pPr>
            <w:r>
              <w:rPr>
                <w:szCs w:val="18"/>
              </w:rPr>
              <w:t>There were</w:t>
            </w:r>
            <w:r w:rsidR="00BC132E">
              <w:rPr>
                <w:szCs w:val="18"/>
              </w:rPr>
              <w:t xml:space="preserve"> n</w:t>
            </w:r>
            <w:r w:rsidR="00BC132E" w:rsidRPr="0034017B">
              <w:rPr>
                <w:szCs w:val="18"/>
              </w:rPr>
              <w:t xml:space="preserve">o significant differences in </w:t>
            </w:r>
            <w:r>
              <w:rPr>
                <w:szCs w:val="18"/>
              </w:rPr>
              <w:t xml:space="preserve">treatment </w:t>
            </w:r>
            <w:r w:rsidR="00BC132E" w:rsidRPr="0034017B">
              <w:rPr>
                <w:szCs w:val="18"/>
              </w:rPr>
              <w:t xml:space="preserve">effectiveness for </w:t>
            </w:r>
            <w:r>
              <w:rPr>
                <w:szCs w:val="18"/>
              </w:rPr>
              <w:t xml:space="preserve">the </w:t>
            </w:r>
            <w:r w:rsidR="00BC132E" w:rsidRPr="0034017B">
              <w:rPr>
                <w:szCs w:val="18"/>
              </w:rPr>
              <w:t>d</w:t>
            </w:r>
            <w:r w:rsidR="00BC132E">
              <w:rPr>
                <w:szCs w:val="18"/>
              </w:rPr>
              <w:t>ifferent treatment combinations</w:t>
            </w:r>
            <w:r w:rsidR="00E74E34">
              <w:rPr>
                <w:szCs w:val="18"/>
              </w:rPr>
              <w:t>.</w:t>
            </w:r>
          </w:p>
        </w:tc>
      </w:tr>
      <w:tr w:rsidR="009B35CE" w:rsidRPr="0034017B" w:rsidTr="00D103A9">
        <w:tc>
          <w:tcPr>
            <w:tcW w:w="1555" w:type="dxa"/>
            <w:tcBorders>
              <w:top w:val="single" w:sz="4" w:space="0" w:color="auto"/>
              <w:left w:val="single" w:sz="4" w:space="0" w:color="auto"/>
              <w:bottom w:val="single" w:sz="4" w:space="0" w:color="auto"/>
              <w:right w:val="single" w:sz="4" w:space="0" w:color="auto"/>
            </w:tcBorders>
          </w:tcPr>
          <w:p w:rsidR="009B35CE" w:rsidRPr="0034017B" w:rsidRDefault="009B35CE" w:rsidP="00D103A9">
            <w:pPr>
              <w:pStyle w:val="Tabletext"/>
            </w:pPr>
            <w:r w:rsidRPr="0034017B">
              <w:t>Improved WHO FC</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AMBITION (tadalafil/ambrisentan)</w:t>
            </w:r>
          </w:p>
          <w:p w:rsidR="009B35CE" w:rsidRDefault="009B35CE" w:rsidP="00D103A9">
            <w:pPr>
              <w:pStyle w:val="Tabletext"/>
            </w:pPr>
            <w:r>
              <w:t>PHIRST</w:t>
            </w:r>
            <w:r w:rsidR="00B37D37">
              <w:br/>
            </w:r>
            <w:r>
              <w:t>(tadalafil/</w:t>
            </w:r>
            <w:r w:rsidRPr="00885C20">
              <w:t>b</w:t>
            </w:r>
            <w:r>
              <w:t>o</w:t>
            </w:r>
            <w:r w:rsidRPr="00885C20">
              <w:t>sentan)</w:t>
            </w:r>
          </w:p>
          <w:p w:rsidR="009B35CE" w:rsidRDefault="009B35CE" w:rsidP="00D103A9">
            <w:pPr>
              <w:pStyle w:val="Tabletext"/>
            </w:pPr>
            <w:r>
              <w:t>Z</w:t>
            </w:r>
            <w:r w:rsidR="008D6E18">
              <w:t>h</w:t>
            </w:r>
            <w:r>
              <w:t>uang 2014 (tadalafil/ambrisentan)</w:t>
            </w:r>
          </w:p>
          <w:p w:rsidR="009B35CE" w:rsidRDefault="009B35CE" w:rsidP="00D103A9">
            <w:pPr>
              <w:pStyle w:val="Tabletext"/>
            </w:pPr>
            <w:r>
              <w:t>Vizza 2017 (sildenafil/bosentan)</w:t>
            </w:r>
          </w:p>
          <w:p w:rsidR="00787DD0" w:rsidRPr="0034017B" w:rsidRDefault="00787DD0" w:rsidP="00D103A9">
            <w:pPr>
              <w:pStyle w:val="Tabletext"/>
            </w:pPr>
            <w:r>
              <w:t>N=6</w:t>
            </w:r>
            <w:r w:rsidR="006E1D35">
              <w:t>9</w:t>
            </w:r>
            <w:r>
              <w:t>1</w:t>
            </w:r>
          </w:p>
        </w:tc>
        <w:tc>
          <w:tcPr>
            <w:tcW w:w="6095" w:type="dxa"/>
            <w:tcBorders>
              <w:top w:val="single" w:sz="4" w:space="0" w:color="auto"/>
              <w:left w:val="single" w:sz="4" w:space="0" w:color="auto"/>
              <w:bottom w:val="single" w:sz="4" w:space="0" w:color="auto"/>
              <w:right w:val="single" w:sz="4" w:space="0" w:color="auto"/>
            </w:tcBorders>
          </w:tcPr>
          <w:p w:rsidR="009B35CE" w:rsidRPr="0034017B" w:rsidRDefault="009B35CE" w:rsidP="00480FDF">
            <w:pPr>
              <w:pStyle w:val="Tabletext"/>
              <w:numPr>
                <w:ilvl w:val="0"/>
                <w:numId w:val="30"/>
              </w:numPr>
              <w:ind w:left="227" w:hanging="227"/>
              <w:rPr>
                <w:szCs w:val="18"/>
              </w:rPr>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5A1E1C" w:rsidRPr="0034017B" w:rsidRDefault="009B35CE" w:rsidP="00480FDF">
            <w:pPr>
              <w:pStyle w:val="Tabletext"/>
              <w:numPr>
                <w:ilvl w:val="0"/>
                <w:numId w:val="30"/>
              </w:numPr>
              <w:ind w:left="227" w:hanging="227"/>
            </w:pPr>
            <w:r w:rsidRPr="0034017B">
              <w:rPr>
                <w:szCs w:val="18"/>
              </w:rPr>
              <w:t xml:space="preserve">There was little difference in the proportion of patients whose </w:t>
            </w:r>
            <w:r w:rsidRPr="0034017B">
              <w:t>WHO FC improved with combination therapy compared with monotherapy (pooled RR = 1.1</w:t>
            </w:r>
            <w:r>
              <w:t>1</w:t>
            </w:r>
            <w:r w:rsidRPr="0034017B">
              <w:t>; 95% CI 0.</w:t>
            </w:r>
            <w:r>
              <w:t>77</w:t>
            </w:r>
            <w:r w:rsidRPr="0034017B">
              <w:t>, 1.</w:t>
            </w:r>
            <w:r>
              <w:t>60</w:t>
            </w:r>
            <w:r w:rsidRPr="0034017B">
              <w:t>)</w:t>
            </w:r>
            <w:r w:rsidR="00E74E34">
              <w:t>.</w:t>
            </w:r>
          </w:p>
          <w:p w:rsidR="00BC132E" w:rsidRPr="0034017B" w:rsidRDefault="005A1E1C" w:rsidP="00480FDF">
            <w:pPr>
              <w:pStyle w:val="Tabletext"/>
              <w:numPr>
                <w:ilvl w:val="0"/>
                <w:numId w:val="30"/>
              </w:numPr>
              <w:ind w:left="227" w:hanging="227"/>
            </w:pPr>
            <w:r>
              <w:rPr>
                <w:szCs w:val="18"/>
              </w:rPr>
              <w:t xml:space="preserve">The PHIRST study showed a trend favouring the opposite effect to the other </w:t>
            </w:r>
            <w:proofErr w:type="gramStart"/>
            <w:r>
              <w:rPr>
                <w:szCs w:val="18"/>
              </w:rPr>
              <w:t>3</w:t>
            </w:r>
            <w:proofErr w:type="gramEnd"/>
            <w:r>
              <w:rPr>
                <w:szCs w:val="18"/>
              </w:rPr>
              <w:t xml:space="preserve"> studies</w:t>
            </w:r>
            <w:r w:rsidR="00E74E34">
              <w:rPr>
                <w:szCs w:val="18"/>
              </w:rPr>
              <w:t>.</w:t>
            </w:r>
          </w:p>
        </w:tc>
      </w:tr>
      <w:tr w:rsidR="009B35CE" w:rsidRPr="0034017B" w:rsidTr="00D103A9">
        <w:tc>
          <w:tcPr>
            <w:tcW w:w="1555" w:type="dxa"/>
          </w:tcPr>
          <w:p w:rsidR="009B35CE" w:rsidRPr="0034017B" w:rsidRDefault="009B35CE" w:rsidP="00D103A9">
            <w:pPr>
              <w:pStyle w:val="Tabletext"/>
            </w:pPr>
            <w:r w:rsidRPr="0034017B">
              <w:t>Worsened WHO FC</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AMBITION (tadalafil/ambrisentan)</w:t>
            </w:r>
          </w:p>
          <w:p w:rsidR="009B35CE" w:rsidRDefault="009B35CE" w:rsidP="00D103A9">
            <w:pPr>
              <w:pStyle w:val="Tabletext"/>
            </w:pPr>
            <w:r>
              <w:t>PHIRST</w:t>
            </w:r>
            <w:r w:rsidR="00B37D37">
              <w:br/>
            </w:r>
            <w:r>
              <w:t>(tadalafil/</w:t>
            </w:r>
            <w:r w:rsidRPr="00885C20">
              <w:t>b</w:t>
            </w:r>
            <w:r>
              <w:t>o</w:t>
            </w:r>
            <w:r w:rsidRPr="00885C20">
              <w:t>sentan)</w:t>
            </w:r>
          </w:p>
          <w:p w:rsidR="009B35CE" w:rsidRDefault="009B35CE" w:rsidP="00D103A9">
            <w:pPr>
              <w:pStyle w:val="Tabletext"/>
            </w:pPr>
            <w:r>
              <w:t>Z</w:t>
            </w:r>
            <w:r w:rsidR="008D6E18">
              <w:t>h</w:t>
            </w:r>
            <w:r>
              <w:t>uang 2014 (tadalafil/ambrisentan)</w:t>
            </w:r>
          </w:p>
          <w:p w:rsidR="009B35CE" w:rsidRDefault="009B35CE" w:rsidP="00D103A9">
            <w:pPr>
              <w:pStyle w:val="Tabletext"/>
            </w:pPr>
            <w:r>
              <w:t>Vizza 2017 (sildenafil/bosentan)</w:t>
            </w:r>
          </w:p>
          <w:p w:rsidR="00787DD0" w:rsidRPr="0034017B" w:rsidRDefault="00787DD0" w:rsidP="00D103A9">
            <w:pPr>
              <w:pStyle w:val="Tabletext"/>
            </w:pPr>
            <w:r>
              <w:t>N=6</w:t>
            </w:r>
            <w:r w:rsidR="006E1D35">
              <w:t>9</w:t>
            </w:r>
            <w:r>
              <w:t>1</w:t>
            </w:r>
          </w:p>
        </w:tc>
        <w:tc>
          <w:tcPr>
            <w:tcW w:w="6095" w:type="dxa"/>
          </w:tcPr>
          <w:p w:rsidR="009B35CE" w:rsidRPr="0034017B" w:rsidRDefault="009B35CE" w:rsidP="00480FDF">
            <w:pPr>
              <w:pStyle w:val="Tabletext"/>
              <w:numPr>
                <w:ilvl w:val="0"/>
                <w:numId w:val="30"/>
              </w:numPr>
              <w:ind w:left="227" w:hanging="227"/>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Pr="00BC132E" w:rsidRDefault="009B35CE" w:rsidP="00480FDF">
            <w:pPr>
              <w:pStyle w:val="Tabletext"/>
              <w:numPr>
                <w:ilvl w:val="0"/>
                <w:numId w:val="30"/>
              </w:numPr>
              <w:ind w:left="227" w:hanging="227"/>
            </w:pPr>
            <w:r>
              <w:rPr>
                <w:szCs w:val="18"/>
              </w:rPr>
              <w:t>Fewer patients on</w:t>
            </w:r>
            <w:r w:rsidRPr="0034017B">
              <w:rPr>
                <w:szCs w:val="18"/>
              </w:rPr>
              <w:t xml:space="preserve"> </w:t>
            </w:r>
            <w:r w:rsidRPr="00CA622D">
              <w:rPr>
                <w:szCs w:val="18"/>
              </w:rPr>
              <w:t xml:space="preserve">combination therapy had worsening of their WHO FC compared with monotherapy, but the </w:t>
            </w:r>
            <w:r w:rsidR="001902A8">
              <w:rPr>
                <w:szCs w:val="18"/>
              </w:rPr>
              <w:t>result did not quite reach statistical significance</w:t>
            </w:r>
            <w:r w:rsidRPr="00CA622D">
              <w:rPr>
                <w:szCs w:val="18"/>
              </w:rPr>
              <w:t xml:space="preserve"> (pooled RR = 0.60; 95% CI 0.34, 1.05)</w:t>
            </w:r>
            <w:r w:rsidR="00E74E34">
              <w:rPr>
                <w:szCs w:val="18"/>
              </w:rPr>
              <w:t>.</w:t>
            </w:r>
          </w:p>
          <w:p w:rsidR="00BC132E" w:rsidRPr="0034017B" w:rsidRDefault="00BC132E" w:rsidP="00480FDF">
            <w:pPr>
              <w:pStyle w:val="Tabletext"/>
              <w:numPr>
                <w:ilvl w:val="0"/>
                <w:numId w:val="30"/>
              </w:numPr>
              <w:ind w:left="227" w:hanging="227"/>
            </w:pPr>
            <w:r>
              <w:rPr>
                <w:szCs w:val="18"/>
              </w:rPr>
              <w:t>There w</w:t>
            </w:r>
            <w:r w:rsidR="001902A8">
              <w:rPr>
                <w:szCs w:val="18"/>
              </w:rPr>
              <w:t>ere</w:t>
            </w:r>
            <w:r>
              <w:rPr>
                <w:szCs w:val="18"/>
              </w:rPr>
              <w:t xml:space="preserve"> n</w:t>
            </w:r>
            <w:r w:rsidRPr="0034017B">
              <w:rPr>
                <w:szCs w:val="18"/>
              </w:rPr>
              <w:t xml:space="preserve">o significant differences in </w:t>
            </w:r>
            <w:r w:rsidR="001902A8">
              <w:rPr>
                <w:szCs w:val="18"/>
              </w:rPr>
              <w:t xml:space="preserve">treatment </w:t>
            </w:r>
            <w:r w:rsidRPr="0034017B">
              <w:rPr>
                <w:szCs w:val="18"/>
              </w:rPr>
              <w:t xml:space="preserve">effectiveness for </w:t>
            </w:r>
            <w:r w:rsidR="001902A8">
              <w:rPr>
                <w:szCs w:val="18"/>
              </w:rPr>
              <w:t xml:space="preserve">the </w:t>
            </w:r>
            <w:r w:rsidRPr="0034017B">
              <w:rPr>
                <w:szCs w:val="18"/>
              </w:rPr>
              <w:t>d</w:t>
            </w:r>
            <w:r>
              <w:rPr>
                <w:szCs w:val="18"/>
              </w:rPr>
              <w:t>ifferent treatment combinations</w:t>
            </w:r>
            <w:r w:rsidR="00E74E34">
              <w:rPr>
                <w:szCs w:val="18"/>
              </w:rPr>
              <w:t>.</w:t>
            </w:r>
          </w:p>
        </w:tc>
      </w:tr>
      <w:tr w:rsidR="00695728" w:rsidRPr="0034017B" w:rsidTr="00D103A9">
        <w:tc>
          <w:tcPr>
            <w:tcW w:w="1555" w:type="dxa"/>
          </w:tcPr>
          <w:p w:rsidR="00695728" w:rsidRPr="0034017B" w:rsidRDefault="00695728" w:rsidP="00695728">
            <w:pPr>
              <w:pStyle w:val="Tabletext"/>
            </w:pPr>
            <w:r w:rsidRPr="0034017B">
              <w:t>Change in 6MWD</w:t>
            </w:r>
            <w:r>
              <w:rPr>
                <w:rFonts w:cs="Arial"/>
              </w:rPr>
              <w:t xml:space="preserve"> from baseline</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AMBITION (tadalafil/ambrisentan)</w:t>
            </w:r>
          </w:p>
          <w:p w:rsidR="00695728" w:rsidRDefault="00695728" w:rsidP="00695728">
            <w:pPr>
              <w:pStyle w:val="Tabletext"/>
            </w:pPr>
            <w:r>
              <w:t>PHIRST</w:t>
            </w:r>
            <w:r>
              <w:br/>
              <w:t>(tadalafil/</w:t>
            </w:r>
            <w:r w:rsidRPr="00885C20">
              <w:t>b</w:t>
            </w:r>
            <w:r>
              <w:t>o</w:t>
            </w:r>
            <w:r w:rsidRPr="00885C20">
              <w:t>sentan)</w:t>
            </w:r>
          </w:p>
          <w:p w:rsidR="00695728" w:rsidRDefault="00695728" w:rsidP="00695728">
            <w:pPr>
              <w:pStyle w:val="Tabletext"/>
            </w:pPr>
            <w:r>
              <w:t>Zhuang 2014 (tadalafil/ambrisentan)</w:t>
            </w:r>
          </w:p>
          <w:p w:rsidR="00695728" w:rsidRDefault="00695728" w:rsidP="00695728">
            <w:pPr>
              <w:pStyle w:val="Tabletext"/>
            </w:pPr>
            <w:r>
              <w:t>Vizza 2017 (sildenafil/bosentan)</w:t>
            </w:r>
          </w:p>
          <w:p w:rsidR="00695728" w:rsidRDefault="00695728" w:rsidP="00695728">
            <w:pPr>
              <w:pStyle w:val="Tabletext"/>
            </w:pPr>
            <w:r>
              <w:t xml:space="preserve">Mainguy 2013 </w:t>
            </w:r>
            <w:r w:rsidRPr="00885C20">
              <w:t>(</w:t>
            </w:r>
            <w:r>
              <w:t>silden</w:t>
            </w:r>
            <w:r w:rsidRPr="00885C20">
              <w:t>afil/</w:t>
            </w:r>
            <w:r>
              <w:t>PDE-5 inhibitor</w:t>
            </w:r>
            <w:r w:rsidRPr="00885C20">
              <w:t>)</w:t>
            </w:r>
          </w:p>
          <w:p w:rsidR="00695728" w:rsidRPr="0034017B" w:rsidRDefault="00695728" w:rsidP="00695728">
            <w:pPr>
              <w:pStyle w:val="Tabletext"/>
            </w:pPr>
            <w:r>
              <w:t>N=726</w:t>
            </w:r>
          </w:p>
        </w:tc>
        <w:tc>
          <w:tcPr>
            <w:tcW w:w="6095" w:type="dxa"/>
          </w:tcPr>
          <w:p w:rsidR="00695728" w:rsidRPr="004E393A" w:rsidRDefault="00695728" w:rsidP="00480FDF">
            <w:pPr>
              <w:pStyle w:val="Tabletext"/>
              <w:numPr>
                <w:ilvl w:val="0"/>
                <w:numId w:val="30"/>
              </w:numPr>
              <w:ind w:left="227" w:hanging="227"/>
            </w:pPr>
            <w:r>
              <w:t>Moderate</w:t>
            </w:r>
            <w:r w:rsidRPr="0034017B">
              <w:t xml:space="preserve"> quality evidence (GRADE </w:t>
            </w:r>
            <w:r w:rsidRPr="0034017B">
              <w:rPr>
                <w:rFonts w:ascii="Cambria Math" w:hAnsi="Cambria Math" w:cs="Cambria Math"/>
                <w:color w:val="00B050"/>
              </w:rPr>
              <w:t>⨁⨁⨁</w:t>
            </w:r>
            <w:r w:rsidRPr="00E564DD">
              <w:rPr>
                <w:rFonts w:ascii="Cambria Math" w:eastAsia="Times New Roman" w:hAnsi="Cambria Math" w:cs="Cambria Math"/>
                <w:bCs/>
                <w:color w:val="C00000"/>
              </w:rPr>
              <w:t>⨀</w:t>
            </w:r>
            <w:r w:rsidRPr="0034017B">
              <w:t>)</w:t>
            </w:r>
          </w:p>
          <w:p w:rsidR="00695728" w:rsidRPr="0034017B" w:rsidRDefault="00695728" w:rsidP="00480FDF">
            <w:pPr>
              <w:pStyle w:val="Tabletext"/>
              <w:numPr>
                <w:ilvl w:val="0"/>
                <w:numId w:val="30"/>
              </w:numPr>
              <w:ind w:left="227" w:hanging="227"/>
            </w:pPr>
            <w:r>
              <w:t>In 4 out of 5 studies, p</w:t>
            </w:r>
            <w:r w:rsidRPr="0034017B">
              <w:t>atients on combination therapy had a larger mean improvement in their 6MWD than those on monotherapy</w:t>
            </w:r>
            <w:r w:rsidR="00002D3C">
              <w:t>,</w:t>
            </w:r>
            <w:r>
              <w:t xml:space="preserve"> and the difference </w:t>
            </w:r>
            <w:r w:rsidR="009A57D8">
              <w:t>could be</w:t>
            </w:r>
            <w:r>
              <w:t xml:space="preserve"> clinically important in </w:t>
            </w:r>
            <w:proofErr w:type="gramStart"/>
            <w:r>
              <w:t>1</w:t>
            </w:r>
            <w:proofErr w:type="gramEnd"/>
            <w:r>
              <w:t xml:space="preserve"> study</w:t>
            </w:r>
            <w:r w:rsidRPr="0034017B">
              <w:t xml:space="preserve"> (range </w:t>
            </w:r>
            <w:r>
              <w:t>2</w:t>
            </w:r>
            <w:r w:rsidRPr="0034017B">
              <w:t>.</w:t>
            </w:r>
            <w:r>
              <w:t>4 m less to 3</w:t>
            </w:r>
            <w:r w:rsidRPr="0034017B">
              <w:t>6.</w:t>
            </w:r>
            <w:r>
              <w:t xml:space="preserve">1 m </w:t>
            </w:r>
            <w:r w:rsidR="00002D3C">
              <w:t xml:space="preserve">walked </w:t>
            </w:r>
            <w:r>
              <w:t>further</w:t>
            </w:r>
            <w:r w:rsidR="0044469E">
              <w:t>)</w:t>
            </w:r>
            <w:r w:rsidR="00E74E34">
              <w:t>.</w:t>
            </w:r>
          </w:p>
          <w:p w:rsidR="00695728" w:rsidRPr="0034017B" w:rsidRDefault="00695728" w:rsidP="00480FDF">
            <w:pPr>
              <w:pStyle w:val="Tabletext"/>
              <w:numPr>
                <w:ilvl w:val="0"/>
                <w:numId w:val="30"/>
              </w:numPr>
              <w:ind w:left="227" w:hanging="227"/>
            </w:pPr>
            <w:r w:rsidRPr="004E393A">
              <w:t xml:space="preserve">The </w:t>
            </w:r>
            <w:r>
              <w:t>Vizza 2017</w:t>
            </w:r>
            <w:r w:rsidRPr="004E393A">
              <w:t xml:space="preserve"> study showed a trend favouring the opposite effect to the other </w:t>
            </w:r>
            <w:proofErr w:type="gramStart"/>
            <w:r>
              <w:t>4</w:t>
            </w:r>
            <w:proofErr w:type="gramEnd"/>
            <w:r w:rsidRPr="004E393A">
              <w:t xml:space="preserve"> studies</w:t>
            </w:r>
            <w:r>
              <w:t>, but this difference may not be statistically significant</w:t>
            </w:r>
            <w:r w:rsidR="00E74E34">
              <w:t>.</w:t>
            </w:r>
          </w:p>
        </w:tc>
      </w:tr>
      <w:tr w:rsidR="00B37D37" w:rsidRPr="0034017B" w:rsidTr="00B37D37">
        <w:tc>
          <w:tcPr>
            <w:tcW w:w="1555" w:type="dxa"/>
          </w:tcPr>
          <w:p w:rsidR="00B37D37" w:rsidRDefault="00B37D37" w:rsidP="00362678">
            <w:pPr>
              <w:pStyle w:val="Tabletext"/>
            </w:pPr>
            <w:r w:rsidRPr="0034017B">
              <w:t xml:space="preserve">Change in </w:t>
            </w:r>
            <w:r>
              <w:t>haemodynamic parameters</w:t>
            </w:r>
            <w:r w:rsidR="00695728">
              <w:t xml:space="preserve"> from baseline</w:t>
            </w:r>
            <w:r>
              <w:t>:</w:t>
            </w:r>
          </w:p>
          <w:p w:rsidR="00B37D37" w:rsidRPr="0034017B" w:rsidRDefault="00B37D37" w:rsidP="00362678">
            <w:pPr>
              <w:pStyle w:val="Tabletext"/>
            </w:pPr>
            <w:r>
              <w:t>PVR, mPAP</w:t>
            </w:r>
          </w:p>
        </w:tc>
        <w:tc>
          <w:tcPr>
            <w:tcW w:w="1984" w:type="dxa"/>
          </w:tcPr>
          <w:p w:rsidR="00B37D37" w:rsidRDefault="00B37D37" w:rsidP="00362678">
            <w:pPr>
              <w:pStyle w:val="Tabletext"/>
            </w:pPr>
            <w:r>
              <w:t>Z</w:t>
            </w:r>
            <w:r w:rsidR="008D6E18">
              <w:t>h</w:t>
            </w:r>
            <w:r>
              <w:t>uang 2014 (tadalafil/ambrisentan)</w:t>
            </w:r>
          </w:p>
          <w:p w:rsidR="00787DD0" w:rsidRPr="0034017B" w:rsidRDefault="00787DD0" w:rsidP="00362678">
            <w:pPr>
              <w:pStyle w:val="Tabletext"/>
            </w:pPr>
            <w:r>
              <w:t>N=124</w:t>
            </w:r>
          </w:p>
        </w:tc>
        <w:tc>
          <w:tcPr>
            <w:tcW w:w="6095" w:type="dxa"/>
          </w:tcPr>
          <w:p w:rsidR="00B37D37" w:rsidRPr="0034017B" w:rsidRDefault="006C297E" w:rsidP="00480FDF">
            <w:pPr>
              <w:pStyle w:val="Tabletext"/>
              <w:numPr>
                <w:ilvl w:val="0"/>
                <w:numId w:val="30"/>
              </w:numPr>
              <w:ind w:left="227" w:hanging="227"/>
            </w:pPr>
            <w:r>
              <w:t>Low</w:t>
            </w:r>
            <w:r w:rsidR="00B37D37" w:rsidRPr="0034017B">
              <w:t xml:space="preserve"> quality evidence (GRADE </w:t>
            </w:r>
            <w:r w:rsidR="00B37D37" w:rsidRPr="0034017B">
              <w:rPr>
                <w:rFonts w:ascii="Cambria Math" w:hAnsi="Cambria Math" w:cs="Cambria Math"/>
                <w:color w:val="00B050"/>
              </w:rPr>
              <w:t>⨁⨁</w:t>
            </w:r>
            <w:r w:rsidRPr="00E564DD">
              <w:rPr>
                <w:rFonts w:ascii="Cambria Math" w:eastAsia="Times New Roman" w:hAnsi="Cambria Math" w:cs="Cambria Math"/>
                <w:bCs/>
                <w:color w:val="C00000"/>
              </w:rPr>
              <w:t>⨀⨀</w:t>
            </w:r>
            <w:r w:rsidR="00B37D37" w:rsidRPr="0034017B">
              <w:t>)</w:t>
            </w:r>
          </w:p>
          <w:p w:rsidR="00B37D37" w:rsidRPr="004E393A" w:rsidRDefault="00B37D37" w:rsidP="00480FDF">
            <w:pPr>
              <w:pStyle w:val="Tabletext"/>
              <w:numPr>
                <w:ilvl w:val="0"/>
                <w:numId w:val="30"/>
              </w:numPr>
              <w:ind w:left="227" w:hanging="227"/>
            </w:pPr>
            <w:r w:rsidRPr="0034017B">
              <w:t xml:space="preserve">Patients on combination therapy had a larger mean improvement in their </w:t>
            </w:r>
            <w:r w:rsidR="006B2E03">
              <w:t>haemodynamic parameters</w:t>
            </w:r>
            <w:r w:rsidRPr="0034017B">
              <w:t xml:space="preserve"> than those </w:t>
            </w:r>
            <w:r w:rsidR="00C61C3E">
              <w:t>patients receiving</w:t>
            </w:r>
            <w:r w:rsidRPr="0034017B">
              <w:t xml:space="preserve"> monotherapy (</w:t>
            </w:r>
            <w:r>
              <w:t>PVR MD</w:t>
            </w:r>
            <w:r w:rsidRPr="0034017B">
              <w:t xml:space="preserve"> = </w:t>
            </w:r>
            <w:r>
              <w:t>1</w:t>
            </w:r>
            <w:r w:rsidRPr="0034017B">
              <w:t>3.</w:t>
            </w:r>
            <w:r>
              <w:t>9% improvement</w:t>
            </w:r>
            <w:r w:rsidRPr="004E393A">
              <w:t xml:space="preserve">; </w:t>
            </w:r>
            <w:r>
              <w:t>mPAP MD = 8.5% improvement</w:t>
            </w:r>
            <w:r w:rsidRPr="004E393A">
              <w:t>)</w:t>
            </w:r>
            <w:r w:rsidR="00E74E34">
              <w:t>.</w:t>
            </w:r>
          </w:p>
        </w:tc>
      </w:tr>
      <w:tr w:rsidR="009B35CE" w:rsidRPr="0034017B"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Pr="00885C20" w:rsidRDefault="009F4016" w:rsidP="009F4016">
            <w:pPr>
              <w:pStyle w:val="Tabletext"/>
              <w:keepNext/>
            </w:pPr>
            <w:r>
              <w:t>P</w:t>
            </w:r>
            <w:r w:rsidR="009B35CE" w:rsidRPr="00885C20">
              <w:t>atients with WHO FC III/IV PAH</w:t>
            </w:r>
          </w:p>
        </w:tc>
      </w:tr>
      <w:tr w:rsidR="009B35CE" w:rsidRPr="0034017B" w:rsidTr="00D103A9">
        <w:tc>
          <w:tcPr>
            <w:tcW w:w="1555" w:type="dxa"/>
          </w:tcPr>
          <w:p w:rsidR="009B35CE" w:rsidRPr="0034017B" w:rsidRDefault="009B35CE" w:rsidP="00D103A9">
            <w:pPr>
              <w:pStyle w:val="Tabletext"/>
            </w:pPr>
            <w:r>
              <w:t>Change in 6MWD</w:t>
            </w:r>
            <w:r w:rsidR="00695728">
              <w:t xml:space="preserve"> from baseline</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PHIRST</w:t>
            </w:r>
            <w:r w:rsidR="00B37D37">
              <w:br/>
            </w:r>
            <w:r>
              <w:t>(tadalafil/</w:t>
            </w:r>
            <w:r w:rsidRPr="00885C20">
              <w:t>b</w:t>
            </w:r>
            <w:r>
              <w:t>o</w:t>
            </w:r>
            <w:r w:rsidRPr="00885C20">
              <w:t>sentan)</w:t>
            </w:r>
          </w:p>
          <w:p w:rsidR="009B35CE" w:rsidRDefault="009B35CE" w:rsidP="00D103A9">
            <w:pPr>
              <w:pStyle w:val="Tabletext"/>
            </w:pPr>
            <w:r>
              <w:t>Z</w:t>
            </w:r>
            <w:r w:rsidR="008D6E18">
              <w:t>h</w:t>
            </w:r>
            <w:r>
              <w:t>uang 2014 (tadalafil/ambrisentan)</w:t>
            </w:r>
          </w:p>
          <w:p w:rsidR="00787DD0" w:rsidRPr="0034017B" w:rsidRDefault="00787DD0" w:rsidP="00D103A9">
            <w:pPr>
              <w:pStyle w:val="Tabletext"/>
            </w:pPr>
            <w:r>
              <w:t>N=109</w:t>
            </w:r>
          </w:p>
        </w:tc>
        <w:tc>
          <w:tcPr>
            <w:tcW w:w="6095" w:type="dxa"/>
          </w:tcPr>
          <w:p w:rsidR="009B35CE" w:rsidRPr="0034017B" w:rsidRDefault="00F705F8" w:rsidP="00480FDF">
            <w:pPr>
              <w:pStyle w:val="Tabletext"/>
              <w:numPr>
                <w:ilvl w:val="0"/>
                <w:numId w:val="31"/>
              </w:numPr>
              <w:ind w:left="227" w:hanging="219"/>
            </w:pPr>
            <w:r>
              <w:t>Moderate</w:t>
            </w:r>
            <w:r w:rsidRPr="0034017B">
              <w:t xml:space="preserve"> </w:t>
            </w:r>
            <w:r w:rsidR="009B35CE" w:rsidRPr="0034017B">
              <w:t xml:space="preserve">quality evidence (GRADE </w:t>
            </w:r>
            <w:r w:rsidR="009B35CE" w:rsidRPr="0034017B">
              <w:rPr>
                <w:rFonts w:ascii="Cambria Math" w:hAnsi="Cambria Math" w:cs="Cambria Math"/>
                <w:color w:val="00B050"/>
              </w:rPr>
              <w:t>⨁⨁⨁</w:t>
            </w:r>
            <w:r w:rsidRPr="006316DF">
              <w:rPr>
                <w:rFonts w:ascii="Cambria Math" w:hAnsi="Cambria Math" w:cs="Cambria Math"/>
                <w:color w:val="C00000"/>
              </w:rPr>
              <w:t>⨀</w:t>
            </w:r>
            <w:r w:rsidR="009B35CE" w:rsidRPr="0034017B">
              <w:t>)</w:t>
            </w:r>
          </w:p>
          <w:p w:rsidR="009B35CE" w:rsidRDefault="009B35CE" w:rsidP="00480FDF">
            <w:pPr>
              <w:pStyle w:val="Tabletext"/>
              <w:numPr>
                <w:ilvl w:val="0"/>
                <w:numId w:val="31"/>
              </w:numPr>
              <w:ind w:left="227" w:hanging="219"/>
            </w:pPr>
            <w:r w:rsidRPr="0034017B">
              <w:t xml:space="preserve">Patients on combination therapy had a larger mean improvement in their 6MWD than those </w:t>
            </w:r>
            <w:r w:rsidR="00C61C3E">
              <w:t>patients receiving</w:t>
            </w:r>
            <w:r w:rsidRPr="0034017B">
              <w:t xml:space="preserve"> monotherapy</w:t>
            </w:r>
            <w:r w:rsidR="009A57D8">
              <w:t>, but the difference was not clinically important</w:t>
            </w:r>
            <w:r w:rsidRPr="0034017B">
              <w:t xml:space="preserve"> (range </w:t>
            </w:r>
            <w:r>
              <w:t>13</w:t>
            </w:r>
            <w:r w:rsidRPr="0034017B">
              <w:t>.</w:t>
            </w:r>
            <w:r>
              <w:t>5</w:t>
            </w:r>
            <w:r w:rsidR="009B6434">
              <w:t>−</w:t>
            </w:r>
            <w:r>
              <w:t>20</w:t>
            </w:r>
            <w:r w:rsidRPr="0034017B">
              <w:t>.</w:t>
            </w:r>
            <w:r>
              <w:t>1</w:t>
            </w:r>
            <w:r w:rsidR="009B6434">
              <w:t xml:space="preserve"> m </w:t>
            </w:r>
            <w:r w:rsidR="00C61C3E">
              <w:t xml:space="preserve">walked </w:t>
            </w:r>
            <w:r w:rsidR="009B6434">
              <w:t>further</w:t>
            </w:r>
            <w:r w:rsidRPr="0034017B">
              <w:t>)</w:t>
            </w:r>
            <w:r w:rsidR="00E74E34">
              <w:t>.</w:t>
            </w:r>
          </w:p>
          <w:p w:rsidR="00BC132E" w:rsidRPr="0034017B" w:rsidRDefault="00BC132E" w:rsidP="00480FDF">
            <w:pPr>
              <w:pStyle w:val="Tabletext"/>
              <w:numPr>
                <w:ilvl w:val="0"/>
                <w:numId w:val="31"/>
              </w:numPr>
              <w:ind w:left="227" w:hanging="219"/>
            </w:pPr>
            <w:r>
              <w:rPr>
                <w:szCs w:val="18"/>
              </w:rPr>
              <w:t xml:space="preserve">There </w:t>
            </w:r>
            <w:r w:rsidR="00C61C3E">
              <w:rPr>
                <w:szCs w:val="18"/>
              </w:rPr>
              <w:t xml:space="preserve">were </w:t>
            </w:r>
            <w:r>
              <w:rPr>
                <w:szCs w:val="18"/>
              </w:rPr>
              <w:t>n</w:t>
            </w:r>
            <w:r w:rsidRPr="0034017B">
              <w:rPr>
                <w:szCs w:val="18"/>
              </w:rPr>
              <w:t xml:space="preserve">o significant differences in </w:t>
            </w:r>
            <w:r w:rsidR="00C61C3E">
              <w:rPr>
                <w:szCs w:val="18"/>
              </w:rPr>
              <w:t xml:space="preserve">treatment </w:t>
            </w:r>
            <w:r w:rsidRPr="0034017B">
              <w:rPr>
                <w:szCs w:val="18"/>
              </w:rPr>
              <w:t xml:space="preserve">effectiveness for </w:t>
            </w:r>
            <w:r w:rsidR="00C61C3E">
              <w:rPr>
                <w:szCs w:val="18"/>
              </w:rPr>
              <w:t xml:space="preserve">the </w:t>
            </w:r>
            <w:r w:rsidRPr="0034017B">
              <w:rPr>
                <w:szCs w:val="18"/>
              </w:rPr>
              <w:t>d</w:t>
            </w:r>
            <w:r>
              <w:rPr>
                <w:szCs w:val="18"/>
              </w:rPr>
              <w:t>ifferent treatment combinations</w:t>
            </w:r>
            <w:r w:rsidR="00E74E34">
              <w:rPr>
                <w:szCs w:val="18"/>
              </w:rPr>
              <w:t>.</w:t>
            </w:r>
          </w:p>
        </w:tc>
      </w:tr>
      <w:tr w:rsidR="009B35CE" w:rsidRPr="0034017B"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Pr="00885C20" w:rsidRDefault="009B35CE" w:rsidP="00487776">
            <w:pPr>
              <w:pStyle w:val="Tabletext"/>
              <w:keepNext/>
            </w:pPr>
            <w:r>
              <w:t>P</w:t>
            </w:r>
            <w:r w:rsidRPr="00885C20">
              <w:t xml:space="preserve">atients with </w:t>
            </w:r>
            <w:r>
              <w:t>I</w:t>
            </w:r>
            <w:r w:rsidRPr="00885C20">
              <w:t>PAH</w:t>
            </w:r>
            <w:r>
              <w:t>/HPAH</w:t>
            </w:r>
          </w:p>
        </w:tc>
      </w:tr>
      <w:tr w:rsidR="009B35CE" w:rsidRPr="0034017B" w:rsidTr="00D103A9">
        <w:tc>
          <w:tcPr>
            <w:tcW w:w="1555" w:type="dxa"/>
          </w:tcPr>
          <w:p w:rsidR="009B35CE" w:rsidRPr="0034017B" w:rsidRDefault="009B35CE" w:rsidP="00D103A9">
            <w:pPr>
              <w:pStyle w:val="Tabletext"/>
            </w:pPr>
            <w:r>
              <w:t>Change in 6MWD</w:t>
            </w:r>
            <w:r w:rsidR="00695728">
              <w:t xml:space="preserve"> from baseline</w:t>
            </w:r>
          </w:p>
        </w:tc>
        <w:tc>
          <w:tcPr>
            <w:tcW w:w="1984" w:type="dxa"/>
          </w:tcPr>
          <w:p w:rsidR="009B35CE" w:rsidRDefault="009B35CE" w:rsidP="00D103A9">
            <w:pPr>
              <w:pStyle w:val="Tabletext"/>
            </w:pPr>
            <w:r>
              <w:t>PHIRST</w:t>
            </w:r>
            <w:r w:rsidR="00B37D37">
              <w:br/>
            </w:r>
            <w:r>
              <w:t>(tadalafil/</w:t>
            </w:r>
            <w:r w:rsidRPr="00885C20">
              <w:t>b</w:t>
            </w:r>
            <w:r>
              <w:t>o</w:t>
            </w:r>
            <w:r w:rsidRPr="00885C20">
              <w:t>sentan)</w:t>
            </w:r>
          </w:p>
          <w:p w:rsidR="00787DD0" w:rsidRDefault="009B35CE" w:rsidP="00D103A9">
            <w:pPr>
              <w:pStyle w:val="Tabletext"/>
              <w:rPr>
                <w:rFonts w:cs="Arial"/>
              </w:rPr>
            </w:pPr>
            <w:r>
              <w:t>Vizza 2017 (sildenafil/bosentan)</w:t>
            </w:r>
            <w:r w:rsidR="00787DD0" w:rsidRPr="006316DF">
              <w:rPr>
                <w:rFonts w:cs="Arial"/>
              </w:rPr>
              <w:t xml:space="preserve"> </w:t>
            </w:r>
          </w:p>
          <w:p w:rsidR="009B35CE" w:rsidRDefault="00787DD0" w:rsidP="00D103A9">
            <w:pPr>
              <w:pStyle w:val="Tabletext"/>
            </w:pPr>
            <w:r w:rsidRPr="006316DF">
              <w:rPr>
                <w:rFonts w:cs="Arial"/>
              </w:rPr>
              <w:t>N=</w:t>
            </w:r>
            <w:r>
              <w:rPr>
                <w:rFonts w:cs="Arial"/>
              </w:rPr>
              <w:t>120</w:t>
            </w:r>
          </w:p>
        </w:tc>
        <w:tc>
          <w:tcPr>
            <w:tcW w:w="6095" w:type="dxa"/>
          </w:tcPr>
          <w:p w:rsidR="009B35CE" w:rsidRPr="0034017B" w:rsidRDefault="00B47224" w:rsidP="00480FDF">
            <w:pPr>
              <w:pStyle w:val="Tabletext"/>
              <w:numPr>
                <w:ilvl w:val="0"/>
                <w:numId w:val="32"/>
              </w:numPr>
              <w:ind w:left="227" w:hanging="219"/>
            </w:pPr>
            <w:r>
              <w:t>Moderate</w:t>
            </w:r>
            <w:r w:rsidRPr="0034017B">
              <w:t xml:space="preserve"> </w:t>
            </w:r>
            <w:r w:rsidR="009B35CE" w:rsidRPr="0034017B">
              <w:t xml:space="preserve">quality evidence (GRADE </w:t>
            </w:r>
            <w:r w:rsidR="009B35CE" w:rsidRPr="0034017B">
              <w:rPr>
                <w:rFonts w:ascii="Cambria Math" w:hAnsi="Cambria Math" w:cs="Cambria Math"/>
                <w:color w:val="00B050"/>
              </w:rPr>
              <w:t>⨁⨁⨁</w:t>
            </w:r>
            <w:r w:rsidRPr="006316DF">
              <w:rPr>
                <w:rFonts w:ascii="Cambria Math" w:hAnsi="Cambria Math" w:cs="Cambria Math"/>
                <w:color w:val="C00000"/>
              </w:rPr>
              <w:t>⨀</w:t>
            </w:r>
            <w:r w:rsidR="009B35CE" w:rsidRPr="0034017B">
              <w:t>)</w:t>
            </w:r>
          </w:p>
          <w:p w:rsidR="009B35CE" w:rsidRDefault="009B35CE" w:rsidP="00480FDF">
            <w:pPr>
              <w:pStyle w:val="Tabletext"/>
              <w:numPr>
                <w:ilvl w:val="0"/>
                <w:numId w:val="32"/>
              </w:numPr>
              <w:ind w:left="227" w:hanging="219"/>
            </w:pPr>
            <w:r w:rsidRPr="0034017B">
              <w:t>Patients on combination therapy had a larger mean improvement in their 6MWD than those on monotherapy</w:t>
            </w:r>
            <w:r w:rsidR="009A57D8">
              <w:t>,</w:t>
            </w:r>
            <w:r w:rsidR="00280914">
              <w:t xml:space="preserve"> but the difference was not clinically important</w:t>
            </w:r>
            <w:r w:rsidRPr="0034017B">
              <w:t xml:space="preserve"> (range </w:t>
            </w:r>
            <w:r>
              <w:t>8</w:t>
            </w:r>
            <w:r w:rsidRPr="0034017B">
              <w:t>.</w:t>
            </w:r>
            <w:r>
              <w:t>6</w:t>
            </w:r>
            <w:r w:rsidR="009B6434">
              <w:t>−</w:t>
            </w:r>
            <w:r>
              <w:t>13</w:t>
            </w:r>
            <w:r w:rsidRPr="0034017B">
              <w:t>.</w:t>
            </w:r>
            <w:r>
              <w:t>6</w:t>
            </w:r>
            <w:r w:rsidR="009B6434">
              <w:t xml:space="preserve"> m </w:t>
            </w:r>
            <w:r w:rsidR="00C61C3E">
              <w:t xml:space="preserve">walked </w:t>
            </w:r>
            <w:r w:rsidR="0082368E">
              <w:t>further</w:t>
            </w:r>
            <w:r w:rsidRPr="0034017B">
              <w:t>)</w:t>
            </w:r>
            <w:r w:rsidR="00E74E34">
              <w:t>.</w:t>
            </w:r>
          </w:p>
          <w:p w:rsidR="00BC132E" w:rsidRPr="0034017B" w:rsidRDefault="00BC132E" w:rsidP="00480FDF">
            <w:pPr>
              <w:pStyle w:val="Tabletext"/>
              <w:numPr>
                <w:ilvl w:val="0"/>
                <w:numId w:val="32"/>
              </w:numPr>
              <w:ind w:left="227" w:hanging="219"/>
            </w:pPr>
            <w:r>
              <w:rPr>
                <w:szCs w:val="18"/>
              </w:rPr>
              <w:t xml:space="preserve">There </w:t>
            </w:r>
            <w:r w:rsidR="00C61C3E">
              <w:rPr>
                <w:szCs w:val="18"/>
              </w:rPr>
              <w:t>were</w:t>
            </w:r>
            <w:r>
              <w:rPr>
                <w:szCs w:val="18"/>
              </w:rPr>
              <w:t xml:space="preserve"> n</w:t>
            </w:r>
            <w:r w:rsidRPr="0034017B">
              <w:rPr>
                <w:szCs w:val="18"/>
              </w:rPr>
              <w:t xml:space="preserve">o significant differences in </w:t>
            </w:r>
            <w:r w:rsidR="00C61C3E">
              <w:rPr>
                <w:szCs w:val="18"/>
              </w:rPr>
              <w:t xml:space="preserve">treatment </w:t>
            </w:r>
            <w:r w:rsidRPr="0034017B">
              <w:rPr>
                <w:szCs w:val="18"/>
              </w:rPr>
              <w:t xml:space="preserve">effectiveness for </w:t>
            </w:r>
            <w:r w:rsidR="00C61C3E">
              <w:rPr>
                <w:szCs w:val="18"/>
              </w:rPr>
              <w:t xml:space="preserve">the </w:t>
            </w:r>
            <w:r w:rsidRPr="0034017B">
              <w:rPr>
                <w:szCs w:val="18"/>
              </w:rPr>
              <w:t>d</w:t>
            </w:r>
            <w:r>
              <w:rPr>
                <w:szCs w:val="18"/>
              </w:rPr>
              <w:t>ifferent treatment combinations</w:t>
            </w:r>
            <w:r w:rsidR="00E74E34">
              <w:rPr>
                <w:szCs w:val="18"/>
              </w:rPr>
              <w:t>.</w:t>
            </w:r>
          </w:p>
        </w:tc>
      </w:tr>
      <w:tr w:rsidR="009B35CE" w:rsidRPr="0034017B"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Pr="00885C20" w:rsidRDefault="009B35CE" w:rsidP="00D103A9">
            <w:pPr>
              <w:pStyle w:val="Tabletext"/>
            </w:pPr>
            <w:r>
              <w:t>P</w:t>
            </w:r>
            <w:r w:rsidRPr="00885C20">
              <w:t>atients with PAH</w:t>
            </w:r>
            <w:r>
              <w:t>-CTD</w:t>
            </w:r>
          </w:p>
        </w:tc>
      </w:tr>
      <w:tr w:rsidR="009B35CE" w:rsidRPr="0034017B" w:rsidTr="00D103A9">
        <w:tc>
          <w:tcPr>
            <w:tcW w:w="1555" w:type="dxa"/>
            <w:tcBorders>
              <w:top w:val="single" w:sz="4" w:space="0" w:color="auto"/>
              <w:left w:val="single" w:sz="4" w:space="0" w:color="auto"/>
              <w:bottom w:val="single" w:sz="4" w:space="0" w:color="auto"/>
              <w:right w:val="single" w:sz="4" w:space="0" w:color="auto"/>
            </w:tcBorders>
          </w:tcPr>
          <w:p w:rsidR="009B35CE" w:rsidRPr="0034017B" w:rsidRDefault="009B35CE" w:rsidP="00D103A9">
            <w:pPr>
              <w:pStyle w:val="Tabletext"/>
            </w:pPr>
            <w:r w:rsidRPr="0034017B">
              <w:t>Clinical worsening</w:t>
            </w:r>
          </w:p>
        </w:tc>
        <w:tc>
          <w:tcPr>
            <w:tcW w:w="1984" w:type="dxa"/>
            <w:tcBorders>
              <w:top w:val="single" w:sz="4" w:space="0" w:color="auto"/>
              <w:left w:val="single" w:sz="4" w:space="0" w:color="auto"/>
              <w:bottom w:val="single" w:sz="4" w:space="0" w:color="auto"/>
              <w:right w:val="single" w:sz="4" w:space="0" w:color="auto"/>
            </w:tcBorders>
          </w:tcPr>
          <w:p w:rsidR="00787DD0" w:rsidRDefault="009B35CE" w:rsidP="00D103A9">
            <w:pPr>
              <w:pStyle w:val="Tabletext"/>
              <w:rPr>
                <w:rFonts w:cs="Arial"/>
              </w:rPr>
            </w:pPr>
            <w:r>
              <w:t>AMBITION (tadalafil/ambrisentan)</w:t>
            </w:r>
            <w:r w:rsidR="00787DD0" w:rsidRPr="006316DF">
              <w:rPr>
                <w:rFonts w:cs="Arial"/>
              </w:rPr>
              <w:t xml:space="preserve"> </w:t>
            </w:r>
          </w:p>
          <w:p w:rsidR="009B35CE" w:rsidRPr="0034017B" w:rsidRDefault="00787DD0" w:rsidP="00D103A9">
            <w:pPr>
              <w:pStyle w:val="Tabletext"/>
            </w:pPr>
            <w:r w:rsidRPr="006316DF">
              <w:rPr>
                <w:rFonts w:cs="Arial"/>
              </w:rPr>
              <w:t>N=</w:t>
            </w:r>
            <w:r>
              <w:rPr>
                <w:rFonts w:cs="Arial"/>
              </w:rPr>
              <w:t>147</w:t>
            </w:r>
          </w:p>
        </w:tc>
        <w:tc>
          <w:tcPr>
            <w:tcW w:w="6095" w:type="dxa"/>
            <w:tcBorders>
              <w:top w:val="single" w:sz="4" w:space="0" w:color="auto"/>
              <w:left w:val="single" w:sz="4" w:space="0" w:color="auto"/>
              <w:bottom w:val="single" w:sz="4" w:space="0" w:color="auto"/>
              <w:right w:val="single" w:sz="4" w:space="0" w:color="auto"/>
            </w:tcBorders>
          </w:tcPr>
          <w:p w:rsidR="009B35CE" w:rsidRPr="0034017B" w:rsidRDefault="009B35CE" w:rsidP="00480FDF">
            <w:pPr>
              <w:pStyle w:val="Tabletext"/>
              <w:numPr>
                <w:ilvl w:val="0"/>
                <w:numId w:val="33"/>
              </w:numPr>
              <w:ind w:left="227" w:hanging="227"/>
              <w:rPr>
                <w:szCs w:val="18"/>
              </w:rPr>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Pr="0034017B" w:rsidRDefault="009B35CE" w:rsidP="00480FDF">
            <w:pPr>
              <w:pStyle w:val="Tabletext"/>
              <w:numPr>
                <w:ilvl w:val="0"/>
                <w:numId w:val="33"/>
              </w:numPr>
              <w:ind w:left="227" w:hanging="227"/>
            </w:pPr>
            <w:r>
              <w:rPr>
                <w:szCs w:val="18"/>
              </w:rPr>
              <w:t>F</w:t>
            </w:r>
            <w:r w:rsidRPr="0034017B">
              <w:rPr>
                <w:szCs w:val="18"/>
              </w:rPr>
              <w:t>ewer patients experienced clinical</w:t>
            </w:r>
            <w:r w:rsidRPr="0034017B">
              <w:t xml:space="preserve"> worsening with combination therapy compared with monotherapy</w:t>
            </w:r>
            <w:r>
              <w:t xml:space="preserve">, but </w:t>
            </w:r>
            <w:r w:rsidR="00C61C3E">
              <w:t xml:space="preserve">the result </w:t>
            </w:r>
            <w:r>
              <w:t>just failed to reach statistical significance</w:t>
            </w:r>
            <w:r w:rsidRPr="0034017B">
              <w:t xml:space="preserve"> (</w:t>
            </w:r>
            <w:r>
              <w:t>H</w:t>
            </w:r>
            <w:r w:rsidRPr="0034017B">
              <w:t>R = 0.</w:t>
            </w:r>
            <w:r>
              <w:t>51</w:t>
            </w:r>
            <w:r w:rsidRPr="0034017B">
              <w:t>; 95% CI 0.</w:t>
            </w:r>
            <w:r>
              <w:t>25</w:t>
            </w:r>
            <w:r w:rsidRPr="0034017B">
              <w:t xml:space="preserve">, </w:t>
            </w:r>
            <w:r>
              <w:t>1</w:t>
            </w:r>
            <w:r w:rsidRPr="0034017B">
              <w:t>.</w:t>
            </w:r>
            <w:r>
              <w:t>01</w:t>
            </w:r>
            <w:r w:rsidRPr="0034017B">
              <w:t>)</w:t>
            </w:r>
          </w:p>
        </w:tc>
      </w:tr>
      <w:tr w:rsidR="009B35CE" w:rsidRPr="0034017B" w:rsidTr="00D103A9">
        <w:tc>
          <w:tcPr>
            <w:tcW w:w="1555" w:type="dxa"/>
            <w:tcBorders>
              <w:top w:val="single" w:sz="4" w:space="0" w:color="auto"/>
              <w:left w:val="single" w:sz="4" w:space="0" w:color="auto"/>
              <w:bottom w:val="single" w:sz="4" w:space="0" w:color="auto"/>
              <w:right w:val="single" w:sz="4" w:space="0" w:color="auto"/>
            </w:tcBorders>
          </w:tcPr>
          <w:p w:rsidR="009B35CE" w:rsidRPr="0034017B" w:rsidRDefault="009B35CE" w:rsidP="00D103A9">
            <w:pPr>
              <w:pStyle w:val="Tabletext"/>
            </w:pPr>
            <w:r>
              <w:t>Change in 6MWD</w:t>
            </w:r>
            <w:r w:rsidR="00695728">
              <w:t xml:space="preserve"> from baseline</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PHIRST</w:t>
            </w:r>
            <w:r w:rsidR="00B37D37">
              <w:br/>
            </w:r>
            <w:r>
              <w:t>(tadalafil/</w:t>
            </w:r>
            <w:r w:rsidRPr="00885C20">
              <w:t>b</w:t>
            </w:r>
            <w:r>
              <w:t>o</w:t>
            </w:r>
            <w:r w:rsidRPr="00885C20">
              <w:t>sentan)</w:t>
            </w:r>
          </w:p>
          <w:p w:rsidR="00787DD0" w:rsidRDefault="009B35CE" w:rsidP="00D103A9">
            <w:pPr>
              <w:pStyle w:val="Tabletext"/>
              <w:rPr>
                <w:rFonts w:cs="Arial"/>
              </w:rPr>
            </w:pPr>
            <w:r>
              <w:t>Vizza 2017 (sildenafil/bosentan)</w:t>
            </w:r>
            <w:r w:rsidR="00787DD0" w:rsidRPr="006316DF">
              <w:rPr>
                <w:rFonts w:cs="Arial"/>
              </w:rPr>
              <w:t xml:space="preserve"> </w:t>
            </w:r>
          </w:p>
          <w:p w:rsidR="009B35CE" w:rsidRDefault="00787DD0" w:rsidP="00D103A9">
            <w:pPr>
              <w:pStyle w:val="Tabletext"/>
            </w:pPr>
            <w:r w:rsidRPr="006316DF">
              <w:rPr>
                <w:rFonts w:cs="Arial"/>
              </w:rPr>
              <w:t>N=</w:t>
            </w:r>
            <w:r>
              <w:rPr>
                <w:rFonts w:cs="Arial"/>
              </w:rPr>
              <w:t>55</w:t>
            </w:r>
          </w:p>
        </w:tc>
        <w:tc>
          <w:tcPr>
            <w:tcW w:w="6095" w:type="dxa"/>
          </w:tcPr>
          <w:p w:rsidR="009B35CE" w:rsidRPr="0034017B" w:rsidRDefault="005D597D" w:rsidP="00480FDF">
            <w:pPr>
              <w:pStyle w:val="Tabletext"/>
              <w:numPr>
                <w:ilvl w:val="0"/>
                <w:numId w:val="33"/>
              </w:numPr>
              <w:ind w:left="227" w:hanging="227"/>
            </w:pPr>
            <w:r>
              <w:t>Very l</w:t>
            </w:r>
            <w:r w:rsidR="00B47224">
              <w:t>ow</w:t>
            </w:r>
            <w:r w:rsidR="00B47224" w:rsidRPr="0034017B">
              <w:t xml:space="preserve"> </w:t>
            </w:r>
            <w:r w:rsidR="009B35CE" w:rsidRPr="0034017B">
              <w:t xml:space="preserve">quality evidence (GRADE </w:t>
            </w:r>
            <w:r w:rsidR="009B35CE" w:rsidRPr="0034017B">
              <w:rPr>
                <w:rFonts w:ascii="Cambria Math" w:hAnsi="Cambria Math" w:cs="Cambria Math"/>
                <w:color w:val="00B050"/>
              </w:rPr>
              <w:t>⨁</w:t>
            </w:r>
            <w:r w:rsidRPr="00E564DD">
              <w:rPr>
                <w:rFonts w:ascii="Cambria Math" w:eastAsia="Times New Roman" w:hAnsi="Cambria Math" w:cs="Cambria Math"/>
                <w:bCs/>
                <w:color w:val="C00000"/>
              </w:rPr>
              <w:t>⨀</w:t>
            </w:r>
            <w:r w:rsidR="00B47224" w:rsidRPr="006316DF">
              <w:rPr>
                <w:rFonts w:ascii="Cambria Math" w:hAnsi="Cambria Math" w:cs="Cambria Math"/>
                <w:color w:val="C00000"/>
              </w:rPr>
              <w:t>⨀</w:t>
            </w:r>
            <w:r w:rsidR="00386993" w:rsidRPr="00E564DD">
              <w:rPr>
                <w:rFonts w:ascii="Cambria Math" w:eastAsia="Times New Roman" w:hAnsi="Cambria Math" w:cs="Cambria Math"/>
                <w:bCs/>
                <w:color w:val="FF0000"/>
              </w:rPr>
              <w:t>⨀</w:t>
            </w:r>
            <w:r w:rsidR="009B35CE" w:rsidRPr="0034017B">
              <w:t>)</w:t>
            </w:r>
          </w:p>
          <w:p w:rsidR="009B35CE" w:rsidRDefault="009B35CE" w:rsidP="00480FDF">
            <w:pPr>
              <w:pStyle w:val="Tabletext"/>
              <w:numPr>
                <w:ilvl w:val="0"/>
                <w:numId w:val="33"/>
              </w:numPr>
              <w:ind w:left="227" w:hanging="227"/>
            </w:pPr>
            <w:r w:rsidRPr="0034017B">
              <w:t xml:space="preserve">Patients on combination therapy had </w:t>
            </w:r>
            <w:r w:rsidR="00C61C3E">
              <w:t>a wide range of</w:t>
            </w:r>
            <w:r w:rsidRPr="0034017B">
              <w:t xml:space="preserve"> </w:t>
            </w:r>
            <w:r w:rsidR="00C61C3E">
              <w:t xml:space="preserve">change </w:t>
            </w:r>
            <w:r w:rsidRPr="0034017B">
              <w:t xml:space="preserve">in their 6MWD </w:t>
            </w:r>
            <w:r w:rsidR="00497A86">
              <w:t xml:space="preserve">compared with </w:t>
            </w:r>
            <w:r w:rsidRPr="0034017B">
              <w:t>those on monotherapy</w:t>
            </w:r>
            <w:r w:rsidR="009A57D8">
              <w:t>, but the difference was not clinically important</w:t>
            </w:r>
            <w:r w:rsidRPr="0034017B">
              <w:t xml:space="preserve"> (range </w:t>
            </w:r>
            <w:r>
              <w:t>34</w:t>
            </w:r>
            <w:r w:rsidRPr="0034017B">
              <w:t>.</w:t>
            </w:r>
            <w:r>
              <w:t>1</w:t>
            </w:r>
            <w:r w:rsidR="009B6434">
              <w:t xml:space="preserve"> m less to</w:t>
            </w:r>
            <w:r w:rsidRPr="0034017B">
              <w:t xml:space="preserve"> </w:t>
            </w:r>
            <w:r>
              <w:t>20</w:t>
            </w:r>
            <w:r w:rsidRPr="0034017B">
              <w:t>.</w:t>
            </w:r>
            <w:r>
              <w:t>7</w:t>
            </w:r>
            <w:r w:rsidR="009B6434">
              <w:t xml:space="preserve"> m </w:t>
            </w:r>
            <w:r w:rsidR="00C61C3E">
              <w:t xml:space="preserve">walked </w:t>
            </w:r>
            <w:r w:rsidR="0082368E">
              <w:t>further</w:t>
            </w:r>
            <w:r w:rsidRPr="0034017B">
              <w:t>)</w:t>
            </w:r>
            <w:r w:rsidR="00E74E34">
              <w:t>.</w:t>
            </w:r>
          </w:p>
          <w:p w:rsidR="00BC132E" w:rsidRPr="0034017B" w:rsidRDefault="00BC132E" w:rsidP="00480FDF">
            <w:pPr>
              <w:pStyle w:val="Tabletext"/>
              <w:numPr>
                <w:ilvl w:val="0"/>
                <w:numId w:val="33"/>
              </w:numPr>
              <w:ind w:left="227" w:hanging="227"/>
            </w:pPr>
            <w:r>
              <w:rPr>
                <w:szCs w:val="18"/>
              </w:rPr>
              <w:t xml:space="preserve">There </w:t>
            </w:r>
            <w:r w:rsidR="00C61C3E">
              <w:rPr>
                <w:szCs w:val="18"/>
              </w:rPr>
              <w:t>were</w:t>
            </w:r>
            <w:r>
              <w:rPr>
                <w:szCs w:val="18"/>
              </w:rPr>
              <w:t xml:space="preserve"> n</w:t>
            </w:r>
            <w:r w:rsidRPr="0034017B">
              <w:rPr>
                <w:szCs w:val="18"/>
              </w:rPr>
              <w:t xml:space="preserve">o significant differences in </w:t>
            </w:r>
            <w:r w:rsidR="00C61C3E">
              <w:rPr>
                <w:szCs w:val="18"/>
              </w:rPr>
              <w:t xml:space="preserve">treatment </w:t>
            </w:r>
            <w:r w:rsidRPr="0034017B">
              <w:rPr>
                <w:szCs w:val="18"/>
              </w:rPr>
              <w:t xml:space="preserve">effectiveness for </w:t>
            </w:r>
            <w:r w:rsidR="00C61C3E">
              <w:rPr>
                <w:szCs w:val="18"/>
              </w:rPr>
              <w:t xml:space="preserve">the </w:t>
            </w:r>
            <w:r w:rsidRPr="0034017B">
              <w:rPr>
                <w:szCs w:val="18"/>
              </w:rPr>
              <w:t>d</w:t>
            </w:r>
            <w:r>
              <w:rPr>
                <w:szCs w:val="18"/>
              </w:rPr>
              <w:t>ifferent treatment combinations</w:t>
            </w:r>
            <w:r w:rsidR="00E74E34">
              <w:rPr>
                <w:szCs w:val="18"/>
              </w:rPr>
              <w:t>.</w:t>
            </w:r>
          </w:p>
        </w:tc>
      </w:tr>
    </w:tbl>
    <w:p w:rsidR="006B2C7A" w:rsidRPr="0034017B" w:rsidRDefault="009B35CE" w:rsidP="00D103A9">
      <w:pPr>
        <w:pStyle w:val="Tablenote"/>
      </w:pPr>
      <w:proofErr w:type="gramStart"/>
      <w:r w:rsidRPr="0034017B">
        <w:t xml:space="preserve">6MWD = 6-minute </w:t>
      </w:r>
      <w:r w:rsidR="0082368E">
        <w:t>walk distance</w:t>
      </w:r>
      <w:r w:rsidRPr="0034017B">
        <w:t xml:space="preserve">; CI = confidence interval; ERA = endothelin receptor antagonist; FC = functional class; </w:t>
      </w:r>
      <w:r w:rsidR="00385E5A">
        <w:t>GRADE = grading of recommendations assessment, development and evaluation</w:t>
      </w:r>
      <w:r w:rsidR="001D34EE" w:rsidRPr="001D34EE">
        <w:rPr>
          <w:noProof/>
          <w:vertAlign w:val="superscript"/>
        </w:rPr>
        <w:t>1</w:t>
      </w:r>
      <w:r w:rsidR="006B2C7A" w:rsidRPr="009E3B52">
        <w:t xml:space="preserve">; </w:t>
      </w:r>
      <w:r w:rsidRPr="0034017B">
        <w:t xml:space="preserve">HPAH = heritable PAH; HR = hazard ratio; IPAH = idiopathic PAH; MD = mean difference; </w:t>
      </w:r>
      <w:r w:rsidR="004510DE">
        <w:t>mPAP = mean pulmonary artery</w:t>
      </w:r>
      <w:r>
        <w:t xml:space="preserve"> pressure;</w:t>
      </w:r>
      <w:r w:rsidRPr="0034017B">
        <w:t xml:space="preserve"> PAH = pulmonary arterial hypertension; </w:t>
      </w:r>
      <w:r w:rsidR="00B923F1">
        <w:t>PAH-</w:t>
      </w:r>
      <w:r w:rsidR="00B923F1" w:rsidRPr="0034017B">
        <w:t xml:space="preserve">CTD = </w:t>
      </w:r>
      <w:r w:rsidR="00B923F1">
        <w:t xml:space="preserve">PAH </w:t>
      </w:r>
      <w:r w:rsidR="00B923F1" w:rsidRPr="0034017B">
        <w:t xml:space="preserve">associated with connective tissue disease; </w:t>
      </w:r>
      <w:r w:rsidRPr="0034017B">
        <w:t xml:space="preserve">PDE-5 = phosphodiesterase type-5; </w:t>
      </w:r>
      <w:r w:rsidRPr="009123E2">
        <w:t>PVR</w:t>
      </w:r>
      <w:r>
        <w:t xml:space="preserve"> = p</w:t>
      </w:r>
      <w:r w:rsidRPr="009123E2">
        <w:t xml:space="preserve">ulmonary </w:t>
      </w:r>
      <w:r>
        <w:t>v</w:t>
      </w:r>
      <w:r w:rsidRPr="009123E2">
        <w:t xml:space="preserve">ascular </w:t>
      </w:r>
      <w:r>
        <w:t>r</w:t>
      </w:r>
      <w:r w:rsidRPr="009123E2">
        <w:t>esistance</w:t>
      </w:r>
      <w:r>
        <w:t xml:space="preserve">; </w:t>
      </w:r>
      <w:r w:rsidRPr="0034017B">
        <w:t>RR = relative risk; WHO = World Health Organization</w:t>
      </w:r>
      <w:proofErr w:type="gramEnd"/>
      <w:r w:rsidRPr="00E060F4">
        <w:t xml:space="preserve"> </w:t>
      </w:r>
    </w:p>
    <w:p w:rsidR="009B35CE" w:rsidRPr="0034017B" w:rsidRDefault="009B35CE" w:rsidP="009B35CE">
      <w:pPr>
        <w:pStyle w:val="Heading5"/>
      </w:pPr>
      <w:r w:rsidRPr="0034017B">
        <w:t>Safety</w:t>
      </w:r>
    </w:p>
    <w:p w:rsidR="009B35CE" w:rsidRPr="0034017B" w:rsidRDefault="009A57D8" w:rsidP="009B35CE">
      <w:r>
        <w:t>Four</w:t>
      </w:r>
      <w:r w:rsidR="009B35CE" w:rsidRPr="0034017B">
        <w:t xml:space="preserve"> RCTs reported on the comparative safety of treatment with a </w:t>
      </w:r>
      <w:r w:rsidR="006A201F" w:rsidRPr="0034017B">
        <w:t xml:space="preserve">PDE-5 inhibitor </w:t>
      </w:r>
      <w:proofErr w:type="gramStart"/>
      <w:r w:rsidR="006A201F" w:rsidRPr="0034017B">
        <w:t>plus</w:t>
      </w:r>
      <w:proofErr w:type="gramEnd"/>
      <w:r w:rsidR="006A201F" w:rsidRPr="0034017B">
        <w:t xml:space="preserve"> a</w:t>
      </w:r>
      <w:r w:rsidR="006A201F">
        <w:t>n</w:t>
      </w:r>
      <w:r w:rsidR="006A201F" w:rsidRPr="0034017B">
        <w:t xml:space="preserve"> </w:t>
      </w:r>
      <w:r w:rsidR="009B35CE" w:rsidRPr="0034017B">
        <w:t>ERA compared with a</w:t>
      </w:r>
      <w:r w:rsidR="006A201F">
        <w:t>n</w:t>
      </w:r>
      <w:r w:rsidR="009B35CE" w:rsidRPr="0034017B">
        <w:t xml:space="preserve"> </w:t>
      </w:r>
      <w:r w:rsidR="006A201F">
        <w:t>ERA</w:t>
      </w:r>
      <w:r w:rsidR="009B35CE" w:rsidRPr="0034017B">
        <w:t xml:space="preserve"> alone in any patient with PAH:</w:t>
      </w:r>
    </w:p>
    <w:p w:rsidR="009B35CE" w:rsidRPr="00B607A5" w:rsidRDefault="009A57D8" w:rsidP="00D103A9">
      <w:pPr>
        <w:pStyle w:val="Bullettext"/>
      </w:pPr>
      <w:r w:rsidRPr="00B607A5">
        <w:t>PHIRST, AMBITION, Vizza 2017 and Zhuang 2014</w:t>
      </w:r>
    </w:p>
    <w:p w:rsidR="009B35CE" w:rsidRPr="00B607A5" w:rsidRDefault="00E20AB7" w:rsidP="00D103A9">
      <w:pPr>
        <w:pStyle w:val="Bullettext"/>
      </w:pPr>
      <w:r w:rsidRPr="00B607A5">
        <w:t>There were no new safety signals identified</w:t>
      </w:r>
      <w:r w:rsidR="009B35CE" w:rsidRPr="00B607A5">
        <w:t>.</w:t>
      </w:r>
    </w:p>
    <w:p w:rsidR="009B35CE" w:rsidRPr="0034017B" w:rsidRDefault="009B35CE" w:rsidP="00D103A9">
      <w:r w:rsidRPr="0034017B">
        <w:t xml:space="preserve">The evidence provided by these trials for all PAH patients </w:t>
      </w:r>
      <w:proofErr w:type="gramStart"/>
      <w:r w:rsidRPr="0034017B">
        <w:t>is</w:t>
      </w:r>
      <w:proofErr w:type="gramEnd"/>
      <w:r w:rsidRPr="0034017B">
        <w:t xml:space="preserve"> summarised in</w:t>
      </w:r>
      <w:r w:rsidR="00D103A9">
        <w:t xml:space="preserve"> </w:t>
      </w:r>
      <w:r w:rsidR="003951FA">
        <w:t>Table 4.</w:t>
      </w:r>
      <w:r w:rsidR="003951FA">
        <w:rPr>
          <w:noProof/>
        </w:rPr>
        <w:t>10</w:t>
      </w:r>
      <w:r w:rsidRPr="0034017B">
        <w:t>.</w:t>
      </w:r>
    </w:p>
    <w:p w:rsidR="009B35CE" w:rsidRPr="0034017B" w:rsidRDefault="001E5DED" w:rsidP="009B35CE">
      <w:r>
        <w:t xml:space="preserve">Overall, </w:t>
      </w:r>
      <w:r w:rsidRPr="001E5DED">
        <w:t xml:space="preserve">the use of a PDE-5 inhibitor in addition to </w:t>
      </w:r>
      <w:r w:rsidR="00497A86">
        <w:t xml:space="preserve">an </w:t>
      </w:r>
      <w:r w:rsidRPr="001E5DED">
        <w:t xml:space="preserve">ERA </w:t>
      </w:r>
      <w:r w:rsidR="00497A86">
        <w:t xml:space="preserve">appears </w:t>
      </w:r>
      <w:r w:rsidR="00943115">
        <w:t xml:space="preserve">non-inferior to </w:t>
      </w:r>
      <w:r w:rsidRPr="001E5DED">
        <w:t>ERA monotherapy when treating PAH patients</w:t>
      </w:r>
      <w:r w:rsidR="00C234D0">
        <w:t xml:space="preserve"> </w:t>
      </w:r>
      <w:r w:rsidR="00497A86">
        <w:t xml:space="preserve">overall, although </w:t>
      </w:r>
      <w:r w:rsidR="00813A0D">
        <w:t>the</w:t>
      </w:r>
      <w:r w:rsidR="00497A86">
        <w:t xml:space="preserve">re is possible safety concern for serious </w:t>
      </w:r>
      <w:r w:rsidR="00E20AB7">
        <w:t>adverse events (</w:t>
      </w:r>
      <w:r w:rsidR="00497A86">
        <w:t>AEs</w:t>
      </w:r>
      <w:r w:rsidR="00E20AB7">
        <w:t>)</w:t>
      </w:r>
      <w:r w:rsidR="00497A86">
        <w:t xml:space="preserve"> in the</w:t>
      </w:r>
      <w:r w:rsidR="00813A0D">
        <w:t xml:space="preserve"> subgroup of </w:t>
      </w:r>
      <w:r w:rsidRPr="001E5DED">
        <w:t>patients with PAH-CTD</w:t>
      </w:r>
      <w:r>
        <w:t>.</w:t>
      </w:r>
    </w:p>
    <w:p w:rsidR="009B35CE" w:rsidRPr="0034017B" w:rsidRDefault="00272F8F" w:rsidP="00BC5A2B">
      <w:pPr>
        <w:pStyle w:val="Caption"/>
      </w:pPr>
      <w:bookmarkStart w:id="30" w:name="_Ref506197561"/>
      <w:bookmarkStart w:id="31" w:name="_Toc38360307"/>
      <w:r>
        <w:t>Table 4.</w:t>
      </w:r>
      <w:r w:rsidR="003951FA">
        <w:rPr>
          <w:noProof/>
        </w:rPr>
        <w:t>10</w:t>
      </w:r>
      <w:bookmarkEnd w:id="30"/>
      <w:r w:rsidR="00D103A9">
        <w:tab/>
      </w:r>
      <w:r w:rsidR="009B35CE" w:rsidRPr="0034017B">
        <w:t xml:space="preserve">Summary of the evidence for </w:t>
      </w:r>
      <w:r w:rsidR="009B35CE">
        <w:t xml:space="preserve">the safety of </w:t>
      </w:r>
      <w:r w:rsidR="009B35CE" w:rsidRPr="0034017B">
        <w:t xml:space="preserve">a </w:t>
      </w:r>
      <w:r w:rsidR="00BC132E" w:rsidRPr="00BC132E">
        <w:t>PDE-5 inhibitor in addition to an ERA, relative to ERA monotherapy</w:t>
      </w:r>
      <w:bookmarkEnd w:id="31"/>
    </w:p>
    <w:tbl>
      <w:tblPr>
        <w:tblStyle w:val="TableGrid"/>
        <w:tblW w:w="9634" w:type="dxa"/>
        <w:tblLayout w:type="fixed"/>
        <w:tblLook w:val="04A0" w:firstRow="1" w:lastRow="0" w:firstColumn="1" w:lastColumn="0" w:noHBand="0" w:noVBand="1"/>
        <w:tblCaption w:val="Summary of the evidence for the safety of a PDE-5 inhibitor in addition to an ERA, relative to ERA monotherapy"/>
      </w:tblPr>
      <w:tblGrid>
        <w:gridCol w:w="1696"/>
        <w:gridCol w:w="2189"/>
        <w:gridCol w:w="5749"/>
      </w:tblGrid>
      <w:tr w:rsidR="009B35CE" w:rsidRPr="00D103A9" w:rsidTr="00FF7DE0">
        <w:trPr>
          <w:cnfStyle w:val="100000000000" w:firstRow="1" w:lastRow="0" w:firstColumn="0" w:lastColumn="0" w:oddVBand="0" w:evenVBand="0" w:oddHBand="0" w:evenHBand="0" w:firstRowFirstColumn="0" w:firstRowLastColumn="0" w:lastRowFirstColumn="0" w:lastRowLastColumn="0"/>
        </w:trPr>
        <w:tc>
          <w:tcPr>
            <w:tcW w:w="1696" w:type="dxa"/>
            <w:tcBorders>
              <w:top w:val="single" w:sz="4" w:space="0" w:color="auto"/>
              <w:left w:val="single" w:sz="4" w:space="0" w:color="auto"/>
              <w:bottom w:val="single" w:sz="4" w:space="0" w:color="auto"/>
              <w:right w:val="single" w:sz="4" w:space="0" w:color="auto"/>
            </w:tcBorders>
          </w:tcPr>
          <w:p w:rsidR="009B35CE" w:rsidRPr="00D103A9" w:rsidRDefault="009B35CE" w:rsidP="00D103A9">
            <w:pPr>
              <w:pStyle w:val="Tabletext"/>
              <w:rPr>
                <w:rFonts w:asciiTheme="minorHAnsi" w:hAnsiTheme="minorHAnsi"/>
                <w:b/>
              </w:rPr>
            </w:pPr>
            <w:r w:rsidRPr="00D103A9">
              <w:rPr>
                <w:b/>
              </w:rPr>
              <w:t>Outcome</w:t>
            </w:r>
          </w:p>
        </w:tc>
        <w:tc>
          <w:tcPr>
            <w:tcW w:w="2189" w:type="dxa"/>
            <w:tcBorders>
              <w:top w:val="single" w:sz="4" w:space="0" w:color="auto"/>
              <w:left w:val="single" w:sz="4" w:space="0" w:color="auto"/>
              <w:bottom w:val="single" w:sz="4" w:space="0" w:color="auto"/>
              <w:right w:val="single" w:sz="4" w:space="0" w:color="auto"/>
            </w:tcBorders>
          </w:tcPr>
          <w:p w:rsidR="006E1D35" w:rsidRDefault="009B35CE" w:rsidP="006E1D35">
            <w:pPr>
              <w:pStyle w:val="Tabletext"/>
              <w:rPr>
                <w:b/>
              </w:rPr>
            </w:pPr>
            <w:r w:rsidRPr="00D103A9">
              <w:rPr>
                <w:b/>
              </w:rPr>
              <w:t xml:space="preserve">Included trials </w:t>
            </w:r>
          </w:p>
          <w:p w:rsidR="009B35CE" w:rsidRPr="00D103A9" w:rsidRDefault="006E1D35" w:rsidP="006E1D35">
            <w:pPr>
              <w:pStyle w:val="Tabletext"/>
              <w:rPr>
                <w:rFonts w:asciiTheme="minorHAnsi" w:hAnsiTheme="minorHAnsi"/>
                <w:b/>
              </w:rPr>
            </w:pPr>
            <w:r w:rsidRPr="00293DE5">
              <w:rPr>
                <w:b/>
              </w:rPr>
              <w:t>No. of patients</w:t>
            </w:r>
          </w:p>
        </w:tc>
        <w:tc>
          <w:tcPr>
            <w:tcW w:w="5749" w:type="dxa"/>
            <w:tcBorders>
              <w:top w:val="single" w:sz="4" w:space="0" w:color="auto"/>
              <w:left w:val="single" w:sz="4" w:space="0" w:color="auto"/>
              <w:bottom w:val="single" w:sz="4" w:space="0" w:color="auto"/>
              <w:right w:val="single" w:sz="4" w:space="0" w:color="auto"/>
            </w:tcBorders>
          </w:tcPr>
          <w:p w:rsidR="009B35CE" w:rsidRPr="00D103A9" w:rsidRDefault="009B35CE" w:rsidP="00D103A9">
            <w:pPr>
              <w:pStyle w:val="Tabletext"/>
              <w:rPr>
                <w:rFonts w:asciiTheme="minorHAnsi" w:hAnsiTheme="minorHAnsi"/>
                <w:b/>
              </w:rPr>
            </w:pPr>
            <w:r w:rsidRPr="00D103A9">
              <w:rPr>
                <w:b/>
              </w:rPr>
              <w:t>Summary of evidence</w:t>
            </w:r>
          </w:p>
        </w:tc>
      </w:tr>
      <w:tr w:rsidR="009B35CE" w:rsidRPr="0034017B"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Pr="0034017B" w:rsidRDefault="009B35CE" w:rsidP="00D103A9">
            <w:pPr>
              <w:pStyle w:val="Tabletext"/>
              <w:rPr>
                <w:rFonts w:asciiTheme="minorHAnsi" w:hAnsiTheme="minorHAnsi"/>
              </w:rPr>
            </w:pPr>
            <w:r>
              <w:t>A</w:t>
            </w:r>
            <w:r w:rsidRPr="00474FD8">
              <w:t>ll PAH patients</w:t>
            </w:r>
          </w:p>
        </w:tc>
      </w:tr>
      <w:tr w:rsidR="009B35CE" w:rsidRPr="0034017B" w:rsidTr="00FF7DE0">
        <w:tc>
          <w:tcPr>
            <w:tcW w:w="1696" w:type="dxa"/>
            <w:tcBorders>
              <w:top w:val="single" w:sz="4" w:space="0" w:color="auto"/>
              <w:left w:val="single" w:sz="4" w:space="0" w:color="auto"/>
              <w:bottom w:val="single" w:sz="4" w:space="0" w:color="auto"/>
              <w:right w:val="single" w:sz="4" w:space="0" w:color="auto"/>
            </w:tcBorders>
          </w:tcPr>
          <w:p w:rsidR="009B35CE" w:rsidRPr="0034017B" w:rsidRDefault="009B35CE" w:rsidP="00D103A9">
            <w:pPr>
              <w:pStyle w:val="Tabletext"/>
            </w:pPr>
            <w:r w:rsidRPr="0034017B">
              <w:t>Any AE</w:t>
            </w:r>
          </w:p>
        </w:tc>
        <w:tc>
          <w:tcPr>
            <w:tcW w:w="2189" w:type="dxa"/>
            <w:tcBorders>
              <w:top w:val="single" w:sz="4" w:space="0" w:color="auto"/>
              <w:left w:val="single" w:sz="4" w:space="0" w:color="auto"/>
              <w:bottom w:val="single" w:sz="4" w:space="0" w:color="auto"/>
              <w:right w:val="single" w:sz="4" w:space="0" w:color="auto"/>
            </w:tcBorders>
          </w:tcPr>
          <w:p w:rsidR="009B35CE" w:rsidRDefault="00497A86" w:rsidP="00D103A9">
            <w:pPr>
              <w:pStyle w:val="Tabletext"/>
            </w:pPr>
            <w:r>
              <w:t>PHIRST (</w:t>
            </w:r>
            <w:r w:rsidR="009B35CE">
              <w:t>tadalafil/</w:t>
            </w:r>
            <w:r w:rsidR="009B35CE" w:rsidRPr="00885C20">
              <w:t>b</w:t>
            </w:r>
            <w:r w:rsidR="009B35CE">
              <w:t>o</w:t>
            </w:r>
            <w:r w:rsidR="009B35CE" w:rsidRPr="00885C20">
              <w:t>sentan)</w:t>
            </w:r>
          </w:p>
          <w:p w:rsidR="00787DD0" w:rsidRDefault="009B35CE" w:rsidP="00D103A9">
            <w:pPr>
              <w:pStyle w:val="Tabletext"/>
            </w:pPr>
            <w:r>
              <w:t>Vizza 2017 (sildenafil/bosentan)</w:t>
            </w:r>
            <w:r w:rsidR="00787DD0">
              <w:t xml:space="preserve"> </w:t>
            </w:r>
          </w:p>
          <w:p w:rsidR="009B35CE" w:rsidRPr="0034017B" w:rsidRDefault="00787DD0" w:rsidP="00D103A9">
            <w:pPr>
              <w:pStyle w:val="Tabletext"/>
            </w:pPr>
            <w:r>
              <w:t>N=190</w:t>
            </w:r>
          </w:p>
        </w:tc>
        <w:tc>
          <w:tcPr>
            <w:tcW w:w="5749" w:type="dxa"/>
            <w:tcBorders>
              <w:top w:val="single" w:sz="4" w:space="0" w:color="auto"/>
              <w:left w:val="single" w:sz="4" w:space="0" w:color="auto"/>
              <w:bottom w:val="single" w:sz="4" w:space="0" w:color="auto"/>
              <w:right w:val="single" w:sz="4" w:space="0" w:color="auto"/>
            </w:tcBorders>
          </w:tcPr>
          <w:p w:rsidR="009B35CE" w:rsidRPr="0034017B" w:rsidRDefault="009B35CE" w:rsidP="00480FDF">
            <w:pPr>
              <w:pStyle w:val="Tabletext"/>
              <w:numPr>
                <w:ilvl w:val="0"/>
                <w:numId w:val="34"/>
              </w:numPr>
              <w:ind w:left="227" w:hanging="219"/>
              <w:rPr>
                <w:szCs w:val="18"/>
              </w:rPr>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Default="009B35CE" w:rsidP="00480FDF">
            <w:pPr>
              <w:pStyle w:val="Tabletext"/>
              <w:numPr>
                <w:ilvl w:val="0"/>
                <w:numId w:val="34"/>
              </w:numPr>
              <w:ind w:left="227" w:hanging="219"/>
            </w:pPr>
            <w:r w:rsidRPr="0034017B">
              <w:t xml:space="preserve">The proportion of patients who had any AE was </w:t>
            </w:r>
            <w:r>
              <w:t>similar</w:t>
            </w:r>
            <w:r w:rsidRPr="0034017B">
              <w:t xml:space="preserve"> for both the combination therapy and monotherapy arms (</w:t>
            </w:r>
            <w:r>
              <w:t xml:space="preserve">pooled </w:t>
            </w:r>
            <w:r w:rsidRPr="0034017B">
              <w:t xml:space="preserve">RR = </w:t>
            </w:r>
            <w:r>
              <w:t>1</w:t>
            </w:r>
            <w:r w:rsidRPr="0034017B">
              <w:t>.</w:t>
            </w:r>
            <w:r>
              <w:t>00</w:t>
            </w:r>
            <w:r w:rsidRPr="0034017B">
              <w:t>; 95% CI 0.</w:t>
            </w:r>
            <w:r>
              <w:t>7</w:t>
            </w:r>
            <w:r w:rsidRPr="0034017B">
              <w:t>9</w:t>
            </w:r>
            <w:r>
              <w:t>,</w:t>
            </w:r>
            <w:r w:rsidRPr="0034017B">
              <w:t xml:space="preserve"> 1.</w:t>
            </w:r>
            <w:r>
              <w:t>27</w:t>
            </w:r>
            <w:r w:rsidRPr="0034017B">
              <w:t>)</w:t>
            </w:r>
            <w:r w:rsidR="00E74E34">
              <w:t>.</w:t>
            </w:r>
          </w:p>
          <w:p w:rsidR="00BC132E" w:rsidRPr="0034017B" w:rsidRDefault="00BC132E" w:rsidP="00480FDF">
            <w:pPr>
              <w:pStyle w:val="Tabletext"/>
              <w:numPr>
                <w:ilvl w:val="0"/>
                <w:numId w:val="34"/>
              </w:numPr>
              <w:ind w:left="227" w:hanging="219"/>
            </w:pPr>
            <w:r>
              <w:rPr>
                <w:szCs w:val="18"/>
              </w:rPr>
              <w:t xml:space="preserve">There </w:t>
            </w:r>
            <w:r w:rsidR="00497A86">
              <w:rPr>
                <w:szCs w:val="18"/>
              </w:rPr>
              <w:t>were</w:t>
            </w:r>
            <w:r>
              <w:rPr>
                <w:szCs w:val="18"/>
              </w:rPr>
              <w:t xml:space="preserve"> n</w:t>
            </w:r>
            <w:r w:rsidRPr="0034017B">
              <w:rPr>
                <w:szCs w:val="18"/>
              </w:rPr>
              <w:t xml:space="preserve">o significant differences in </w:t>
            </w:r>
            <w:r w:rsidR="00497A86">
              <w:rPr>
                <w:szCs w:val="18"/>
              </w:rPr>
              <w:t xml:space="preserve">treatment </w:t>
            </w:r>
            <w:r w:rsidRPr="0034017B">
              <w:rPr>
                <w:szCs w:val="18"/>
              </w:rPr>
              <w:t xml:space="preserve">effectiveness for </w:t>
            </w:r>
            <w:r w:rsidR="00497A86">
              <w:rPr>
                <w:szCs w:val="18"/>
              </w:rPr>
              <w:t xml:space="preserve">the </w:t>
            </w:r>
            <w:r w:rsidRPr="0034017B">
              <w:rPr>
                <w:szCs w:val="18"/>
              </w:rPr>
              <w:t>d</w:t>
            </w:r>
            <w:r>
              <w:rPr>
                <w:szCs w:val="18"/>
              </w:rPr>
              <w:t>ifferent treatment combinations</w:t>
            </w:r>
            <w:r w:rsidR="00E74E34">
              <w:rPr>
                <w:szCs w:val="18"/>
              </w:rPr>
              <w:t>.</w:t>
            </w:r>
          </w:p>
        </w:tc>
      </w:tr>
      <w:tr w:rsidR="009B35CE" w:rsidRPr="0034017B" w:rsidTr="00FF7DE0">
        <w:tc>
          <w:tcPr>
            <w:tcW w:w="1696" w:type="dxa"/>
          </w:tcPr>
          <w:p w:rsidR="009B35CE" w:rsidRPr="0034017B" w:rsidRDefault="009B35CE" w:rsidP="00D103A9">
            <w:pPr>
              <w:pStyle w:val="Tabletext"/>
            </w:pPr>
            <w:r w:rsidRPr="0034017B">
              <w:t>Serious AEs</w:t>
            </w:r>
          </w:p>
        </w:tc>
        <w:tc>
          <w:tcPr>
            <w:tcW w:w="2189"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AMBITION (tadalafil/ambrisentan)</w:t>
            </w:r>
          </w:p>
          <w:p w:rsidR="00787DD0" w:rsidRDefault="009B35CE" w:rsidP="00D103A9">
            <w:pPr>
              <w:pStyle w:val="Tabletext"/>
            </w:pPr>
            <w:r>
              <w:t>Vizza 2017 (sildenafil/bosentan)</w:t>
            </w:r>
            <w:r w:rsidR="00787DD0" w:rsidRPr="006316DF">
              <w:t xml:space="preserve"> </w:t>
            </w:r>
          </w:p>
          <w:p w:rsidR="009B35CE" w:rsidRPr="0034017B" w:rsidRDefault="00787DD0" w:rsidP="00D103A9">
            <w:pPr>
              <w:pStyle w:val="Tabletext"/>
            </w:pPr>
            <w:r w:rsidRPr="006316DF">
              <w:t>N=</w:t>
            </w:r>
            <w:r>
              <w:t>482</w:t>
            </w:r>
          </w:p>
        </w:tc>
        <w:tc>
          <w:tcPr>
            <w:tcW w:w="5749" w:type="dxa"/>
          </w:tcPr>
          <w:p w:rsidR="009B35CE" w:rsidRPr="0034017B" w:rsidRDefault="009B35CE" w:rsidP="00480FDF">
            <w:pPr>
              <w:pStyle w:val="Tabletext"/>
              <w:numPr>
                <w:ilvl w:val="0"/>
                <w:numId w:val="34"/>
              </w:numPr>
              <w:ind w:left="227" w:hanging="219"/>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Default="009B35CE" w:rsidP="00480FDF">
            <w:pPr>
              <w:pStyle w:val="Tabletext"/>
              <w:numPr>
                <w:ilvl w:val="0"/>
                <w:numId w:val="34"/>
              </w:numPr>
              <w:ind w:left="227" w:hanging="219"/>
            </w:pPr>
            <w:r w:rsidRPr="0034017B">
              <w:t>The proportion of patients who had a</w:t>
            </w:r>
            <w:r>
              <w:t xml:space="preserve"> serious</w:t>
            </w:r>
            <w:r w:rsidRPr="0034017B">
              <w:t xml:space="preserve"> AE was </w:t>
            </w:r>
            <w:r>
              <w:t>similar</w:t>
            </w:r>
            <w:r w:rsidRPr="0034017B">
              <w:t xml:space="preserve"> for both the combination therapy and monotherapy arms (pooled RR = 0.</w:t>
            </w:r>
            <w:r>
              <w:t>99</w:t>
            </w:r>
            <w:r w:rsidRPr="0034017B">
              <w:t>; 95% CI 0.</w:t>
            </w:r>
            <w:r>
              <w:t>7</w:t>
            </w:r>
            <w:r w:rsidRPr="0034017B">
              <w:t xml:space="preserve">6, </w:t>
            </w:r>
            <w:r>
              <w:t>1</w:t>
            </w:r>
            <w:r w:rsidRPr="0034017B">
              <w:t>.</w:t>
            </w:r>
            <w:r>
              <w:t>2</w:t>
            </w:r>
            <w:r w:rsidRPr="0034017B">
              <w:t>9)</w:t>
            </w:r>
            <w:r w:rsidR="00E74E34">
              <w:t>.</w:t>
            </w:r>
          </w:p>
          <w:p w:rsidR="00BC132E" w:rsidRPr="0034017B" w:rsidRDefault="00497A86" w:rsidP="00480FDF">
            <w:pPr>
              <w:pStyle w:val="Tabletext"/>
              <w:numPr>
                <w:ilvl w:val="0"/>
                <w:numId w:val="34"/>
              </w:numPr>
              <w:ind w:left="227" w:hanging="219"/>
            </w:pPr>
            <w:r w:rsidRPr="00497A86">
              <w:t>There were no significant differences in treatment effectiveness for the different treatment combinations</w:t>
            </w:r>
            <w:r w:rsidR="00E74E34">
              <w:t>.</w:t>
            </w:r>
          </w:p>
        </w:tc>
      </w:tr>
      <w:tr w:rsidR="009B35CE" w:rsidRPr="0034017B" w:rsidTr="00FF7DE0">
        <w:tc>
          <w:tcPr>
            <w:tcW w:w="1696" w:type="dxa"/>
          </w:tcPr>
          <w:p w:rsidR="009B35CE" w:rsidRPr="0034017B" w:rsidRDefault="009B35CE" w:rsidP="00D103A9">
            <w:pPr>
              <w:pStyle w:val="Tabletext"/>
            </w:pPr>
            <w:r w:rsidRPr="0034017B">
              <w:t>AEs leading to treatment discontinuation</w:t>
            </w:r>
          </w:p>
        </w:tc>
        <w:tc>
          <w:tcPr>
            <w:tcW w:w="2189"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AMBITION (tadalafil/ambrisentan)</w:t>
            </w:r>
          </w:p>
          <w:p w:rsidR="00787DD0" w:rsidRDefault="009B35CE" w:rsidP="00D103A9">
            <w:pPr>
              <w:pStyle w:val="Tabletext"/>
            </w:pPr>
            <w:r>
              <w:t>Z</w:t>
            </w:r>
            <w:r w:rsidR="00730401">
              <w:t>h</w:t>
            </w:r>
            <w:r>
              <w:t>uang 2014 (tadalafil/ambrisentan)</w:t>
            </w:r>
            <w:r w:rsidR="00787DD0">
              <w:t xml:space="preserve"> </w:t>
            </w:r>
          </w:p>
          <w:p w:rsidR="009B35CE" w:rsidRPr="0034017B" w:rsidRDefault="00787DD0" w:rsidP="00D103A9">
            <w:pPr>
              <w:pStyle w:val="Tabletext"/>
            </w:pPr>
            <w:r>
              <w:t>N=503</w:t>
            </w:r>
          </w:p>
        </w:tc>
        <w:tc>
          <w:tcPr>
            <w:tcW w:w="5749" w:type="dxa"/>
            <w:tcBorders>
              <w:top w:val="single" w:sz="4" w:space="0" w:color="auto"/>
              <w:left w:val="single" w:sz="4" w:space="0" w:color="auto"/>
              <w:bottom w:val="single" w:sz="4" w:space="0" w:color="auto"/>
              <w:right w:val="single" w:sz="4" w:space="0" w:color="auto"/>
            </w:tcBorders>
          </w:tcPr>
          <w:p w:rsidR="009B35CE" w:rsidRPr="0034017B" w:rsidRDefault="005D597D" w:rsidP="00480FDF">
            <w:pPr>
              <w:pStyle w:val="Tabletext"/>
              <w:numPr>
                <w:ilvl w:val="0"/>
                <w:numId w:val="34"/>
              </w:numPr>
              <w:ind w:left="227" w:hanging="219"/>
              <w:rPr>
                <w:szCs w:val="18"/>
              </w:rPr>
            </w:pPr>
            <w:r>
              <w:t>Moderate</w:t>
            </w:r>
            <w:r w:rsidR="009B35CE" w:rsidRPr="0034017B">
              <w:t xml:space="preserve"> quality</w:t>
            </w:r>
            <w:r w:rsidR="009B35CE" w:rsidRPr="0034017B">
              <w:rPr>
                <w:rFonts w:cs="Cambria Math"/>
              </w:rPr>
              <w:t xml:space="preserve"> evidence (GRADE </w:t>
            </w:r>
            <w:r w:rsidR="009B35CE" w:rsidRPr="0034017B">
              <w:rPr>
                <w:rFonts w:ascii="Cambria Math" w:hAnsi="Cambria Math" w:cs="Cambria Math"/>
                <w:color w:val="00B050"/>
              </w:rPr>
              <w:t>⨁⨁⨁</w:t>
            </w:r>
            <w:r w:rsidRPr="00E564DD">
              <w:rPr>
                <w:rFonts w:ascii="Cambria Math" w:eastAsia="Times New Roman" w:hAnsi="Cambria Math" w:cs="Cambria Math"/>
                <w:bCs/>
                <w:color w:val="C00000"/>
              </w:rPr>
              <w:t>⨀</w:t>
            </w:r>
            <w:r w:rsidR="009B35CE" w:rsidRPr="0034017B">
              <w:t>)</w:t>
            </w:r>
          </w:p>
          <w:p w:rsidR="001D6F98" w:rsidRDefault="001D6F98" w:rsidP="00480FDF">
            <w:pPr>
              <w:pStyle w:val="Tabletext"/>
              <w:numPr>
                <w:ilvl w:val="0"/>
                <w:numId w:val="34"/>
              </w:numPr>
              <w:ind w:left="227" w:hanging="219"/>
            </w:pPr>
            <w:r w:rsidRPr="0034017B">
              <w:t>More patients had an AE leading to treatment discontinuation with combination therapy compared with monotherapy</w:t>
            </w:r>
            <w:r w:rsidR="009A57D8" w:rsidRPr="00160CDF">
              <w:t xml:space="preserve">, but the 95% CI indicates that there could also be </w:t>
            </w:r>
            <w:r w:rsidR="009A57D8">
              <w:t>an</w:t>
            </w:r>
            <w:r w:rsidR="009A57D8" w:rsidRPr="00160CDF">
              <w:t xml:space="preserve"> effect</w:t>
            </w:r>
            <w:r w:rsidR="009A57D8">
              <w:t xml:space="preserve"> in the opposite direction</w:t>
            </w:r>
            <w:r w:rsidRPr="0034017B">
              <w:t xml:space="preserve"> (pooled RR = 1.</w:t>
            </w:r>
            <w:r>
              <w:t>65</w:t>
            </w:r>
            <w:r w:rsidRPr="0034017B">
              <w:t>; 95% CI 0.</w:t>
            </w:r>
            <w:r>
              <w:t>35</w:t>
            </w:r>
            <w:r w:rsidRPr="0034017B">
              <w:t xml:space="preserve">, </w:t>
            </w:r>
            <w:r>
              <w:t>7</w:t>
            </w:r>
            <w:r w:rsidRPr="0034017B">
              <w:t>.</w:t>
            </w:r>
            <w:r>
              <w:t>81</w:t>
            </w:r>
            <w:r w:rsidRPr="0034017B">
              <w:t>)</w:t>
            </w:r>
            <w:r w:rsidR="00E74E34">
              <w:t>.</w:t>
            </w:r>
          </w:p>
          <w:p w:rsidR="00BC132E" w:rsidRPr="0034017B" w:rsidRDefault="00497A86" w:rsidP="00480FDF">
            <w:pPr>
              <w:pStyle w:val="Tabletext"/>
              <w:numPr>
                <w:ilvl w:val="0"/>
                <w:numId w:val="34"/>
              </w:numPr>
              <w:ind w:left="227" w:hanging="219"/>
            </w:pPr>
            <w:r w:rsidRPr="00497A86">
              <w:t>There were no significant differences in treatment effectiveness for the different treatment combinations</w:t>
            </w:r>
            <w:r w:rsidR="00E74E34">
              <w:t>.</w:t>
            </w:r>
          </w:p>
        </w:tc>
      </w:tr>
      <w:tr w:rsidR="009B35CE" w:rsidRPr="0034017B"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Pr="00474FD8" w:rsidRDefault="009B35CE" w:rsidP="00D103A9">
            <w:pPr>
              <w:pStyle w:val="Tabletext"/>
            </w:pPr>
            <w:r>
              <w:t>P</w:t>
            </w:r>
            <w:r w:rsidRPr="00474FD8">
              <w:t>atients with PAH</w:t>
            </w:r>
            <w:r>
              <w:t>-CTD</w:t>
            </w:r>
          </w:p>
        </w:tc>
      </w:tr>
      <w:tr w:rsidR="009B35CE" w:rsidRPr="0034017B" w:rsidTr="00FF7DE0">
        <w:tc>
          <w:tcPr>
            <w:tcW w:w="1696" w:type="dxa"/>
            <w:tcBorders>
              <w:top w:val="single" w:sz="4" w:space="0" w:color="auto"/>
              <w:left w:val="single" w:sz="4" w:space="0" w:color="auto"/>
              <w:bottom w:val="single" w:sz="4" w:space="0" w:color="auto"/>
              <w:right w:val="single" w:sz="4" w:space="0" w:color="auto"/>
            </w:tcBorders>
          </w:tcPr>
          <w:p w:rsidR="009B35CE" w:rsidRPr="0034017B" w:rsidRDefault="009B35CE" w:rsidP="00D103A9">
            <w:pPr>
              <w:pStyle w:val="Tabletext"/>
            </w:pPr>
            <w:r w:rsidRPr="0034017B">
              <w:t>Any AE</w:t>
            </w:r>
            <w:r>
              <w:t xml:space="preserve"> </w:t>
            </w:r>
          </w:p>
        </w:tc>
        <w:tc>
          <w:tcPr>
            <w:tcW w:w="2189" w:type="dxa"/>
            <w:tcBorders>
              <w:top w:val="single" w:sz="4" w:space="0" w:color="auto"/>
              <w:left w:val="single" w:sz="4" w:space="0" w:color="auto"/>
              <w:bottom w:val="single" w:sz="4" w:space="0" w:color="auto"/>
              <w:right w:val="single" w:sz="4" w:space="0" w:color="auto"/>
            </w:tcBorders>
          </w:tcPr>
          <w:p w:rsidR="00787DD0" w:rsidRDefault="009B35CE" w:rsidP="00D103A9">
            <w:pPr>
              <w:pStyle w:val="Tabletext"/>
              <w:rPr>
                <w:rFonts w:cs="Arial"/>
              </w:rPr>
            </w:pPr>
            <w:r>
              <w:t>AMBITION (tadalafil/ambrisentan)</w:t>
            </w:r>
            <w:r w:rsidR="00787DD0">
              <w:rPr>
                <w:rFonts w:cs="Arial"/>
              </w:rPr>
              <w:t xml:space="preserve"> </w:t>
            </w:r>
          </w:p>
          <w:p w:rsidR="009B35CE" w:rsidRPr="0034017B" w:rsidRDefault="00787DD0" w:rsidP="00D103A9">
            <w:pPr>
              <w:pStyle w:val="Tabletext"/>
            </w:pPr>
            <w:r>
              <w:rPr>
                <w:rFonts w:cs="Arial"/>
              </w:rPr>
              <w:t>N=146</w:t>
            </w:r>
          </w:p>
        </w:tc>
        <w:tc>
          <w:tcPr>
            <w:tcW w:w="5749" w:type="dxa"/>
            <w:tcBorders>
              <w:top w:val="single" w:sz="4" w:space="0" w:color="auto"/>
              <w:left w:val="single" w:sz="4" w:space="0" w:color="auto"/>
              <w:bottom w:val="single" w:sz="4" w:space="0" w:color="auto"/>
              <w:right w:val="single" w:sz="4" w:space="0" w:color="auto"/>
            </w:tcBorders>
          </w:tcPr>
          <w:p w:rsidR="009B35CE" w:rsidRPr="0034017B" w:rsidRDefault="009B35CE" w:rsidP="00480FDF">
            <w:pPr>
              <w:pStyle w:val="Tabletext"/>
              <w:numPr>
                <w:ilvl w:val="0"/>
                <w:numId w:val="35"/>
              </w:numPr>
              <w:ind w:left="227" w:hanging="219"/>
              <w:rPr>
                <w:szCs w:val="18"/>
              </w:rPr>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Pr="0034017B" w:rsidRDefault="009B35CE" w:rsidP="00480FDF">
            <w:pPr>
              <w:pStyle w:val="Tabletext"/>
              <w:numPr>
                <w:ilvl w:val="0"/>
                <w:numId w:val="35"/>
              </w:numPr>
              <w:ind w:left="227" w:hanging="219"/>
            </w:pPr>
            <w:r w:rsidRPr="0034017B">
              <w:t xml:space="preserve">The proportion of patients who had any AE was </w:t>
            </w:r>
            <w:r>
              <w:t>similar</w:t>
            </w:r>
            <w:r w:rsidRPr="0034017B">
              <w:t xml:space="preserve"> for both the combination therapy and monotherapy arms (RR = </w:t>
            </w:r>
            <w:r>
              <w:t>1</w:t>
            </w:r>
            <w:r w:rsidRPr="0034017B">
              <w:t>.</w:t>
            </w:r>
            <w:r>
              <w:t>04</w:t>
            </w:r>
            <w:r w:rsidRPr="0034017B">
              <w:t>; 95% CI 0.9</w:t>
            </w:r>
            <w:r>
              <w:t>7,</w:t>
            </w:r>
            <w:r w:rsidRPr="0034017B">
              <w:t xml:space="preserve"> 1.</w:t>
            </w:r>
            <w:r>
              <w:t>11</w:t>
            </w:r>
            <w:r w:rsidRPr="0034017B">
              <w:t>)</w:t>
            </w:r>
            <w:r w:rsidR="00E74E34">
              <w:t>.</w:t>
            </w:r>
          </w:p>
        </w:tc>
      </w:tr>
      <w:tr w:rsidR="009B35CE" w:rsidRPr="0034017B" w:rsidTr="00FF7DE0">
        <w:tc>
          <w:tcPr>
            <w:tcW w:w="1696" w:type="dxa"/>
          </w:tcPr>
          <w:p w:rsidR="009B35CE" w:rsidRPr="0034017B" w:rsidRDefault="009B35CE" w:rsidP="00D103A9">
            <w:pPr>
              <w:pStyle w:val="Tabletext"/>
            </w:pPr>
            <w:r w:rsidRPr="0034017B">
              <w:t>Serious AEs</w:t>
            </w:r>
          </w:p>
        </w:tc>
        <w:tc>
          <w:tcPr>
            <w:tcW w:w="2189" w:type="dxa"/>
            <w:tcBorders>
              <w:top w:val="single" w:sz="4" w:space="0" w:color="auto"/>
              <w:left w:val="single" w:sz="4" w:space="0" w:color="auto"/>
              <w:bottom w:val="single" w:sz="4" w:space="0" w:color="auto"/>
              <w:right w:val="single" w:sz="4" w:space="0" w:color="auto"/>
            </w:tcBorders>
          </w:tcPr>
          <w:p w:rsidR="00787DD0" w:rsidRDefault="009B35CE" w:rsidP="00787DD0">
            <w:pPr>
              <w:pStyle w:val="Tabletext"/>
              <w:rPr>
                <w:rFonts w:cs="Arial"/>
              </w:rPr>
            </w:pPr>
            <w:r>
              <w:t>AMBITION (tadalafil/ambrisentan)</w:t>
            </w:r>
            <w:r w:rsidR="00787DD0">
              <w:rPr>
                <w:rFonts w:cs="Arial"/>
              </w:rPr>
              <w:t xml:space="preserve"> </w:t>
            </w:r>
          </w:p>
          <w:p w:rsidR="009B35CE" w:rsidRPr="0034017B" w:rsidRDefault="00787DD0" w:rsidP="00787DD0">
            <w:pPr>
              <w:pStyle w:val="Tabletext"/>
            </w:pPr>
            <w:r>
              <w:rPr>
                <w:rFonts w:cs="Arial"/>
              </w:rPr>
              <w:t>N=146</w:t>
            </w:r>
          </w:p>
        </w:tc>
        <w:tc>
          <w:tcPr>
            <w:tcW w:w="5749" w:type="dxa"/>
          </w:tcPr>
          <w:p w:rsidR="009B35CE" w:rsidRPr="0034017B" w:rsidRDefault="009B35CE" w:rsidP="00480FDF">
            <w:pPr>
              <w:pStyle w:val="Tabletext"/>
              <w:numPr>
                <w:ilvl w:val="0"/>
                <w:numId w:val="35"/>
              </w:numPr>
              <w:ind w:left="227" w:hanging="219"/>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Pr="0034017B" w:rsidRDefault="009B35CE" w:rsidP="00480FDF">
            <w:pPr>
              <w:pStyle w:val="Tabletext"/>
              <w:numPr>
                <w:ilvl w:val="0"/>
                <w:numId w:val="35"/>
              </w:numPr>
              <w:ind w:left="227" w:hanging="219"/>
            </w:pPr>
            <w:r w:rsidRPr="0034017B">
              <w:t>More patients had a</w:t>
            </w:r>
            <w:r>
              <w:t xml:space="preserve"> serious</w:t>
            </w:r>
            <w:r w:rsidRPr="0034017B">
              <w:t xml:space="preserve"> AE with combination therapy compared with monotherapy, but the </w:t>
            </w:r>
            <w:r w:rsidR="00D84687">
              <w:t>95% CI indicates</w:t>
            </w:r>
            <w:r w:rsidRPr="0034017B">
              <w:t xml:space="preserve"> that there could also be </w:t>
            </w:r>
            <w:r w:rsidR="009A57D8">
              <w:t>an</w:t>
            </w:r>
            <w:r>
              <w:t xml:space="preserve"> effect</w:t>
            </w:r>
            <w:r w:rsidRPr="0034017B">
              <w:t xml:space="preserve"> </w:t>
            </w:r>
            <w:r w:rsidR="009A57D8">
              <w:t xml:space="preserve">in the opposite direction </w:t>
            </w:r>
            <w:r w:rsidRPr="0034017B">
              <w:t xml:space="preserve">(RR = </w:t>
            </w:r>
            <w:r>
              <w:t>1</w:t>
            </w:r>
            <w:r w:rsidRPr="0034017B">
              <w:t>.</w:t>
            </w:r>
            <w:r>
              <w:t>28</w:t>
            </w:r>
            <w:r w:rsidRPr="0034017B">
              <w:t>; 95% CI 0.</w:t>
            </w:r>
            <w:r>
              <w:t>80</w:t>
            </w:r>
            <w:r w:rsidRPr="0034017B">
              <w:t xml:space="preserve">, </w:t>
            </w:r>
            <w:r>
              <w:t>2.04</w:t>
            </w:r>
            <w:r w:rsidRPr="0034017B">
              <w:t>)</w:t>
            </w:r>
            <w:r w:rsidR="00E74E34">
              <w:t>.</w:t>
            </w:r>
          </w:p>
        </w:tc>
      </w:tr>
      <w:tr w:rsidR="009B35CE" w:rsidRPr="0034017B" w:rsidTr="00FF7DE0">
        <w:tc>
          <w:tcPr>
            <w:tcW w:w="1696" w:type="dxa"/>
          </w:tcPr>
          <w:p w:rsidR="009B35CE" w:rsidRPr="0034017B" w:rsidRDefault="009B35CE" w:rsidP="00D103A9">
            <w:pPr>
              <w:pStyle w:val="Tabletext"/>
            </w:pPr>
            <w:r w:rsidRPr="0034017B">
              <w:t>AEs leading to treatment discontinuation</w:t>
            </w:r>
          </w:p>
        </w:tc>
        <w:tc>
          <w:tcPr>
            <w:tcW w:w="2189" w:type="dxa"/>
            <w:tcBorders>
              <w:top w:val="single" w:sz="4" w:space="0" w:color="auto"/>
              <w:left w:val="single" w:sz="4" w:space="0" w:color="auto"/>
              <w:bottom w:val="single" w:sz="4" w:space="0" w:color="auto"/>
              <w:right w:val="single" w:sz="4" w:space="0" w:color="auto"/>
            </w:tcBorders>
          </w:tcPr>
          <w:p w:rsidR="00787DD0" w:rsidRDefault="009B35CE" w:rsidP="00787DD0">
            <w:pPr>
              <w:pStyle w:val="Tabletext"/>
              <w:rPr>
                <w:rFonts w:cs="Arial"/>
              </w:rPr>
            </w:pPr>
            <w:r>
              <w:t>AMBITION (tadalafil/ambrisentan)</w:t>
            </w:r>
            <w:r w:rsidR="00787DD0">
              <w:rPr>
                <w:rFonts w:cs="Arial"/>
              </w:rPr>
              <w:t xml:space="preserve"> </w:t>
            </w:r>
          </w:p>
          <w:p w:rsidR="009B35CE" w:rsidRPr="0034017B" w:rsidRDefault="00787DD0" w:rsidP="00787DD0">
            <w:pPr>
              <w:pStyle w:val="Tabletext"/>
            </w:pPr>
            <w:r>
              <w:rPr>
                <w:rFonts w:cs="Arial"/>
              </w:rPr>
              <w:t>N=146</w:t>
            </w:r>
          </w:p>
        </w:tc>
        <w:tc>
          <w:tcPr>
            <w:tcW w:w="5749" w:type="dxa"/>
            <w:tcBorders>
              <w:top w:val="single" w:sz="4" w:space="0" w:color="auto"/>
              <w:left w:val="single" w:sz="4" w:space="0" w:color="auto"/>
              <w:bottom w:val="single" w:sz="4" w:space="0" w:color="auto"/>
              <w:right w:val="single" w:sz="4" w:space="0" w:color="auto"/>
            </w:tcBorders>
          </w:tcPr>
          <w:p w:rsidR="009B35CE" w:rsidRPr="0034017B" w:rsidRDefault="009B35CE" w:rsidP="00480FDF">
            <w:pPr>
              <w:pStyle w:val="Tabletext"/>
              <w:numPr>
                <w:ilvl w:val="0"/>
                <w:numId w:val="35"/>
              </w:numPr>
              <w:ind w:left="227" w:hanging="219"/>
              <w:rPr>
                <w:szCs w:val="18"/>
              </w:rPr>
            </w:pPr>
            <w:r w:rsidRPr="0034017B">
              <w:t>High quality</w:t>
            </w:r>
            <w:r w:rsidRPr="0034017B">
              <w:rPr>
                <w:rFonts w:cs="Cambria Math"/>
              </w:rPr>
              <w:t xml:space="preserve"> evidence (GRADE </w:t>
            </w:r>
            <w:r w:rsidRPr="0034017B">
              <w:rPr>
                <w:rFonts w:ascii="Cambria Math" w:hAnsi="Cambria Math" w:cs="Cambria Math"/>
                <w:color w:val="00B050"/>
              </w:rPr>
              <w:t>⨁⨁⨁⨁</w:t>
            </w:r>
            <w:r w:rsidRPr="0034017B">
              <w:t>)</w:t>
            </w:r>
          </w:p>
          <w:p w:rsidR="009B35CE" w:rsidRPr="0034017B" w:rsidRDefault="009B35CE" w:rsidP="00480FDF">
            <w:pPr>
              <w:pStyle w:val="Tabletext"/>
              <w:numPr>
                <w:ilvl w:val="0"/>
                <w:numId w:val="35"/>
              </w:numPr>
              <w:ind w:left="227" w:hanging="219"/>
            </w:pPr>
            <w:r>
              <w:t xml:space="preserve">Fewer </w:t>
            </w:r>
            <w:r w:rsidRPr="0034017B">
              <w:t xml:space="preserve">patients had an AE leading to treatment discontinuation with combination therapy compared with monotherapy, but the </w:t>
            </w:r>
            <w:r w:rsidR="00D84687">
              <w:t>95% CI indicates</w:t>
            </w:r>
            <w:r w:rsidRPr="0034017B">
              <w:t xml:space="preserve"> that there could also be </w:t>
            </w:r>
            <w:r w:rsidR="009A57D8">
              <w:t>an</w:t>
            </w:r>
            <w:r>
              <w:t xml:space="preserve"> effect</w:t>
            </w:r>
            <w:r w:rsidRPr="0034017B">
              <w:t xml:space="preserve"> </w:t>
            </w:r>
            <w:r w:rsidR="009A57D8">
              <w:t xml:space="preserve">in the opposite direction </w:t>
            </w:r>
            <w:r w:rsidRPr="0034017B">
              <w:t xml:space="preserve">(RR = </w:t>
            </w:r>
            <w:r>
              <w:t>0</w:t>
            </w:r>
            <w:r w:rsidRPr="0034017B">
              <w:t>.</w:t>
            </w:r>
            <w:r>
              <w:t>75</w:t>
            </w:r>
            <w:r w:rsidRPr="0034017B">
              <w:t>; 95% CI 0.</w:t>
            </w:r>
            <w:r>
              <w:t>34</w:t>
            </w:r>
            <w:r w:rsidRPr="0034017B">
              <w:t xml:space="preserve">, </w:t>
            </w:r>
            <w:r>
              <w:t>1</w:t>
            </w:r>
            <w:r w:rsidRPr="0034017B">
              <w:t>.</w:t>
            </w:r>
            <w:r>
              <w:t>65</w:t>
            </w:r>
            <w:r w:rsidRPr="0034017B">
              <w:t>)</w:t>
            </w:r>
            <w:r w:rsidR="00E74E34">
              <w:t>.</w:t>
            </w:r>
          </w:p>
        </w:tc>
      </w:tr>
    </w:tbl>
    <w:p w:rsidR="006B2C7A" w:rsidRDefault="006B2C7A" w:rsidP="00D103A9">
      <w:pPr>
        <w:pStyle w:val="Tablenote"/>
      </w:pPr>
      <w:r>
        <w:t xml:space="preserve">AE = adverse event; </w:t>
      </w:r>
      <w:r w:rsidR="009B35CE" w:rsidRPr="0034017B">
        <w:t xml:space="preserve">CI = confidence interval; ERA = endothelin receptor antagonist; </w:t>
      </w:r>
      <w:r w:rsidR="00385E5A">
        <w:t>GRADE = grading of recommendations assessment, development and evaluation</w:t>
      </w:r>
      <w:r w:rsidR="001D34EE" w:rsidRPr="001D34EE">
        <w:rPr>
          <w:noProof/>
          <w:vertAlign w:val="superscript"/>
        </w:rPr>
        <w:t>1</w:t>
      </w:r>
      <w:r w:rsidRPr="009E3B52">
        <w:t xml:space="preserve">; </w:t>
      </w:r>
      <w:r w:rsidR="009B35CE" w:rsidRPr="0034017B">
        <w:t xml:space="preserve">PAH = pulmonary arterial hypertension; </w:t>
      </w:r>
      <w:r w:rsidR="00B923F1">
        <w:t>PAH-</w:t>
      </w:r>
      <w:r w:rsidR="00B923F1" w:rsidRPr="0034017B">
        <w:t xml:space="preserve">CTD = </w:t>
      </w:r>
      <w:r w:rsidR="00B923F1">
        <w:t xml:space="preserve">PAH </w:t>
      </w:r>
      <w:r w:rsidR="00B923F1" w:rsidRPr="0034017B">
        <w:t xml:space="preserve">associated with connective tissue disease; </w:t>
      </w:r>
      <w:r w:rsidR="009B35CE" w:rsidRPr="0034017B">
        <w:t xml:space="preserve">PDE-5 = phosphodiesterase type-5; </w:t>
      </w:r>
      <w:r w:rsidR="009B35CE">
        <w:t>RR = relative risk</w:t>
      </w:r>
    </w:p>
    <w:p w:rsidR="009B35CE" w:rsidRPr="006316DF" w:rsidRDefault="00441F08" w:rsidP="00003E50">
      <w:pPr>
        <w:pStyle w:val="Heading4"/>
        <w:tabs>
          <w:tab w:val="left" w:pos="993"/>
          <w:tab w:val="left" w:pos="1134"/>
        </w:tabs>
      </w:pPr>
      <w:r>
        <w:t>4.1.3.4</w:t>
      </w:r>
      <w:r w:rsidR="00003E50">
        <w:tab/>
      </w:r>
      <w:r w:rsidR="009B35CE">
        <w:t>PDE-5 inhibitor</w:t>
      </w:r>
      <w:r w:rsidR="009B35CE" w:rsidRPr="006316DF">
        <w:t xml:space="preserve"> </w:t>
      </w:r>
      <w:r w:rsidR="009B35CE" w:rsidRPr="00EF6A61">
        <w:t xml:space="preserve">in addition to </w:t>
      </w:r>
      <w:r w:rsidR="009B35CE" w:rsidRPr="00C22CAC">
        <w:t>prostan</w:t>
      </w:r>
      <w:r w:rsidR="00BC132E">
        <w:t>oid</w:t>
      </w:r>
    </w:p>
    <w:p w:rsidR="009B35CE" w:rsidRPr="00107676" w:rsidRDefault="009B35CE" w:rsidP="009B35CE">
      <w:pPr>
        <w:pStyle w:val="Heading5"/>
      </w:pPr>
      <w:r w:rsidRPr="00107676">
        <w:t>Clinical effectiveness</w:t>
      </w:r>
    </w:p>
    <w:p w:rsidR="009B35CE" w:rsidRPr="00C77B6A" w:rsidRDefault="009B35CE" w:rsidP="009B35CE">
      <w:pPr>
        <w:spacing w:after="40"/>
      </w:pPr>
      <w:r>
        <w:t>One</w:t>
      </w:r>
      <w:r w:rsidRPr="00C77B6A">
        <w:t xml:space="preserve"> RCT reported on the effectiveness of a </w:t>
      </w:r>
      <w:r w:rsidRPr="00BB4EA0">
        <w:t xml:space="preserve">PDE-5 inhibitor </w:t>
      </w:r>
      <w:r w:rsidRPr="00C77B6A">
        <w:t xml:space="preserve">in addition to </w:t>
      </w:r>
      <w:r w:rsidR="006A201F">
        <w:t xml:space="preserve">a </w:t>
      </w:r>
      <w:r w:rsidRPr="00C77B6A">
        <w:t>prosta</w:t>
      </w:r>
      <w:r w:rsidR="00BC132E">
        <w:t>noid</w:t>
      </w:r>
      <w:r w:rsidRPr="00C77B6A">
        <w:t xml:space="preserve"> in treating PAH compared with place</w:t>
      </w:r>
      <w:r>
        <w:t>bo plus a prosta</w:t>
      </w:r>
      <w:r w:rsidR="00BC132E">
        <w:t>noid</w:t>
      </w:r>
      <w:r>
        <w:t>:</w:t>
      </w:r>
    </w:p>
    <w:p w:rsidR="009B35CE" w:rsidRPr="00B607A5" w:rsidRDefault="009B35CE" w:rsidP="00D103A9">
      <w:pPr>
        <w:pStyle w:val="Bullettext"/>
        <w:rPr>
          <w:bCs/>
        </w:rPr>
      </w:pPr>
      <w:r w:rsidRPr="00B607A5">
        <w:t xml:space="preserve">PACES-1 enrolled patients receiving long-term intravenous epoprostenol therapy to receive combination therapy with sildenafil plus epoprostenol or epoprostenol </w:t>
      </w:r>
      <w:r w:rsidR="001D6F98" w:rsidRPr="00B607A5">
        <w:t>alone</w:t>
      </w:r>
      <w:r w:rsidR="00A87E2D" w:rsidRPr="00B607A5">
        <w:t>.</w:t>
      </w:r>
    </w:p>
    <w:p w:rsidR="009B35CE" w:rsidRDefault="009B35CE" w:rsidP="00D103A9">
      <w:r>
        <w:t xml:space="preserve">The evidence provided by this trial for all PAH patients </w:t>
      </w:r>
      <w:proofErr w:type="gramStart"/>
      <w:r>
        <w:t>is</w:t>
      </w:r>
      <w:proofErr w:type="gramEnd"/>
      <w:r>
        <w:t xml:space="preserve"> summarised in</w:t>
      </w:r>
      <w:r w:rsidR="00D103A9">
        <w:t xml:space="preserve"> </w:t>
      </w:r>
      <w:r w:rsidR="003951FA">
        <w:t>Table 4.</w:t>
      </w:r>
      <w:r w:rsidR="003951FA">
        <w:rPr>
          <w:noProof/>
        </w:rPr>
        <w:t>11</w:t>
      </w:r>
      <w:r>
        <w:t>.</w:t>
      </w:r>
    </w:p>
    <w:p w:rsidR="00073A00" w:rsidRDefault="001E5DED" w:rsidP="009B35CE">
      <w:r>
        <w:t xml:space="preserve">Overall, </w:t>
      </w:r>
      <w:r w:rsidRPr="001E5DED">
        <w:t xml:space="preserve">the use of </w:t>
      </w:r>
      <w:r w:rsidR="006A201F">
        <w:t xml:space="preserve">a </w:t>
      </w:r>
      <w:r w:rsidR="006A201F" w:rsidRPr="001E5DED">
        <w:t xml:space="preserve">PDE-5 inhibitor </w:t>
      </w:r>
      <w:r w:rsidRPr="001E5DED">
        <w:t>in addition to</w:t>
      </w:r>
      <w:r w:rsidR="006A201F" w:rsidRPr="006A201F">
        <w:t xml:space="preserve"> </w:t>
      </w:r>
      <w:r w:rsidR="006A201F" w:rsidRPr="001E5DED">
        <w:t xml:space="preserve">a </w:t>
      </w:r>
      <w:r w:rsidR="006A201F">
        <w:t>prostanoid</w:t>
      </w:r>
      <w:r w:rsidRPr="001E5DED">
        <w:t xml:space="preserve">, relative to </w:t>
      </w:r>
      <w:r w:rsidR="006A201F">
        <w:t>prostanoid</w:t>
      </w:r>
      <w:r w:rsidRPr="001E5DED">
        <w:t xml:space="preserve"> monotherapy</w:t>
      </w:r>
      <w:r w:rsidR="00A87E2D">
        <w:t>,</w:t>
      </w:r>
      <w:r w:rsidRPr="001E5DED">
        <w:t xml:space="preserve"> to treat PAH patients is likely to be beneficial</w:t>
      </w:r>
      <w:r w:rsidR="0044469E">
        <w:t>.</w:t>
      </w:r>
    </w:p>
    <w:p w:rsidR="009B35CE" w:rsidRDefault="00073A00" w:rsidP="00073A00">
      <w:pPr>
        <w:spacing w:before="0" w:line="240" w:lineRule="auto"/>
      </w:pPr>
      <w:r>
        <w:br w:type="page"/>
      </w:r>
    </w:p>
    <w:p w:rsidR="009B35CE" w:rsidRDefault="00272F8F" w:rsidP="00BC5A2B">
      <w:pPr>
        <w:pStyle w:val="Caption"/>
      </w:pPr>
      <w:bookmarkStart w:id="32" w:name="_Ref506197499"/>
      <w:bookmarkStart w:id="33" w:name="_Toc38360308"/>
      <w:r>
        <w:t>Table 4.</w:t>
      </w:r>
      <w:r w:rsidR="003951FA">
        <w:rPr>
          <w:noProof/>
        </w:rPr>
        <w:t>11</w:t>
      </w:r>
      <w:bookmarkEnd w:id="32"/>
      <w:r w:rsidR="00D103A9">
        <w:tab/>
      </w:r>
      <w:r w:rsidR="009B35CE">
        <w:t xml:space="preserve">Summary of the evidence for the clinical effectiveness of a </w:t>
      </w:r>
      <w:r w:rsidR="009B35CE" w:rsidRPr="00542902">
        <w:t xml:space="preserve">PDE-5 inhibitor in addition to </w:t>
      </w:r>
      <w:r w:rsidR="009B35CE">
        <w:t xml:space="preserve">a </w:t>
      </w:r>
      <w:r w:rsidR="001E5DED">
        <w:t>prostanoid</w:t>
      </w:r>
      <w:r w:rsidR="009B35CE" w:rsidRPr="00542902">
        <w:t>, relative</w:t>
      </w:r>
      <w:r w:rsidR="009B35CE">
        <w:t xml:space="preserve"> to </w:t>
      </w:r>
      <w:r w:rsidR="001E5DED">
        <w:t>prostanoid</w:t>
      </w:r>
      <w:r w:rsidR="009B35CE">
        <w:t xml:space="preserve"> monotherapy</w:t>
      </w:r>
      <w:bookmarkEnd w:id="33"/>
    </w:p>
    <w:tbl>
      <w:tblPr>
        <w:tblStyle w:val="TableGrid"/>
        <w:tblW w:w="9634" w:type="dxa"/>
        <w:tblLook w:val="04A0" w:firstRow="1" w:lastRow="0" w:firstColumn="1" w:lastColumn="0" w:noHBand="0" w:noVBand="1"/>
        <w:tblCaption w:val="Summary of the evidence for the clinical effectiveness of a PDE-5 inhibitor in addition to a prostanoid, relative to prostanoid monotherapy"/>
      </w:tblPr>
      <w:tblGrid>
        <w:gridCol w:w="1550"/>
        <w:gridCol w:w="2238"/>
        <w:gridCol w:w="5846"/>
      </w:tblGrid>
      <w:tr w:rsidR="009B35CE" w:rsidRPr="00605CD9"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Outcome</w:t>
            </w:r>
          </w:p>
        </w:tc>
        <w:tc>
          <w:tcPr>
            <w:tcW w:w="1984" w:type="dxa"/>
            <w:tcBorders>
              <w:top w:val="single" w:sz="4" w:space="0" w:color="auto"/>
              <w:left w:val="single" w:sz="4" w:space="0" w:color="auto"/>
              <w:bottom w:val="single" w:sz="4" w:space="0" w:color="auto"/>
              <w:right w:val="single" w:sz="4" w:space="0" w:color="auto"/>
            </w:tcBorders>
          </w:tcPr>
          <w:p w:rsidR="00EA33A7" w:rsidRDefault="009B35CE" w:rsidP="00EA33A7">
            <w:pPr>
              <w:pStyle w:val="Tabletext"/>
              <w:rPr>
                <w:b/>
              </w:rPr>
            </w:pPr>
            <w:r w:rsidRPr="006C297E">
              <w:rPr>
                <w:b/>
              </w:rPr>
              <w:t xml:space="preserve">Included trials </w:t>
            </w:r>
          </w:p>
          <w:p w:rsidR="009B35CE" w:rsidRPr="006C297E" w:rsidRDefault="00EA33A7" w:rsidP="00EA33A7">
            <w:pPr>
              <w:pStyle w:val="Tabletext"/>
              <w:rPr>
                <w:rFonts w:asciiTheme="minorHAnsi" w:hAnsiTheme="minorHAnsi"/>
                <w:b/>
              </w:rPr>
            </w:pPr>
            <w:r w:rsidRPr="00293DE5">
              <w:rPr>
                <w:b/>
              </w:rPr>
              <w:t>No. of patients</w:t>
            </w:r>
          </w:p>
        </w:tc>
        <w:tc>
          <w:tcPr>
            <w:tcW w:w="609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Summary of evidence</w:t>
            </w:r>
          </w:p>
        </w:tc>
      </w:tr>
      <w:tr w:rsidR="009B35CE"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9B35CE" w:rsidP="00D103A9">
            <w:pPr>
              <w:pStyle w:val="Tabletext"/>
              <w:rPr>
                <w:rFonts w:asciiTheme="minorHAnsi" w:hAnsiTheme="minorHAnsi"/>
              </w:rPr>
            </w:pPr>
            <w:r>
              <w:t>All PAH patients</w:t>
            </w:r>
          </w:p>
        </w:tc>
      </w:tr>
      <w:tr w:rsidR="009B35CE" w:rsidTr="00D103A9">
        <w:tc>
          <w:tcPr>
            <w:tcW w:w="1555" w:type="dxa"/>
          </w:tcPr>
          <w:p w:rsidR="009B35CE" w:rsidRDefault="009B35CE" w:rsidP="00D103A9">
            <w:pPr>
              <w:pStyle w:val="Tabletext"/>
            </w:pPr>
            <w:r>
              <w:t>Clinical worsening</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PACES-1 (sildenafil/epoprostenol)</w:t>
            </w:r>
          </w:p>
          <w:p w:rsidR="00EA33A7" w:rsidRDefault="00EA33A7" w:rsidP="00D103A9">
            <w:pPr>
              <w:pStyle w:val="Tabletext"/>
            </w:pPr>
            <w:r>
              <w:t>N=265</w:t>
            </w:r>
          </w:p>
        </w:tc>
        <w:tc>
          <w:tcPr>
            <w:tcW w:w="6095" w:type="dxa"/>
          </w:tcPr>
          <w:p w:rsidR="009B35CE" w:rsidRPr="00C77B6A" w:rsidRDefault="009B35CE" w:rsidP="00480FDF">
            <w:pPr>
              <w:pStyle w:val="Tabletext"/>
              <w:numPr>
                <w:ilvl w:val="0"/>
                <w:numId w:val="36"/>
              </w:numPr>
              <w:ind w:left="227" w:hanging="227"/>
            </w:pPr>
            <w:r w:rsidRPr="00C77B6A">
              <w:t>High quality</w:t>
            </w:r>
            <w:r w:rsidRPr="00C77B6A">
              <w:rPr>
                <w:rFonts w:cs="Cambria Math"/>
              </w:rPr>
              <w:t xml:space="preserve"> evidence (GRADE </w:t>
            </w:r>
            <w:r w:rsidRPr="00C77B6A">
              <w:rPr>
                <w:rFonts w:ascii="Cambria Math" w:hAnsi="Cambria Math" w:cs="Cambria Math"/>
                <w:color w:val="00B050"/>
              </w:rPr>
              <w:t>⨁⨁⨁⨁</w:t>
            </w:r>
            <w:r w:rsidRPr="00C77B6A">
              <w:t>)</w:t>
            </w:r>
          </w:p>
          <w:p w:rsidR="009B35CE" w:rsidRPr="00C77B6A" w:rsidRDefault="009B35CE" w:rsidP="00480FDF">
            <w:pPr>
              <w:pStyle w:val="Tabletext"/>
              <w:numPr>
                <w:ilvl w:val="0"/>
                <w:numId w:val="36"/>
              </w:numPr>
              <w:ind w:left="227" w:hanging="227"/>
            </w:pPr>
            <w:r>
              <w:t>Significantly fewer</w:t>
            </w:r>
            <w:r w:rsidRPr="00B92556">
              <w:t xml:space="preserve"> patients </w:t>
            </w:r>
            <w:r>
              <w:t>experienced clinical worsening of their PAH</w:t>
            </w:r>
            <w:r w:rsidRPr="00B92556">
              <w:t xml:space="preserve"> with combination th</w:t>
            </w:r>
            <w:r>
              <w:t>erapy compared with monotherapy</w:t>
            </w:r>
            <w:r w:rsidRPr="00B92556">
              <w:t xml:space="preserve"> </w:t>
            </w:r>
            <w:r>
              <w:t>(</w:t>
            </w:r>
            <w:r w:rsidRPr="00B92556">
              <w:t xml:space="preserve">RR = </w:t>
            </w:r>
            <w:r>
              <w:t>0.</w:t>
            </w:r>
            <w:r w:rsidRPr="00B92556">
              <w:t>3</w:t>
            </w:r>
            <w:r>
              <w:t>3</w:t>
            </w:r>
            <w:r w:rsidRPr="00B92556">
              <w:t>; 95% CI 0</w:t>
            </w:r>
            <w:r>
              <w:t>.15</w:t>
            </w:r>
            <w:r w:rsidRPr="00B92556">
              <w:t>, 0.7</w:t>
            </w:r>
            <w:r>
              <w:t>0</w:t>
            </w:r>
            <w:r w:rsidRPr="00B92556">
              <w:t>)</w:t>
            </w:r>
            <w:r w:rsidR="00E74E34">
              <w:t>.</w:t>
            </w:r>
          </w:p>
        </w:tc>
      </w:tr>
      <w:tr w:rsidR="009B35CE" w:rsidTr="00D103A9">
        <w:tc>
          <w:tcPr>
            <w:tcW w:w="1555" w:type="dxa"/>
          </w:tcPr>
          <w:p w:rsidR="009B35CE" w:rsidRPr="001D637C" w:rsidRDefault="009B35CE" w:rsidP="00D103A9">
            <w:pPr>
              <w:pStyle w:val="Tabletext"/>
            </w:pPr>
            <w:r>
              <w:t>All-cause mortality</w:t>
            </w:r>
          </w:p>
        </w:tc>
        <w:tc>
          <w:tcPr>
            <w:tcW w:w="1984" w:type="dxa"/>
            <w:tcBorders>
              <w:top w:val="single" w:sz="4" w:space="0" w:color="auto"/>
              <w:left w:val="single" w:sz="4" w:space="0" w:color="auto"/>
              <w:bottom w:val="single" w:sz="4" w:space="0" w:color="auto"/>
              <w:right w:val="single" w:sz="4" w:space="0" w:color="auto"/>
            </w:tcBorders>
          </w:tcPr>
          <w:p w:rsidR="00EA33A7" w:rsidRDefault="009B35CE" w:rsidP="00EA33A7">
            <w:pPr>
              <w:pStyle w:val="Tabletext"/>
            </w:pPr>
            <w:r>
              <w:t>PACES-1 (sildenafil/epoprostenol)</w:t>
            </w:r>
            <w:r w:rsidR="00EA33A7">
              <w:t xml:space="preserve"> </w:t>
            </w:r>
          </w:p>
          <w:p w:rsidR="009B35CE" w:rsidRPr="001D637C" w:rsidRDefault="00EA33A7" w:rsidP="00EA33A7">
            <w:pPr>
              <w:pStyle w:val="Tabletext"/>
            </w:pPr>
            <w:r>
              <w:t>N=265</w:t>
            </w:r>
          </w:p>
        </w:tc>
        <w:tc>
          <w:tcPr>
            <w:tcW w:w="6095" w:type="dxa"/>
          </w:tcPr>
          <w:p w:rsidR="009B35CE" w:rsidRPr="00C77B6A" w:rsidRDefault="009B35CE" w:rsidP="00480FDF">
            <w:pPr>
              <w:pStyle w:val="Tabletext"/>
              <w:numPr>
                <w:ilvl w:val="0"/>
                <w:numId w:val="36"/>
              </w:numPr>
              <w:ind w:left="227" w:hanging="227"/>
            </w:pPr>
            <w:r w:rsidRPr="00C77B6A">
              <w:t>High quality</w:t>
            </w:r>
            <w:r w:rsidRPr="00C77B6A">
              <w:rPr>
                <w:rFonts w:cs="Cambria Math"/>
              </w:rPr>
              <w:t xml:space="preserve"> evidence (GRADE </w:t>
            </w:r>
            <w:r w:rsidRPr="00C77B6A">
              <w:rPr>
                <w:rFonts w:ascii="Cambria Math" w:hAnsi="Cambria Math" w:cs="Cambria Math"/>
                <w:color w:val="00B050"/>
              </w:rPr>
              <w:t>⨁⨁⨁⨁</w:t>
            </w:r>
            <w:r w:rsidRPr="00C77B6A">
              <w:t>)</w:t>
            </w:r>
          </w:p>
          <w:p w:rsidR="009B35CE" w:rsidRPr="00C77B6A" w:rsidRDefault="009B35CE" w:rsidP="00480FDF">
            <w:pPr>
              <w:pStyle w:val="Tabletext"/>
              <w:numPr>
                <w:ilvl w:val="0"/>
                <w:numId w:val="36"/>
              </w:numPr>
              <w:ind w:left="227" w:hanging="227"/>
            </w:pPr>
            <w:r>
              <w:t xml:space="preserve">Significantly fewer </w:t>
            </w:r>
            <w:r w:rsidRPr="00B92556">
              <w:t>patients die</w:t>
            </w:r>
            <w:r>
              <w:t>d</w:t>
            </w:r>
            <w:r w:rsidRPr="00B92556">
              <w:t xml:space="preserve"> from any cause with combination th</w:t>
            </w:r>
            <w:r>
              <w:t>erapy compared with monotherapy</w:t>
            </w:r>
            <w:r w:rsidRPr="00B92556">
              <w:t xml:space="preserve"> (</w:t>
            </w:r>
            <w:r w:rsidR="00B21201">
              <w:t>ARD</w:t>
            </w:r>
            <w:r w:rsidRPr="00B92556">
              <w:t xml:space="preserve"> = </w:t>
            </w:r>
            <w:r>
              <w:t>−</w:t>
            </w:r>
            <w:proofErr w:type="gramStart"/>
            <w:r>
              <w:t>5.</w:t>
            </w:r>
            <w:r w:rsidRPr="00B92556">
              <w:t>3%</w:t>
            </w:r>
            <w:proofErr w:type="gramEnd"/>
            <w:r w:rsidRPr="00B92556">
              <w:t xml:space="preserve">; 95% CI </w:t>
            </w:r>
            <w:r>
              <w:t>−9</w:t>
            </w:r>
            <w:r w:rsidRPr="00B92556">
              <w:t>.</w:t>
            </w:r>
            <w:r>
              <w:t>2, −1</w:t>
            </w:r>
            <w:r w:rsidRPr="00B92556">
              <w:t>.</w:t>
            </w:r>
            <w:r>
              <w:t>5</w:t>
            </w:r>
            <w:r w:rsidRPr="00B92556">
              <w:t>)</w:t>
            </w:r>
            <w:r w:rsidR="00E74E34">
              <w:t>.</w:t>
            </w:r>
          </w:p>
        </w:tc>
      </w:tr>
      <w:tr w:rsidR="009B35CE" w:rsidTr="00D103A9">
        <w:tc>
          <w:tcPr>
            <w:tcW w:w="1555" w:type="dxa"/>
          </w:tcPr>
          <w:p w:rsidR="009B35CE" w:rsidRPr="00FA1124" w:rsidRDefault="009B35CE" w:rsidP="00D103A9">
            <w:pPr>
              <w:pStyle w:val="Tabletext"/>
            </w:pPr>
            <w:r>
              <w:t>Hospitalisation</w:t>
            </w:r>
            <w:r w:rsidR="00086A04">
              <w:t xml:space="preserve"> due to </w:t>
            </w:r>
            <w:r w:rsidR="00695728">
              <w:t xml:space="preserve">worsening </w:t>
            </w:r>
            <w:r w:rsidR="00086A04">
              <w:t>PAH</w:t>
            </w:r>
          </w:p>
        </w:tc>
        <w:tc>
          <w:tcPr>
            <w:tcW w:w="1984" w:type="dxa"/>
            <w:tcBorders>
              <w:top w:val="single" w:sz="4" w:space="0" w:color="auto"/>
              <w:left w:val="single" w:sz="4" w:space="0" w:color="auto"/>
              <w:bottom w:val="single" w:sz="4" w:space="0" w:color="auto"/>
              <w:right w:val="single" w:sz="4" w:space="0" w:color="auto"/>
            </w:tcBorders>
          </w:tcPr>
          <w:p w:rsidR="00EA33A7" w:rsidRDefault="009B35CE" w:rsidP="00EA33A7">
            <w:pPr>
              <w:pStyle w:val="Tabletext"/>
            </w:pPr>
            <w:r>
              <w:t>PACES-1 (sildenafil/epoprostenol)</w:t>
            </w:r>
            <w:r w:rsidR="00EA33A7">
              <w:t xml:space="preserve"> </w:t>
            </w:r>
          </w:p>
          <w:p w:rsidR="009B35CE" w:rsidRDefault="00EA33A7" w:rsidP="00EA33A7">
            <w:pPr>
              <w:pStyle w:val="Tabletext"/>
            </w:pPr>
            <w:r>
              <w:t>N=265</w:t>
            </w:r>
          </w:p>
        </w:tc>
        <w:tc>
          <w:tcPr>
            <w:tcW w:w="6095" w:type="dxa"/>
          </w:tcPr>
          <w:p w:rsidR="009B35CE" w:rsidRPr="006B11DC" w:rsidRDefault="009B35CE" w:rsidP="00480FDF">
            <w:pPr>
              <w:pStyle w:val="Tabletext"/>
              <w:numPr>
                <w:ilvl w:val="0"/>
                <w:numId w:val="36"/>
              </w:numPr>
              <w:ind w:left="227" w:hanging="227"/>
            </w:pPr>
            <w:r>
              <w:t>Moderate</w:t>
            </w:r>
            <w:r w:rsidRPr="006B11DC">
              <w:t xml:space="preserve"> quality evidence (GRADE </w:t>
            </w:r>
            <w:r w:rsidRPr="006B11DC">
              <w:rPr>
                <w:rFonts w:ascii="Cambria Math" w:hAnsi="Cambria Math" w:cs="Cambria Math"/>
                <w:color w:val="00B050"/>
              </w:rPr>
              <w:t>⨁⨁⨁</w:t>
            </w:r>
            <w:r w:rsidRPr="00083FA5">
              <w:rPr>
                <w:rFonts w:ascii="Cambria Math" w:hAnsi="Cambria Math" w:cs="Cambria Math"/>
                <w:color w:val="FF0000"/>
              </w:rPr>
              <w:t>⨀</w:t>
            </w:r>
            <w:r w:rsidRPr="006B11DC">
              <w:t>)</w:t>
            </w:r>
          </w:p>
          <w:p w:rsidR="009B35CE" w:rsidRPr="006B11DC" w:rsidRDefault="009B35CE" w:rsidP="00480FDF">
            <w:pPr>
              <w:pStyle w:val="Tabletext"/>
              <w:numPr>
                <w:ilvl w:val="0"/>
                <w:numId w:val="36"/>
              </w:numPr>
              <w:ind w:left="227" w:hanging="227"/>
            </w:pPr>
            <w:r>
              <w:t xml:space="preserve">Fewer </w:t>
            </w:r>
            <w:r w:rsidRPr="00B92556">
              <w:t xml:space="preserve">patients </w:t>
            </w:r>
            <w:r>
              <w:t>were hospitalised</w:t>
            </w:r>
            <w:r w:rsidRPr="00B92556">
              <w:t xml:space="preserve"> with combination th</w:t>
            </w:r>
            <w:r>
              <w:t>erapy compared with monotherapy</w:t>
            </w:r>
            <w:r w:rsidR="009A57D8">
              <w:t>,</w:t>
            </w:r>
            <w:r w:rsidRPr="00B92556">
              <w:t xml:space="preserve"> </w:t>
            </w:r>
            <w:r w:rsidRPr="00254F48">
              <w:t xml:space="preserve">but the </w:t>
            </w:r>
            <w:r w:rsidR="00D84687">
              <w:t>95% CI indicates</w:t>
            </w:r>
            <w:r w:rsidRPr="00254F48">
              <w:t xml:space="preserve"> </w:t>
            </w:r>
            <w:proofErr w:type="gramStart"/>
            <w:r w:rsidRPr="00254F48">
              <w:t>that there</w:t>
            </w:r>
            <w:proofErr w:type="gramEnd"/>
            <w:r w:rsidRPr="00254F48">
              <w:t xml:space="preserve"> </w:t>
            </w:r>
            <w:r>
              <w:t xml:space="preserve">may also be </w:t>
            </w:r>
            <w:r w:rsidR="009A57D8">
              <w:t>an</w:t>
            </w:r>
            <w:r>
              <w:t xml:space="preserve"> effect</w:t>
            </w:r>
            <w:r w:rsidRPr="00254F48">
              <w:t xml:space="preserve"> </w:t>
            </w:r>
            <w:r w:rsidR="009A57D8">
              <w:t xml:space="preserve">in the opposite direction </w:t>
            </w:r>
            <w:r w:rsidRPr="00B92556">
              <w:t xml:space="preserve">(RR = </w:t>
            </w:r>
            <w:r>
              <w:t>0.</w:t>
            </w:r>
            <w:r w:rsidR="00863ADB">
              <w:t>71</w:t>
            </w:r>
            <w:r w:rsidRPr="00B92556">
              <w:t xml:space="preserve">; 95% CI </w:t>
            </w:r>
            <w:r>
              <w:t>0</w:t>
            </w:r>
            <w:r w:rsidRPr="00B92556">
              <w:t>.</w:t>
            </w:r>
            <w:r>
              <w:t>3</w:t>
            </w:r>
            <w:r w:rsidR="00863ADB">
              <w:t>0</w:t>
            </w:r>
            <w:r w:rsidRPr="00B92556">
              <w:t xml:space="preserve">, </w:t>
            </w:r>
            <w:r w:rsidR="00863ADB">
              <w:t>1.71</w:t>
            </w:r>
            <w:r w:rsidRPr="00B92556">
              <w:t>)</w:t>
            </w:r>
            <w:r w:rsidR="00E74E34">
              <w:t>.</w:t>
            </w:r>
          </w:p>
        </w:tc>
      </w:tr>
      <w:tr w:rsidR="00B37D37" w:rsidTr="00B37D37">
        <w:tc>
          <w:tcPr>
            <w:tcW w:w="1555" w:type="dxa"/>
          </w:tcPr>
          <w:p w:rsidR="00B37D37" w:rsidRPr="001D637C" w:rsidRDefault="00B37D37" w:rsidP="00362678">
            <w:pPr>
              <w:pStyle w:val="Tabletext"/>
            </w:pPr>
            <w:r>
              <w:t>Change in 6MWD</w:t>
            </w:r>
            <w:r w:rsidR="00695728">
              <w:t xml:space="preserve"> from baseline</w:t>
            </w:r>
          </w:p>
        </w:tc>
        <w:tc>
          <w:tcPr>
            <w:tcW w:w="1984" w:type="dxa"/>
          </w:tcPr>
          <w:p w:rsidR="00EA33A7" w:rsidRDefault="00B37D37" w:rsidP="00EA33A7">
            <w:pPr>
              <w:pStyle w:val="Tabletext"/>
            </w:pPr>
            <w:r>
              <w:t>PACES-1 (sildenafil/epoprostenol)</w:t>
            </w:r>
            <w:r w:rsidR="00EA33A7">
              <w:t xml:space="preserve"> </w:t>
            </w:r>
          </w:p>
          <w:p w:rsidR="00B37D37" w:rsidRPr="001D637C" w:rsidRDefault="00EA33A7" w:rsidP="00EA33A7">
            <w:pPr>
              <w:pStyle w:val="Tabletext"/>
            </w:pPr>
            <w:r>
              <w:t>N=265</w:t>
            </w:r>
          </w:p>
        </w:tc>
        <w:tc>
          <w:tcPr>
            <w:tcW w:w="6095" w:type="dxa"/>
          </w:tcPr>
          <w:p w:rsidR="00207AD0" w:rsidRPr="00C77B6A" w:rsidRDefault="00B47224" w:rsidP="00480FDF">
            <w:pPr>
              <w:pStyle w:val="Tabletext"/>
              <w:numPr>
                <w:ilvl w:val="0"/>
                <w:numId w:val="36"/>
              </w:numPr>
              <w:ind w:left="227" w:hanging="227"/>
            </w:pPr>
            <w:r>
              <w:t xml:space="preserve">Moderate </w:t>
            </w:r>
            <w:r w:rsidR="00207AD0" w:rsidRPr="00C77B6A">
              <w:t>quality</w:t>
            </w:r>
            <w:r w:rsidR="00207AD0" w:rsidRPr="00C77B6A">
              <w:rPr>
                <w:rFonts w:cs="Cambria Math"/>
              </w:rPr>
              <w:t xml:space="preserve"> evidence (GRADE </w:t>
            </w:r>
            <w:r w:rsidR="00207AD0" w:rsidRPr="00C77B6A">
              <w:rPr>
                <w:rFonts w:ascii="Cambria Math" w:hAnsi="Cambria Math" w:cs="Cambria Math"/>
                <w:color w:val="00B050"/>
              </w:rPr>
              <w:t>⨁⨁⨁</w:t>
            </w:r>
            <w:r w:rsidRPr="006316DF">
              <w:rPr>
                <w:rFonts w:ascii="Cambria Math" w:hAnsi="Cambria Math" w:cs="Cambria Math"/>
                <w:color w:val="C00000"/>
              </w:rPr>
              <w:t>⨀</w:t>
            </w:r>
            <w:r w:rsidR="00207AD0" w:rsidRPr="00C77B6A">
              <w:t>)</w:t>
            </w:r>
          </w:p>
          <w:p w:rsidR="00B37D37" w:rsidRPr="006B11DC" w:rsidRDefault="00B37D37" w:rsidP="00480FDF">
            <w:pPr>
              <w:pStyle w:val="Tabletext"/>
              <w:numPr>
                <w:ilvl w:val="0"/>
                <w:numId w:val="36"/>
              </w:numPr>
              <w:ind w:left="227" w:hanging="227"/>
            </w:pPr>
            <w:r w:rsidRPr="006B11DC">
              <w:t xml:space="preserve">Patients </w:t>
            </w:r>
            <w:r>
              <w:t>on combination therapy</w:t>
            </w:r>
            <w:r w:rsidRPr="006B11DC">
              <w:t xml:space="preserve"> had a larger mean improvement in their 6MWD than those </w:t>
            </w:r>
            <w:r>
              <w:t>on monotherapy</w:t>
            </w:r>
            <w:r w:rsidR="00280914">
              <w:t>, but the difference was not clinically important</w:t>
            </w:r>
            <w:r w:rsidRPr="006B11DC">
              <w:t xml:space="preserve"> (</w:t>
            </w:r>
            <w:r>
              <w:t>MD</w:t>
            </w:r>
            <w:r w:rsidRPr="006B11DC">
              <w:t xml:space="preserve"> = </w:t>
            </w:r>
            <w:r>
              <w:t>28</w:t>
            </w:r>
            <w:r w:rsidRPr="006B11DC">
              <w:t>.</w:t>
            </w:r>
            <w:r>
              <w:t>8</w:t>
            </w:r>
            <w:r w:rsidRPr="006B11DC">
              <w:t xml:space="preserve"> m </w:t>
            </w:r>
            <w:r w:rsidR="00A87E2D">
              <w:t xml:space="preserve">walked </w:t>
            </w:r>
            <w:r w:rsidRPr="006B11DC">
              <w:t xml:space="preserve">further; </w:t>
            </w:r>
            <w:r w:rsidR="003E046F">
              <w:t>95% CI</w:t>
            </w:r>
            <w:r w:rsidR="003E046F" w:rsidRPr="006B11DC">
              <w:t xml:space="preserve"> </w:t>
            </w:r>
            <w:r>
              <w:t>13</w:t>
            </w:r>
            <w:r w:rsidRPr="006B11DC">
              <w:t>.</w:t>
            </w:r>
            <w:r>
              <w:t>9</w:t>
            </w:r>
            <w:r w:rsidRPr="006B11DC">
              <w:t xml:space="preserve">, </w:t>
            </w:r>
            <w:r>
              <w:t>43.8</w:t>
            </w:r>
            <w:r w:rsidRPr="006B11DC">
              <w:t>)</w:t>
            </w:r>
            <w:r w:rsidR="00E74E34">
              <w:t>.</w:t>
            </w:r>
          </w:p>
        </w:tc>
      </w:tr>
      <w:tr w:rsidR="00695728" w:rsidTr="00D103A9">
        <w:tc>
          <w:tcPr>
            <w:tcW w:w="1555" w:type="dxa"/>
          </w:tcPr>
          <w:p w:rsidR="00695728" w:rsidRDefault="00695728" w:rsidP="00695728">
            <w:pPr>
              <w:pStyle w:val="Tabletext"/>
            </w:pPr>
            <w:r>
              <w:t>Change in haemodynamic parameters from baseline:</w:t>
            </w:r>
          </w:p>
          <w:p w:rsidR="00695728" w:rsidRPr="001D637C" w:rsidRDefault="00695728" w:rsidP="00695728">
            <w:pPr>
              <w:pStyle w:val="Tabletext"/>
            </w:pPr>
            <w:r>
              <w:t>PVR, mPAP, mRAP</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 xml:space="preserve">PACES-1 (sildenafil/epoprostenol) </w:t>
            </w:r>
          </w:p>
          <w:p w:rsidR="00695728" w:rsidRPr="001D637C" w:rsidRDefault="00695728" w:rsidP="00695728">
            <w:pPr>
              <w:pStyle w:val="Tabletext"/>
            </w:pPr>
            <w:r>
              <w:t>N=265</w:t>
            </w:r>
          </w:p>
        </w:tc>
        <w:tc>
          <w:tcPr>
            <w:tcW w:w="6095" w:type="dxa"/>
          </w:tcPr>
          <w:p w:rsidR="00695728" w:rsidRPr="00C77B6A" w:rsidRDefault="00695728" w:rsidP="00480FDF">
            <w:pPr>
              <w:pStyle w:val="Tabletext"/>
              <w:numPr>
                <w:ilvl w:val="0"/>
                <w:numId w:val="36"/>
              </w:numPr>
              <w:ind w:left="227" w:hanging="227"/>
            </w:pPr>
            <w:r>
              <w:t>Low</w:t>
            </w:r>
            <w:r w:rsidRPr="00C77B6A">
              <w:t xml:space="preserve"> quality</w:t>
            </w:r>
            <w:r w:rsidRPr="00C77B6A">
              <w:rPr>
                <w:rFonts w:cs="Cambria Math"/>
              </w:rPr>
              <w:t xml:space="preserve"> evidence (GRADE </w:t>
            </w:r>
            <w:r w:rsidRPr="00C77B6A">
              <w:rPr>
                <w:rFonts w:ascii="Cambria Math" w:hAnsi="Cambria Math" w:cs="Cambria Math"/>
                <w:color w:val="00B050"/>
              </w:rPr>
              <w:t>⨁⨁</w:t>
            </w:r>
            <w:r w:rsidRPr="006316DF">
              <w:rPr>
                <w:rFonts w:ascii="Cambria Math" w:hAnsi="Cambria Math" w:cs="Cambria Math"/>
                <w:color w:val="C00000"/>
              </w:rPr>
              <w:t>⨀⨀</w:t>
            </w:r>
            <w:r w:rsidRPr="00C77B6A">
              <w:t>)</w:t>
            </w:r>
          </w:p>
          <w:p w:rsidR="00695728" w:rsidRPr="006B11DC" w:rsidRDefault="00695728" w:rsidP="00480FDF">
            <w:pPr>
              <w:pStyle w:val="Tabletext"/>
              <w:numPr>
                <w:ilvl w:val="0"/>
                <w:numId w:val="36"/>
              </w:numPr>
              <w:ind w:left="227" w:hanging="227"/>
            </w:pPr>
            <w:r w:rsidRPr="00083FA5">
              <w:rPr>
                <w:szCs w:val="18"/>
              </w:rPr>
              <w:t>Patients on combination therapy had a larger mean improvement in their haemodynamic parameters than those on monotherapy</w:t>
            </w:r>
            <w:r>
              <w:rPr>
                <w:szCs w:val="18"/>
              </w:rPr>
              <w:t xml:space="preserve"> and this improvement may be clinically important PVR and mRAP</w:t>
            </w:r>
            <w:r w:rsidRPr="00083FA5">
              <w:rPr>
                <w:szCs w:val="18"/>
              </w:rPr>
              <w:t xml:space="preserve"> (PVR</w:t>
            </w:r>
            <w:r>
              <w:rPr>
                <w:szCs w:val="18"/>
              </w:rPr>
              <w:t xml:space="preserve"> MD = </w:t>
            </w:r>
            <w:r w:rsidRPr="00083FA5">
              <w:rPr>
                <w:szCs w:val="18"/>
              </w:rPr>
              <w:t>20</w:t>
            </w:r>
            <w:r>
              <w:rPr>
                <w:szCs w:val="18"/>
              </w:rPr>
              <w:t>.8</w:t>
            </w:r>
            <w:r w:rsidRPr="00083FA5">
              <w:rPr>
                <w:szCs w:val="18"/>
              </w:rPr>
              <w:t xml:space="preserve">% </w:t>
            </w:r>
            <w:r>
              <w:rPr>
                <w:szCs w:val="18"/>
              </w:rPr>
              <w:t xml:space="preserve">improvement; </w:t>
            </w:r>
            <w:r w:rsidRPr="00083FA5">
              <w:rPr>
                <w:szCs w:val="18"/>
              </w:rPr>
              <w:t>mPAP</w:t>
            </w:r>
            <w:r>
              <w:rPr>
                <w:szCs w:val="18"/>
              </w:rPr>
              <w:t xml:space="preserve"> MD</w:t>
            </w:r>
            <w:r w:rsidRPr="00083FA5">
              <w:rPr>
                <w:szCs w:val="18"/>
              </w:rPr>
              <w:t xml:space="preserve"> = </w:t>
            </w:r>
            <w:r>
              <w:rPr>
                <w:szCs w:val="18"/>
              </w:rPr>
              <w:t>7</w:t>
            </w:r>
            <w:r w:rsidRPr="00083FA5">
              <w:rPr>
                <w:szCs w:val="18"/>
              </w:rPr>
              <w:t>.</w:t>
            </w:r>
            <w:r>
              <w:rPr>
                <w:szCs w:val="18"/>
              </w:rPr>
              <w:t>5</w:t>
            </w:r>
            <w:r w:rsidRPr="00083FA5">
              <w:rPr>
                <w:szCs w:val="18"/>
              </w:rPr>
              <w:t>%</w:t>
            </w:r>
            <w:r>
              <w:rPr>
                <w:szCs w:val="18"/>
              </w:rPr>
              <w:t xml:space="preserve"> improvement; </w:t>
            </w:r>
            <w:r w:rsidRPr="00083FA5">
              <w:rPr>
                <w:szCs w:val="18"/>
              </w:rPr>
              <w:t>m</w:t>
            </w:r>
            <w:r>
              <w:rPr>
                <w:szCs w:val="18"/>
              </w:rPr>
              <w:t>R</w:t>
            </w:r>
            <w:r w:rsidRPr="00083FA5">
              <w:rPr>
                <w:szCs w:val="18"/>
              </w:rPr>
              <w:t>AP</w:t>
            </w:r>
            <w:r>
              <w:rPr>
                <w:szCs w:val="18"/>
              </w:rPr>
              <w:t xml:space="preserve"> MD</w:t>
            </w:r>
            <w:r w:rsidRPr="00083FA5">
              <w:rPr>
                <w:szCs w:val="18"/>
              </w:rPr>
              <w:t xml:space="preserve"> = </w:t>
            </w:r>
            <w:r>
              <w:rPr>
                <w:szCs w:val="18"/>
              </w:rPr>
              <w:t>2</w:t>
            </w:r>
            <w:r w:rsidRPr="00083FA5">
              <w:rPr>
                <w:szCs w:val="18"/>
              </w:rPr>
              <w:t>.</w:t>
            </w:r>
            <w:r>
              <w:rPr>
                <w:szCs w:val="18"/>
              </w:rPr>
              <w:t>1 mmHg improvement</w:t>
            </w:r>
            <w:r w:rsidRPr="00083FA5">
              <w:rPr>
                <w:szCs w:val="18"/>
              </w:rPr>
              <w:t>)</w:t>
            </w:r>
            <w:r w:rsidR="00E74E34">
              <w:rPr>
                <w:szCs w:val="18"/>
              </w:rPr>
              <w:t>.</w:t>
            </w:r>
          </w:p>
        </w:tc>
      </w:tr>
    </w:tbl>
    <w:p w:rsidR="006B2C7A" w:rsidRDefault="009B35CE" w:rsidP="00D103A9">
      <w:pPr>
        <w:pStyle w:val="Tablenote"/>
      </w:pPr>
      <w:r>
        <w:t xml:space="preserve">6MWD = 6-minute </w:t>
      </w:r>
      <w:r w:rsidR="0082368E">
        <w:t>walk distance</w:t>
      </w:r>
      <w:r w:rsidR="00B21201">
        <w:t>; ARD</w:t>
      </w:r>
      <w:r>
        <w:t xml:space="preserve"> = absolute risk </w:t>
      </w:r>
      <w:r w:rsidR="00B21201">
        <w:t>difference</w:t>
      </w:r>
      <w:r>
        <w:t xml:space="preserve">; CI = confidence interval; </w:t>
      </w:r>
      <w:r w:rsidR="00385E5A">
        <w:t>GRADE = grading of recommendations assessment, development and evaluation</w:t>
      </w:r>
      <w:r w:rsidR="001D34EE" w:rsidRPr="001D34EE">
        <w:rPr>
          <w:noProof/>
          <w:vertAlign w:val="superscript"/>
        </w:rPr>
        <w:t>1</w:t>
      </w:r>
      <w:r w:rsidR="006B2C7A" w:rsidRPr="009E3B52">
        <w:t xml:space="preserve">; </w:t>
      </w:r>
      <w:r>
        <w:t>MD = mean difference</w:t>
      </w:r>
      <w:r w:rsidR="004510DE">
        <w:t>; mPAP = mean pulmonary artery</w:t>
      </w:r>
      <w:r>
        <w:t xml:space="preserve"> pressure; mRAP = mean right atrial pressure; </w:t>
      </w:r>
      <w:r w:rsidRPr="00C65B42">
        <w:t xml:space="preserve">PAH = pulmonary arterial hypertension; </w:t>
      </w:r>
      <w:r w:rsidRPr="0034017B">
        <w:t xml:space="preserve">PDE-5 = phosphodiesterase type-5; </w:t>
      </w:r>
      <w:r w:rsidRPr="009123E2">
        <w:t>PVR</w:t>
      </w:r>
      <w:r>
        <w:t xml:space="preserve"> = p</w:t>
      </w:r>
      <w:r w:rsidRPr="009123E2">
        <w:t xml:space="preserve">ulmonary </w:t>
      </w:r>
      <w:r>
        <w:t>v</w:t>
      </w:r>
      <w:r w:rsidRPr="009123E2">
        <w:t xml:space="preserve">ascular </w:t>
      </w:r>
      <w:r>
        <w:t>r</w:t>
      </w:r>
      <w:r w:rsidRPr="009123E2">
        <w:t>esistance</w:t>
      </w:r>
      <w:r>
        <w:t>; RR = relative risk</w:t>
      </w:r>
    </w:p>
    <w:p w:rsidR="009B35CE" w:rsidRPr="0042195A" w:rsidRDefault="009B35CE" w:rsidP="009B35CE">
      <w:pPr>
        <w:pStyle w:val="Heading5"/>
      </w:pPr>
      <w:r w:rsidRPr="0042195A">
        <w:t>Safety</w:t>
      </w:r>
    </w:p>
    <w:p w:rsidR="009B35CE" w:rsidRDefault="009B35CE" w:rsidP="009B35CE">
      <w:r w:rsidRPr="004A7427">
        <w:t xml:space="preserve">One RCT reported on the effectiveness of a PDE-5 inhibitor in addition to </w:t>
      </w:r>
      <w:r w:rsidR="0017012F" w:rsidRPr="0017012F">
        <w:t>prostanoid</w:t>
      </w:r>
      <w:r w:rsidRPr="004A7427">
        <w:t xml:space="preserve"> </w:t>
      </w:r>
      <w:r w:rsidR="00A87E2D">
        <w:t xml:space="preserve">therapy </w:t>
      </w:r>
      <w:r w:rsidRPr="004A7427">
        <w:t xml:space="preserve">in treating PAH compared with placebo plus a </w:t>
      </w:r>
      <w:r w:rsidR="0017012F" w:rsidRPr="0017012F">
        <w:t>prostanoid</w:t>
      </w:r>
      <w:r w:rsidRPr="004A7427">
        <w:t>:</w:t>
      </w:r>
    </w:p>
    <w:p w:rsidR="009B35CE" w:rsidRPr="00B607A5" w:rsidRDefault="009B35CE" w:rsidP="00D103A9">
      <w:pPr>
        <w:pStyle w:val="Bullettext"/>
      </w:pPr>
      <w:r w:rsidRPr="00B607A5">
        <w:t>PACES-1</w:t>
      </w:r>
    </w:p>
    <w:p w:rsidR="009B35CE" w:rsidRPr="00B607A5" w:rsidRDefault="00E20AB7" w:rsidP="00D103A9">
      <w:pPr>
        <w:pStyle w:val="Bullettext"/>
      </w:pPr>
      <w:r w:rsidRPr="00B607A5">
        <w:t>There were no new safety signals identified.</w:t>
      </w:r>
    </w:p>
    <w:p w:rsidR="009B35CE" w:rsidRDefault="009B35CE" w:rsidP="00D103A9">
      <w:r>
        <w:t>The evidence provided by this trial is summarised in</w:t>
      </w:r>
      <w:r w:rsidR="00D103A9">
        <w:t xml:space="preserve"> </w:t>
      </w:r>
      <w:r w:rsidR="003951FA">
        <w:t>Table 4.</w:t>
      </w:r>
      <w:r w:rsidR="003951FA">
        <w:rPr>
          <w:noProof/>
        </w:rPr>
        <w:t>12</w:t>
      </w:r>
      <w:r>
        <w:t>.</w:t>
      </w:r>
    </w:p>
    <w:p w:rsidR="009B35CE" w:rsidRDefault="001E5DED" w:rsidP="009B35CE">
      <w:r>
        <w:t xml:space="preserve">Overall, </w:t>
      </w:r>
      <w:r w:rsidRPr="001E5DED">
        <w:t xml:space="preserve">the use of a PDE-5 inhibitor in addition to </w:t>
      </w:r>
      <w:r>
        <w:t>a prostanoid</w:t>
      </w:r>
      <w:r w:rsidRPr="001E5DED">
        <w:t xml:space="preserve"> </w:t>
      </w:r>
      <w:r w:rsidR="00E70D1D">
        <w:t xml:space="preserve">is likely to be </w:t>
      </w:r>
      <w:r w:rsidR="008B5A87">
        <w:t>non-inferior to</w:t>
      </w:r>
      <w:r w:rsidRPr="001E5DED">
        <w:t xml:space="preserve"> </w:t>
      </w:r>
      <w:r>
        <w:t>prostanoid</w:t>
      </w:r>
      <w:r w:rsidRPr="001E5DED">
        <w:t xml:space="preserve"> monotherapy </w:t>
      </w:r>
      <w:r w:rsidR="00966D50">
        <w:t xml:space="preserve">in terms of safety </w:t>
      </w:r>
      <w:r w:rsidRPr="001E5DED">
        <w:t xml:space="preserve">when treating </w:t>
      </w:r>
      <w:r>
        <w:t xml:space="preserve">PAH </w:t>
      </w:r>
      <w:r w:rsidRPr="001E5DED">
        <w:t>patients</w:t>
      </w:r>
      <w:r>
        <w:t>.</w:t>
      </w:r>
    </w:p>
    <w:p w:rsidR="00073A00" w:rsidRDefault="00073A00">
      <w:pPr>
        <w:spacing w:before="0" w:line="240" w:lineRule="auto"/>
        <w:rPr>
          <w:b/>
          <w:iCs/>
          <w:szCs w:val="18"/>
        </w:rPr>
      </w:pPr>
      <w:bookmarkStart w:id="34" w:name="_Ref506198795"/>
      <w:r>
        <w:br w:type="page"/>
      </w:r>
    </w:p>
    <w:p w:rsidR="009B35CE" w:rsidRDefault="00272F8F" w:rsidP="00BC5A2B">
      <w:pPr>
        <w:pStyle w:val="Caption"/>
      </w:pPr>
      <w:bookmarkStart w:id="35" w:name="_Toc38360309"/>
      <w:r>
        <w:t>Table 4.</w:t>
      </w:r>
      <w:r w:rsidR="003951FA">
        <w:rPr>
          <w:noProof/>
        </w:rPr>
        <w:t>12</w:t>
      </w:r>
      <w:bookmarkEnd w:id="34"/>
      <w:r w:rsidR="00D103A9">
        <w:tab/>
      </w:r>
      <w:r w:rsidR="009B35CE">
        <w:t xml:space="preserve">Summary of the evidence for the </w:t>
      </w:r>
      <w:r w:rsidR="00D103A9">
        <w:t>safety of a</w:t>
      </w:r>
      <w:r w:rsidR="009B35CE">
        <w:t xml:space="preserve"> </w:t>
      </w:r>
      <w:r w:rsidR="009B35CE" w:rsidRPr="00254F48">
        <w:t xml:space="preserve">PDE-5 inhibitor in addition to a </w:t>
      </w:r>
      <w:r w:rsidR="001E5DED" w:rsidRPr="00254F48">
        <w:t>prostanoid</w:t>
      </w:r>
      <w:r w:rsidR="009B35CE" w:rsidRPr="00254F48">
        <w:t xml:space="preserve">, relative to </w:t>
      </w:r>
      <w:r w:rsidR="001E5DED" w:rsidRPr="00254F48">
        <w:t>prostanoid</w:t>
      </w:r>
      <w:r w:rsidR="009B35CE" w:rsidRPr="00254F48">
        <w:t xml:space="preserve"> </w:t>
      </w:r>
      <w:r w:rsidR="009B35CE">
        <w:t>monotherapy</w:t>
      </w:r>
      <w:bookmarkEnd w:id="35"/>
    </w:p>
    <w:tbl>
      <w:tblPr>
        <w:tblStyle w:val="TableGrid"/>
        <w:tblW w:w="9634" w:type="dxa"/>
        <w:tblLook w:val="04A0" w:firstRow="1" w:lastRow="0" w:firstColumn="1" w:lastColumn="0" w:noHBand="0" w:noVBand="1"/>
        <w:tblCaption w:val="Summary of the evidence for the safety of a PDE-5 inhibitor in addition to a prostanoid, relative to prostanoid monotherapy"/>
      </w:tblPr>
      <w:tblGrid>
        <w:gridCol w:w="1549"/>
        <w:gridCol w:w="2238"/>
        <w:gridCol w:w="5847"/>
      </w:tblGrid>
      <w:tr w:rsidR="009B35CE"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A0351C" w:rsidRDefault="009B35CE" w:rsidP="00D103A9">
            <w:pPr>
              <w:pStyle w:val="Tabletext"/>
              <w:rPr>
                <w:rFonts w:asciiTheme="minorHAnsi" w:hAnsiTheme="minorHAnsi"/>
                <w:b/>
              </w:rPr>
            </w:pPr>
            <w:r w:rsidRPr="00A0351C">
              <w:rPr>
                <w:b/>
              </w:rPr>
              <w:t>Outcome</w:t>
            </w:r>
          </w:p>
        </w:tc>
        <w:tc>
          <w:tcPr>
            <w:tcW w:w="1984" w:type="dxa"/>
            <w:tcBorders>
              <w:top w:val="single" w:sz="4" w:space="0" w:color="auto"/>
              <w:left w:val="single" w:sz="4" w:space="0" w:color="auto"/>
              <w:bottom w:val="single" w:sz="4" w:space="0" w:color="auto"/>
              <w:right w:val="single" w:sz="4" w:space="0" w:color="auto"/>
            </w:tcBorders>
          </w:tcPr>
          <w:p w:rsidR="009B35CE" w:rsidRPr="00A0351C" w:rsidRDefault="009B35CE" w:rsidP="00D103A9">
            <w:pPr>
              <w:pStyle w:val="Tabletext"/>
              <w:rPr>
                <w:rFonts w:asciiTheme="minorHAnsi" w:hAnsiTheme="minorHAnsi"/>
                <w:b/>
              </w:rPr>
            </w:pPr>
            <w:r w:rsidRPr="00A0351C">
              <w:rPr>
                <w:b/>
              </w:rPr>
              <w:t xml:space="preserve">Included trials </w:t>
            </w:r>
          </w:p>
        </w:tc>
        <w:tc>
          <w:tcPr>
            <w:tcW w:w="6095" w:type="dxa"/>
            <w:tcBorders>
              <w:top w:val="single" w:sz="4" w:space="0" w:color="auto"/>
              <w:left w:val="single" w:sz="4" w:space="0" w:color="auto"/>
              <w:bottom w:val="single" w:sz="4" w:space="0" w:color="auto"/>
              <w:right w:val="single" w:sz="4" w:space="0" w:color="auto"/>
            </w:tcBorders>
          </w:tcPr>
          <w:p w:rsidR="009B35CE" w:rsidRPr="00A0351C" w:rsidRDefault="009B35CE" w:rsidP="00D103A9">
            <w:pPr>
              <w:pStyle w:val="Tabletext"/>
              <w:rPr>
                <w:rFonts w:asciiTheme="minorHAnsi" w:hAnsiTheme="minorHAnsi"/>
                <w:b/>
              </w:rPr>
            </w:pPr>
            <w:r w:rsidRPr="00A0351C">
              <w:rPr>
                <w:b/>
              </w:rPr>
              <w:t>Summary of evidence</w:t>
            </w:r>
          </w:p>
        </w:tc>
      </w:tr>
      <w:tr w:rsidR="009B35CE"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A7700C" w:rsidP="00A7700C">
            <w:pPr>
              <w:pStyle w:val="Tabletext"/>
              <w:rPr>
                <w:rFonts w:asciiTheme="minorHAnsi" w:hAnsiTheme="minorHAnsi"/>
              </w:rPr>
            </w:pPr>
            <w:r>
              <w:t>All PAH p</w:t>
            </w:r>
            <w:r w:rsidR="009B35CE" w:rsidRPr="00FD4377">
              <w:t>atients</w:t>
            </w:r>
          </w:p>
        </w:tc>
      </w:tr>
      <w:tr w:rsidR="009B35CE" w:rsidTr="00D103A9">
        <w:tc>
          <w:tcPr>
            <w:tcW w:w="1555" w:type="dxa"/>
            <w:tcBorders>
              <w:top w:val="single" w:sz="4" w:space="0" w:color="auto"/>
              <w:left w:val="single" w:sz="4" w:space="0" w:color="auto"/>
              <w:bottom w:val="single" w:sz="4" w:space="0" w:color="auto"/>
              <w:right w:val="single" w:sz="4" w:space="0" w:color="auto"/>
            </w:tcBorders>
          </w:tcPr>
          <w:p w:rsidR="009B35CE" w:rsidRPr="001D637C" w:rsidRDefault="009B35CE" w:rsidP="00D103A9">
            <w:pPr>
              <w:pStyle w:val="Tabletext"/>
            </w:pPr>
            <w:r>
              <w:t>Any AE</w:t>
            </w:r>
          </w:p>
        </w:tc>
        <w:tc>
          <w:tcPr>
            <w:tcW w:w="1984" w:type="dxa"/>
            <w:tcBorders>
              <w:top w:val="single" w:sz="4" w:space="0" w:color="auto"/>
              <w:left w:val="single" w:sz="4" w:space="0" w:color="auto"/>
              <w:bottom w:val="single" w:sz="4" w:space="0" w:color="auto"/>
              <w:right w:val="single" w:sz="4" w:space="0" w:color="auto"/>
            </w:tcBorders>
          </w:tcPr>
          <w:p w:rsidR="00EA33A7" w:rsidRDefault="009B35CE" w:rsidP="00EA33A7">
            <w:pPr>
              <w:pStyle w:val="Tabletext"/>
            </w:pPr>
            <w:r>
              <w:t>PACES-1 (sildenafil/epoprostenol)</w:t>
            </w:r>
            <w:r w:rsidR="00EA33A7">
              <w:t xml:space="preserve"> </w:t>
            </w:r>
          </w:p>
          <w:p w:rsidR="009B35CE" w:rsidRPr="001D637C" w:rsidRDefault="00EA33A7" w:rsidP="00EA33A7">
            <w:pPr>
              <w:pStyle w:val="Tabletext"/>
            </w:pPr>
            <w:r>
              <w:t>N=265</w:t>
            </w:r>
          </w:p>
        </w:tc>
        <w:tc>
          <w:tcPr>
            <w:tcW w:w="6095" w:type="dxa"/>
            <w:tcBorders>
              <w:top w:val="single" w:sz="4" w:space="0" w:color="auto"/>
              <w:left w:val="single" w:sz="4" w:space="0" w:color="auto"/>
              <w:bottom w:val="single" w:sz="4" w:space="0" w:color="auto"/>
              <w:right w:val="single" w:sz="4" w:space="0" w:color="auto"/>
            </w:tcBorders>
          </w:tcPr>
          <w:p w:rsidR="009B35CE" w:rsidRPr="00B96C6F" w:rsidRDefault="009B35CE" w:rsidP="00480FDF">
            <w:pPr>
              <w:pStyle w:val="Tabletext"/>
              <w:numPr>
                <w:ilvl w:val="0"/>
                <w:numId w:val="37"/>
              </w:numPr>
              <w:ind w:left="227" w:hanging="227"/>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9B35CE" w:rsidRPr="00B96C6F" w:rsidRDefault="009B35CE" w:rsidP="00480FDF">
            <w:pPr>
              <w:pStyle w:val="Tabletext"/>
              <w:numPr>
                <w:ilvl w:val="0"/>
                <w:numId w:val="37"/>
              </w:numPr>
              <w:ind w:left="227" w:hanging="227"/>
            </w:pPr>
            <w:r w:rsidRPr="00B96C6F">
              <w:t>The</w:t>
            </w:r>
            <w:r>
              <w:t xml:space="preserve"> </w:t>
            </w:r>
            <w:r w:rsidRPr="00B96C6F">
              <w:t xml:space="preserve">proportion of patients who had any AE was </w:t>
            </w:r>
            <w:r>
              <w:t>similar</w:t>
            </w:r>
            <w:r w:rsidRPr="00B96C6F">
              <w:t xml:space="preserve"> for both the combination therapy and monotherapy arms</w:t>
            </w:r>
            <w:r>
              <w:t xml:space="preserve"> </w:t>
            </w:r>
            <w:r w:rsidRPr="00B96C6F">
              <w:t xml:space="preserve">(RR = </w:t>
            </w:r>
            <w:r>
              <w:t>0</w:t>
            </w:r>
            <w:r w:rsidRPr="00B96C6F">
              <w:t>.</w:t>
            </w:r>
            <w:r>
              <w:t>95</w:t>
            </w:r>
            <w:r w:rsidRPr="00B96C6F">
              <w:t>; 95% CI 0.</w:t>
            </w:r>
            <w:r>
              <w:t>90</w:t>
            </w:r>
            <w:r w:rsidRPr="00B96C6F">
              <w:t>, 1.</w:t>
            </w:r>
            <w:r>
              <w:t>00</w:t>
            </w:r>
            <w:r w:rsidRPr="00B96C6F">
              <w:t>)</w:t>
            </w:r>
            <w:r w:rsidR="00E74E34">
              <w:t>.</w:t>
            </w:r>
          </w:p>
        </w:tc>
      </w:tr>
      <w:tr w:rsidR="009B35CE" w:rsidTr="00D103A9">
        <w:tc>
          <w:tcPr>
            <w:tcW w:w="1555" w:type="dxa"/>
          </w:tcPr>
          <w:p w:rsidR="009B35CE" w:rsidRPr="001D637C" w:rsidRDefault="009B35CE" w:rsidP="00D103A9">
            <w:pPr>
              <w:pStyle w:val="Tabletext"/>
            </w:pPr>
            <w:r>
              <w:t>Serious AEs</w:t>
            </w:r>
          </w:p>
        </w:tc>
        <w:tc>
          <w:tcPr>
            <w:tcW w:w="1984" w:type="dxa"/>
            <w:tcBorders>
              <w:top w:val="single" w:sz="4" w:space="0" w:color="auto"/>
              <w:left w:val="single" w:sz="4" w:space="0" w:color="auto"/>
              <w:bottom w:val="single" w:sz="4" w:space="0" w:color="auto"/>
              <w:right w:val="single" w:sz="4" w:space="0" w:color="auto"/>
            </w:tcBorders>
          </w:tcPr>
          <w:p w:rsidR="00EA33A7" w:rsidRDefault="009B35CE" w:rsidP="00EA33A7">
            <w:pPr>
              <w:pStyle w:val="Tabletext"/>
            </w:pPr>
            <w:r>
              <w:t>PACES-1 (sildenafil/epoprostenol)</w:t>
            </w:r>
            <w:r w:rsidR="00EA33A7">
              <w:t xml:space="preserve"> </w:t>
            </w:r>
          </w:p>
          <w:p w:rsidR="009B35CE" w:rsidRPr="001D637C" w:rsidRDefault="00EA33A7" w:rsidP="00EA33A7">
            <w:pPr>
              <w:pStyle w:val="Tabletext"/>
            </w:pPr>
            <w:r>
              <w:t>N=265</w:t>
            </w:r>
          </w:p>
        </w:tc>
        <w:tc>
          <w:tcPr>
            <w:tcW w:w="6095" w:type="dxa"/>
          </w:tcPr>
          <w:p w:rsidR="009B35CE" w:rsidRPr="00B96C6F" w:rsidRDefault="009B35CE" w:rsidP="00480FDF">
            <w:pPr>
              <w:pStyle w:val="Tabletext"/>
              <w:numPr>
                <w:ilvl w:val="0"/>
                <w:numId w:val="37"/>
              </w:numPr>
              <w:ind w:left="227" w:hanging="227"/>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9B35CE" w:rsidRPr="00B96C6F" w:rsidRDefault="009B35CE" w:rsidP="00480FDF">
            <w:pPr>
              <w:pStyle w:val="Tabletext"/>
              <w:numPr>
                <w:ilvl w:val="0"/>
                <w:numId w:val="37"/>
              </w:numPr>
              <w:ind w:left="227" w:hanging="227"/>
            </w:pPr>
            <w:r w:rsidRPr="00B96C6F">
              <w:rPr>
                <w:szCs w:val="18"/>
              </w:rPr>
              <w:t xml:space="preserve">Fewer patients </w:t>
            </w:r>
            <w:r w:rsidR="00A87E2D">
              <w:rPr>
                <w:szCs w:val="18"/>
              </w:rPr>
              <w:t xml:space="preserve">had </w:t>
            </w:r>
            <w:r>
              <w:rPr>
                <w:szCs w:val="18"/>
              </w:rPr>
              <w:t>a serious AE</w:t>
            </w:r>
            <w:r w:rsidRPr="00B96C6F">
              <w:t xml:space="preserve"> with combination the</w:t>
            </w:r>
            <w:r>
              <w:t>rapy compared with monotherapy,</w:t>
            </w:r>
            <w:r w:rsidRPr="00B96C6F">
              <w:t xml:space="preserve"> </w:t>
            </w:r>
            <w:r w:rsidRPr="00F3410B">
              <w:t xml:space="preserve">but the </w:t>
            </w:r>
            <w:r w:rsidR="00D84687">
              <w:t>95% CI indicates</w:t>
            </w:r>
            <w:r w:rsidRPr="00F3410B">
              <w:t xml:space="preserve"> that there could </w:t>
            </w:r>
            <w:r w:rsidR="009A57D8">
              <w:t xml:space="preserve">also be </w:t>
            </w:r>
            <w:r w:rsidR="00A87E2D">
              <w:t xml:space="preserve">an </w:t>
            </w:r>
            <w:r w:rsidRPr="00F3410B">
              <w:t>effect</w:t>
            </w:r>
            <w:r w:rsidR="00A87E2D">
              <w:t xml:space="preserve"> in the opposite direction</w:t>
            </w:r>
            <w:r w:rsidRPr="00B96C6F">
              <w:t xml:space="preserve"> (</w:t>
            </w:r>
            <w:r>
              <w:t>RR = 0.73</w:t>
            </w:r>
            <w:r w:rsidRPr="00B96C6F">
              <w:t>; 95% CI 0.</w:t>
            </w:r>
            <w:r>
              <w:t>48</w:t>
            </w:r>
            <w:r w:rsidRPr="00B96C6F">
              <w:t xml:space="preserve">, </w:t>
            </w:r>
            <w:r>
              <w:t>1</w:t>
            </w:r>
            <w:r w:rsidRPr="00B96C6F">
              <w:t>.</w:t>
            </w:r>
            <w:r>
              <w:t>10</w:t>
            </w:r>
            <w:r w:rsidRPr="00B96C6F">
              <w:t>)</w:t>
            </w:r>
            <w:r w:rsidR="00E74E34">
              <w:t>.</w:t>
            </w:r>
          </w:p>
        </w:tc>
      </w:tr>
      <w:tr w:rsidR="009B35CE" w:rsidTr="00D103A9">
        <w:tc>
          <w:tcPr>
            <w:tcW w:w="1555" w:type="dxa"/>
          </w:tcPr>
          <w:p w:rsidR="009B35CE" w:rsidRDefault="009B35CE" w:rsidP="00D103A9">
            <w:pPr>
              <w:pStyle w:val="Tabletext"/>
            </w:pPr>
            <w:r w:rsidRPr="00B96C6F">
              <w:t>AEs leading to treatment discontinuation</w:t>
            </w:r>
          </w:p>
        </w:tc>
        <w:tc>
          <w:tcPr>
            <w:tcW w:w="1984" w:type="dxa"/>
            <w:tcBorders>
              <w:top w:val="single" w:sz="4" w:space="0" w:color="auto"/>
              <w:left w:val="single" w:sz="4" w:space="0" w:color="auto"/>
              <w:bottom w:val="single" w:sz="4" w:space="0" w:color="auto"/>
              <w:right w:val="single" w:sz="4" w:space="0" w:color="auto"/>
            </w:tcBorders>
          </w:tcPr>
          <w:p w:rsidR="00EA33A7" w:rsidRDefault="009B35CE" w:rsidP="00EA33A7">
            <w:pPr>
              <w:pStyle w:val="Tabletext"/>
            </w:pPr>
            <w:r>
              <w:t>PACES-1 (sildenafil/epoprostenol)</w:t>
            </w:r>
            <w:r w:rsidR="00EA33A7">
              <w:t xml:space="preserve"> </w:t>
            </w:r>
          </w:p>
          <w:p w:rsidR="009B35CE" w:rsidRDefault="00EA33A7" w:rsidP="00EA33A7">
            <w:pPr>
              <w:pStyle w:val="Tabletext"/>
            </w:pPr>
            <w:r>
              <w:t>N=265</w:t>
            </w:r>
          </w:p>
        </w:tc>
        <w:tc>
          <w:tcPr>
            <w:tcW w:w="6095" w:type="dxa"/>
            <w:tcBorders>
              <w:top w:val="single" w:sz="4" w:space="0" w:color="auto"/>
              <w:left w:val="single" w:sz="4" w:space="0" w:color="auto"/>
              <w:bottom w:val="single" w:sz="4" w:space="0" w:color="auto"/>
              <w:right w:val="single" w:sz="4" w:space="0" w:color="auto"/>
            </w:tcBorders>
          </w:tcPr>
          <w:p w:rsidR="009B35CE" w:rsidRPr="00B96C6F" w:rsidRDefault="009B35CE" w:rsidP="00480FDF">
            <w:pPr>
              <w:pStyle w:val="Tabletext"/>
              <w:numPr>
                <w:ilvl w:val="0"/>
                <w:numId w:val="37"/>
              </w:numPr>
              <w:ind w:left="227" w:hanging="227"/>
              <w:rPr>
                <w:szCs w:val="18"/>
              </w:rPr>
            </w:pPr>
            <w:r w:rsidRPr="00B96C6F">
              <w:t>High quality</w:t>
            </w:r>
            <w:r w:rsidRPr="00B96C6F">
              <w:rPr>
                <w:rFonts w:cs="Cambria Math"/>
              </w:rPr>
              <w:t xml:space="preserve"> evidence (GRADE </w:t>
            </w:r>
            <w:r w:rsidRPr="00B96C6F">
              <w:rPr>
                <w:rFonts w:ascii="Cambria Math" w:hAnsi="Cambria Math" w:cs="Cambria Math"/>
                <w:color w:val="00B050"/>
              </w:rPr>
              <w:t>⨁⨁⨁⨁</w:t>
            </w:r>
            <w:r w:rsidRPr="00B96C6F">
              <w:t>)</w:t>
            </w:r>
          </w:p>
          <w:p w:rsidR="009B35CE" w:rsidRPr="006B11DC" w:rsidRDefault="00695728" w:rsidP="00480FDF">
            <w:pPr>
              <w:pStyle w:val="Tabletext"/>
              <w:numPr>
                <w:ilvl w:val="0"/>
                <w:numId w:val="37"/>
              </w:numPr>
              <w:ind w:left="227" w:hanging="227"/>
            </w:pPr>
            <w:r>
              <w:t>Fewer</w:t>
            </w:r>
            <w:r w:rsidR="009B35CE">
              <w:t xml:space="preserve"> </w:t>
            </w:r>
            <w:r w:rsidR="009B35CE" w:rsidRPr="00F3410B">
              <w:t>patients had an AE leading to treatment discontinuation</w:t>
            </w:r>
            <w:r w:rsidR="009B35CE" w:rsidRPr="00B96C6F">
              <w:t xml:space="preserve"> with combination therapy compared with monotherapy, </w:t>
            </w:r>
            <w:r w:rsidR="009B35CE" w:rsidRPr="00F3410B">
              <w:t xml:space="preserve">but the </w:t>
            </w:r>
            <w:r w:rsidR="00D84687">
              <w:t>95% CI indicates</w:t>
            </w:r>
            <w:r w:rsidR="009B35CE" w:rsidRPr="00F3410B">
              <w:t xml:space="preserve"> that there could also be </w:t>
            </w:r>
            <w:r w:rsidR="009A57D8">
              <w:t>an</w:t>
            </w:r>
            <w:r w:rsidR="009B35CE" w:rsidRPr="00F3410B">
              <w:t xml:space="preserve"> effect</w:t>
            </w:r>
            <w:r w:rsidR="009B35CE" w:rsidRPr="00B96C6F">
              <w:t xml:space="preserve"> </w:t>
            </w:r>
            <w:r w:rsidR="009A57D8">
              <w:t xml:space="preserve">in the opposite direction </w:t>
            </w:r>
            <w:r w:rsidR="009B35CE" w:rsidRPr="00B96C6F">
              <w:t xml:space="preserve">(RR = </w:t>
            </w:r>
            <w:r w:rsidR="007463BE">
              <w:t>0.49</w:t>
            </w:r>
            <w:r w:rsidR="009B35CE" w:rsidRPr="00B96C6F">
              <w:t>; 95% CI 0.</w:t>
            </w:r>
            <w:r w:rsidR="008B5A87">
              <w:t>2</w:t>
            </w:r>
            <w:r w:rsidR="009B35CE">
              <w:t>0</w:t>
            </w:r>
            <w:r w:rsidR="009B35CE" w:rsidRPr="00B96C6F">
              <w:t xml:space="preserve">, </w:t>
            </w:r>
            <w:r w:rsidR="009B35CE">
              <w:t>1</w:t>
            </w:r>
            <w:r w:rsidR="009B35CE" w:rsidRPr="00B96C6F">
              <w:t>.</w:t>
            </w:r>
            <w:r w:rsidR="008B5A87">
              <w:t>1</w:t>
            </w:r>
            <w:r w:rsidR="009B35CE">
              <w:t>7</w:t>
            </w:r>
            <w:r w:rsidR="009B35CE" w:rsidRPr="00B96C6F">
              <w:t>)</w:t>
            </w:r>
            <w:r w:rsidR="00E74E34">
              <w:t>.</w:t>
            </w:r>
          </w:p>
        </w:tc>
      </w:tr>
    </w:tbl>
    <w:p w:rsidR="003E046F" w:rsidRPr="006316DF" w:rsidRDefault="009B35CE" w:rsidP="00D103A9">
      <w:pPr>
        <w:pStyle w:val="Tablenote"/>
      </w:pPr>
      <w:r>
        <w:t xml:space="preserve">AE = adverse event; CI = confidence interval; </w:t>
      </w:r>
      <w:r w:rsidR="003E046F" w:rsidRPr="009E3B52">
        <w:t xml:space="preserve">FC = functional class; </w:t>
      </w:r>
      <w:r w:rsidR="00385E5A">
        <w:t>GRADE = grading of recommendations assessment, development and evaluation</w:t>
      </w:r>
      <w:r w:rsidR="001D34EE" w:rsidRPr="001D34EE">
        <w:rPr>
          <w:noProof/>
          <w:vertAlign w:val="superscript"/>
        </w:rPr>
        <w:t>1</w:t>
      </w:r>
      <w:r w:rsidR="003E046F" w:rsidRPr="009E3B52">
        <w:t xml:space="preserve">; </w:t>
      </w:r>
      <w:r w:rsidRPr="009123E2">
        <w:t>PAH</w:t>
      </w:r>
      <w:r>
        <w:t xml:space="preserve"> = p</w:t>
      </w:r>
      <w:r w:rsidRPr="009123E2">
        <w:t xml:space="preserve">ulmonary </w:t>
      </w:r>
      <w:r>
        <w:t>a</w:t>
      </w:r>
      <w:r w:rsidRPr="009123E2">
        <w:t xml:space="preserve">rterial </w:t>
      </w:r>
      <w:r>
        <w:t>h</w:t>
      </w:r>
      <w:r w:rsidRPr="009123E2">
        <w:t>ypertension</w:t>
      </w:r>
      <w:r>
        <w:t xml:space="preserve">; </w:t>
      </w:r>
      <w:r w:rsidRPr="004A7427">
        <w:t xml:space="preserve">PDE-5 = phosphodiesterase type-5; </w:t>
      </w:r>
      <w:r>
        <w:t>RR = relative risk</w:t>
      </w:r>
      <w:r w:rsidR="003E046F">
        <w:t>;</w:t>
      </w:r>
      <w:r w:rsidR="003E046F" w:rsidRPr="003E046F">
        <w:t xml:space="preserve"> </w:t>
      </w:r>
      <w:r w:rsidR="003E046F" w:rsidRPr="009E3B52">
        <w:t>WHO = World Health Organization</w:t>
      </w:r>
    </w:p>
    <w:p w:rsidR="009B35CE" w:rsidRPr="006316DF" w:rsidRDefault="00441F08" w:rsidP="00003E50">
      <w:pPr>
        <w:pStyle w:val="Heading4"/>
        <w:tabs>
          <w:tab w:val="left" w:pos="993"/>
          <w:tab w:val="left" w:pos="1134"/>
        </w:tabs>
      </w:pPr>
      <w:r>
        <w:t>4.1.3.5</w:t>
      </w:r>
      <w:r>
        <w:tab/>
      </w:r>
      <w:r w:rsidR="009B35CE" w:rsidRPr="00C22CAC">
        <w:t>Prosta</w:t>
      </w:r>
      <w:r w:rsidR="00BC132E">
        <w:t>noid</w:t>
      </w:r>
      <w:r w:rsidR="009B35CE">
        <w:t xml:space="preserve"> </w:t>
      </w:r>
      <w:r w:rsidR="009B35CE" w:rsidRPr="00EF6A61">
        <w:t xml:space="preserve">in addition to </w:t>
      </w:r>
      <w:r w:rsidR="009B35CE">
        <w:t xml:space="preserve">an </w:t>
      </w:r>
      <w:r w:rsidR="009B35CE" w:rsidRPr="006316DF">
        <w:t>ERA</w:t>
      </w:r>
    </w:p>
    <w:p w:rsidR="009B35CE" w:rsidRPr="00107676" w:rsidRDefault="009B35CE" w:rsidP="009B35CE">
      <w:pPr>
        <w:pStyle w:val="Heading5"/>
      </w:pPr>
      <w:r w:rsidRPr="00107676">
        <w:t>Clinical effectiveness</w:t>
      </w:r>
    </w:p>
    <w:p w:rsidR="009B35CE" w:rsidRPr="00C77B6A" w:rsidRDefault="009B35CE" w:rsidP="009B35CE">
      <w:pPr>
        <w:spacing w:after="40"/>
      </w:pPr>
      <w:r w:rsidRPr="00C77B6A">
        <w:t xml:space="preserve">Two RCTs reported on the effectiveness of </w:t>
      </w:r>
      <w:r w:rsidR="006A201F">
        <w:t xml:space="preserve">a </w:t>
      </w:r>
      <w:r w:rsidR="006A201F" w:rsidRPr="0017012F">
        <w:t xml:space="preserve">prostanoid </w:t>
      </w:r>
      <w:r w:rsidRPr="00C77B6A">
        <w:t xml:space="preserve">in addition to </w:t>
      </w:r>
      <w:r w:rsidR="006A201F" w:rsidRPr="00C77B6A">
        <w:t xml:space="preserve">an ERA </w:t>
      </w:r>
      <w:r w:rsidRPr="00C77B6A">
        <w:t xml:space="preserve">in treating PAH compared with </w:t>
      </w:r>
      <w:r w:rsidR="00A87E2D">
        <w:t xml:space="preserve">a </w:t>
      </w:r>
      <w:r w:rsidRPr="00C77B6A">
        <w:t>place</w:t>
      </w:r>
      <w:r>
        <w:t>bo plus a</w:t>
      </w:r>
      <w:r w:rsidR="006A201F">
        <w:t>n ERA</w:t>
      </w:r>
      <w:r>
        <w:t>:</w:t>
      </w:r>
    </w:p>
    <w:p w:rsidR="009B35CE" w:rsidRPr="00B607A5" w:rsidRDefault="009B35CE" w:rsidP="00D103A9">
      <w:pPr>
        <w:pStyle w:val="Bullettext"/>
        <w:rPr>
          <w:bCs/>
        </w:rPr>
      </w:pPr>
      <w:r w:rsidRPr="00B607A5">
        <w:t xml:space="preserve">COMBI enrolled patients with WHO FC III IPAH </w:t>
      </w:r>
      <w:r w:rsidR="00A87E2D" w:rsidRPr="00B607A5">
        <w:t>(</w:t>
      </w:r>
      <w:r w:rsidRPr="00B607A5">
        <w:t>who were already being treated with bosentan</w:t>
      </w:r>
      <w:r w:rsidR="00A87E2D" w:rsidRPr="00B607A5">
        <w:t>)</w:t>
      </w:r>
      <w:r w:rsidRPr="00B607A5">
        <w:t xml:space="preserve"> to receive combination therapy with the addition of iloprost or continue bosentan monotherapy</w:t>
      </w:r>
      <w:r w:rsidR="0044469E">
        <w:t>.</w:t>
      </w:r>
    </w:p>
    <w:p w:rsidR="009B35CE" w:rsidRPr="00B607A5" w:rsidRDefault="009B35CE" w:rsidP="00D103A9">
      <w:pPr>
        <w:pStyle w:val="Bullettext"/>
        <w:rPr>
          <w:bCs/>
        </w:rPr>
      </w:pPr>
      <w:r w:rsidRPr="00B607A5">
        <w:t xml:space="preserve">STEP enrolled patients with PAH who </w:t>
      </w:r>
      <w:proofErr w:type="gramStart"/>
      <w:r w:rsidRPr="00B607A5">
        <w:t>were already being treated</w:t>
      </w:r>
      <w:proofErr w:type="gramEnd"/>
      <w:r w:rsidRPr="00B607A5">
        <w:t xml:space="preserve"> with bosentan to receive combination therapy with the addition of iloprost or continue bosentan monotherapy</w:t>
      </w:r>
      <w:r w:rsidR="0044469E">
        <w:t>.</w:t>
      </w:r>
    </w:p>
    <w:p w:rsidR="009B35CE" w:rsidRPr="00B607A5" w:rsidRDefault="009B35CE" w:rsidP="00D103A9">
      <w:pPr>
        <w:pStyle w:val="Bullettext"/>
        <w:numPr>
          <w:ilvl w:val="1"/>
          <w:numId w:val="1"/>
        </w:numPr>
        <w:ind w:left="1134"/>
        <w:rPr>
          <w:bCs/>
        </w:rPr>
      </w:pPr>
      <w:r w:rsidRPr="00B607A5">
        <w:t xml:space="preserve">Nearly all included patients had </w:t>
      </w:r>
      <w:r w:rsidR="006B4B22" w:rsidRPr="00B607A5">
        <w:t>WHO</w:t>
      </w:r>
      <w:r w:rsidRPr="00B607A5">
        <w:t xml:space="preserve"> FC III/IV PAH; one patient randomised to monotherapy had </w:t>
      </w:r>
      <w:r w:rsidR="006B4B22" w:rsidRPr="00B607A5">
        <w:t>WHO</w:t>
      </w:r>
      <w:r w:rsidRPr="00B607A5">
        <w:t xml:space="preserve"> FC II PAH</w:t>
      </w:r>
      <w:r w:rsidR="0044469E">
        <w:t>.</w:t>
      </w:r>
    </w:p>
    <w:p w:rsidR="009B35CE" w:rsidRDefault="009B35CE" w:rsidP="00D103A9">
      <w:r>
        <w:t xml:space="preserve">The evidence provided by these trials for patients </w:t>
      </w:r>
      <w:r w:rsidRPr="00C77B6A">
        <w:t xml:space="preserve">with WHO FC III/IV PAH </w:t>
      </w:r>
      <w:r>
        <w:t>is summarised in</w:t>
      </w:r>
      <w:r w:rsidR="00D103A9">
        <w:t xml:space="preserve"> </w:t>
      </w:r>
      <w:r w:rsidR="003951FA">
        <w:t>Table 4.</w:t>
      </w:r>
      <w:r w:rsidR="003951FA">
        <w:rPr>
          <w:noProof/>
        </w:rPr>
        <w:t>13</w:t>
      </w:r>
      <w:r>
        <w:t>.</w:t>
      </w:r>
    </w:p>
    <w:p w:rsidR="0049771F" w:rsidRDefault="001E5DED" w:rsidP="009B35CE">
      <w:r>
        <w:t xml:space="preserve">Overall, </w:t>
      </w:r>
      <w:r w:rsidR="008B5A87" w:rsidRPr="008B5A87">
        <w:t xml:space="preserve">there is </w:t>
      </w:r>
      <w:r w:rsidR="009A57D8">
        <w:t xml:space="preserve">limited </w:t>
      </w:r>
      <w:r w:rsidR="008B5A87" w:rsidRPr="008B5A87">
        <w:t xml:space="preserve">evidence to suggest that </w:t>
      </w:r>
      <w:r w:rsidRPr="000522D6">
        <w:t xml:space="preserve">the </w:t>
      </w:r>
      <w:r w:rsidRPr="006316DF">
        <w:t xml:space="preserve">use of a </w:t>
      </w:r>
      <w:r w:rsidRPr="00FF0F23">
        <w:t>prostanoid in addition to an ERA</w:t>
      </w:r>
      <w:r w:rsidRPr="000522D6">
        <w:t xml:space="preserve">, relative to </w:t>
      </w:r>
      <w:r>
        <w:t>ERA</w:t>
      </w:r>
      <w:r w:rsidRPr="000522D6">
        <w:t xml:space="preserve"> monotherapy</w:t>
      </w:r>
      <w:r w:rsidR="00A87E2D">
        <w:t>,</w:t>
      </w:r>
      <w:r w:rsidRPr="000522D6">
        <w:t xml:space="preserve"> </w:t>
      </w:r>
      <w:r w:rsidRPr="006316DF">
        <w:t xml:space="preserve">to treat </w:t>
      </w:r>
      <w:r>
        <w:t xml:space="preserve">patients with WHO FC III/IV PAH </w:t>
      </w:r>
      <w:r w:rsidR="008B5A87">
        <w:t>may</w:t>
      </w:r>
      <w:r w:rsidRPr="006316DF">
        <w:t xml:space="preserve"> be beneficial</w:t>
      </w:r>
      <w:r>
        <w:t>.</w:t>
      </w:r>
      <w:r w:rsidR="009A57D8" w:rsidRPr="009A57D8">
        <w:t xml:space="preserve"> </w:t>
      </w:r>
      <w:r w:rsidR="009A57D8" w:rsidRPr="00E60652">
        <w:t xml:space="preserve">This finding would be stronger if it </w:t>
      </w:r>
      <w:proofErr w:type="gramStart"/>
      <w:r w:rsidR="009A57D8" w:rsidRPr="00E60652">
        <w:t>were replicated</w:t>
      </w:r>
      <w:proofErr w:type="gramEnd"/>
      <w:r w:rsidR="009A57D8" w:rsidRPr="00E60652">
        <w:t xml:space="preserve"> in additional research.</w:t>
      </w:r>
    </w:p>
    <w:p w:rsidR="0049771F" w:rsidRDefault="0049771F">
      <w:pPr>
        <w:spacing w:before="0" w:line="240" w:lineRule="auto"/>
      </w:pPr>
      <w:r>
        <w:br w:type="page"/>
      </w:r>
    </w:p>
    <w:p w:rsidR="009B35CE" w:rsidRDefault="00272F8F" w:rsidP="00BC5A2B">
      <w:pPr>
        <w:pStyle w:val="Caption"/>
      </w:pPr>
      <w:bookmarkStart w:id="36" w:name="_Ref506203144"/>
      <w:bookmarkStart w:id="37" w:name="_Toc38360310"/>
      <w:r>
        <w:t>Table 4.</w:t>
      </w:r>
      <w:r w:rsidR="003951FA">
        <w:rPr>
          <w:noProof/>
        </w:rPr>
        <w:t>13</w:t>
      </w:r>
      <w:bookmarkEnd w:id="36"/>
      <w:r w:rsidR="00D103A9">
        <w:tab/>
      </w:r>
      <w:r w:rsidR="009B35CE">
        <w:t xml:space="preserve">Summary of the evidence for the clinical effectiveness of a </w:t>
      </w:r>
      <w:r w:rsidR="001E5DED">
        <w:t>p</w:t>
      </w:r>
      <w:r w:rsidR="001E5DED" w:rsidRPr="00673C2E">
        <w:t>rost</w:t>
      </w:r>
      <w:r w:rsidR="001E5DED">
        <w:t>anoid</w:t>
      </w:r>
      <w:r w:rsidR="009B35CE" w:rsidRPr="00673C2E">
        <w:t xml:space="preserve"> in addition to an ERA</w:t>
      </w:r>
      <w:r w:rsidR="009B35CE" w:rsidRPr="00542902">
        <w:t>, relative</w:t>
      </w:r>
      <w:r w:rsidR="009B35CE">
        <w:t xml:space="preserve"> to ERA monotherapy</w:t>
      </w:r>
      <w:bookmarkEnd w:id="37"/>
    </w:p>
    <w:tbl>
      <w:tblPr>
        <w:tblStyle w:val="TableGrid"/>
        <w:tblW w:w="9634" w:type="dxa"/>
        <w:tblLook w:val="04A0" w:firstRow="1" w:lastRow="0" w:firstColumn="1" w:lastColumn="0" w:noHBand="0" w:noVBand="1"/>
        <w:tblCaption w:val="Summary of the evidence for the clinical effectiveness of a prostanoid in addition to an ERA, relative to ERA monotherapy"/>
      </w:tblPr>
      <w:tblGrid>
        <w:gridCol w:w="1555"/>
        <w:gridCol w:w="1984"/>
        <w:gridCol w:w="6095"/>
      </w:tblGrid>
      <w:tr w:rsidR="009B35CE" w:rsidRPr="00737EA5"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Outcome</w:t>
            </w:r>
          </w:p>
        </w:tc>
        <w:tc>
          <w:tcPr>
            <w:tcW w:w="1984" w:type="dxa"/>
            <w:tcBorders>
              <w:top w:val="single" w:sz="4" w:space="0" w:color="auto"/>
              <w:left w:val="single" w:sz="4" w:space="0" w:color="auto"/>
              <w:bottom w:val="single" w:sz="4" w:space="0" w:color="auto"/>
              <w:right w:val="single" w:sz="4" w:space="0" w:color="auto"/>
            </w:tcBorders>
          </w:tcPr>
          <w:p w:rsidR="00EA33A7" w:rsidRDefault="009B35CE" w:rsidP="00EA33A7">
            <w:pPr>
              <w:pStyle w:val="Tabletext"/>
              <w:rPr>
                <w:b/>
              </w:rPr>
            </w:pPr>
            <w:r w:rsidRPr="006C297E">
              <w:rPr>
                <w:b/>
              </w:rPr>
              <w:t xml:space="preserve">Included trials </w:t>
            </w:r>
          </w:p>
          <w:p w:rsidR="009B35CE" w:rsidRPr="006C297E" w:rsidRDefault="00EA33A7" w:rsidP="00EA33A7">
            <w:pPr>
              <w:pStyle w:val="Tabletext"/>
              <w:rPr>
                <w:rFonts w:asciiTheme="minorHAnsi" w:hAnsiTheme="minorHAnsi"/>
                <w:b/>
              </w:rPr>
            </w:pPr>
            <w:r w:rsidRPr="00293DE5">
              <w:rPr>
                <w:b/>
              </w:rPr>
              <w:t>No. of patients</w:t>
            </w:r>
          </w:p>
        </w:tc>
        <w:tc>
          <w:tcPr>
            <w:tcW w:w="609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Summary of evidence</w:t>
            </w:r>
          </w:p>
        </w:tc>
      </w:tr>
      <w:tr w:rsidR="009B35CE"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9B35CE" w:rsidP="00BC132E">
            <w:pPr>
              <w:pStyle w:val="Tabletext"/>
              <w:keepNext/>
              <w:rPr>
                <w:rFonts w:asciiTheme="minorHAnsi" w:hAnsiTheme="minorHAnsi"/>
              </w:rPr>
            </w:pPr>
            <w:r>
              <w:t>P</w:t>
            </w:r>
            <w:r w:rsidRPr="00FD4377">
              <w:t>atients with WHO FC III/IV PAH</w:t>
            </w:r>
          </w:p>
        </w:tc>
      </w:tr>
      <w:tr w:rsidR="00695728" w:rsidTr="00D103A9">
        <w:tc>
          <w:tcPr>
            <w:tcW w:w="1555" w:type="dxa"/>
          </w:tcPr>
          <w:p w:rsidR="00695728" w:rsidRPr="001D637C" w:rsidRDefault="00695728" w:rsidP="00695728">
            <w:pPr>
              <w:pStyle w:val="Tabletext"/>
            </w:pPr>
            <w:r>
              <w:t>Clinical worsening</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COMBI</w:t>
            </w:r>
            <w:r>
              <w:br/>
              <w:t>(iloprost/bosentan)</w:t>
            </w:r>
          </w:p>
          <w:p w:rsidR="00695728" w:rsidRDefault="00695728" w:rsidP="00695728">
            <w:pPr>
              <w:pStyle w:val="Tabletext"/>
            </w:pPr>
            <w:r>
              <w:t>STEP</w:t>
            </w:r>
            <w:r>
              <w:br/>
            </w:r>
            <w:r w:rsidRPr="00D13D2A">
              <w:t>(iloprost/bosentan)</w:t>
            </w:r>
          </w:p>
          <w:p w:rsidR="00695728" w:rsidRPr="001D637C" w:rsidRDefault="00695728" w:rsidP="00695728">
            <w:pPr>
              <w:pStyle w:val="Tabletext"/>
            </w:pPr>
            <w:r>
              <w:t>N=105</w:t>
            </w:r>
          </w:p>
        </w:tc>
        <w:tc>
          <w:tcPr>
            <w:tcW w:w="6095" w:type="dxa"/>
          </w:tcPr>
          <w:p w:rsidR="00695728" w:rsidRDefault="00695728" w:rsidP="00480FDF">
            <w:pPr>
              <w:pStyle w:val="Tabletext"/>
              <w:numPr>
                <w:ilvl w:val="0"/>
                <w:numId w:val="38"/>
              </w:numPr>
              <w:ind w:left="227" w:hanging="219"/>
            </w:pPr>
            <w:r>
              <w:t>Very low</w:t>
            </w:r>
            <w:r w:rsidRPr="00C77B6A">
              <w:t xml:space="preserve"> quality</w:t>
            </w:r>
            <w:r w:rsidRPr="00C77B6A">
              <w:rPr>
                <w:rFonts w:cs="Cambria Math"/>
              </w:rPr>
              <w:t xml:space="preserve"> evidence (GRADE </w:t>
            </w:r>
            <w:r w:rsidRPr="00416ABC">
              <w:rPr>
                <w:rFonts w:ascii="Cambria Math" w:hAnsi="Cambria Math" w:cs="Cambria Math"/>
                <w:color w:val="00B050"/>
              </w:rPr>
              <w:t>⨁</w:t>
            </w:r>
            <w:r w:rsidRPr="00E564DD">
              <w:rPr>
                <w:rFonts w:ascii="Cambria Math" w:hAnsi="Cambria Math" w:cs="Cambria Math"/>
                <w:bCs/>
                <w:color w:val="FF0000"/>
              </w:rPr>
              <w:t>⨀</w:t>
            </w:r>
            <w:r w:rsidRPr="00416ABC">
              <w:rPr>
                <w:rFonts w:ascii="Cambria Math" w:hAnsi="Cambria Math" w:cs="Cambria Math"/>
                <w:color w:val="C00000"/>
              </w:rPr>
              <w:t>⨀⨀</w:t>
            </w:r>
            <w:r w:rsidRPr="00C77B6A">
              <w:t>)</w:t>
            </w:r>
          </w:p>
          <w:p w:rsidR="00695728" w:rsidRPr="00C77B6A" w:rsidRDefault="00695728" w:rsidP="00480FDF">
            <w:pPr>
              <w:pStyle w:val="Tabletext"/>
              <w:numPr>
                <w:ilvl w:val="0"/>
                <w:numId w:val="38"/>
              </w:numPr>
              <w:ind w:left="227" w:hanging="219"/>
            </w:pPr>
            <w:r>
              <w:t xml:space="preserve">Fewer </w:t>
            </w:r>
            <w:r w:rsidRPr="00B92556">
              <w:t xml:space="preserve">patients </w:t>
            </w:r>
            <w:r>
              <w:t>experienced clinical worsening</w:t>
            </w:r>
            <w:r w:rsidRPr="00B92556">
              <w:t xml:space="preserve"> with combination therapy compared with monotherapy, but the </w:t>
            </w:r>
            <w:r>
              <w:t>95% CI indicates</w:t>
            </w:r>
            <w:r w:rsidRPr="00B92556">
              <w:t xml:space="preserve"> t</w:t>
            </w:r>
            <w:r>
              <w:t xml:space="preserve">hat </w:t>
            </w:r>
            <w:r w:rsidR="00955FF7">
              <w:t xml:space="preserve">there could also be an effect in the opposite direction </w:t>
            </w:r>
            <w:r>
              <w:t>(</w:t>
            </w:r>
            <w:r w:rsidRPr="00B92556">
              <w:t xml:space="preserve">RR = </w:t>
            </w:r>
            <w:r>
              <w:t>0.</w:t>
            </w:r>
            <w:r w:rsidRPr="00B92556">
              <w:t>3</w:t>
            </w:r>
            <w:r>
              <w:t>9</w:t>
            </w:r>
            <w:r w:rsidRPr="00B92556">
              <w:t>; 95% CI 0</w:t>
            </w:r>
            <w:r>
              <w:t>.04</w:t>
            </w:r>
            <w:r w:rsidRPr="00B92556">
              <w:t xml:space="preserve">, </w:t>
            </w:r>
            <w:r>
              <w:t>3</w:t>
            </w:r>
            <w:r w:rsidRPr="00B92556">
              <w:t>.</w:t>
            </w:r>
            <w:r>
              <w:t>45</w:t>
            </w:r>
            <w:r w:rsidRPr="00B92556">
              <w:t>)</w:t>
            </w:r>
            <w:r w:rsidR="00E74E34">
              <w:t>.</w:t>
            </w:r>
          </w:p>
        </w:tc>
      </w:tr>
      <w:tr w:rsidR="00695728" w:rsidTr="00D103A9">
        <w:tc>
          <w:tcPr>
            <w:tcW w:w="1555" w:type="dxa"/>
          </w:tcPr>
          <w:p w:rsidR="00695728" w:rsidRPr="001D637C" w:rsidRDefault="00695728" w:rsidP="00695728">
            <w:pPr>
              <w:pStyle w:val="Tabletext"/>
            </w:pPr>
            <w:r>
              <w:t>All-cause mortality</w:t>
            </w:r>
          </w:p>
        </w:tc>
        <w:tc>
          <w:tcPr>
            <w:tcW w:w="1984" w:type="dxa"/>
          </w:tcPr>
          <w:p w:rsidR="00695728" w:rsidRDefault="00695728" w:rsidP="00695728">
            <w:pPr>
              <w:pStyle w:val="Tabletext"/>
            </w:pPr>
            <w:r>
              <w:t>COMBI</w:t>
            </w:r>
            <w:r>
              <w:br/>
              <w:t>(iloprost/bosentan)</w:t>
            </w:r>
          </w:p>
          <w:p w:rsidR="00695728" w:rsidRDefault="00695728" w:rsidP="00695728">
            <w:pPr>
              <w:pStyle w:val="Tabletext"/>
            </w:pPr>
            <w:r>
              <w:t>STEP</w:t>
            </w:r>
            <w:r>
              <w:br/>
            </w:r>
            <w:r w:rsidRPr="00D13D2A">
              <w:t>(iloprost/bosentan)</w:t>
            </w:r>
            <w:r>
              <w:t xml:space="preserve"> </w:t>
            </w:r>
          </w:p>
          <w:p w:rsidR="00695728" w:rsidRPr="001D637C" w:rsidRDefault="00695728" w:rsidP="00695728">
            <w:pPr>
              <w:pStyle w:val="Tabletext"/>
            </w:pPr>
            <w:r>
              <w:t>N=105</w:t>
            </w:r>
          </w:p>
        </w:tc>
        <w:tc>
          <w:tcPr>
            <w:tcW w:w="6095" w:type="dxa"/>
          </w:tcPr>
          <w:p w:rsidR="00695728" w:rsidRPr="006B11DC" w:rsidRDefault="00695728" w:rsidP="00480FDF">
            <w:pPr>
              <w:pStyle w:val="Tabletext"/>
              <w:numPr>
                <w:ilvl w:val="0"/>
                <w:numId w:val="38"/>
              </w:numPr>
              <w:ind w:left="227" w:hanging="219"/>
            </w:pPr>
            <w:r>
              <w:t>Moderate</w:t>
            </w:r>
            <w:r w:rsidRPr="006B11DC">
              <w:t xml:space="preserve"> quality evidence (GRADE </w:t>
            </w:r>
            <w:r w:rsidRPr="006B11DC">
              <w:rPr>
                <w:rFonts w:ascii="Cambria Math" w:hAnsi="Cambria Math" w:cs="Cambria Math"/>
                <w:color w:val="00B050"/>
              </w:rPr>
              <w:t>⨁⨁⨁</w:t>
            </w:r>
            <w:r w:rsidRPr="00083FA5">
              <w:rPr>
                <w:rFonts w:ascii="Cambria Math" w:hAnsi="Cambria Math" w:cs="Cambria Math"/>
                <w:color w:val="FF0000"/>
              </w:rPr>
              <w:t>⨀</w:t>
            </w:r>
            <w:r w:rsidRPr="006B11DC">
              <w:t>)</w:t>
            </w:r>
          </w:p>
          <w:p w:rsidR="00695728" w:rsidRPr="00C77B6A" w:rsidRDefault="00695728" w:rsidP="00480FDF">
            <w:pPr>
              <w:pStyle w:val="Tabletext"/>
              <w:numPr>
                <w:ilvl w:val="0"/>
                <w:numId w:val="38"/>
              </w:numPr>
              <w:ind w:left="227" w:hanging="219"/>
            </w:pPr>
            <w:r>
              <w:t>There were no</w:t>
            </w:r>
            <w:r w:rsidR="00955FF7">
              <w:t xml:space="preserve"> deaths during the study period</w:t>
            </w:r>
            <w:r w:rsidR="00E74E34">
              <w:t>.</w:t>
            </w:r>
          </w:p>
        </w:tc>
      </w:tr>
      <w:tr w:rsidR="00695728" w:rsidTr="00D103A9">
        <w:tc>
          <w:tcPr>
            <w:tcW w:w="1555" w:type="dxa"/>
          </w:tcPr>
          <w:p w:rsidR="00695728" w:rsidRPr="001D637C" w:rsidRDefault="00695728" w:rsidP="00695728">
            <w:pPr>
              <w:pStyle w:val="Tabletext"/>
            </w:pPr>
            <w:r>
              <w:t>Hospitalisation due to worsening PAH</w:t>
            </w:r>
          </w:p>
        </w:tc>
        <w:tc>
          <w:tcPr>
            <w:tcW w:w="1984" w:type="dxa"/>
          </w:tcPr>
          <w:p w:rsidR="00695728" w:rsidRDefault="00695728" w:rsidP="00695728">
            <w:pPr>
              <w:pStyle w:val="Tabletext"/>
            </w:pPr>
            <w:r>
              <w:t>COMBI</w:t>
            </w:r>
            <w:r>
              <w:br/>
              <w:t>(iloprost/bosentan)</w:t>
            </w:r>
          </w:p>
          <w:p w:rsidR="00695728" w:rsidRDefault="00695728" w:rsidP="00695728">
            <w:pPr>
              <w:pStyle w:val="Tabletext"/>
            </w:pPr>
            <w:r>
              <w:t>STEP</w:t>
            </w:r>
            <w:r>
              <w:br/>
            </w:r>
            <w:r w:rsidRPr="00D13D2A">
              <w:t>(iloprost/bosentan)</w:t>
            </w:r>
            <w:r>
              <w:t xml:space="preserve"> </w:t>
            </w:r>
          </w:p>
          <w:p w:rsidR="00695728" w:rsidRPr="001D637C" w:rsidRDefault="00695728" w:rsidP="00695728">
            <w:pPr>
              <w:pStyle w:val="Tabletext"/>
            </w:pPr>
            <w:r>
              <w:t>N=105</w:t>
            </w:r>
          </w:p>
        </w:tc>
        <w:tc>
          <w:tcPr>
            <w:tcW w:w="6095" w:type="dxa"/>
          </w:tcPr>
          <w:p w:rsidR="00695728" w:rsidRPr="006B11DC" w:rsidRDefault="00695728" w:rsidP="00480FDF">
            <w:pPr>
              <w:pStyle w:val="Tabletext"/>
              <w:numPr>
                <w:ilvl w:val="0"/>
                <w:numId w:val="38"/>
              </w:numPr>
              <w:ind w:left="227" w:hanging="219"/>
            </w:pPr>
            <w:r>
              <w:t>Moderate</w:t>
            </w:r>
            <w:r w:rsidRPr="006B11DC">
              <w:t xml:space="preserve"> quality evidence (GRADE </w:t>
            </w:r>
            <w:r w:rsidRPr="006B11DC">
              <w:rPr>
                <w:rFonts w:ascii="Cambria Math" w:hAnsi="Cambria Math" w:cs="Cambria Math"/>
                <w:color w:val="00B050"/>
              </w:rPr>
              <w:t>⨁⨁⨁</w:t>
            </w:r>
            <w:r w:rsidRPr="00083FA5">
              <w:rPr>
                <w:rFonts w:ascii="Cambria Math" w:hAnsi="Cambria Math" w:cs="Cambria Math"/>
                <w:color w:val="FF0000"/>
              </w:rPr>
              <w:t>⨀</w:t>
            </w:r>
            <w:r w:rsidRPr="006B11DC">
              <w:t>)</w:t>
            </w:r>
          </w:p>
          <w:p w:rsidR="00695728" w:rsidRPr="00C77B6A" w:rsidRDefault="00695728" w:rsidP="00480FDF">
            <w:pPr>
              <w:pStyle w:val="Tabletext"/>
              <w:numPr>
                <w:ilvl w:val="0"/>
                <w:numId w:val="38"/>
              </w:numPr>
              <w:ind w:left="227" w:hanging="219"/>
            </w:pPr>
            <w:r>
              <w:t xml:space="preserve">Fewer </w:t>
            </w:r>
            <w:r w:rsidRPr="00B92556">
              <w:t xml:space="preserve">patients </w:t>
            </w:r>
            <w:r>
              <w:t>were hospitalised</w:t>
            </w:r>
            <w:r w:rsidRPr="00B92556">
              <w:t xml:space="preserve"> with combination th</w:t>
            </w:r>
            <w:r>
              <w:t>erapy compared with monotherapy</w:t>
            </w:r>
            <w:r w:rsidRPr="00C035C0">
              <w:t xml:space="preserve">, but the 95% CI indicates </w:t>
            </w:r>
            <w:proofErr w:type="gramStart"/>
            <w:r w:rsidRPr="00C035C0">
              <w:t>that there</w:t>
            </w:r>
            <w:proofErr w:type="gramEnd"/>
            <w:r w:rsidRPr="00C035C0">
              <w:t xml:space="preserve"> may also be </w:t>
            </w:r>
            <w:r w:rsidR="00955FF7">
              <w:t>an</w:t>
            </w:r>
            <w:r w:rsidRPr="00C035C0">
              <w:t xml:space="preserve"> effect</w:t>
            </w:r>
            <w:r w:rsidRPr="00B92556">
              <w:t xml:space="preserve"> </w:t>
            </w:r>
            <w:r w:rsidR="00955FF7">
              <w:t xml:space="preserve">in the opposite direction </w:t>
            </w:r>
            <w:r w:rsidRPr="00B92556">
              <w:t>(</w:t>
            </w:r>
            <w:r>
              <w:t>pooled ARD</w:t>
            </w:r>
            <w:r w:rsidRPr="00B92556">
              <w:t xml:space="preserve"> = </w:t>
            </w:r>
            <w:r>
              <w:t>−5.5</w:t>
            </w:r>
            <w:r w:rsidRPr="00B92556">
              <w:t xml:space="preserve">%; 95% CI </w:t>
            </w:r>
            <w:r>
              <w:t>−18.9, 7.8</w:t>
            </w:r>
            <w:r w:rsidRPr="00B92556">
              <w:t>)</w:t>
            </w:r>
            <w:r w:rsidR="00E74E34">
              <w:t>.</w:t>
            </w:r>
          </w:p>
        </w:tc>
      </w:tr>
      <w:tr w:rsidR="00695728" w:rsidTr="00D103A9">
        <w:tc>
          <w:tcPr>
            <w:tcW w:w="1555" w:type="dxa"/>
          </w:tcPr>
          <w:p w:rsidR="00695728" w:rsidRPr="001D637C" w:rsidRDefault="00695728" w:rsidP="00695728">
            <w:pPr>
              <w:pStyle w:val="Tabletext"/>
            </w:pPr>
            <w:r w:rsidRPr="00FA1124">
              <w:t>Improved WHO FC</w:t>
            </w:r>
          </w:p>
        </w:tc>
        <w:tc>
          <w:tcPr>
            <w:tcW w:w="1984" w:type="dxa"/>
          </w:tcPr>
          <w:p w:rsidR="00695728" w:rsidRDefault="00695728" w:rsidP="00695728">
            <w:pPr>
              <w:pStyle w:val="Tabletext"/>
            </w:pPr>
            <w:r>
              <w:t>STEP</w:t>
            </w:r>
            <w:r>
              <w:br/>
            </w:r>
            <w:r w:rsidRPr="00D13D2A">
              <w:t>(iloprost/bosentan)</w:t>
            </w:r>
          </w:p>
          <w:p w:rsidR="00695728" w:rsidRPr="001D637C" w:rsidRDefault="00695728" w:rsidP="00695728">
            <w:pPr>
              <w:pStyle w:val="Tabletext"/>
            </w:pPr>
            <w:r>
              <w:t>N=65</w:t>
            </w:r>
          </w:p>
        </w:tc>
        <w:tc>
          <w:tcPr>
            <w:tcW w:w="6095" w:type="dxa"/>
          </w:tcPr>
          <w:p w:rsidR="00695728" w:rsidRPr="006B11DC" w:rsidRDefault="00695728" w:rsidP="00480FDF">
            <w:pPr>
              <w:pStyle w:val="Tabletext"/>
              <w:numPr>
                <w:ilvl w:val="0"/>
                <w:numId w:val="38"/>
              </w:numPr>
              <w:ind w:left="227" w:hanging="219"/>
            </w:pPr>
            <w:r>
              <w:t>Low</w:t>
            </w:r>
            <w:r w:rsidRPr="006B11DC">
              <w:t xml:space="preserve"> quality</w:t>
            </w:r>
            <w:r w:rsidRPr="006B11DC">
              <w:rPr>
                <w:rFonts w:cs="Cambria Math"/>
              </w:rPr>
              <w:t xml:space="preserve"> evidence (GRADE </w:t>
            </w:r>
            <w:r w:rsidRPr="006B11DC">
              <w:rPr>
                <w:rFonts w:ascii="Cambria Math" w:hAnsi="Cambria Math" w:cs="Cambria Math"/>
                <w:color w:val="00B050"/>
              </w:rPr>
              <w:t>⨁⨁</w:t>
            </w:r>
            <w:r w:rsidRPr="00E564DD">
              <w:rPr>
                <w:rFonts w:ascii="Cambria Math" w:eastAsia="Times New Roman" w:hAnsi="Cambria Math" w:cs="Cambria Math"/>
                <w:bCs/>
                <w:color w:val="C00000"/>
              </w:rPr>
              <w:t>⨀</w:t>
            </w:r>
            <w:r w:rsidRPr="006316DF">
              <w:rPr>
                <w:rFonts w:ascii="Cambria Math" w:hAnsi="Cambria Math" w:cs="Cambria Math"/>
                <w:color w:val="C00000"/>
              </w:rPr>
              <w:t>⨀</w:t>
            </w:r>
            <w:r w:rsidRPr="006B11DC">
              <w:t>)</w:t>
            </w:r>
          </w:p>
          <w:p w:rsidR="00695728" w:rsidRPr="006B11DC" w:rsidRDefault="00695728" w:rsidP="00480FDF">
            <w:pPr>
              <w:pStyle w:val="Tabletext"/>
              <w:numPr>
                <w:ilvl w:val="0"/>
                <w:numId w:val="38"/>
              </w:numPr>
              <w:ind w:left="227" w:hanging="219"/>
            </w:pPr>
            <w:r>
              <w:t>Significantly more</w:t>
            </w:r>
            <w:r w:rsidRPr="00B92556">
              <w:t xml:space="preserve"> patients </w:t>
            </w:r>
            <w:r>
              <w:t>improved their WHO FC</w:t>
            </w:r>
            <w:r w:rsidRPr="00B92556">
              <w:t xml:space="preserve"> with combination th</w:t>
            </w:r>
            <w:r>
              <w:t>erapy compared with monotherapy</w:t>
            </w:r>
            <w:r w:rsidRPr="00B92556">
              <w:t xml:space="preserve"> </w:t>
            </w:r>
            <w:r w:rsidRPr="006B11DC">
              <w:t xml:space="preserve">(RR = </w:t>
            </w:r>
            <w:r>
              <w:t>5</w:t>
            </w:r>
            <w:r w:rsidRPr="006B11DC">
              <w:t>.</w:t>
            </w:r>
            <w:r>
              <w:t>67</w:t>
            </w:r>
            <w:r w:rsidRPr="006B11DC">
              <w:t xml:space="preserve">; 95% CI </w:t>
            </w:r>
            <w:r>
              <w:t>1</w:t>
            </w:r>
            <w:r w:rsidRPr="006B11DC">
              <w:t>.</w:t>
            </w:r>
            <w:r>
              <w:t>36</w:t>
            </w:r>
            <w:r w:rsidRPr="006B11DC">
              <w:t xml:space="preserve">, </w:t>
            </w:r>
            <w:r>
              <w:t>23</w:t>
            </w:r>
            <w:r w:rsidRPr="006B11DC">
              <w:t>.</w:t>
            </w:r>
            <w:r>
              <w:t>61</w:t>
            </w:r>
            <w:r w:rsidRPr="006B11DC">
              <w:t>)</w:t>
            </w:r>
            <w:r w:rsidR="00E74E34">
              <w:t>.</w:t>
            </w:r>
          </w:p>
        </w:tc>
      </w:tr>
      <w:tr w:rsidR="00695728" w:rsidTr="00D103A9">
        <w:tc>
          <w:tcPr>
            <w:tcW w:w="1555" w:type="dxa"/>
            <w:tcBorders>
              <w:top w:val="single" w:sz="4" w:space="0" w:color="auto"/>
              <w:left w:val="single" w:sz="4" w:space="0" w:color="auto"/>
              <w:bottom w:val="single" w:sz="4" w:space="0" w:color="auto"/>
              <w:right w:val="single" w:sz="4" w:space="0" w:color="auto"/>
            </w:tcBorders>
          </w:tcPr>
          <w:p w:rsidR="00695728" w:rsidRPr="001D637C" w:rsidRDefault="00695728" w:rsidP="00695728">
            <w:pPr>
              <w:pStyle w:val="Tabletext"/>
            </w:pPr>
            <w:r>
              <w:t xml:space="preserve">Worsened </w:t>
            </w:r>
            <w:r w:rsidRPr="00FA1124">
              <w:t>WHO FC</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STEP</w:t>
            </w:r>
            <w:r>
              <w:br/>
            </w:r>
            <w:r w:rsidRPr="00D13D2A">
              <w:t>(iloprost/bosentan)</w:t>
            </w:r>
            <w:r>
              <w:t xml:space="preserve"> </w:t>
            </w:r>
          </w:p>
          <w:p w:rsidR="00695728" w:rsidRPr="001D637C" w:rsidRDefault="00695728" w:rsidP="00695728">
            <w:pPr>
              <w:pStyle w:val="Tabletext"/>
            </w:pPr>
            <w:r>
              <w:t>N=65</w:t>
            </w:r>
          </w:p>
        </w:tc>
        <w:tc>
          <w:tcPr>
            <w:tcW w:w="6095" w:type="dxa"/>
            <w:tcBorders>
              <w:top w:val="single" w:sz="4" w:space="0" w:color="auto"/>
              <w:left w:val="single" w:sz="4" w:space="0" w:color="auto"/>
              <w:bottom w:val="single" w:sz="4" w:space="0" w:color="auto"/>
              <w:right w:val="single" w:sz="4" w:space="0" w:color="auto"/>
            </w:tcBorders>
          </w:tcPr>
          <w:p w:rsidR="00695728" w:rsidRPr="006B11DC" w:rsidRDefault="00695728" w:rsidP="00480FDF">
            <w:pPr>
              <w:pStyle w:val="Tabletext"/>
              <w:numPr>
                <w:ilvl w:val="0"/>
                <w:numId w:val="38"/>
              </w:numPr>
              <w:ind w:left="227" w:hanging="219"/>
            </w:pPr>
            <w:r>
              <w:t>Moderate</w:t>
            </w:r>
            <w:r w:rsidRPr="006B11DC">
              <w:t xml:space="preserve"> quality</w:t>
            </w:r>
            <w:r w:rsidRPr="006B11DC">
              <w:rPr>
                <w:rFonts w:cs="Cambria Math"/>
              </w:rPr>
              <w:t xml:space="preserve"> evidence (GRADE </w:t>
            </w:r>
            <w:r w:rsidRPr="006B11DC">
              <w:rPr>
                <w:rFonts w:ascii="Cambria Math" w:hAnsi="Cambria Math" w:cs="Cambria Math"/>
                <w:color w:val="00B050"/>
              </w:rPr>
              <w:t>⨁⨁⨁</w:t>
            </w:r>
            <w:r w:rsidRPr="00E564DD">
              <w:rPr>
                <w:rFonts w:ascii="Cambria Math" w:eastAsia="Times New Roman" w:hAnsi="Cambria Math" w:cs="Cambria Math"/>
                <w:bCs/>
                <w:color w:val="C00000"/>
              </w:rPr>
              <w:t>⨀</w:t>
            </w:r>
            <w:r w:rsidRPr="006B11DC">
              <w:t>)</w:t>
            </w:r>
          </w:p>
          <w:p w:rsidR="00695728" w:rsidRPr="006B11DC" w:rsidRDefault="00695728" w:rsidP="00480FDF">
            <w:pPr>
              <w:pStyle w:val="Tabletext"/>
              <w:numPr>
                <w:ilvl w:val="0"/>
                <w:numId w:val="38"/>
              </w:numPr>
              <w:ind w:left="227" w:hanging="219"/>
            </w:pPr>
            <w:r>
              <w:t xml:space="preserve">Fewer </w:t>
            </w:r>
            <w:r w:rsidRPr="00B92556">
              <w:t xml:space="preserve">patients </w:t>
            </w:r>
            <w:r>
              <w:t xml:space="preserve">on </w:t>
            </w:r>
            <w:r w:rsidRPr="00B92556">
              <w:t xml:space="preserve">combination therapy </w:t>
            </w:r>
            <w:r>
              <w:t>had worsening of their WHO FC</w:t>
            </w:r>
            <w:r w:rsidRPr="00B92556">
              <w:t xml:space="preserve"> </w:t>
            </w:r>
            <w:r>
              <w:t>compared with monotherapy,</w:t>
            </w:r>
            <w:r w:rsidRPr="00C94A2C">
              <w:t xml:space="preserve"> but the difference was not statistically significant</w:t>
            </w:r>
            <w:r w:rsidRPr="00B92556">
              <w:t xml:space="preserve"> </w:t>
            </w:r>
            <w:r w:rsidRPr="006B11DC">
              <w:t>(</w:t>
            </w:r>
            <w:r>
              <w:t>ARD</w:t>
            </w:r>
            <w:r w:rsidRPr="006B11DC">
              <w:t xml:space="preserve"> = </w:t>
            </w:r>
            <w:r>
              <w:t>−</w:t>
            </w:r>
            <w:proofErr w:type="gramStart"/>
            <w:r>
              <w:t>3.0%</w:t>
            </w:r>
            <w:proofErr w:type="gramEnd"/>
            <w:r w:rsidRPr="006B11DC">
              <w:t xml:space="preserve">; 95% CI </w:t>
            </w:r>
            <w:r>
              <w:t>−8</w:t>
            </w:r>
            <w:r w:rsidRPr="006B11DC">
              <w:t>.</w:t>
            </w:r>
            <w:r>
              <w:t>9, 2.8</w:t>
            </w:r>
            <w:r w:rsidRPr="006B11DC">
              <w:t>)</w:t>
            </w:r>
            <w:r w:rsidR="00E74E34">
              <w:t>.</w:t>
            </w:r>
          </w:p>
        </w:tc>
      </w:tr>
      <w:tr w:rsidR="00695728" w:rsidTr="000E67F8">
        <w:tc>
          <w:tcPr>
            <w:tcW w:w="1555" w:type="dxa"/>
          </w:tcPr>
          <w:p w:rsidR="00695728" w:rsidRPr="001D637C" w:rsidRDefault="00695728" w:rsidP="00695728">
            <w:pPr>
              <w:pStyle w:val="Tabletext"/>
            </w:pPr>
            <w:r>
              <w:t>Change in 6MWD</w:t>
            </w:r>
            <w:r>
              <w:rPr>
                <w:rFonts w:cs="Arial"/>
              </w:rPr>
              <w:t xml:space="preserve"> from baseline</w:t>
            </w:r>
          </w:p>
        </w:tc>
        <w:tc>
          <w:tcPr>
            <w:tcW w:w="1984" w:type="dxa"/>
          </w:tcPr>
          <w:p w:rsidR="00695728" w:rsidRDefault="00695728" w:rsidP="00695728">
            <w:pPr>
              <w:pStyle w:val="Tabletext"/>
            </w:pPr>
            <w:r>
              <w:t>COMBI</w:t>
            </w:r>
            <w:r>
              <w:br/>
              <w:t>(iloprost/bosentan)</w:t>
            </w:r>
          </w:p>
          <w:p w:rsidR="00695728" w:rsidRDefault="00695728" w:rsidP="00695728">
            <w:pPr>
              <w:pStyle w:val="Tabletext"/>
            </w:pPr>
            <w:r>
              <w:t>STEP</w:t>
            </w:r>
            <w:r>
              <w:br/>
            </w:r>
            <w:r w:rsidRPr="00D13D2A">
              <w:t>(iloprost/bosentan)</w:t>
            </w:r>
            <w:r>
              <w:t xml:space="preserve"> </w:t>
            </w:r>
          </w:p>
          <w:p w:rsidR="00695728" w:rsidRPr="001D637C" w:rsidRDefault="00695728" w:rsidP="00695728">
            <w:pPr>
              <w:pStyle w:val="Tabletext"/>
            </w:pPr>
            <w:r>
              <w:t>N=105</w:t>
            </w:r>
          </w:p>
        </w:tc>
        <w:tc>
          <w:tcPr>
            <w:tcW w:w="6095" w:type="dxa"/>
          </w:tcPr>
          <w:p w:rsidR="00695728" w:rsidRPr="006B11DC" w:rsidRDefault="00695728" w:rsidP="00480FDF">
            <w:pPr>
              <w:pStyle w:val="Tabletext"/>
              <w:numPr>
                <w:ilvl w:val="0"/>
                <w:numId w:val="38"/>
              </w:numPr>
              <w:ind w:left="227" w:hanging="219"/>
            </w:pPr>
            <w:r>
              <w:t>Low</w:t>
            </w:r>
            <w:r w:rsidRPr="006B11DC">
              <w:t xml:space="preserve"> quality evidence (GRADE </w:t>
            </w:r>
            <w:r w:rsidRPr="006B11DC">
              <w:rPr>
                <w:rFonts w:ascii="Cambria Math" w:hAnsi="Cambria Math" w:cs="Cambria Math"/>
                <w:color w:val="00B050"/>
              </w:rPr>
              <w:t>⨁⨁</w:t>
            </w:r>
            <w:r w:rsidRPr="006316DF">
              <w:rPr>
                <w:rFonts w:ascii="Cambria Math" w:hAnsi="Cambria Math" w:cs="Cambria Math"/>
                <w:color w:val="C00000"/>
              </w:rPr>
              <w:t>⨀</w:t>
            </w:r>
            <w:r w:rsidRPr="00083FA5">
              <w:rPr>
                <w:rFonts w:ascii="Cambria Math" w:hAnsi="Cambria Math" w:cs="Cambria Math"/>
                <w:color w:val="FF0000"/>
              </w:rPr>
              <w:t>⨀</w:t>
            </w:r>
            <w:r w:rsidRPr="006B11DC">
              <w:t>)</w:t>
            </w:r>
          </w:p>
          <w:p w:rsidR="00695728" w:rsidRPr="006B11DC" w:rsidRDefault="00695728" w:rsidP="00480FDF">
            <w:pPr>
              <w:pStyle w:val="Tabletext"/>
              <w:numPr>
                <w:ilvl w:val="0"/>
                <w:numId w:val="38"/>
              </w:numPr>
              <w:ind w:left="227" w:hanging="219"/>
            </w:pPr>
            <w:r w:rsidRPr="006B11DC">
              <w:t xml:space="preserve">Patients </w:t>
            </w:r>
            <w:r>
              <w:t>on combination therapy</w:t>
            </w:r>
            <w:r w:rsidRPr="006B11DC">
              <w:t xml:space="preserve"> had a larger mean improvement in their 6MWD than those </w:t>
            </w:r>
            <w:r>
              <w:t>on monotherapy</w:t>
            </w:r>
            <w:r w:rsidR="00E81CE2">
              <w:t>, but the difference was not clinically important</w:t>
            </w:r>
            <w:r w:rsidRPr="006B11DC">
              <w:t xml:space="preserve"> (</w:t>
            </w:r>
            <w:r>
              <w:t>range</w:t>
            </w:r>
            <w:r w:rsidRPr="006B11DC">
              <w:t xml:space="preserve"> </w:t>
            </w:r>
            <w:r>
              <w:t xml:space="preserve">10−26 m </w:t>
            </w:r>
            <w:r w:rsidR="00E81CE2">
              <w:t xml:space="preserve">walked </w:t>
            </w:r>
            <w:r>
              <w:t>further</w:t>
            </w:r>
            <w:r w:rsidRPr="006B11DC">
              <w:t>)</w:t>
            </w:r>
            <w:r w:rsidR="00E74E34">
              <w:t>.</w:t>
            </w:r>
          </w:p>
        </w:tc>
      </w:tr>
      <w:tr w:rsidR="00695728" w:rsidTr="000E67F8">
        <w:tc>
          <w:tcPr>
            <w:tcW w:w="1555" w:type="dxa"/>
          </w:tcPr>
          <w:p w:rsidR="00695728" w:rsidRDefault="00695728" w:rsidP="00695728">
            <w:pPr>
              <w:pStyle w:val="Tabletext"/>
            </w:pPr>
            <w:r>
              <w:t>Change in QoL</w:t>
            </w:r>
            <w:r>
              <w:rPr>
                <w:rFonts w:cs="Arial"/>
              </w:rPr>
              <w:t xml:space="preserve"> from baseline</w:t>
            </w:r>
            <w:r>
              <w:t>:</w:t>
            </w:r>
          </w:p>
          <w:p w:rsidR="00695728" w:rsidRPr="001D637C" w:rsidRDefault="00695728" w:rsidP="00695728">
            <w:pPr>
              <w:pStyle w:val="Tabletext"/>
            </w:pPr>
            <w:r>
              <w:t>EQ-VAS</w:t>
            </w:r>
            <w:r w:rsidRPr="000054CF">
              <w:rPr>
                <w:vertAlign w:val="superscript"/>
              </w:rPr>
              <w:t>a</w:t>
            </w:r>
          </w:p>
        </w:tc>
        <w:tc>
          <w:tcPr>
            <w:tcW w:w="1984" w:type="dxa"/>
          </w:tcPr>
          <w:p w:rsidR="00695728" w:rsidRDefault="00695728" w:rsidP="00695728">
            <w:pPr>
              <w:pStyle w:val="Tabletext"/>
            </w:pPr>
            <w:r>
              <w:t>COMBI</w:t>
            </w:r>
            <w:r>
              <w:br/>
              <w:t>(iloprost/bosentan)</w:t>
            </w:r>
          </w:p>
          <w:p w:rsidR="00695728" w:rsidRPr="001D637C" w:rsidRDefault="00695728" w:rsidP="00695728">
            <w:pPr>
              <w:pStyle w:val="Tabletext"/>
            </w:pPr>
            <w:r>
              <w:t>N=40</w:t>
            </w:r>
          </w:p>
        </w:tc>
        <w:tc>
          <w:tcPr>
            <w:tcW w:w="6095" w:type="dxa"/>
          </w:tcPr>
          <w:p w:rsidR="00695728" w:rsidRPr="006B11DC" w:rsidRDefault="00695728" w:rsidP="00480FDF">
            <w:pPr>
              <w:pStyle w:val="Tabletext"/>
              <w:numPr>
                <w:ilvl w:val="0"/>
                <w:numId w:val="38"/>
              </w:numPr>
              <w:ind w:left="227" w:hanging="219"/>
            </w:pPr>
            <w:r>
              <w:t>Very low</w:t>
            </w:r>
            <w:r w:rsidRPr="006B11DC">
              <w:t xml:space="preserve"> quality evidence (GRADE </w:t>
            </w:r>
            <w:r w:rsidRPr="006B11DC">
              <w:rPr>
                <w:rFonts w:ascii="Cambria Math" w:hAnsi="Cambria Math" w:cs="Cambria Math"/>
                <w:color w:val="00B050"/>
              </w:rPr>
              <w:t>⨁</w:t>
            </w:r>
            <w:r w:rsidRPr="00E564DD">
              <w:rPr>
                <w:rFonts w:ascii="Cambria Math" w:eastAsia="Times New Roman" w:hAnsi="Cambria Math" w:cs="Cambria Math"/>
                <w:bCs/>
                <w:color w:val="C00000"/>
              </w:rPr>
              <w:t>⨀</w:t>
            </w:r>
            <w:r w:rsidRPr="006316DF">
              <w:rPr>
                <w:rFonts w:ascii="Cambria Math" w:hAnsi="Cambria Math" w:cs="Cambria Math"/>
                <w:color w:val="C00000"/>
              </w:rPr>
              <w:t>⨀</w:t>
            </w:r>
            <w:r w:rsidRPr="00083FA5">
              <w:rPr>
                <w:rFonts w:ascii="Cambria Math" w:hAnsi="Cambria Math" w:cs="Cambria Math"/>
                <w:color w:val="FF0000"/>
              </w:rPr>
              <w:t>⨀</w:t>
            </w:r>
            <w:r w:rsidRPr="006B11DC">
              <w:t>)</w:t>
            </w:r>
          </w:p>
          <w:p w:rsidR="00695728" w:rsidRPr="006B11DC" w:rsidRDefault="00695728" w:rsidP="00480FDF">
            <w:pPr>
              <w:pStyle w:val="Tabletext"/>
              <w:numPr>
                <w:ilvl w:val="0"/>
                <w:numId w:val="38"/>
              </w:numPr>
              <w:ind w:left="227" w:hanging="219"/>
            </w:pPr>
            <w:r w:rsidRPr="006B11DC">
              <w:t xml:space="preserve">Patients </w:t>
            </w:r>
            <w:r>
              <w:t>on combination therapy</w:t>
            </w:r>
            <w:r w:rsidRPr="006B11DC">
              <w:t xml:space="preserve"> had a larger mean improvement in their </w:t>
            </w:r>
            <w:r>
              <w:t>QoL</w:t>
            </w:r>
            <w:r w:rsidRPr="006B11DC">
              <w:t xml:space="preserve"> than those </w:t>
            </w:r>
            <w:r>
              <w:t>on monotherapy</w:t>
            </w:r>
            <w:r w:rsidRPr="006B11DC">
              <w:t xml:space="preserve"> (</w:t>
            </w:r>
            <w:r w:rsidRPr="006B11DC">
              <w:rPr>
                <w:rFonts w:cs="Arial"/>
              </w:rPr>
              <w:t xml:space="preserve">MD = </w:t>
            </w:r>
            <w:r>
              <w:rPr>
                <w:rFonts w:cs="Arial"/>
              </w:rPr>
              <w:t>10</w:t>
            </w:r>
            <w:r w:rsidRPr="006B11DC">
              <w:rPr>
                <w:rFonts w:cs="Arial"/>
              </w:rPr>
              <w:t xml:space="preserve"> point improvement</w:t>
            </w:r>
            <w:r w:rsidR="00955FF7">
              <w:rPr>
                <w:rFonts w:cs="Arial"/>
              </w:rPr>
              <w:t xml:space="preserve"> was a clinically important difference</w:t>
            </w:r>
            <w:r w:rsidRPr="006B11DC">
              <w:t>)</w:t>
            </w:r>
            <w:r w:rsidR="00E74E34">
              <w:t>.</w:t>
            </w:r>
          </w:p>
        </w:tc>
      </w:tr>
      <w:tr w:rsidR="00695728" w:rsidTr="00D103A9">
        <w:tc>
          <w:tcPr>
            <w:tcW w:w="1555" w:type="dxa"/>
          </w:tcPr>
          <w:p w:rsidR="00695728" w:rsidRDefault="00695728" w:rsidP="00695728">
            <w:pPr>
              <w:pStyle w:val="Tabletext"/>
            </w:pPr>
            <w:r>
              <w:t>Change in haemodynamic parameters</w:t>
            </w:r>
            <w:r>
              <w:rPr>
                <w:rFonts w:cs="Arial"/>
              </w:rPr>
              <w:t xml:space="preserve"> from baseline</w:t>
            </w:r>
            <w:r>
              <w:t>:</w:t>
            </w:r>
          </w:p>
          <w:p w:rsidR="00695728" w:rsidRPr="001D637C" w:rsidRDefault="00695728" w:rsidP="00695728">
            <w:pPr>
              <w:pStyle w:val="Tabletext"/>
            </w:pPr>
            <w:r>
              <w:t>CAI, PVR, mPAP</w:t>
            </w:r>
          </w:p>
        </w:tc>
        <w:tc>
          <w:tcPr>
            <w:tcW w:w="1984" w:type="dxa"/>
            <w:tcBorders>
              <w:top w:val="single" w:sz="4" w:space="0" w:color="auto"/>
              <w:left w:val="single" w:sz="4" w:space="0" w:color="auto"/>
              <w:bottom w:val="single" w:sz="4" w:space="0" w:color="auto"/>
              <w:right w:val="single" w:sz="4" w:space="0" w:color="auto"/>
            </w:tcBorders>
          </w:tcPr>
          <w:p w:rsidR="00695728" w:rsidRDefault="00695728" w:rsidP="00695728">
            <w:pPr>
              <w:pStyle w:val="Tabletext"/>
            </w:pPr>
            <w:r>
              <w:t>STEP</w:t>
            </w:r>
            <w:r>
              <w:br/>
            </w:r>
            <w:r w:rsidRPr="00D13D2A">
              <w:t>(iloprost/bosentan)</w:t>
            </w:r>
            <w:r>
              <w:t xml:space="preserve"> </w:t>
            </w:r>
          </w:p>
          <w:p w:rsidR="00695728" w:rsidRPr="001D637C" w:rsidRDefault="00695728" w:rsidP="00695728">
            <w:pPr>
              <w:pStyle w:val="Tabletext"/>
            </w:pPr>
            <w:r>
              <w:t>N=65</w:t>
            </w:r>
          </w:p>
        </w:tc>
        <w:tc>
          <w:tcPr>
            <w:tcW w:w="6095" w:type="dxa"/>
          </w:tcPr>
          <w:p w:rsidR="00695728" w:rsidRPr="006B11DC" w:rsidRDefault="00695728" w:rsidP="00480FDF">
            <w:pPr>
              <w:pStyle w:val="Tabletext"/>
              <w:numPr>
                <w:ilvl w:val="0"/>
                <w:numId w:val="38"/>
              </w:numPr>
              <w:ind w:left="227" w:hanging="219"/>
            </w:pPr>
            <w:r>
              <w:t>Moderate</w:t>
            </w:r>
            <w:r w:rsidRPr="006B11DC">
              <w:t xml:space="preserve"> quality</w:t>
            </w:r>
            <w:r w:rsidRPr="006B11DC">
              <w:rPr>
                <w:rFonts w:cs="Cambria Math"/>
              </w:rPr>
              <w:t xml:space="preserve"> evidence (GRADE </w:t>
            </w:r>
            <w:r w:rsidRPr="006B11DC">
              <w:rPr>
                <w:rFonts w:ascii="Cambria Math" w:hAnsi="Cambria Math" w:cs="Cambria Math"/>
                <w:color w:val="00B050"/>
              </w:rPr>
              <w:t>⨁⨁⨁</w:t>
            </w:r>
            <w:r w:rsidRPr="006316DF">
              <w:rPr>
                <w:rFonts w:ascii="Cambria Math" w:hAnsi="Cambria Math" w:cs="Cambria Math"/>
                <w:color w:val="C00000"/>
              </w:rPr>
              <w:t>⨀</w:t>
            </w:r>
            <w:r w:rsidRPr="006B11DC">
              <w:t>)</w:t>
            </w:r>
          </w:p>
          <w:p w:rsidR="00695728" w:rsidRPr="006B11DC" w:rsidRDefault="00695728" w:rsidP="00480FDF">
            <w:pPr>
              <w:pStyle w:val="Tabletext"/>
              <w:numPr>
                <w:ilvl w:val="0"/>
                <w:numId w:val="38"/>
              </w:numPr>
              <w:ind w:left="227" w:hanging="219"/>
            </w:pPr>
            <w:r w:rsidRPr="00083FA5">
              <w:rPr>
                <w:szCs w:val="18"/>
              </w:rPr>
              <w:t>Patients on combination therapy had a larger mean improvement in their haemodynamic parameters than those on monotherapy (PVR</w:t>
            </w:r>
            <w:r>
              <w:rPr>
                <w:szCs w:val="18"/>
              </w:rPr>
              <w:t xml:space="preserve"> MD</w:t>
            </w:r>
            <w:r w:rsidRPr="00083FA5">
              <w:rPr>
                <w:szCs w:val="18"/>
              </w:rPr>
              <w:t xml:space="preserve"> = </w:t>
            </w:r>
            <w:r>
              <w:rPr>
                <w:szCs w:val="18"/>
              </w:rPr>
              <w:t>30</w:t>
            </w:r>
            <w:r w:rsidRPr="00083FA5">
              <w:rPr>
                <w:szCs w:val="18"/>
              </w:rPr>
              <w:t>.</w:t>
            </w:r>
            <w:r>
              <w:rPr>
                <w:szCs w:val="18"/>
              </w:rPr>
              <w:t>4</w:t>
            </w:r>
            <w:r w:rsidRPr="00083FA5">
              <w:rPr>
                <w:szCs w:val="18"/>
              </w:rPr>
              <w:t xml:space="preserve">% </w:t>
            </w:r>
            <w:r>
              <w:rPr>
                <w:szCs w:val="18"/>
              </w:rPr>
              <w:t>improvement</w:t>
            </w:r>
            <w:r w:rsidR="00955FF7">
              <w:rPr>
                <w:szCs w:val="18"/>
              </w:rPr>
              <w:t xml:space="preserve"> was a clinically important difference</w:t>
            </w:r>
            <w:r>
              <w:rPr>
                <w:szCs w:val="18"/>
              </w:rPr>
              <w:t xml:space="preserve">; </w:t>
            </w:r>
            <w:r w:rsidRPr="00083FA5">
              <w:rPr>
                <w:szCs w:val="18"/>
              </w:rPr>
              <w:t>mPAP</w:t>
            </w:r>
            <w:r>
              <w:rPr>
                <w:szCs w:val="18"/>
              </w:rPr>
              <w:t xml:space="preserve"> clinically important MD</w:t>
            </w:r>
            <w:r w:rsidRPr="00083FA5">
              <w:rPr>
                <w:szCs w:val="18"/>
              </w:rPr>
              <w:t xml:space="preserve"> = 1</w:t>
            </w:r>
            <w:r>
              <w:rPr>
                <w:szCs w:val="18"/>
              </w:rPr>
              <w:t>5</w:t>
            </w:r>
            <w:r w:rsidRPr="00083FA5">
              <w:rPr>
                <w:szCs w:val="18"/>
              </w:rPr>
              <w:t>.6%</w:t>
            </w:r>
            <w:r>
              <w:rPr>
                <w:szCs w:val="18"/>
              </w:rPr>
              <w:t xml:space="preserve"> improvement</w:t>
            </w:r>
            <w:r w:rsidRPr="00083FA5">
              <w:rPr>
                <w:szCs w:val="18"/>
              </w:rPr>
              <w:t>)</w:t>
            </w:r>
            <w:r w:rsidR="00E74E34">
              <w:rPr>
                <w:szCs w:val="18"/>
              </w:rPr>
              <w:t>.</w:t>
            </w:r>
          </w:p>
        </w:tc>
      </w:tr>
    </w:tbl>
    <w:p w:rsidR="000054CF" w:rsidRDefault="000054CF" w:rsidP="00D103A9">
      <w:pPr>
        <w:pStyle w:val="Tablenote"/>
      </w:pPr>
      <w:proofErr w:type="gramStart"/>
      <w:r w:rsidRPr="000054CF">
        <w:rPr>
          <w:vertAlign w:val="superscript"/>
        </w:rPr>
        <w:t>a</w:t>
      </w:r>
      <w:proofErr w:type="gramEnd"/>
      <w:r>
        <w:t xml:space="preserve"> </w:t>
      </w:r>
      <w:r w:rsidRPr="000054CF">
        <w:t xml:space="preserve">EQ-VAS scores range from 0 to 100. A higher score represents better </w:t>
      </w:r>
      <w:r>
        <w:t>QoL</w:t>
      </w:r>
      <w:r w:rsidRPr="000054CF">
        <w:t xml:space="preserve">. </w:t>
      </w:r>
    </w:p>
    <w:p w:rsidR="003E046F" w:rsidRDefault="009B35CE" w:rsidP="00D103A9">
      <w:pPr>
        <w:pStyle w:val="Tablenote"/>
      </w:pPr>
      <w:proofErr w:type="gramStart"/>
      <w:r>
        <w:t xml:space="preserve">6MWD = 6-minute </w:t>
      </w:r>
      <w:r w:rsidR="0082368E">
        <w:t>walk distance</w:t>
      </w:r>
      <w:r w:rsidR="00B21201">
        <w:t>; ARD</w:t>
      </w:r>
      <w:r>
        <w:t xml:space="preserve"> = absolute risk </w:t>
      </w:r>
      <w:r w:rsidR="00B21201">
        <w:t>difference</w:t>
      </w:r>
      <w:r>
        <w:t xml:space="preserve">; </w:t>
      </w:r>
      <w:r w:rsidR="00D103A9">
        <w:t xml:space="preserve">CAI = cardiac index; </w:t>
      </w:r>
      <w:r>
        <w:t xml:space="preserve">CI = confidence interval; </w:t>
      </w:r>
      <w:r w:rsidRPr="00E413B2">
        <w:t>EQ-</w:t>
      </w:r>
      <w:r w:rsidR="00107963">
        <w:t>VAS</w:t>
      </w:r>
      <w:r w:rsidRPr="00E413B2">
        <w:t xml:space="preserve"> = </w:t>
      </w:r>
      <w:r w:rsidR="00572AE9" w:rsidRPr="00572AE9">
        <w:t xml:space="preserve">EuroQoL </w:t>
      </w:r>
      <w:r w:rsidR="00107963" w:rsidRPr="00107963">
        <w:t>visual analogue scale</w:t>
      </w:r>
      <w:r w:rsidRPr="00E413B2">
        <w:t xml:space="preserve">; </w:t>
      </w:r>
      <w:r>
        <w:t>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D419F1" w:rsidRPr="009E3B52">
        <w:t xml:space="preserve">; </w:t>
      </w:r>
      <w:r>
        <w:t>MD = mean difference</w:t>
      </w:r>
      <w:r w:rsidR="004510DE">
        <w:t>; mPAP = mean pulmonary artery</w:t>
      </w:r>
      <w:r>
        <w:t xml:space="preserve"> pressure;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QoL = quality of life; RR = relative risk; WHO = World Health Organization</w:t>
      </w:r>
      <w:proofErr w:type="gramEnd"/>
    </w:p>
    <w:p w:rsidR="009B35CE" w:rsidRPr="0042195A" w:rsidRDefault="009B35CE" w:rsidP="009B35CE">
      <w:pPr>
        <w:pStyle w:val="Heading5"/>
      </w:pPr>
      <w:r w:rsidRPr="0042195A">
        <w:t>Safety</w:t>
      </w:r>
    </w:p>
    <w:p w:rsidR="009B35CE" w:rsidRDefault="009B35CE" w:rsidP="009B35CE">
      <w:r>
        <w:t xml:space="preserve">Two RCTs reported on the comparative safety of treatment with a </w:t>
      </w:r>
      <w:r w:rsidR="0017012F" w:rsidRPr="00E413B2">
        <w:t>prostanoid</w:t>
      </w:r>
      <w:r w:rsidRPr="00E413B2">
        <w:t xml:space="preserve"> in addition to an ERA </w:t>
      </w:r>
      <w:r>
        <w:t xml:space="preserve">compared with an ERA alone in patients with </w:t>
      </w:r>
      <w:r w:rsidRPr="00E413B2">
        <w:t xml:space="preserve">WHO FC III/IV </w:t>
      </w:r>
      <w:r>
        <w:t>PAH:</w:t>
      </w:r>
    </w:p>
    <w:p w:rsidR="009B35CE" w:rsidRPr="00B607A5" w:rsidRDefault="009B35CE" w:rsidP="00D103A9">
      <w:pPr>
        <w:pStyle w:val="Bullettext"/>
      </w:pPr>
      <w:r w:rsidRPr="00B607A5">
        <w:t>COMBI and STEP</w:t>
      </w:r>
    </w:p>
    <w:p w:rsidR="009B35CE" w:rsidRPr="00B607A5" w:rsidRDefault="00E20AB7" w:rsidP="00D103A9">
      <w:pPr>
        <w:pStyle w:val="Bullettext"/>
      </w:pPr>
      <w:r w:rsidRPr="00B607A5">
        <w:t>There were no new safety signals identified.</w:t>
      </w:r>
    </w:p>
    <w:p w:rsidR="009B35CE" w:rsidRPr="00256659" w:rsidRDefault="009B35CE" w:rsidP="009B35CE">
      <w:r w:rsidRPr="00256659">
        <w:t>The evidence provided by these trial</w:t>
      </w:r>
      <w:r w:rsidR="004B3BDC">
        <w:t>s is summarised in Table 4.14</w:t>
      </w:r>
      <w:r w:rsidRPr="00256659">
        <w:t>.</w:t>
      </w:r>
    </w:p>
    <w:p w:rsidR="009B35CE" w:rsidRDefault="001E5DED" w:rsidP="009B35CE">
      <w:r>
        <w:t xml:space="preserve">Overall, </w:t>
      </w:r>
      <w:r w:rsidRPr="001E5DED">
        <w:t xml:space="preserve">there is considerable uncertainty as to whether the use of a prostanoid in addition to </w:t>
      </w:r>
      <w:r w:rsidR="000E0E91">
        <w:t xml:space="preserve">an </w:t>
      </w:r>
      <w:r w:rsidRPr="001E5DED">
        <w:t>ERA is likely to be as safe as ERA monotherapy in patients with WHO FC III/IV PAH</w:t>
      </w:r>
      <w:r w:rsidR="0044469E">
        <w:t>.</w:t>
      </w:r>
    </w:p>
    <w:p w:rsidR="005035F1" w:rsidRDefault="005035F1">
      <w:pPr>
        <w:spacing w:before="0" w:line="240" w:lineRule="auto"/>
        <w:rPr>
          <w:b/>
          <w:iCs/>
          <w:szCs w:val="18"/>
        </w:rPr>
      </w:pPr>
      <w:bookmarkStart w:id="38" w:name="_Ref506203156"/>
    </w:p>
    <w:p w:rsidR="009B35CE" w:rsidRDefault="00272F8F" w:rsidP="00BC5A2B">
      <w:pPr>
        <w:pStyle w:val="Caption"/>
      </w:pPr>
      <w:bookmarkStart w:id="39" w:name="_Toc38360311"/>
      <w:r>
        <w:t>Table 4.</w:t>
      </w:r>
      <w:r w:rsidR="003951FA">
        <w:rPr>
          <w:noProof/>
        </w:rPr>
        <w:t>14</w:t>
      </w:r>
      <w:bookmarkEnd w:id="38"/>
      <w:r w:rsidR="00D103A9">
        <w:tab/>
      </w:r>
      <w:r w:rsidR="009B35CE">
        <w:t xml:space="preserve">Summary of the evidence for the safety of a </w:t>
      </w:r>
      <w:r w:rsidR="001E5DED" w:rsidRPr="00673C2E">
        <w:t>prostanoid</w:t>
      </w:r>
      <w:r w:rsidR="009B35CE" w:rsidRPr="00673C2E">
        <w:t xml:space="preserve"> in addition to an ERA, relative to ERA monotherapy</w:t>
      </w:r>
      <w:bookmarkEnd w:id="39"/>
    </w:p>
    <w:tbl>
      <w:tblPr>
        <w:tblStyle w:val="TableGrid"/>
        <w:tblW w:w="9634" w:type="dxa"/>
        <w:tblLook w:val="04A0" w:firstRow="1" w:lastRow="0" w:firstColumn="1" w:lastColumn="0" w:noHBand="0" w:noVBand="1"/>
        <w:tblCaption w:val="Summary of the evidence for the safety of a prostanoid in addition to an ERA, relative to ERA monotherapy"/>
      </w:tblPr>
      <w:tblGrid>
        <w:gridCol w:w="1555"/>
        <w:gridCol w:w="1984"/>
        <w:gridCol w:w="6095"/>
      </w:tblGrid>
      <w:tr w:rsidR="009B35CE" w:rsidRPr="00D103A9"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D103A9" w:rsidRDefault="009B35CE" w:rsidP="00D103A9">
            <w:pPr>
              <w:pStyle w:val="Tabletext"/>
              <w:rPr>
                <w:rFonts w:asciiTheme="minorHAnsi" w:hAnsiTheme="minorHAnsi"/>
                <w:b/>
              </w:rPr>
            </w:pPr>
            <w:r w:rsidRPr="00D103A9">
              <w:rPr>
                <w:b/>
              </w:rPr>
              <w:t>Outcome</w:t>
            </w:r>
          </w:p>
        </w:tc>
        <w:tc>
          <w:tcPr>
            <w:tcW w:w="1984" w:type="dxa"/>
            <w:tcBorders>
              <w:top w:val="single" w:sz="4" w:space="0" w:color="auto"/>
              <w:left w:val="single" w:sz="4" w:space="0" w:color="auto"/>
              <w:bottom w:val="single" w:sz="4" w:space="0" w:color="auto"/>
              <w:right w:val="single" w:sz="4" w:space="0" w:color="auto"/>
            </w:tcBorders>
          </w:tcPr>
          <w:p w:rsidR="0051596A" w:rsidRDefault="009B35CE" w:rsidP="0051596A">
            <w:pPr>
              <w:pStyle w:val="Tabletext"/>
              <w:rPr>
                <w:b/>
              </w:rPr>
            </w:pPr>
            <w:r w:rsidRPr="00D103A9">
              <w:rPr>
                <w:b/>
              </w:rPr>
              <w:t>Included trials</w:t>
            </w:r>
            <w:r w:rsidR="0051596A">
              <w:rPr>
                <w:b/>
              </w:rPr>
              <w:t xml:space="preserve"> </w:t>
            </w:r>
          </w:p>
          <w:p w:rsidR="009B35CE" w:rsidRPr="00D103A9" w:rsidRDefault="0051596A" w:rsidP="0051596A">
            <w:pPr>
              <w:pStyle w:val="Tabletext"/>
              <w:rPr>
                <w:rFonts w:asciiTheme="minorHAnsi" w:hAnsiTheme="minorHAnsi"/>
                <w:b/>
              </w:rPr>
            </w:pPr>
            <w:r w:rsidRPr="00293DE5">
              <w:rPr>
                <w:b/>
              </w:rPr>
              <w:t>No. of patients</w:t>
            </w:r>
            <w:r w:rsidR="009B35CE" w:rsidRPr="00D103A9">
              <w:rPr>
                <w:b/>
              </w:rPr>
              <w:t xml:space="preserve"> </w:t>
            </w:r>
          </w:p>
        </w:tc>
        <w:tc>
          <w:tcPr>
            <w:tcW w:w="6095" w:type="dxa"/>
            <w:tcBorders>
              <w:top w:val="single" w:sz="4" w:space="0" w:color="auto"/>
              <w:left w:val="single" w:sz="4" w:space="0" w:color="auto"/>
              <w:bottom w:val="single" w:sz="4" w:space="0" w:color="auto"/>
              <w:right w:val="single" w:sz="4" w:space="0" w:color="auto"/>
            </w:tcBorders>
          </w:tcPr>
          <w:p w:rsidR="009B35CE" w:rsidRPr="00D103A9" w:rsidRDefault="009B35CE" w:rsidP="00D103A9">
            <w:pPr>
              <w:pStyle w:val="Tabletext"/>
              <w:rPr>
                <w:rFonts w:asciiTheme="minorHAnsi" w:hAnsiTheme="minorHAnsi"/>
                <w:b/>
              </w:rPr>
            </w:pPr>
            <w:r w:rsidRPr="00D103A9">
              <w:rPr>
                <w:b/>
              </w:rPr>
              <w:t>Summary of evidence</w:t>
            </w:r>
          </w:p>
        </w:tc>
      </w:tr>
      <w:tr w:rsidR="009B35CE"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9B35CE" w:rsidP="00D103A9">
            <w:pPr>
              <w:pStyle w:val="Tabletext"/>
              <w:rPr>
                <w:rFonts w:asciiTheme="minorHAnsi" w:hAnsiTheme="minorHAnsi"/>
              </w:rPr>
            </w:pPr>
            <w:r>
              <w:t>P</w:t>
            </w:r>
            <w:r w:rsidRPr="00FD4377">
              <w:t>atients with WHO FC III/IV PAH</w:t>
            </w:r>
          </w:p>
        </w:tc>
      </w:tr>
      <w:tr w:rsidR="009B35CE" w:rsidTr="00D103A9">
        <w:tc>
          <w:tcPr>
            <w:tcW w:w="1555" w:type="dxa"/>
            <w:tcBorders>
              <w:top w:val="single" w:sz="4" w:space="0" w:color="auto"/>
              <w:left w:val="single" w:sz="4" w:space="0" w:color="auto"/>
              <w:bottom w:val="single" w:sz="4" w:space="0" w:color="auto"/>
              <w:right w:val="single" w:sz="4" w:space="0" w:color="auto"/>
            </w:tcBorders>
          </w:tcPr>
          <w:p w:rsidR="009B35CE" w:rsidRPr="001D637C" w:rsidRDefault="009B35CE" w:rsidP="00D103A9">
            <w:pPr>
              <w:pStyle w:val="Tabletext"/>
            </w:pPr>
            <w:r>
              <w:t>Any AE</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D103A9">
            <w:pPr>
              <w:pStyle w:val="Tabletext"/>
            </w:pPr>
            <w:r>
              <w:t>COMBI</w:t>
            </w:r>
            <w:r w:rsidR="00B37D37">
              <w:br/>
            </w:r>
            <w:r>
              <w:t>(iloprost/bosentan)</w:t>
            </w:r>
          </w:p>
          <w:p w:rsidR="009B35CE" w:rsidRDefault="009B35CE" w:rsidP="00B37D37">
            <w:pPr>
              <w:pStyle w:val="Tabletext"/>
            </w:pPr>
            <w:r>
              <w:t>STEP</w:t>
            </w:r>
            <w:r w:rsidR="00B37D37">
              <w:br/>
            </w:r>
            <w:r w:rsidRPr="00D13D2A">
              <w:t>(iloprost/bosentan)</w:t>
            </w:r>
          </w:p>
          <w:p w:rsidR="002600D5" w:rsidRPr="001D637C" w:rsidRDefault="002600D5" w:rsidP="00B37D37">
            <w:pPr>
              <w:pStyle w:val="Tabletext"/>
            </w:pPr>
            <w:r>
              <w:t>N=107</w:t>
            </w:r>
          </w:p>
        </w:tc>
        <w:tc>
          <w:tcPr>
            <w:tcW w:w="6095" w:type="dxa"/>
            <w:tcBorders>
              <w:top w:val="single" w:sz="4" w:space="0" w:color="auto"/>
              <w:left w:val="single" w:sz="4" w:space="0" w:color="auto"/>
              <w:bottom w:val="single" w:sz="4" w:space="0" w:color="auto"/>
              <w:right w:val="single" w:sz="4" w:space="0" w:color="auto"/>
            </w:tcBorders>
          </w:tcPr>
          <w:p w:rsidR="009B35CE" w:rsidRPr="00C77B6A" w:rsidRDefault="005D597D" w:rsidP="00480FDF">
            <w:pPr>
              <w:pStyle w:val="Tabletext"/>
              <w:numPr>
                <w:ilvl w:val="0"/>
                <w:numId w:val="39"/>
              </w:numPr>
              <w:ind w:left="227" w:hanging="219"/>
            </w:pPr>
            <w:r>
              <w:t>Very l</w:t>
            </w:r>
            <w:r w:rsidR="009B35CE">
              <w:t>ow</w:t>
            </w:r>
            <w:r w:rsidR="009B35CE" w:rsidRPr="00C77B6A">
              <w:t xml:space="preserve"> quality</w:t>
            </w:r>
            <w:r w:rsidR="009B35CE" w:rsidRPr="00C77B6A">
              <w:rPr>
                <w:rFonts w:cs="Cambria Math"/>
              </w:rPr>
              <w:t xml:space="preserve"> evidence (GRADE </w:t>
            </w:r>
            <w:r w:rsidR="009B35CE" w:rsidRPr="00416ABC">
              <w:rPr>
                <w:rFonts w:ascii="Cambria Math" w:hAnsi="Cambria Math" w:cs="Cambria Math"/>
                <w:color w:val="00B050"/>
              </w:rPr>
              <w:t>⨁</w:t>
            </w:r>
            <w:r w:rsidRPr="00E564DD">
              <w:rPr>
                <w:rFonts w:ascii="Cambria Math" w:eastAsia="Times New Roman" w:hAnsi="Cambria Math" w:cs="Cambria Math"/>
                <w:bCs/>
                <w:color w:val="C00000"/>
              </w:rPr>
              <w:t>⨀</w:t>
            </w:r>
            <w:r w:rsidR="009B35CE" w:rsidRPr="00416ABC">
              <w:rPr>
                <w:rFonts w:ascii="Cambria Math" w:hAnsi="Cambria Math" w:cs="Cambria Math"/>
                <w:color w:val="C00000"/>
              </w:rPr>
              <w:t>⨀⨀</w:t>
            </w:r>
            <w:r w:rsidR="009B35CE" w:rsidRPr="00C77B6A">
              <w:t>)</w:t>
            </w:r>
          </w:p>
          <w:p w:rsidR="009B35CE" w:rsidRPr="00B96C6F" w:rsidRDefault="009B35CE" w:rsidP="00480FDF">
            <w:pPr>
              <w:pStyle w:val="Tabletext"/>
              <w:numPr>
                <w:ilvl w:val="0"/>
                <w:numId w:val="39"/>
              </w:numPr>
              <w:ind w:left="227" w:hanging="219"/>
            </w:pPr>
            <w:r w:rsidRPr="00E413B2">
              <w:t xml:space="preserve">More patients experienced an AE with combination therapy compared with monotherapy, but the </w:t>
            </w:r>
            <w:r w:rsidR="00D84687">
              <w:t>95% CI indicates</w:t>
            </w:r>
            <w:r w:rsidRPr="00E413B2">
              <w:t xml:space="preserve"> </w:t>
            </w:r>
            <w:r w:rsidR="00196DB5">
              <w:t>there was an effect in the opposite direction</w:t>
            </w:r>
            <w:r w:rsidRPr="00E413B2">
              <w:t xml:space="preserve"> </w:t>
            </w:r>
            <w:r w:rsidRPr="00B96C6F">
              <w:t>(</w:t>
            </w:r>
            <w:r>
              <w:t xml:space="preserve">pooled </w:t>
            </w:r>
            <w:r w:rsidRPr="00B96C6F">
              <w:t xml:space="preserve">RR = </w:t>
            </w:r>
            <w:r>
              <w:t>2</w:t>
            </w:r>
            <w:r w:rsidRPr="00B96C6F">
              <w:t>.</w:t>
            </w:r>
            <w:r>
              <w:t>40</w:t>
            </w:r>
            <w:r w:rsidRPr="00B96C6F">
              <w:t>; 95% CI 0.</w:t>
            </w:r>
            <w:r>
              <w:t>15</w:t>
            </w:r>
            <w:r w:rsidRPr="00B96C6F">
              <w:t xml:space="preserve">, </w:t>
            </w:r>
            <w:r>
              <w:t>37</w:t>
            </w:r>
            <w:r w:rsidRPr="00B96C6F">
              <w:t>.</w:t>
            </w:r>
            <w:r>
              <w:t>41</w:t>
            </w:r>
            <w:r w:rsidRPr="00B96C6F">
              <w:t>)</w:t>
            </w:r>
            <w:r w:rsidR="00E74E34">
              <w:t>.</w:t>
            </w:r>
          </w:p>
        </w:tc>
      </w:tr>
      <w:tr w:rsidR="009B35CE" w:rsidTr="00D103A9">
        <w:tc>
          <w:tcPr>
            <w:tcW w:w="1555" w:type="dxa"/>
          </w:tcPr>
          <w:p w:rsidR="009B35CE" w:rsidRPr="001D637C" w:rsidRDefault="009B35CE" w:rsidP="00D103A9">
            <w:pPr>
              <w:pStyle w:val="Tabletext"/>
            </w:pPr>
            <w:r>
              <w:t>Serious AEs</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B37D37">
            <w:pPr>
              <w:pStyle w:val="Tabletext"/>
            </w:pPr>
            <w:r>
              <w:t>STEP</w:t>
            </w:r>
            <w:r w:rsidR="00B37D37">
              <w:br/>
            </w:r>
            <w:r w:rsidRPr="00D13D2A">
              <w:t>(iloprost/bosentan)</w:t>
            </w:r>
          </w:p>
          <w:p w:rsidR="002600D5" w:rsidRPr="001D637C" w:rsidRDefault="002600D5" w:rsidP="00B37D37">
            <w:pPr>
              <w:pStyle w:val="Tabletext"/>
            </w:pPr>
            <w:r>
              <w:t>N=67</w:t>
            </w:r>
          </w:p>
        </w:tc>
        <w:tc>
          <w:tcPr>
            <w:tcW w:w="6095" w:type="dxa"/>
          </w:tcPr>
          <w:p w:rsidR="009B35CE" w:rsidRPr="00B96C6F" w:rsidRDefault="009B35CE" w:rsidP="00480FDF">
            <w:pPr>
              <w:pStyle w:val="Tabletext"/>
              <w:numPr>
                <w:ilvl w:val="0"/>
                <w:numId w:val="39"/>
              </w:numPr>
              <w:ind w:left="227" w:hanging="219"/>
            </w:pPr>
            <w:r>
              <w:t>Moderate</w:t>
            </w:r>
            <w:r w:rsidRPr="00B96C6F">
              <w:t xml:space="preserve"> quality</w:t>
            </w:r>
            <w:r w:rsidRPr="00B96C6F">
              <w:rPr>
                <w:rFonts w:cs="Cambria Math"/>
              </w:rPr>
              <w:t xml:space="preserve"> evidence (GRADE </w:t>
            </w:r>
            <w:r w:rsidRPr="00B96C6F">
              <w:rPr>
                <w:rFonts w:ascii="Cambria Math" w:hAnsi="Cambria Math" w:cs="Cambria Math"/>
                <w:color w:val="00B050"/>
              </w:rPr>
              <w:t>⨁⨁⨁</w:t>
            </w:r>
            <w:r w:rsidRPr="00083FA5">
              <w:rPr>
                <w:rFonts w:ascii="Cambria Math" w:hAnsi="Cambria Math" w:cs="Cambria Math"/>
                <w:color w:val="FF0000"/>
              </w:rPr>
              <w:t>⨀</w:t>
            </w:r>
            <w:r w:rsidRPr="00B96C6F">
              <w:t>)</w:t>
            </w:r>
          </w:p>
          <w:p w:rsidR="009B35CE" w:rsidRPr="00B96C6F" w:rsidRDefault="009B35CE" w:rsidP="00480FDF">
            <w:pPr>
              <w:pStyle w:val="Tabletext"/>
              <w:numPr>
                <w:ilvl w:val="0"/>
                <w:numId w:val="39"/>
              </w:numPr>
              <w:ind w:left="227" w:hanging="219"/>
            </w:pPr>
            <w:r w:rsidRPr="00B96C6F">
              <w:rPr>
                <w:szCs w:val="18"/>
              </w:rPr>
              <w:t xml:space="preserve">Fewer patients </w:t>
            </w:r>
            <w:r w:rsidR="000E0E91">
              <w:rPr>
                <w:szCs w:val="18"/>
              </w:rPr>
              <w:t xml:space="preserve">had </w:t>
            </w:r>
            <w:r>
              <w:rPr>
                <w:szCs w:val="18"/>
              </w:rPr>
              <w:t>a serious AE</w:t>
            </w:r>
            <w:r w:rsidRPr="00B96C6F">
              <w:t xml:space="preserve"> with combination the</w:t>
            </w:r>
            <w:r>
              <w:t>rapy compared with monotherapy,</w:t>
            </w:r>
            <w:r w:rsidRPr="00B96C6F">
              <w:t xml:space="preserve"> </w:t>
            </w:r>
            <w:r w:rsidRPr="00F3410B">
              <w:t xml:space="preserve">but the </w:t>
            </w:r>
            <w:r w:rsidR="00D84687">
              <w:t>95% CI indicates</w:t>
            </w:r>
            <w:r w:rsidRPr="00F3410B">
              <w:t xml:space="preserve"> that there could also be </w:t>
            </w:r>
            <w:r w:rsidR="000E0E91">
              <w:t>an</w:t>
            </w:r>
            <w:r w:rsidRPr="00F3410B">
              <w:t xml:space="preserve"> effect</w:t>
            </w:r>
            <w:r w:rsidRPr="00B96C6F">
              <w:t xml:space="preserve"> </w:t>
            </w:r>
            <w:r w:rsidR="000E0E91">
              <w:t xml:space="preserve">in the opposite direction </w:t>
            </w:r>
            <w:r w:rsidRPr="00B96C6F">
              <w:t>(</w:t>
            </w:r>
            <w:r>
              <w:t>RR = 0.65</w:t>
            </w:r>
            <w:r w:rsidRPr="00B96C6F">
              <w:t>; 95% CI 0.</w:t>
            </w:r>
            <w:r>
              <w:t>23</w:t>
            </w:r>
            <w:r w:rsidRPr="00B96C6F">
              <w:t xml:space="preserve">, </w:t>
            </w:r>
            <w:r>
              <w:t>1</w:t>
            </w:r>
            <w:r w:rsidRPr="00B96C6F">
              <w:t>.</w:t>
            </w:r>
            <w:r>
              <w:t>85</w:t>
            </w:r>
            <w:r w:rsidRPr="00B96C6F">
              <w:t>)</w:t>
            </w:r>
            <w:r w:rsidR="00E74E34">
              <w:t>.</w:t>
            </w:r>
          </w:p>
        </w:tc>
      </w:tr>
      <w:tr w:rsidR="009B35CE" w:rsidTr="00D103A9">
        <w:tc>
          <w:tcPr>
            <w:tcW w:w="1555" w:type="dxa"/>
          </w:tcPr>
          <w:p w:rsidR="009B35CE" w:rsidRDefault="009B35CE" w:rsidP="00D103A9">
            <w:pPr>
              <w:pStyle w:val="Tabletext"/>
            </w:pPr>
            <w:r w:rsidRPr="00B96C6F">
              <w:t>AEs leading to treatment discontinuation</w:t>
            </w:r>
          </w:p>
        </w:tc>
        <w:tc>
          <w:tcPr>
            <w:tcW w:w="1984" w:type="dxa"/>
            <w:tcBorders>
              <w:top w:val="single" w:sz="4" w:space="0" w:color="auto"/>
              <w:left w:val="single" w:sz="4" w:space="0" w:color="auto"/>
              <w:bottom w:val="single" w:sz="4" w:space="0" w:color="auto"/>
              <w:right w:val="single" w:sz="4" w:space="0" w:color="auto"/>
            </w:tcBorders>
          </w:tcPr>
          <w:p w:rsidR="009B35CE" w:rsidRDefault="009B35CE" w:rsidP="00B37D37">
            <w:pPr>
              <w:pStyle w:val="Tabletext"/>
            </w:pPr>
            <w:r>
              <w:t>COMBI</w:t>
            </w:r>
            <w:r w:rsidR="00B37D37">
              <w:br/>
            </w:r>
            <w:r>
              <w:t>(iloprost/bosentan)</w:t>
            </w:r>
          </w:p>
          <w:p w:rsidR="002600D5" w:rsidRDefault="002600D5" w:rsidP="00B37D37">
            <w:pPr>
              <w:pStyle w:val="Tabletext"/>
            </w:pPr>
            <w:r>
              <w:t>N=40</w:t>
            </w:r>
          </w:p>
        </w:tc>
        <w:tc>
          <w:tcPr>
            <w:tcW w:w="6095" w:type="dxa"/>
            <w:tcBorders>
              <w:top w:val="single" w:sz="4" w:space="0" w:color="auto"/>
              <w:left w:val="single" w:sz="4" w:space="0" w:color="auto"/>
              <w:bottom w:val="single" w:sz="4" w:space="0" w:color="auto"/>
              <w:right w:val="single" w:sz="4" w:space="0" w:color="auto"/>
            </w:tcBorders>
          </w:tcPr>
          <w:p w:rsidR="009B35CE" w:rsidRPr="00C77B6A" w:rsidRDefault="00C828F9" w:rsidP="00480FDF">
            <w:pPr>
              <w:pStyle w:val="Tabletext"/>
              <w:numPr>
                <w:ilvl w:val="0"/>
                <w:numId w:val="39"/>
              </w:numPr>
              <w:ind w:left="227" w:hanging="219"/>
            </w:pPr>
            <w:r>
              <w:t>Very l</w:t>
            </w:r>
            <w:r w:rsidR="009B35CE">
              <w:t>ow</w:t>
            </w:r>
            <w:r w:rsidR="009B35CE" w:rsidRPr="00C77B6A">
              <w:t xml:space="preserve"> quality</w:t>
            </w:r>
            <w:r w:rsidR="009B35CE" w:rsidRPr="00C77B6A">
              <w:rPr>
                <w:rFonts w:cs="Cambria Math"/>
              </w:rPr>
              <w:t xml:space="preserve"> evidence (GRADE </w:t>
            </w:r>
            <w:r w:rsidR="009B35CE" w:rsidRPr="00416ABC">
              <w:rPr>
                <w:rFonts w:ascii="Cambria Math" w:hAnsi="Cambria Math" w:cs="Cambria Math"/>
                <w:color w:val="00B050"/>
              </w:rPr>
              <w:t>⨁</w:t>
            </w:r>
            <w:r w:rsidRPr="00416ABC">
              <w:rPr>
                <w:rFonts w:ascii="Cambria Math" w:hAnsi="Cambria Math" w:cs="Cambria Math"/>
                <w:color w:val="C00000"/>
              </w:rPr>
              <w:t>⨀</w:t>
            </w:r>
            <w:r w:rsidR="009B35CE" w:rsidRPr="00416ABC">
              <w:rPr>
                <w:rFonts w:ascii="Cambria Math" w:hAnsi="Cambria Math" w:cs="Cambria Math"/>
                <w:color w:val="C00000"/>
              </w:rPr>
              <w:t>⨀⨀</w:t>
            </w:r>
            <w:r w:rsidR="009B35CE" w:rsidRPr="00C77B6A">
              <w:t>)</w:t>
            </w:r>
          </w:p>
          <w:p w:rsidR="009B35CE" w:rsidRPr="006B11DC" w:rsidRDefault="009B35CE" w:rsidP="00480FDF">
            <w:pPr>
              <w:pStyle w:val="Tabletext"/>
              <w:numPr>
                <w:ilvl w:val="0"/>
                <w:numId w:val="39"/>
              </w:numPr>
              <w:ind w:left="227" w:hanging="219"/>
            </w:pPr>
            <w:r>
              <w:t xml:space="preserve">More </w:t>
            </w:r>
            <w:r w:rsidRPr="00F3410B">
              <w:t>patients had an AE leading to treatment discontinuation</w:t>
            </w:r>
            <w:r w:rsidRPr="00B96C6F">
              <w:t xml:space="preserve"> with combination therapy compared with monotherapy, </w:t>
            </w:r>
            <w:r w:rsidRPr="00F3410B">
              <w:t xml:space="preserve">but </w:t>
            </w:r>
            <w:r>
              <w:t xml:space="preserve">the difference was not statistically significant </w:t>
            </w:r>
            <w:r w:rsidRPr="00B96C6F">
              <w:t>(</w:t>
            </w:r>
            <w:r w:rsidR="00B21201">
              <w:t>ARD</w:t>
            </w:r>
            <w:r w:rsidRPr="00B96C6F">
              <w:t xml:space="preserve"> = </w:t>
            </w:r>
            <w:r>
              <w:t>5.2%</w:t>
            </w:r>
            <w:r w:rsidRPr="00B96C6F">
              <w:t xml:space="preserve">; 95% CI </w:t>
            </w:r>
            <w:r>
              <w:t>−4</w:t>
            </w:r>
            <w:r w:rsidRPr="00B96C6F">
              <w:t>.</w:t>
            </w:r>
            <w:r>
              <w:t>8</w:t>
            </w:r>
            <w:r w:rsidRPr="00B96C6F">
              <w:t xml:space="preserve">, </w:t>
            </w:r>
            <w:r>
              <w:t>15</w:t>
            </w:r>
            <w:r w:rsidRPr="00B96C6F">
              <w:t>.</w:t>
            </w:r>
            <w:r>
              <w:t>3</w:t>
            </w:r>
            <w:r w:rsidRPr="00B96C6F">
              <w:t>)</w:t>
            </w:r>
            <w:r w:rsidR="00E74E34">
              <w:t>.</w:t>
            </w:r>
          </w:p>
        </w:tc>
      </w:tr>
    </w:tbl>
    <w:p w:rsidR="00D419F1" w:rsidRPr="006316DF" w:rsidRDefault="009B35CE" w:rsidP="00D103A9">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D419F1">
        <w:t xml:space="preserve">; </w:t>
      </w:r>
      <w:r w:rsidRPr="009123E2">
        <w:t>PAH</w:t>
      </w:r>
      <w:r>
        <w:t xml:space="preserve"> = p</w:t>
      </w:r>
      <w:r w:rsidRPr="009123E2">
        <w:t xml:space="preserve">ulmonary </w:t>
      </w:r>
      <w:r>
        <w:t>a</w:t>
      </w:r>
      <w:r w:rsidRPr="009123E2">
        <w:t xml:space="preserve">rterial </w:t>
      </w:r>
      <w:r>
        <w:t>h</w:t>
      </w:r>
      <w:r w:rsidRPr="009123E2">
        <w:t>ypertension</w:t>
      </w:r>
      <w:r>
        <w:t>; RR = relative risk; WHO = World Health Organization</w:t>
      </w:r>
    </w:p>
    <w:p w:rsidR="009B35CE" w:rsidRPr="006316DF" w:rsidRDefault="00441F08" w:rsidP="00003E50">
      <w:pPr>
        <w:pStyle w:val="Heading4"/>
        <w:tabs>
          <w:tab w:val="left" w:pos="993"/>
          <w:tab w:val="left" w:pos="1134"/>
        </w:tabs>
      </w:pPr>
      <w:r>
        <w:t>4.1.3.6</w:t>
      </w:r>
      <w:r>
        <w:tab/>
      </w:r>
      <w:proofErr w:type="gramStart"/>
      <w:r w:rsidR="009B35CE" w:rsidRPr="00CA622D">
        <w:t>sGC</w:t>
      </w:r>
      <w:proofErr w:type="gramEnd"/>
      <w:r w:rsidR="009B35CE" w:rsidRPr="00CA622D">
        <w:t xml:space="preserve"> stimulator </w:t>
      </w:r>
      <w:r w:rsidR="009B35CE" w:rsidRPr="00EF6A61">
        <w:t xml:space="preserve">in addition to </w:t>
      </w:r>
      <w:r w:rsidR="009B35CE">
        <w:t>an ERA</w:t>
      </w:r>
    </w:p>
    <w:p w:rsidR="009B35CE" w:rsidRPr="00107676" w:rsidRDefault="009B35CE" w:rsidP="009B35CE">
      <w:pPr>
        <w:pStyle w:val="Heading5"/>
      </w:pPr>
      <w:r w:rsidRPr="00107676">
        <w:t>Clinical effectiveness</w:t>
      </w:r>
    </w:p>
    <w:p w:rsidR="009B35CE" w:rsidRDefault="009B35CE" w:rsidP="009B35CE">
      <w:r>
        <w:t xml:space="preserve">One </w:t>
      </w:r>
      <w:r w:rsidRPr="00822C52">
        <w:t xml:space="preserve">RCT reported on the effectiveness of a </w:t>
      </w:r>
      <w:r w:rsidRPr="002375AD">
        <w:t xml:space="preserve">sGC stimulator in addition to an ERA </w:t>
      </w:r>
      <w:r w:rsidRPr="00822C52">
        <w:t xml:space="preserve">in treating PAH </w:t>
      </w:r>
      <w:r w:rsidR="000E0E91">
        <w:t xml:space="preserve">when </w:t>
      </w:r>
      <w:r w:rsidRPr="00822C52">
        <w:t xml:space="preserve">compared with </w:t>
      </w:r>
      <w:r w:rsidR="000E0E91">
        <w:t xml:space="preserve">a </w:t>
      </w:r>
      <w:r w:rsidRPr="00822C52">
        <w:t>placebo plus a</w:t>
      </w:r>
      <w:r>
        <w:t>n</w:t>
      </w:r>
      <w:r w:rsidRPr="00822C52">
        <w:t xml:space="preserve"> </w:t>
      </w:r>
      <w:r>
        <w:t>ERA</w:t>
      </w:r>
      <w:r w:rsidRPr="00822C52">
        <w:t xml:space="preserve"> in patients with PAH</w:t>
      </w:r>
      <w:r>
        <w:t>:</w:t>
      </w:r>
    </w:p>
    <w:p w:rsidR="009B35CE" w:rsidRPr="00B607A5" w:rsidRDefault="009B35CE" w:rsidP="00D103A9">
      <w:pPr>
        <w:pStyle w:val="Bullettext"/>
      </w:pPr>
      <w:r w:rsidRPr="00B607A5">
        <w:t xml:space="preserve">PATENT-1 enrolled </w:t>
      </w:r>
      <w:r w:rsidR="006F5806" w:rsidRPr="00B607A5">
        <w:t xml:space="preserve">WHO FC I-IV </w:t>
      </w:r>
      <w:r w:rsidR="000E0E91" w:rsidRPr="00B607A5">
        <w:t xml:space="preserve">PAH </w:t>
      </w:r>
      <w:r w:rsidRPr="00B607A5">
        <w:t xml:space="preserve">patients with or without background ERA or </w:t>
      </w:r>
      <w:r w:rsidR="0017012F" w:rsidRPr="00B607A5">
        <w:t>prostanoid</w:t>
      </w:r>
      <w:r w:rsidRPr="00B607A5">
        <w:t xml:space="preserve"> therapy, to receive riociguat or placebo</w:t>
      </w:r>
      <w:r w:rsidR="006F5806" w:rsidRPr="00B607A5">
        <w:t xml:space="preserve">. </w:t>
      </w:r>
    </w:p>
    <w:p w:rsidR="009B35CE" w:rsidRPr="00B607A5" w:rsidRDefault="006F5806" w:rsidP="00D103A9">
      <w:pPr>
        <w:pStyle w:val="Bullettext"/>
      </w:pPr>
      <w:r w:rsidRPr="00B607A5">
        <w:t>A s</w:t>
      </w:r>
      <w:r w:rsidR="009B35CE" w:rsidRPr="00B607A5">
        <w:t xml:space="preserve">ubgroup analysis for </w:t>
      </w:r>
      <w:r w:rsidRPr="00B607A5">
        <w:t xml:space="preserve">pre-treated </w:t>
      </w:r>
      <w:r w:rsidR="009B35CE" w:rsidRPr="00B607A5">
        <w:t>patients with WHO FC III/IV PAH was also undertaken</w:t>
      </w:r>
    </w:p>
    <w:p w:rsidR="009B35CE" w:rsidRPr="00B607A5" w:rsidRDefault="009B35CE" w:rsidP="00D103A9">
      <w:pPr>
        <w:pStyle w:val="Bullettext"/>
        <w:numPr>
          <w:ilvl w:val="1"/>
          <w:numId w:val="1"/>
        </w:numPr>
        <w:ind w:left="1134"/>
      </w:pPr>
      <w:proofErr w:type="gramStart"/>
      <w:r w:rsidRPr="00B607A5">
        <w:t>12/87</w:t>
      </w:r>
      <w:proofErr w:type="gramEnd"/>
      <w:r w:rsidRPr="00B607A5">
        <w:t xml:space="preserve"> (14%) patients in this subgroup were treated with a </w:t>
      </w:r>
      <w:r w:rsidR="0017012F" w:rsidRPr="00B607A5">
        <w:t>prostanoid</w:t>
      </w:r>
      <w:r w:rsidR="00F03788" w:rsidRPr="00B607A5">
        <w:t xml:space="preserve"> instead of an ERA</w:t>
      </w:r>
      <w:r w:rsidRPr="00B607A5">
        <w:t>.</w:t>
      </w:r>
    </w:p>
    <w:p w:rsidR="004B3BDC" w:rsidRDefault="009B35CE" w:rsidP="004B3BDC">
      <w:pPr>
        <w:spacing w:before="0" w:line="240" w:lineRule="auto"/>
      </w:pPr>
      <w:r>
        <w:t>The evidence provided by th</w:t>
      </w:r>
      <w:r w:rsidR="000E0E91">
        <w:t>is trial</w:t>
      </w:r>
      <w:r>
        <w:t xml:space="preserve"> is summarised in</w:t>
      </w:r>
      <w:r w:rsidR="004B3BDC">
        <w:t xml:space="preserve"> Table 4.15.</w:t>
      </w:r>
    </w:p>
    <w:p w:rsidR="006F5806" w:rsidRDefault="006F5806" w:rsidP="006F5806">
      <w:r w:rsidRPr="0049771F">
        <w:t xml:space="preserve">Overall, there is </w:t>
      </w:r>
      <w:r w:rsidR="003C4687" w:rsidRPr="0049771F">
        <w:t xml:space="preserve">very </w:t>
      </w:r>
      <w:r w:rsidRPr="0049771F">
        <w:t xml:space="preserve">limited evidence indicating that the use of a sGC stimulator in addition to an ERA, relative to ERA monotherapy, </w:t>
      </w:r>
      <w:r w:rsidR="002046A0">
        <w:rPr>
          <w:noProof/>
          <w:color w:val="000000"/>
          <w:highlight w:val="black"/>
        </w:rPr>
        <w:t>'''''''' ''''' '''''''''''''''''</w:t>
      </w:r>
      <w:r w:rsidRPr="0049771F">
        <w:t xml:space="preserve"> for PAH patients. The evidence for patients with WHO FC III/IV PAH showed a similar </w:t>
      </w:r>
      <w:r w:rsidR="002046A0">
        <w:rPr>
          <w:noProof/>
          <w:color w:val="000000"/>
          <w:highlight w:val="black"/>
        </w:rPr>
        <w:t>'''''''''''''''''''</w:t>
      </w:r>
      <w:r w:rsidRPr="0049771F">
        <w:t xml:space="preserve"> effect. This finding would be stronger if it </w:t>
      </w:r>
      <w:proofErr w:type="gramStart"/>
      <w:r w:rsidRPr="0049771F">
        <w:t>were replicated</w:t>
      </w:r>
      <w:proofErr w:type="gramEnd"/>
      <w:r w:rsidRPr="0049771F">
        <w:t xml:space="preserve"> in additional research.</w:t>
      </w:r>
    </w:p>
    <w:p w:rsidR="009B35CE" w:rsidRDefault="00272F8F" w:rsidP="00BC5A2B">
      <w:pPr>
        <w:pStyle w:val="Caption"/>
      </w:pPr>
      <w:bookmarkStart w:id="40" w:name="_Ref506204602"/>
      <w:bookmarkStart w:id="41" w:name="_Toc38360312"/>
      <w:r>
        <w:t>Table 4.</w:t>
      </w:r>
      <w:r w:rsidR="003951FA">
        <w:rPr>
          <w:noProof/>
        </w:rPr>
        <w:t>15</w:t>
      </w:r>
      <w:bookmarkEnd w:id="40"/>
      <w:r w:rsidR="00D103A9">
        <w:tab/>
      </w:r>
      <w:r w:rsidR="009B35CE">
        <w:t xml:space="preserve">Summary of the evidence for the clinical effectiveness of a </w:t>
      </w:r>
      <w:r w:rsidR="009B35CE" w:rsidRPr="00CA622D">
        <w:t>sGC stimulator in addition to an ERA</w:t>
      </w:r>
      <w:r w:rsidR="009B35CE">
        <w:t>,</w:t>
      </w:r>
      <w:r w:rsidR="009B35CE" w:rsidRPr="00542902">
        <w:t xml:space="preserve"> relative</w:t>
      </w:r>
      <w:r w:rsidR="009B35CE">
        <w:t xml:space="preserve"> to ERA monotherapy</w:t>
      </w:r>
      <w:bookmarkEnd w:id="41"/>
    </w:p>
    <w:tbl>
      <w:tblPr>
        <w:tblStyle w:val="TableGrid"/>
        <w:tblW w:w="9634" w:type="dxa"/>
        <w:tblLook w:val="04A0" w:firstRow="1" w:lastRow="0" w:firstColumn="1" w:lastColumn="0" w:noHBand="0" w:noVBand="1"/>
        <w:tblCaption w:val="Summary of the evidence for the clinical effectiveness of a sGC stimulator in addition to an ERA, relative to ERA monotherapy"/>
      </w:tblPr>
      <w:tblGrid>
        <w:gridCol w:w="1540"/>
        <w:gridCol w:w="1892"/>
        <w:gridCol w:w="6202"/>
      </w:tblGrid>
      <w:tr w:rsidR="009B35CE" w:rsidRPr="00D103A9"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D103A9" w:rsidRDefault="009B35CE" w:rsidP="00D103A9">
            <w:pPr>
              <w:pStyle w:val="Tabletext"/>
              <w:rPr>
                <w:rFonts w:asciiTheme="minorHAnsi" w:hAnsiTheme="minorHAnsi"/>
                <w:b/>
              </w:rPr>
            </w:pPr>
            <w:r w:rsidRPr="00D103A9">
              <w:rPr>
                <w:b/>
              </w:rPr>
              <w:t>Outcome</w:t>
            </w:r>
          </w:p>
        </w:tc>
        <w:tc>
          <w:tcPr>
            <w:tcW w:w="1984" w:type="dxa"/>
            <w:tcBorders>
              <w:top w:val="single" w:sz="4" w:space="0" w:color="auto"/>
              <w:left w:val="single" w:sz="4" w:space="0" w:color="auto"/>
              <w:bottom w:val="single" w:sz="4" w:space="0" w:color="auto"/>
              <w:right w:val="single" w:sz="4" w:space="0" w:color="auto"/>
            </w:tcBorders>
          </w:tcPr>
          <w:p w:rsidR="0051596A" w:rsidRDefault="009B35CE" w:rsidP="0051596A">
            <w:pPr>
              <w:pStyle w:val="Tabletext"/>
              <w:rPr>
                <w:b/>
              </w:rPr>
            </w:pPr>
            <w:r w:rsidRPr="00D103A9">
              <w:rPr>
                <w:b/>
              </w:rPr>
              <w:t>Included trials</w:t>
            </w:r>
            <w:r w:rsidR="0051596A">
              <w:rPr>
                <w:b/>
              </w:rPr>
              <w:t xml:space="preserve"> </w:t>
            </w:r>
          </w:p>
          <w:p w:rsidR="009B35CE" w:rsidRPr="00D103A9" w:rsidRDefault="0051596A" w:rsidP="0051596A">
            <w:pPr>
              <w:pStyle w:val="Tabletext"/>
              <w:rPr>
                <w:rFonts w:asciiTheme="minorHAnsi" w:hAnsiTheme="minorHAnsi"/>
                <w:b/>
              </w:rPr>
            </w:pPr>
            <w:r w:rsidRPr="00293DE5">
              <w:rPr>
                <w:b/>
              </w:rPr>
              <w:t>No. of patients</w:t>
            </w:r>
            <w:r w:rsidR="009B35CE" w:rsidRPr="00D103A9">
              <w:rPr>
                <w:b/>
              </w:rPr>
              <w:t xml:space="preserve"> </w:t>
            </w:r>
          </w:p>
        </w:tc>
        <w:tc>
          <w:tcPr>
            <w:tcW w:w="6095" w:type="dxa"/>
            <w:tcBorders>
              <w:top w:val="single" w:sz="4" w:space="0" w:color="auto"/>
              <w:left w:val="single" w:sz="4" w:space="0" w:color="auto"/>
              <w:bottom w:val="single" w:sz="4" w:space="0" w:color="auto"/>
              <w:right w:val="single" w:sz="4" w:space="0" w:color="auto"/>
            </w:tcBorders>
          </w:tcPr>
          <w:p w:rsidR="009B35CE" w:rsidRPr="00D103A9" w:rsidRDefault="009B35CE" w:rsidP="00D103A9">
            <w:pPr>
              <w:pStyle w:val="Tabletext"/>
              <w:rPr>
                <w:rFonts w:asciiTheme="minorHAnsi" w:hAnsiTheme="minorHAnsi"/>
                <w:b/>
              </w:rPr>
            </w:pPr>
            <w:r w:rsidRPr="00D103A9">
              <w:rPr>
                <w:b/>
              </w:rPr>
              <w:t>Summary of evidence</w:t>
            </w:r>
          </w:p>
        </w:tc>
      </w:tr>
      <w:tr w:rsidR="009B35CE" w:rsidRPr="0049771F"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Pr="0049771F" w:rsidRDefault="009B35CE" w:rsidP="00487776">
            <w:pPr>
              <w:pStyle w:val="Tabletext"/>
              <w:keepNext/>
              <w:rPr>
                <w:rFonts w:asciiTheme="minorHAnsi" w:hAnsiTheme="minorHAnsi"/>
              </w:rPr>
            </w:pPr>
            <w:r w:rsidRPr="0049771F">
              <w:t>All PAH patients</w:t>
            </w:r>
          </w:p>
        </w:tc>
      </w:tr>
      <w:tr w:rsidR="009B35CE" w:rsidRPr="0049771F" w:rsidTr="00D103A9">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D103A9">
            <w:pPr>
              <w:pStyle w:val="Tabletext"/>
            </w:pPr>
            <w:r w:rsidRPr="0049771F">
              <w:t>Clinical worsening</w:t>
            </w:r>
          </w:p>
        </w:tc>
        <w:tc>
          <w:tcPr>
            <w:tcW w:w="1984" w:type="dxa"/>
            <w:tcBorders>
              <w:top w:val="single" w:sz="4" w:space="0" w:color="auto"/>
              <w:left w:val="single" w:sz="4" w:space="0" w:color="auto"/>
              <w:bottom w:val="single" w:sz="4" w:space="0" w:color="auto"/>
              <w:right w:val="single" w:sz="4" w:space="0" w:color="auto"/>
            </w:tcBorders>
          </w:tcPr>
          <w:p w:rsidR="009B35CE" w:rsidRPr="0049771F" w:rsidRDefault="009B35CE" w:rsidP="00B37D37">
            <w:pPr>
              <w:pStyle w:val="Tabletext"/>
            </w:pPr>
            <w:r w:rsidRPr="0049771F">
              <w:t>PATENT-1</w:t>
            </w:r>
            <w:r w:rsidR="00B37D37" w:rsidRPr="0049771F">
              <w:br/>
            </w:r>
            <w:r w:rsidRPr="0049771F">
              <w:t>(riociguat/ERA)</w:t>
            </w:r>
          </w:p>
          <w:p w:rsidR="002600D5" w:rsidRPr="0049771F" w:rsidRDefault="002600D5" w:rsidP="00B37D37">
            <w:pPr>
              <w:pStyle w:val="Tabletext"/>
            </w:pPr>
            <w:r w:rsidRPr="0049771F">
              <w:t>N=167</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5D597D" w:rsidP="00480FDF">
            <w:pPr>
              <w:pStyle w:val="Tabletext"/>
              <w:numPr>
                <w:ilvl w:val="0"/>
                <w:numId w:val="40"/>
              </w:numPr>
              <w:ind w:left="227" w:hanging="227"/>
              <w:rPr>
                <w:szCs w:val="18"/>
              </w:rPr>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eastAsia="Times New Roman" w:hAnsi="Cambria Math" w:cs="Cambria Math"/>
                <w:bCs/>
                <w:color w:val="C00000"/>
              </w:rPr>
              <w:t>⨀</w:t>
            </w:r>
            <w:r w:rsidR="009B35CE" w:rsidRPr="0049771F">
              <w:t>)</w:t>
            </w:r>
          </w:p>
          <w:p w:rsidR="00E74E34" w:rsidRDefault="002046A0" w:rsidP="00E74E34">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Pr>
          <w:p w:rsidR="009B35CE" w:rsidRPr="0049771F" w:rsidRDefault="009B35CE" w:rsidP="00D103A9">
            <w:pPr>
              <w:pStyle w:val="Tabletext"/>
            </w:pPr>
            <w:r w:rsidRPr="0049771F">
              <w:t>All-cause mortality</w:t>
            </w:r>
          </w:p>
        </w:tc>
        <w:tc>
          <w:tcPr>
            <w:tcW w:w="1984" w:type="dxa"/>
            <w:tcBorders>
              <w:top w:val="single" w:sz="4" w:space="0" w:color="auto"/>
              <w:left w:val="single" w:sz="4" w:space="0" w:color="auto"/>
              <w:bottom w:val="single" w:sz="4" w:space="0" w:color="auto"/>
              <w:right w:val="single" w:sz="4" w:space="0" w:color="auto"/>
            </w:tcBorders>
          </w:tcPr>
          <w:p w:rsidR="002600D5" w:rsidRPr="0049771F" w:rsidRDefault="009B35CE" w:rsidP="002600D5">
            <w:pPr>
              <w:pStyle w:val="Tabletext"/>
            </w:pPr>
            <w:r w:rsidRPr="0049771F">
              <w:t>PATENT-1</w:t>
            </w:r>
            <w:r w:rsidR="00B37D37" w:rsidRPr="0049771F">
              <w:br/>
            </w:r>
            <w:r w:rsidRPr="0049771F">
              <w:t>(riociguat/ERA)</w:t>
            </w:r>
            <w:r w:rsidR="002600D5" w:rsidRPr="0049771F">
              <w:t xml:space="preserve"> </w:t>
            </w:r>
          </w:p>
          <w:p w:rsidR="009B35CE" w:rsidRPr="0049771F" w:rsidRDefault="002600D5" w:rsidP="002600D5">
            <w:pPr>
              <w:pStyle w:val="Tabletext"/>
            </w:pPr>
            <w:r w:rsidRPr="0049771F">
              <w:t>N=167</w:t>
            </w:r>
          </w:p>
        </w:tc>
        <w:tc>
          <w:tcPr>
            <w:tcW w:w="6095" w:type="dxa"/>
          </w:tcPr>
          <w:p w:rsidR="009B35CE" w:rsidRPr="0049771F" w:rsidRDefault="009B35CE" w:rsidP="00480FDF">
            <w:pPr>
              <w:pStyle w:val="Tabletext"/>
              <w:numPr>
                <w:ilvl w:val="0"/>
                <w:numId w:val="40"/>
              </w:numPr>
              <w:ind w:left="227" w:hanging="227"/>
            </w:pPr>
            <w:r w:rsidRPr="0049771F">
              <w:t>High quality</w:t>
            </w:r>
            <w:r w:rsidRPr="0049771F">
              <w:rPr>
                <w:rFonts w:cs="Cambria Math"/>
              </w:rPr>
              <w:t xml:space="preserve"> evidence (GRADE </w:t>
            </w:r>
            <w:r w:rsidRPr="0049771F">
              <w:rPr>
                <w:rFonts w:ascii="Cambria Math" w:hAnsi="Cambria Math" w:cs="Cambria Math"/>
                <w:color w:val="00B050"/>
              </w:rPr>
              <w:t>⨁⨁⨁⨁</w:t>
            </w:r>
            <w:r w:rsidRPr="0049771F">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E74E34">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D103A9">
            <w:pPr>
              <w:pStyle w:val="Tabletext"/>
            </w:pPr>
            <w:r w:rsidRPr="0049771F">
              <w:t>Hospitalisation</w:t>
            </w:r>
            <w:r w:rsidR="004F560A" w:rsidRPr="0049771F">
              <w:t xml:space="preserve"> due to </w:t>
            </w:r>
            <w:r w:rsidR="00C828F9" w:rsidRPr="0049771F">
              <w:t xml:space="preserve">worsening </w:t>
            </w:r>
            <w:r w:rsidR="004F560A" w:rsidRPr="0049771F">
              <w:t>PAH</w:t>
            </w:r>
          </w:p>
        </w:tc>
        <w:tc>
          <w:tcPr>
            <w:tcW w:w="1984" w:type="dxa"/>
            <w:tcBorders>
              <w:top w:val="single" w:sz="4" w:space="0" w:color="auto"/>
              <w:left w:val="single" w:sz="4" w:space="0" w:color="auto"/>
              <w:bottom w:val="single" w:sz="4" w:space="0" w:color="auto"/>
              <w:right w:val="single" w:sz="4" w:space="0" w:color="auto"/>
            </w:tcBorders>
          </w:tcPr>
          <w:p w:rsidR="002600D5" w:rsidRPr="0049771F" w:rsidRDefault="009B35CE" w:rsidP="002600D5">
            <w:pPr>
              <w:pStyle w:val="Tabletext"/>
            </w:pPr>
            <w:r w:rsidRPr="0049771F">
              <w:t>PATENT-1</w:t>
            </w:r>
            <w:r w:rsidR="00B37D37" w:rsidRPr="0049771F">
              <w:br/>
            </w:r>
            <w:r w:rsidRPr="0049771F">
              <w:t>(riociguat/ERA)</w:t>
            </w:r>
            <w:r w:rsidR="002600D5" w:rsidRPr="0049771F">
              <w:t xml:space="preserve"> </w:t>
            </w:r>
          </w:p>
          <w:p w:rsidR="009B35CE" w:rsidRPr="0049771F" w:rsidRDefault="002600D5" w:rsidP="002600D5">
            <w:pPr>
              <w:pStyle w:val="Tabletext"/>
            </w:pPr>
            <w:r w:rsidRPr="0049771F">
              <w:t>N=167</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5D597D" w:rsidP="00480FDF">
            <w:pPr>
              <w:pStyle w:val="Tabletext"/>
              <w:numPr>
                <w:ilvl w:val="0"/>
                <w:numId w:val="40"/>
              </w:numPr>
              <w:ind w:left="227" w:hanging="227"/>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eastAsia="Times New Roman" w:hAnsi="Cambria Math" w:cs="Cambria Math"/>
                <w:bCs/>
                <w:color w:val="C00000"/>
              </w:rPr>
              <w:t>⨀</w:t>
            </w:r>
            <w:r w:rsidR="009B35CE" w:rsidRPr="0049771F">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Pr="002046A0" w:rsidRDefault="001D6161" w:rsidP="002046A0">
            <w:pPr>
              <w:pStyle w:val="Tabletext"/>
              <w:ind w:left="227" w:hanging="227"/>
              <w:rPr>
                <w:highlight w:val="black"/>
              </w:rPr>
            </w:pPr>
          </w:p>
        </w:tc>
      </w:tr>
      <w:tr w:rsidR="009B35CE" w:rsidRPr="0049771F" w:rsidTr="00D103A9">
        <w:tc>
          <w:tcPr>
            <w:tcW w:w="1555" w:type="dxa"/>
            <w:tcBorders>
              <w:top w:val="single" w:sz="4" w:space="0" w:color="auto"/>
              <w:left w:val="single" w:sz="4" w:space="0" w:color="auto"/>
              <w:bottom w:val="single" w:sz="4" w:space="0" w:color="auto"/>
              <w:right w:val="single" w:sz="4" w:space="0" w:color="auto"/>
            </w:tcBorders>
          </w:tcPr>
          <w:p w:rsidR="009B35CE" w:rsidRPr="0049771F" w:rsidRDefault="009B35CE" w:rsidP="00D103A9">
            <w:pPr>
              <w:pStyle w:val="Tabletext"/>
            </w:pPr>
            <w:r w:rsidRPr="0049771F">
              <w:t>Improved WHO FC</w:t>
            </w:r>
          </w:p>
        </w:tc>
        <w:tc>
          <w:tcPr>
            <w:tcW w:w="1984" w:type="dxa"/>
            <w:tcBorders>
              <w:top w:val="single" w:sz="4" w:space="0" w:color="auto"/>
              <w:left w:val="single" w:sz="4" w:space="0" w:color="auto"/>
              <w:bottom w:val="single" w:sz="4" w:space="0" w:color="auto"/>
              <w:right w:val="single" w:sz="4" w:space="0" w:color="auto"/>
            </w:tcBorders>
          </w:tcPr>
          <w:p w:rsidR="002600D5" w:rsidRPr="0049771F" w:rsidRDefault="009B35CE" w:rsidP="002600D5">
            <w:pPr>
              <w:pStyle w:val="Tabletext"/>
            </w:pPr>
            <w:r w:rsidRPr="0049771F">
              <w:t>PATENT-1</w:t>
            </w:r>
            <w:r w:rsidR="00B37D37" w:rsidRPr="0049771F">
              <w:br/>
            </w:r>
            <w:r w:rsidRPr="0049771F">
              <w:t>(riociguat/ERA)</w:t>
            </w:r>
            <w:r w:rsidR="002600D5" w:rsidRPr="0049771F">
              <w:t xml:space="preserve"> </w:t>
            </w:r>
          </w:p>
          <w:p w:rsidR="009B35CE" w:rsidRPr="0049771F" w:rsidRDefault="002600D5" w:rsidP="002600D5">
            <w:pPr>
              <w:pStyle w:val="Tabletext"/>
            </w:pPr>
            <w:r w:rsidRPr="0049771F">
              <w:t>N=167</w:t>
            </w:r>
          </w:p>
        </w:tc>
        <w:tc>
          <w:tcPr>
            <w:tcW w:w="6095" w:type="dxa"/>
            <w:tcBorders>
              <w:top w:val="single" w:sz="4" w:space="0" w:color="auto"/>
              <w:left w:val="single" w:sz="4" w:space="0" w:color="auto"/>
              <w:bottom w:val="single" w:sz="4" w:space="0" w:color="auto"/>
              <w:right w:val="single" w:sz="4" w:space="0" w:color="auto"/>
            </w:tcBorders>
          </w:tcPr>
          <w:p w:rsidR="009B35CE" w:rsidRPr="0049771F" w:rsidRDefault="005D597D" w:rsidP="00480FDF">
            <w:pPr>
              <w:pStyle w:val="Tabletext"/>
              <w:numPr>
                <w:ilvl w:val="0"/>
                <w:numId w:val="40"/>
              </w:numPr>
              <w:ind w:left="227" w:hanging="227"/>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eastAsia="Times New Roman" w:hAnsi="Cambria Math" w:cs="Cambria Math"/>
                <w:bCs/>
                <w:color w:val="C00000"/>
              </w:rPr>
              <w:t>⨀</w:t>
            </w:r>
            <w:r w:rsidR="009B35CE" w:rsidRPr="0049771F">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E74E34">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Pr>
          <w:p w:rsidR="009B35CE" w:rsidRPr="0049771F" w:rsidRDefault="009B35CE" w:rsidP="00D103A9">
            <w:pPr>
              <w:pStyle w:val="Tabletext"/>
            </w:pPr>
            <w:r w:rsidRPr="0049771F">
              <w:t>Worsened WHO FC</w:t>
            </w:r>
          </w:p>
        </w:tc>
        <w:tc>
          <w:tcPr>
            <w:tcW w:w="1984" w:type="dxa"/>
            <w:tcBorders>
              <w:top w:val="single" w:sz="4" w:space="0" w:color="auto"/>
              <w:left w:val="single" w:sz="4" w:space="0" w:color="auto"/>
              <w:bottom w:val="single" w:sz="4" w:space="0" w:color="auto"/>
              <w:right w:val="single" w:sz="4" w:space="0" w:color="auto"/>
            </w:tcBorders>
          </w:tcPr>
          <w:p w:rsidR="002600D5" w:rsidRPr="0049771F" w:rsidRDefault="009B35CE" w:rsidP="002600D5">
            <w:pPr>
              <w:pStyle w:val="Tabletext"/>
            </w:pPr>
            <w:r w:rsidRPr="0049771F">
              <w:t>PATENT-1</w:t>
            </w:r>
            <w:r w:rsidR="00B37D37" w:rsidRPr="0049771F">
              <w:br/>
            </w:r>
            <w:r w:rsidRPr="0049771F">
              <w:t>(riociguat/ERA)</w:t>
            </w:r>
            <w:r w:rsidR="002600D5" w:rsidRPr="0049771F">
              <w:t xml:space="preserve"> </w:t>
            </w:r>
          </w:p>
          <w:p w:rsidR="009B35CE" w:rsidRPr="0049771F" w:rsidRDefault="002600D5" w:rsidP="002600D5">
            <w:pPr>
              <w:pStyle w:val="Tabletext"/>
            </w:pPr>
            <w:r w:rsidRPr="0049771F">
              <w:t>N=167</w:t>
            </w:r>
          </w:p>
        </w:tc>
        <w:tc>
          <w:tcPr>
            <w:tcW w:w="6095" w:type="dxa"/>
          </w:tcPr>
          <w:p w:rsidR="009B35CE" w:rsidRPr="0049771F" w:rsidRDefault="005D597D" w:rsidP="00480FDF">
            <w:pPr>
              <w:pStyle w:val="Tabletext"/>
              <w:numPr>
                <w:ilvl w:val="0"/>
                <w:numId w:val="40"/>
              </w:numPr>
              <w:ind w:left="227" w:hanging="227"/>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eastAsia="Times New Roman" w:hAnsi="Cambria Math" w:cs="Cambria Math"/>
                <w:bCs/>
                <w:color w:val="C00000"/>
              </w:rPr>
              <w:t>⨀</w:t>
            </w:r>
            <w:r w:rsidR="009B35CE" w:rsidRPr="0049771F">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BE59C4" w:rsidRPr="0049771F" w:rsidTr="00BE59C4">
        <w:tc>
          <w:tcPr>
            <w:tcW w:w="1555" w:type="dxa"/>
          </w:tcPr>
          <w:p w:rsidR="00BE59C4" w:rsidRPr="0049771F" w:rsidRDefault="00BE59C4" w:rsidP="00BE59C4">
            <w:pPr>
              <w:pStyle w:val="Tabletext"/>
            </w:pPr>
            <w:r w:rsidRPr="0049771F">
              <w:t>Change in 6MWD</w:t>
            </w:r>
            <w:r w:rsidR="00C828F9" w:rsidRPr="0049771F">
              <w:t xml:space="preserve"> from baseline</w:t>
            </w:r>
          </w:p>
        </w:tc>
        <w:tc>
          <w:tcPr>
            <w:tcW w:w="1984" w:type="dxa"/>
          </w:tcPr>
          <w:p w:rsidR="002600D5" w:rsidRPr="0049771F" w:rsidRDefault="00BE59C4" w:rsidP="002600D5">
            <w:pPr>
              <w:pStyle w:val="Tabletext"/>
            </w:pPr>
            <w:r w:rsidRPr="0049771F">
              <w:t>PATENT-1</w:t>
            </w:r>
            <w:r w:rsidRPr="0049771F">
              <w:br/>
              <w:t>(riociguat/ERA)</w:t>
            </w:r>
            <w:r w:rsidR="002600D5" w:rsidRPr="0049771F">
              <w:t xml:space="preserve"> </w:t>
            </w:r>
          </w:p>
          <w:p w:rsidR="00BE59C4" w:rsidRPr="0049771F" w:rsidRDefault="002600D5" w:rsidP="002600D5">
            <w:pPr>
              <w:pStyle w:val="Tabletext"/>
            </w:pPr>
            <w:r w:rsidRPr="0049771F">
              <w:t>N=167</w:t>
            </w:r>
          </w:p>
        </w:tc>
        <w:tc>
          <w:tcPr>
            <w:tcW w:w="6095" w:type="dxa"/>
          </w:tcPr>
          <w:p w:rsidR="00BE59C4" w:rsidRPr="0049771F" w:rsidRDefault="00B47224" w:rsidP="00480FDF">
            <w:pPr>
              <w:pStyle w:val="Tabletext"/>
              <w:numPr>
                <w:ilvl w:val="0"/>
                <w:numId w:val="40"/>
              </w:numPr>
              <w:ind w:left="227" w:hanging="227"/>
            </w:pPr>
            <w:r w:rsidRPr="0049771F">
              <w:t xml:space="preserve">Moderate </w:t>
            </w:r>
            <w:r w:rsidR="00BE59C4" w:rsidRPr="0049771F">
              <w:t xml:space="preserve">quality evidence (GRADE </w:t>
            </w:r>
            <w:r w:rsidR="00BE59C4" w:rsidRPr="0049771F">
              <w:rPr>
                <w:rFonts w:ascii="Cambria Math" w:hAnsi="Cambria Math" w:cs="Cambria Math"/>
                <w:color w:val="00B050"/>
              </w:rPr>
              <w:t>⨁⨁⨁</w:t>
            </w:r>
            <w:r w:rsidRPr="0049771F">
              <w:rPr>
                <w:rFonts w:ascii="Cambria Math" w:hAnsi="Cambria Math" w:cs="Cambria Math"/>
                <w:color w:val="C00000"/>
              </w:rPr>
              <w:t>⨀</w:t>
            </w:r>
            <w:r w:rsidR="00BE59C4" w:rsidRPr="0049771F">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E74E3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BE59C4"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BE59C4" w:rsidRPr="0049771F" w:rsidTr="00BE59C4">
        <w:tc>
          <w:tcPr>
            <w:tcW w:w="1555" w:type="dxa"/>
          </w:tcPr>
          <w:p w:rsidR="00BE59C4" w:rsidRPr="0049771F" w:rsidRDefault="003903A0" w:rsidP="00BE59C4">
            <w:pPr>
              <w:pStyle w:val="Tabletext"/>
            </w:pPr>
            <w:r w:rsidRPr="0049771F">
              <w:t>Change in QoL</w:t>
            </w:r>
            <w:r w:rsidR="00C828F9" w:rsidRPr="0049771F">
              <w:t xml:space="preserve"> from baseline</w:t>
            </w:r>
            <w:r w:rsidRPr="0049771F">
              <w:t>:</w:t>
            </w:r>
          </w:p>
          <w:p w:rsidR="00BE59C4" w:rsidRPr="0049771F" w:rsidRDefault="00BE59C4" w:rsidP="00BE59C4">
            <w:pPr>
              <w:pStyle w:val="Tabletext"/>
            </w:pPr>
            <w:r w:rsidRPr="0049771F">
              <w:t>EQ-5D</w:t>
            </w:r>
            <w:r w:rsidR="003903A0" w:rsidRPr="0049771F">
              <w:rPr>
                <w:vertAlign w:val="superscript"/>
              </w:rPr>
              <w:t>a</w:t>
            </w:r>
            <w:r w:rsidRPr="0049771F">
              <w:t>, LPH</w:t>
            </w:r>
            <w:r w:rsidR="003903A0" w:rsidRPr="0049771F">
              <w:rPr>
                <w:vertAlign w:val="superscript"/>
              </w:rPr>
              <w:t>b</w:t>
            </w:r>
          </w:p>
        </w:tc>
        <w:tc>
          <w:tcPr>
            <w:tcW w:w="1984" w:type="dxa"/>
          </w:tcPr>
          <w:p w:rsidR="002600D5" w:rsidRPr="0049771F" w:rsidRDefault="00BE59C4" w:rsidP="002600D5">
            <w:pPr>
              <w:pStyle w:val="Tabletext"/>
            </w:pPr>
            <w:r w:rsidRPr="0049771F">
              <w:t>PATENT-1</w:t>
            </w:r>
            <w:r w:rsidRPr="0049771F">
              <w:br/>
              <w:t>(riociguat/ERA)</w:t>
            </w:r>
            <w:r w:rsidR="002600D5" w:rsidRPr="0049771F">
              <w:t xml:space="preserve"> </w:t>
            </w:r>
          </w:p>
          <w:p w:rsidR="00BE59C4" w:rsidRPr="0049771F" w:rsidRDefault="002600D5" w:rsidP="002600D5">
            <w:pPr>
              <w:pStyle w:val="Tabletext"/>
            </w:pPr>
            <w:r w:rsidRPr="0049771F">
              <w:t>N=167</w:t>
            </w:r>
          </w:p>
        </w:tc>
        <w:tc>
          <w:tcPr>
            <w:tcW w:w="6095" w:type="dxa"/>
          </w:tcPr>
          <w:p w:rsidR="00BE59C4" w:rsidRPr="0049771F" w:rsidRDefault="00BE59C4" w:rsidP="00480FDF">
            <w:pPr>
              <w:pStyle w:val="Tabletext"/>
              <w:numPr>
                <w:ilvl w:val="0"/>
                <w:numId w:val="40"/>
              </w:numPr>
              <w:ind w:left="227" w:hanging="227"/>
            </w:pPr>
            <w:r w:rsidRPr="0049771F">
              <w:t xml:space="preserve">High quality evidence (GRADE </w:t>
            </w:r>
            <w:r w:rsidRPr="0049771F">
              <w:rPr>
                <w:rFonts w:ascii="Cambria Math" w:hAnsi="Cambria Math" w:cs="Cambria Math"/>
                <w:color w:val="00B05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1D6161">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BE59C4"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Pr>
          <w:p w:rsidR="009B35CE" w:rsidRPr="0049771F" w:rsidRDefault="009B35CE" w:rsidP="00D103A9">
            <w:pPr>
              <w:pStyle w:val="Tabletext"/>
            </w:pPr>
            <w:r w:rsidRPr="0049771F">
              <w:t>Change in haemodynamic parameters</w:t>
            </w:r>
            <w:r w:rsidR="00C828F9" w:rsidRPr="0049771F">
              <w:t xml:space="preserve"> from baseline</w:t>
            </w:r>
            <w:r w:rsidRPr="0049771F">
              <w:t>:</w:t>
            </w:r>
          </w:p>
          <w:p w:rsidR="009B35CE" w:rsidRPr="0049771F" w:rsidRDefault="009B35CE" w:rsidP="00D103A9">
            <w:pPr>
              <w:pStyle w:val="Tabletext"/>
            </w:pPr>
            <w:r w:rsidRPr="0049771F">
              <w:t>PVR</w:t>
            </w:r>
          </w:p>
        </w:tc>
        <w:tc>
          <w:tcPr>
            <w:tcW w:w="1984" w:type="dxa"/>
          </w:tcPr>
          <w:p w:rsidR="002600D5" w:rsidRPr="0049771F" w:rsidRDefault="009B35CE" w:rsidP="002600D5">
            <w:pPr>
              <w:pStyle w:val="Tabletext"/>
            </w:pPr>
            <w:r w:rsidRPr="0049771F">
              <w:t>PATENT-1</w:t>
            </w:r>
            <w:r w:rsidR="00362678" w:rsidRPr="0049771F">
              <w:br/>
            </w:r>
            <w:r w:rsidRPr="0049771F">
              <w:t>(riociguat/ERA)</w:t>
            </w:r>
            <w:r w:rsidR="002600D5" w:rsidRPr="0049771F">
              <w:t xml:space="preserve"> </w:t>
            </w:r>
          </w:p>
          <w:p w:rsidR="009B35CE" w:rsidRPr="0049771F" w:rsidRDefault="0051596A" w:rsidP="002600D5">
            <w:pPr>
              <w:pStyle w:val="Tabletext"/>
            </w:pPr>
            <w:r w:rsidRPr="0049771F">
              <w:t>N=148</w:t>
            </w:r>
          </w:p>
        </w:tc>
        <w:tc>
          <w:tcPr>
            <w:tcW w:w="6095" w:type="dxa"/>
          </w:tcPr>
          <w:p w:rsidR="009B35CE" w:rsidRPr="0049771F" w:rsidRDefault="00B47224" w:rsidP="00480FDF">
            <w:pPr>
              <w:pStyle w:val="Tabletext"/>
              <w:numPr>
                <w:ilvl w:val="0"/>
                <w:numId w:val="40"/>
              </w:numPr>
              <w:ind w:left="227" w:hanging="227"/>
            </w:pPr>
            <w:r w:rsidRPr="0049771F">
              <w:t xml:space="preserve">Low </w:t>
            </w:r>
            <w:r w:rsidR="009B35CE" w:rsidRPr="0049771F">
              <w:t xml:space="preserve">quality evidence (GRADE </w:t>
            </w:r>
            <w:r w:rsidR="009B35CE" w:rsidRPr="0049771F">
              <w:rPr>
                <w:rFonts w:ascii="Cambria Math" w:hAnsi="Cambria Math" w:cs="Cambria Math"/>
                <w:color w:val="00B050"/>
              </w:rPr>
              <w:t>⨁⨁</w:t>
            </w:r>
            <w:r w:rsidRPr="0049771F">
              <w:rPr>
                <w:rFonts w:ascii="Cambria Math" w:hAnsi="Cambria Math" w:cs="Cambria Math"/>
                <w:color w:val="C00000"/>
              </w:rPr>
              <w:t>⨀⨀</w:t>
            </w:r>
            <w:r w:rsidR="009B35CE"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Pr="0049771F" w:rsidRDefault="009B35CE" w:rsidP="00C828F9">
            <w:pPr>
              <w:pStyle w:val="Tabletext"/>
              <w:keepNext/>
            </w:pPr>
            <w:r w:rsidRPr="0049771F">
              <w:t>Patients with WHO FC III/IV PAH</w:t>
            </w:r>
          </w:p>
        </w:tc>
      </w:tr>
      <w:tr w:rsidR="009B35CE" w:rsidTr="00D103A9">
        <w:tc>
          <w:tcPr>
            <w:tcW w:w="1555" w:type="dxa"/>
          </w:tcPr>
          <w:p w:rsidR="009B35CE" w:rsidRPr="0049771F" w:rsidRDefault="009B35CE" w:rsidP="00D103A9">
            <w:pPr>
              <w:pStyle w:val="Tabletext"/>
            </w:pPr>
            <w:r w:rsidRPr="0049771F">
              <w:t>Clinical worsening</w:t>
            </w:r>
          </w:p>
        </w:tc>
        <w:tc>
          <w:tcPr>
            <w:tcW w:w="1984" w:type="dxa"/>
          </w:tcPr>
          <w:p w:rsidR="009B35CE" w:rsidRPr="0049771F" w:rsidRDefault="009B35CE" w:rsidP="00362678">
            <w:pPr>
              <w:pStyle w:val="Tabletext"/>
            </w:pPr>
            <w:r w:rsidRPr="0049771F">
              <w:t>PATENT-1</w:t>
            </w:r>
            <w:r w:rsidR="00362678" w:rsidRPr="0049771F">
              <w:br/>
            </w:r>
            <w:r w:rsidRPr="0049771F">
              <w:t>(riociguat/ERA)</w:t>
            </w:r>
          </w:p>
          <w:p w:rsidR="0051596A" w:rsidRPr="0049771F" w:rsidRDefault="0051596A" w:rsidP="00362678">
            <w:pPr>
              <w:pStyle w:val="Tabletext"/>
            </w:pPr>
            <w:r w:rsidRPr="0049771F">
              <w:t>N=120</w:t>
            </w:r>
          </w:p>
        </w:tc>
        <w:tc>
          <w:tcPr>
            <w:tcW w:w="6095" w:type="dxa"/>
          </w:tcPr>
          <w:p w:rsidR="009B35CE" w:rsidRPr="0049771F" w:rsidRDefault="005D597D" w:rsidP="00480FDF">
            <w:pPr>
              <w:pStyle w:val="Tabletext"/>
              <w:numPr>
                <w:ilvl w:val="0"/>
                <w:numId w:val="41"/>
              </w:numPr>
              <w:ind w:left="227" w:hanging="227"/>
              <w:rPr>
                <w:szCs w:val="18"/>
              </w:rPr>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eastAsia="Times New Roman" w:hAnsi="Cambria Math" w:cs="Cambria Math"/>
                <w:bCs/>
                <w:color w:val="C00000"/>
              </w:rPr>
              <w:t>⨀</w:t>
            </w:r>
            <w:r w:rsidR="009B35CE"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1D6161">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Pr>
          <w:p w:rsidR="009B35CE" w:rsidRPr="0049771F" w:rsidRDefault="009B35CE" w:rsidP="00D103A9">
            <w:pPr>
              <w:pStyle w:val="Tabletext"/>
            </w:pPr>
            <w:r w:rsidRPr="0049771F">
              <w:t>All-cause mortality</w:t>
            </w:r>
          </w:p>
        </w:tc>
        <w:tc>
          <w:tcPr>
            <w:tcW w:w="1984" w:type="dxa"/>
          </w:tcPr>
          <w:p w:rsidR="0051596A" w:rsidRPr="0049771F" w:rsidRDefault="009B35CE" w:rsidP="0051596A">
            <w:pPr>
              <w:pStyle w:val="Tabletext"/>
            </w:pPr>
            <w:r w:rsidRPr="0049771F">
              <w:t>PATENT-1</w:t>
            </w:r>
            <w:r w:rsidR="00362678" w:rsidRPr="0049771F">
              <w:br/>
            </w:r>
            <w:r w:rsidRPr="0049771F">
              <w:t>(riociguat/ERA)</w:t>
            </w:r>
            <w:r w:rsidR="0051596A" w:rsidRPr="0049771F">
              <w:t xml:space="preserve"> </w:t>
            </w:r>
          </w:p>
          <w:p w:rsidR="009B35CE" w:rsidRPr="0049771F" w:rsidRDefault="0051596A" w:rsidP="0051596A">
            <w:pPr>
              <w:pStyle w:val="Tabletext"/>
            </w:pPr>
            <w:r w:rsidRPr="0049771F">
              <w:t>N=120</w:t>
            </w:r>
          </w:p>
        </w:tc>
        <w:tc>
          <w:tcPr>
            <w:tcW w:w="6095" w:type="dxa"/>
          </w:tcPr>
          <w:p w:rsidR="009B35CE" w:rsidRPr="0049771F" w:rsidRDefault="009B35CE" w:rsidP="00480FDF">
            <w:pPr>
              <w:pStyle w:val="Tabletext"/>
              <w:numPr>
                <w:ilvl w:val="0"/>
                <w:numId w:val="41"/>
              </w:numPr>
              <w:ind w:left="227" w:hanging="227"/>
            </w:pPr>
            <w:r w:rsidRPr="0049771F">
              <w:t>High quality</w:t>
            </w:r>
            <w:r w:rsidRPr="0049771F">
              <w:rPr>
                <w:rFonts w:cs="Cambria Math"/>
              </w:rPr>
              <w:t xml:space="preserve"> evidence (GRADE </w:t>
            </w:r>
            <w:r w:rsidRPr="0049771F">
              <w:rPr>
                <w:rFonts w:ascii="Cambria Math" w:hAnsi="Cambria Math" w:cs="Cambria Math"/>
                <w:color w:val="00B05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Pr>
          <w:p w:rsidR="009B35CE" w:rsidRPr="0049771F" w:rsidRDefault="009B35CE" w:rsidP="00D103A9">
            <w:pPr>
              <w:pStyle w:val="Tabletext"/>
            </w:pPr>
            <w:r w:rsidRPr="0049771F">
              <w:t>Hospitalisation</w:t>
            </w:r>
            <w:r w:rsidR="004F560A" w:rsidRPr="0049771F">
              <w:t xml:space="preserve"> due to </w:t>
            </w:r>
            <w:r w:rsidR="00C828F9" w:rsidRPr="0049771F">
              <w:t xml:space="preserve">worsening </w:t>
            </w:r>
            <w:r w:rsidR="004F560A" w:rsidRPr="0049771F">
              <w:t>PAH</w:t>
            </w:r>
          </w:p>
        </w:tc>
        <w:tc>
          <w:tcPr>
            <w:tcW w:w="1984" w:type="dxa"/>
          </w:tcPr>
          <w:p w:rsidR="0051596A" w:rsidRPr="0049771F" w:rsidRDefault="009B35CE" w:rsidP="0051596A">
            <w:pPr>
              <w:pStyle w:val="Tabletext"/>
            </w:pPr>
            <w:r w:rsidRPr="0049771F">
              <w:t>PATENT-1</w:t>
            </w:r>
            <w:r w:rsidR="00362678" w:rsidRPr="0049771F">
              <w:br/>
            </w:r>
            <w:r w:rsidRPr="0049771F">
              <w:t>(riociguat/ERA)</w:t>
            </w:r>
            <w:r w:rsidR="0051596A" w:rsidRPr="0049771F">
              <w:t xml:space="preserve"> </w:t>
            </w:r>
          </w:p>
          <w:p w:rsidR="009B35CE" w:rsidRPr="0049771F" w:rsidRDefault="0051596A" w:rsidP="0051596A">
            <w:pPr>
              <w:pStyle w:val="Tabletext"/>
            </w:pPr>
            <w:r w:rsidRPr="0049771F">
              <w:t>N=120</w:t>
            </w:r>
          </w:p>
        </w:tc>
        <w:tc>
          <w:tcPr>
            <w:tcW w:w="6095" w:type="dxa"/>
          </w:tcPr>
          <w:p w:rsidR="009B35CE" w:rsidRPr="0049771F" w:rsidRDefault="005D597D" w:rsidP="00480FDF">
            <w:pPr>
              <w:pStyle w:val="Tabletext"/>
              <w:numPr>
                <w:ilvl w:val="0"/>
                <w:numId w:val="41"/>
              </w:numPr>
              <w:ind w:left="227" w:hanging="227"/>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eastAsia="Times New Roman" w:hAnsi="Cambria Math" w:cs="Cambria Math"/>
                <w:bCs/>
                <w:color w:val="C00000"/>
              </w:rPr>
              <w:t>⨀</w:t>
            </w:r>
            <w:r w:rsidR="009B35CE"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Pr>
          <w:p w:rsidR="009B35CE" w:rsidRPr="0049771F" w:rsidRDefault="009B35CE" w:rsidP="00D103A9">
            <w:pPr>
              <w:pStyle w:val="Tabletext"/>
            </w:pPr>
            <w:r w:rsidRPr="0049771F">
              <w:t>Improved WHO FC</w:t>
            </w:r>
          </w:p>
        </w:tc>
        <w:tc>
          <w:tcPr>
            <w:tcW w:w="1984" w:type="dxa"/>
          </w:tcPr>
          <w:p w:rsidR="0051596A" w:rsidRPr="0049771F" w:rsidRDefault="009B35CE" w:rsidP="0051596A">
            <w:pPr>
              <w:pStyle w:val="Tabletext"/>
            </w:pPr>
            <w:r w:rsidRPr="0049771F">
              <w:t>PATENT-1</w:t>
            </w:r>
            <w:r w:rsidR="00362678" w:rsidRPr="0049771F">
              <w:br/>
            </w:r>
            <w:r w:rsidRPr="0049771F">
              <w:t>(riociguat/ERA)</w:t>
            </w:r>
            <w:r w:rsidR="0051596A" w:rsidRPr="0049771F">
              <w:t xml:space="preserve"> </w:t>
            </w:r>
          </w:p>
          <w:p w:rsidR="009B35CE" w:rsidRPr="0049771F" w:rsidRDefault="0051596A" w:rsidP="0051596A">
            <w:pPr>
              <w:pStyle w:val="Tabletext"/>
            </w:pPr>
            <w:r w:rsidRPr="0049771F">
              <w:t>N=120</w:t>
            </w:r>
          </w:p>
        </w:tc>
        <w:tc>
          <w:tcPr>
            <w:tcW w:w="6095" w:type="dxa"/>
          </w:tcPr>
          <w:p w:rsidR="009B35CE" w:rsidRPr="0049771F" w:rsidRDefault="005D597D" w:rsidP="00480FDF">
            <w:pPr>
              <w:pStyle w:val="Tabletext"/>
              <w:numPr>
                <w:ilvl w:val="0"/>
                <w:numId w:val="41"/>
              </w:numPr>
              <w:ind w:left="227" w:hanging="227"/>
            </w:pPr>
            <w:r w:rsidRPr="0049771F">
              <w:t>Moderate</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eastAsia="Times New Roman" w:hAnsi="Cambria Math" w:cs="Cambria Math"/>
                <w:bCs/>
                <w:color w:val="C00000"/>
              </w:rPr>
              <w:t>⨀</w:t>
            </w:r>
            <w:r w:rsidR="009B35CE"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9B35CE" w:rsidRPr="0049771F" w:rsidTr="00D103A9">
        <w:tc>
          <w:tcPr>
            <w:tcW w:w="1555" w:type="dxa"/>
          </w:tcPr>
          <w:p w:rsidR="009B35CE" w:rsidRPr="0049771F" w:rsidRDefault="009B35CE" w:rsidP="00D103A9">
            <w:pPr>
              <w:pStyle w:val="Tabletext"/>
            </w:pPr>
            <w:r w:rsidRPr="0049771F">
              <w:t>Worsened WHO FC</w:t>
            </w:r>
          </w:p>
        </w:tc>
        <w:tc>
          <w:tcPr>
            <w:tcW w:w="1984" w:type="dxa"/>
          </w:tcPr>
          <w:p w:rsidR="0051596A" w:rsidRPr="0049771F" w:rsidRDefault="009B35CE" w:rsidP="0051596A">
            <w:pPr>
              <w:pStyle w:val="Tabletext"/>
            </w:pPr>
            <w:r w:rsidRPr="0049771F">
              <w:t>PATENT-1</w:t>
            </w:r>
            <w:r w:rsidR="00362678" w:rsidRPr="0049771F">
              <w:br/>
            </w:r>
            <w:r w:rsidRPr="0049771F">
              <w:t>(riociguat/ERA)</w:t>
            </w:r>
            <w:r w:rsidR="0051596A" w:rsidRPr="0049771F">
              <w:t xml:space="preserve"> </w:t>
            </w:r>
          </w:p>
          <w:p w:rsidR="009B35CE" w:rsidRPr="0049771F" w:rsidRDefault="0051596A" w:rsidP="0051596A">
            <w:pPr>
              <w:pStyle w:val="Tabletext"/>
            </w:pPr>
            <w:r w:rsidRPr="0049771F">
              <w:t>N=120</w:t>
            </w:r>
          </w:p>
        </w:tc>
        <w:tc>
          <w:tcPr>
            <w:tcW w:w="6095" w:type="dxa"/>
          </w:tcPr>
          <w:p w:rsidR="009B35CE" w:rsidRPr="0049771F" w:rsidRDefault="00C828F9" w:rsidP="00480FDF">
            <w:pPr>
              <w:pStyle w:val="Tabletext"/>
              <w:numPr>
                <w:ilvl w:val="0"/>
                <w:numId w:val="41"/>
              </w:numPr>
              <w:ind w:left="227" w:hanging="227"/>
            </w:pPr>
            <w:r w:rsidRPr="0049771F">
              <w:t>High</w:t>
            </w:r>
            <w:r w:rsidR="009B35CE" w:rsidRPr="0049771F">
              <w:t xml:space="preserve"> quality</w:t>
            </w:r>
            <w:r w:rsidR="009B35CE" w:rsidRPr="0049771F">
              <w:rPr>
                <w:rFonts w:cs="Cambria Math"/>
              </w:rPr>
              <w:t xml:space="preserve"> evidence (GRADE </w:t>
            </w:r>
            <w:r w:rsidR="009B35CE" w:rsidRPr="0049771F">
              <w:rPr>
                <w:rFonts w:ascii="Cambria Math" w:hAnsi="Cambria Math" w:cs="Cambria Math"/>
                <w:color w:val="00B050"/>
              </w:rPr>
              <w:t>⨁⨁⨁</w:t>
            </w:r>
            <w:r w:rsidRPr="0049771F">
              <w:rPr>
                <w:rFonts w:ascii="Cambria Math" w:hAnsi="Cambria Math" w:cs="Cambria Math"/>
                <w:color w:val="00B050"/>
              </w:rPr>
              <w:t>⨁</w:t>
            </w:r>
            <w:r w:rsidR="009B35CE"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BE59C4" w:rsidRPr="0049771F" w:rsidTr="00BE59C4">
        <w:tc>
          <w:tcPr>
            <w:tcW w:w="1555" w:type="dxa"/>
          </w:tcPr>
          <w:p w:rsidR="00BE59C4" w:rsidRPr="0049771F" w:rsidRDefault="00BE59C4" w:rsidP="00BE59C4">
            <w:pPr>
              <w:pStyle w:val="Tabletext"/>
            </w:pPr>
            <w:r w:rsidRPr="0049771F">
              <w:t>Change in 6MWD</w:t>
            </w:r>
          </w:p>
        </w:tc>
        <w:tc>
          <w:tcPr>
            <w:tcW w:w="1984" w:type="dxa"/>
          </w:tcPr>
          <w:p w:rsidR="0051596A" w:rsidRPr="0049771F" w:rsidRDefault="00BE59C4" w:rsidP="0051596A">
            <w:pPr>
              <w:pStyle w:val="Tabletext"/>
            </w:pPr>
            <w:r w:rsidRPr="0049771F">
              <w:t>PATENT-1</w:t>
            </w:r>
            <w:r w:rsidRPr="0049771F">
              <w:br/>
              <w:t>(riociguat/ERA)</w:t>
            </w:r>
            <w:r w:rsidR="0051596A" w:rsidRPr="0049771F">
              <w:t xml:space="preserve"> </w:t>
            </w:r>
          </w:p>
          <w:p w:rsidR="00BE59C4" w:rsidRPr="0049771F" w:rsidRDefault="0051596A" w:rsidP="0051596A">
            <w:pPr>
              <w:pStyle w:val="Tabletext"/>
            </w:pPr>
            <w:r w:rsidRPr="0049771F">
              <w:t>N=120</w:t>
            </w:r>
          </w:p>
        </w:tc>
        <w:tc>
          <w:tcPr>
            <w:tcW w:w="6095" w:type="dxa"/>
          </w:tcPr>
          <w:p w:rsidR="00BE59C4" w:rsidRPr="0049771F" w:rsidRDefault="00BE59C4" w:rsidP="00480FDF">
            <w:pPr>
              <w:pStyle w:val="Tabletext"/>
              <w:numPr>
                <w:ilvl w:val="0"/>
                <w:numId w:val="41"/>
              </w:numPr>
              <w:ind w:left="227" w:hanging="227"/>
            </w:pPr>
            <w:r w:rsidRPr="0049771F">
              <w:t xml:space="preserve">High quality evidence (GRADE </w:t>
            </w:r>
            <w:r w:rsidRPr="0049771F">
              <w:rPr>
                <w:rFonts w:ascii="Cambria Math" w:hAnsi="Cambria Math" w:cs="Cambria Math"/>
                <w:color w:val="00B05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BE59C4"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Pr="002046A0" w:rsidRDefault="001D6161" w:rsidP="002046A0">
            <w:pPr>
              <w:pStyle w:val="Tabletext"/>
              <w:ind w:left="227" w:hanging="227"/>
              <w:rPr>
                <w:highlight w:val="black"/>
              </w:rPr>
            </w:pPr>
          </w:p>
        </w:tc>
      </w:tr>
      <w:tr w:rsidR="00BE59C4" w:rsidRPr="0049771F" w:rsidTr="00BE59C4">
        <w:tc>
          <w:tcPr>
            <w:tcW w:w="1555" w:type="dxa"/>
          </w:tcPr>
          <w:p w:rsidR="00BE59C4" w:rsidRPr="0049771F" w:rsidRDefault="00BE59C4" w:rsidP="00BE59C4">
            <w:pPr>
              <w:pStyle w:val="Tabletext"/>
              <w:keepNext/>
            </w:pPr>
            <w:r w:rsidRPr="0049771F">
              <w:t>Change in QoL:</w:t>
            </w:r>
          </w:p>
          <w:p w:rsidR="00BE59C4" w:rsidRPr="0049771F" w:rsidRDefault="00BE59C4" w:rsidP="00BE59C4">
            <w:pPr>
              <w:pStyle w:val="Tabletext"/>
              <w:keepNext/>
              <w:rPr>
                <w:vertAlign w:val="superscript"/>
              </w:rPr>
            </w:pPr>
            <w:r w:rsidRPr="0049771F">
              <w:t>EQ-5D</w:t>
            </w:r>
            <w:r w:rsidR="003903A0" w:rsidRPr="0049771F">
              <w:rPr>
                <w:vertAlign w:val="superscript"/>
              </w:rPr>
              <w:t>a</w:t>
            </w:r>
            <w:r w:rsidRPr="0049771F">
              <w:t>, LPH</w:t>
            </w:r>
            <w:r w:rsidR="003903A0" w:rsidRPr="0049771F">
              <w:rPr>
                <w:vertAlign w:val="superscript"/>
              </w:rPr>
              <w:t>b</w:t>
            </w:r>
          </w:p>
        </w:tc>
        <w:tc>
          <w:tcPr>
            <w:tcW w:w="1984" w:type="dxa"/>
          </w:tcPr>
          <w:p w:rsidR="0051596A" w:rsidRPr="0049771F" w:rsidRDefault="00BE59C4" w:rsidP="0051596A">
            <w:pPr>
              <w:pStyle w:val="Tabletext"/>
            </w:pPr>
            <w:r w:rsidRPr="0049771F">
              <w:t>PATENT-1</w:t>
            </w:r>
            <w:r w:rsidRPr="0049771F">
              <w:br/>
              <w:t>(riociguat/ERA)</w:t>
            </w:r>
            <w:r w:rsidR="0051596A" w:rsidRPr="0049771F">
              <w:t xml:space="preserve"> </w:t>
            </w:r>
          </w:p>
          <w:p w:rsidR="00BE59C4" w:rsidRPr="0049771F" w:rsidRDefault="0051596A" w:rsidP="0051596A">
            <w:pPr>
              <w:pStyle w:val="Tabletext"/>
              <w:keepNext/>
            </w:pPr>
            <w:r w:rsidRPr="0049771F">
              <w:t>N=120</w:t>
            </w:r>
          </w:p>
        </w:tc>
        <w:tc>
          <w:tcPr>
            <w:tcW w:w="6095" w:type="dxa"/>
          </w:tcPr>
          <w:p w:rsidR="00BE59C4" w:rsidRPr="0049771F" w:rsidRDefault="00BE59C4" w:rsidP="00480FDF">
            <w:pPr>
              <w:pStyle w:val="Tabletext"/>
              <w:keepNext/>
              <w:numPr>
                <w:ilvl w:val="0"/>
                <w:numId w:val="41"/>
              </w:numPr>
              <w:ind w:left="227" w:hanging="227"/>
            </w:pPr>
            <w:r w:rsidRPr="0049771F">
              <w:t xml:space="preserve">High quality evidence (GRADE </w:t>
            </w:r>
            <w:r w:rsidRPr="0049771F">
              <w:rPr>
                <w:rFonts w:ascii="Cambria Math" w:hAnsi="Cambria Math" w:cs="Cambria Math"/>
                <w:color w:val="00B050"/>
              </w:rPr>
              <w:t>⨁⨁⨁⨁</w:t>
            </w:r>
            <w:r w:rsidRPr="0049771F">
              <w:t>)</w:t>
            </w:r>
          </w:p>
          <w:p w:rsidR="001D6161" w:rsidRDefault="002046A0" w:rsidP="002046A0">
            <w:pPr>
              <w:pStyle w:val="Tabletext"/>
              <w:keepN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keepN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keepN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keepN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BE59C4" w:rsidRDefault="002046A0" w:rsidP="002046A0">
            <w:pPr>
              <w:pStyle w:val="Tabletext"/>
              <w:keepN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Pr="002046A0" w:rsidRDefault="001D6161" w:rsidP="002046A0">
            <w:pPr>
              <w:pStyle w:val="Tabletext"/>
              <w:keepNext/>
              <w:ind w:left="227" w:hanging="227"/>
              <w:rPr>
                <w:highlight w:val="black"/>
              </w:rPr>
            </w:pPr>
          </w:p>
        </w:tc>
      </w:tr>
      <w:tr w:rsidR="009B35CE" w:rsidTr="00D103A9">
        <w:tc>
          <w:tcPr>
            <w:tcW w:w="1555" w:type="dxa"/>
          </w:tcPr>
          <w:p w:rsidR="009B35CE" w:rsidRPr="0049771F" w:rsidRDefault="009B35CE" w:rsidP="00D103A9">
            <w:pPr>
              <w:pStyle w:val="Tabletext"/>
            </w:pPr>
            <w:r w:rsidRPr="0049771F">
              <w:t>Change in haemodynamic parameters:</w:t>
            </w:r>
          </w:p>
          <w:p w:rsidR="009B35CE" w:rsidRPr="0049771F" w:rsidRDefault="009B35CE" w:rsidP="00D103A9">
            <w:pPr>
              <w:pStyle w:val="Tabletext"/>
            </w:pPr>
            <w:r w:rsidRPr="0049771F">
              <w:t>PVR</w:t>
            </w:r>
          </w:p>
        </w:tc>
        <w:tc>
          <w:tcPr>
            <w:tcW w:w="1984" w:type="dxa"/>
          </w:tcPr>
          <w:p w:rsidR="009B35CE" w:rsidRPr="0049771F" w:rsidRDefault="009B35CE" w:rsidP="00362678">
            <w:pPr>
              <w:pStyle w:val="Tabletext"/>
            </w:pPr>
            <w:r w:rsidRPr="0049771F">
              <w:t>PATENT-1</w:t>
            </w:r>
            <w:r w:rsidR="00362678" w:rsidRPr="0049771F">
              <w:br/>
            </w:r>
            <w:r w:rsidRPr="0049771F">
              <w:t>(riociguat/ERA)</w:t>
            </w:r>
          </w:p>
          <w:p w:rsidR="0051596A" w:rsidRPr="0049771F" w:rsidRDefault="0051596A" w:rsidP="00362678">
            <w:pPr>
              <w:pStyle w:val="Tabletext"/>
            </w:pPr>
            <w:r w:rsidRPr="0049771F">
              <w:t>N=103</w:t>
            </w:r>
          </w:p>
        </w:tc>
        <w:tc>
          <w:tcPr>
            <w:tcW w:w="6095" w:type="dxa"/>
          </w:tcPr>
          <w:p w:rsidR="009B35CE" w:rsidRPr="0049771F" w:rsidRDefault="00B47224" w:rsidP="00480FDF">
            <w:pPr>
              <w:pStyle w:val="Tabletext"/>
              <w:numPr>
                <w:ilvl w:val="0"/>
                <w:numId w:val="41"/>
              </w:numPr>
              <w:ind w:left="227" w:hanging="227"/>
            </w:pPr>
            <w:r w:rsidRPr="0049771F">
              <w:t xml:space="preserve">Moderate </w:t>
            </w:r>
            <w:r w:rsidR="009B35CE" w:rsidRPr="0049771F">
              <w:t xml:space="preserve">quality evidence (GRADE </w:t>
            </w:r>
            <w:r w:rsidR="009B35CE" w:rsidRPr="0049771F">
              <w:rPr>
                <w:rFonts w:ascii="Cambria Math" w:hAnsi="Cambria Math" w:cs="Cambria Math"/>
                <w:color w:val="00B050"/>
              </w:rPr>
              <w:t>⨁⨁⨁</w:t>
            </w:r>
            <w:r w:rsidRPr="0049771F">
              <w:rPr>
                <w:rFonts w:ascii="Cambria Math" w:hAnsi="Cambria Math" w:cs="Cambria Math"/>
                <w:color w:val="C00000"/>
              </w:rPr>
              <w:t>⨀</w:t>
            </w:r>
            <w:r w:rsidR="009B35CE"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9B35CE"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Pr="002046A0" w:rsidRDefault="001D6161" w:rsidP="002046A0">
            <w:pPr>
              <w:pStyle w:val="Tabletext"/>
              <w:ind w:left="227" w:hanging="227"/>
              <w:rPr>
                <w:highlight w:val="black"/>
              </w:rPr>
            </w:pPr>
          </w:p>
        </w:tc>
      </w:tr>
    </w:tbl>
    <w:p w:rsidR="006778E8" w:rsidRDefault="006778E8" w:rsidP="006778E8">
      <w:pPr>
        <w:pStyle w:val="Tablenote"/>
      </w:pPr>
      <w:proofErr w:type="gramStart"/>
      <w:r>
        <w:rPr>
          <w:vertAlign w:val="superscript"/>
        </w:rPr>
        <w:t>a</w:t>
      </w:r>
      <w:proofErr w:type="gramEnd"/>
      <w:r>
        <w:rPr>
          <w:vertAlign w:val="superscript"/>
        </w:rPr>
        <w:t xml:space="preserve"> </w:t>
      </w:r>
      <w:r>
        <w:t xml:space="preserve">EQ-5D utility scores range from </w:t>
      </w:r>
      <w:r w:rsidRPr="00C569DB">
        <w:t>−</w:t>
      </w:r>
      <w:r>
        <w:t>0.59 to 1.00. A higher score represents better QoL.</w:t>
      </w:r>
    </w:p>
    <w:p w:rsidR="006778E8" w:rsidRDefault="006778E8" w:rsidP="006778E8">
      <w:pPr>
        <w:pStyle w:val="Tablenote"/>
      </w:pPr>
      <w:proofErr w:type="gramStart"/>
      <w:r>
        <w:rPr>
          <w:vertAlign w:val="superscript"/>
        </w:rPr>
        <w:t>b</w:t>
      </w:r>
      <w:proofErr w:type="gramEnd"/>
      <w:r>
        <w:rPr>
          <w:vertAlign w:val="superscript"/>
        </w:rPr>
        <w:t xml:space="preserve"> </w:t>
      </w:r>
      <w:r>
        <w:t>LPH total scores range from 0 to 105. A higher score indicates poorer QoL.</w:t>
      </w:r>
    </w:p>
    <w:p w:rsidR="00D419F1" w:rsidRDefault="009B35CE" w:rsidP="00D103A9">
      <w:pPr>
        <w:pStyle w:val="Tablenote"/>
      </w:pPr>
      <w:proofErr w:type="gramStart"/>
      <w:r>
        <w:t xml:space="preserve">6MWD = 6-minute </w:t>
      </w:r>
      <w:r w:rsidR="0082368E">
        <w:t>walk distance</w:t>
      </w:r>
      <w:r w:rsidR="00B21201">
        <w:t>; ARD</w:t>
      </w:r>
      <w:r>
        <w:t xml:space="preserve"> = absolute risk </w:t>
      </w:r>
      <w:r w:rsidR="00B21201">
        <w:t>difference</w:t>
      </w:r>
      <w:r>
        <w:t xml:space="preserve">; CI = confidence interval; </w:t>
      </w:r>
      <w:r w:rsidR="00572AE9">
        <w:t xml:space="preserve">EQ-5D = EuroQol 5 </w:t>
      </w:r>
      <w:r w:rsidRPr="00151DD9">
        <w:t xml:space="preserve">dimension; </w:t>
      </w:r>
      <w:r>
        <w:t>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D419F1" w:rsidRPr="009E3B52">
        <w:t xml:space="preserve">; </w:t>
      </w:r>
      <w:r w:rsidRPr="00151DD9">
        <w:t xml:space="preserve">LPH = living with pulmonary hypertension; </w:t>
      </w:r>
      <w:r>
        <w:t xml:space="preserve">MD = mean difference; </w:t>
      </w:r>
      <w:r w:rsidRPr="00C65B42">
        <w:t xml:space="preserve">PAH = pulmonary arterial hypertension; </w:t>
      </w:r>
      <w:r w:rsidRPr="00151DD9">
        <w:t xml:space="preserve">PVR = pulmonary vascular resistance; </w:t>
      </w:r>
      <w:r>
        <w:t xml:space="preserve">QoL = quality of life; RR = relative risk; </w:t>
      </w:r>
      <w:r w:rsidRPr="00151DD9">
        <w:t>sGC = soluble guanylate cyclase stimulator;</w:t>
      </w:r>
      <w:r w:rsidR="009B47AA">
        <w:t xml:space="preserve"> </w:t>
      </w:r>
      <w:r>
        <w:t>WHO = World Health Organization</w:t>
      </w:r>
      <w:proofErr w:type="gramEnd"/>
    </w:p>
    <w:p w:rsidR="009B35CE" w:rsidRPr="0042195A" w:rsidRDefault="009B35CE" w:rsidP="009B35CE">
      <w:pPr>
        <w:pStyle w:val="Heading5"/>
      </w:pPr>
      <w:r w:rsidRPr="0042195A">
        <w:t>Safety</w:t>
      </w:r>
    </w:p>
    <w:p w:rsidR="009B35CE" w:rsidRDefault="009B35CE" w:rsidP="009B35CE">
      <w:r w:rsidRPr="00944958">
        <w:t xml:space="preserve">There </w:t>
      </w:r>
      <w:r>
        <w:t>is no</w:t>
      </w:r>
      <w:r w:rsidRPr="00944958">
        <w:t xml:space="preserve"> evidence </w:t>
      </w:r>
      <w:r w:rsidR="00457FA6" w:rsidRPr="00457FA6">
        <w:t xml:space="preserve">to evaluate the comparative safety </w:t>
      </w:r>
      <w:r w:rsidRPr="00944958">
        <w:t xml:space="preserve">of a </w:t>
      </w:r>
      <w:r w:rsidRPr="00074323">
        <w:t>sGC stimulator in addition to an ERA, relative to ERA monotherapy</w:t>
      </w:r>
      <w:r w:rsidR="00C8308F">
        <w:t>,</w:t>
      </w:r>
      <w:r w:rsidRPr="00074323">
        <w:t xml:space="preserve"> </w:t>
      </w:r>
      <w:r w:rsidR="00457FA6">
        <w:t xml:space="preserve">when used </w:t>
      </w:r>
      <w:r w:rsidRPr="00944958">
        <w:t>to treat patients with PAH.</w:t>
      </w:r>
    </w:p>
    <w:p w:rsidR="009B35CE" w:rsidRPr="006316DF" w:rsidRDefault="00441F08" w:rsidP="00003E50">
      <w:pPr>
        <w:pStyle w:val="Heading4"/>
        <w:tabs>
          <w:tab w:val="left" w:pos="993"/>
          <w:tab w:val="left" w:pos="1134"/>
        </w:tabs>
      </w:pPr>
      <w:r>
        <w:t>4.1.3.7</w:t>
      </w:r>
      <w:r>
        <w:tab/>
      </w:r>
      <w:proofErr w:type="gramStart"/>
      <w:r w:rsidR="009B35CE" w:rsidRPr="00986739">
        <w:t>sGC</w:t>
      </w:r>
      <w:proofErr w:type="gramEnd"/>
      <w:r w:rsidR="009B35CE" w:rsidRPr="00986739">
        <w:t xml:space="preserve"> stimulator </w:t>
      </w:r>
      <w:r w:rsidR="009B35CE" w:rsidRPr="00EF6A61">
        <w:t xml:space="preserve">in addition to </w:t>
      </w:r>
      <w:r w:rsidR="009B35CE">
        <w:t xml:space="preserve">a </w:t>
      </w:r>
      <w:r w:rsidR="009B35CE" w:rsidRPr="00074323">
        <w:t>PDE-5 inhibitor</w:t>
      </w:r>
    </w:p>
    <w:p w:rsidR="009B35CE" w:rsidRPr="00107676" w:rsidRDefault="009B35CE" w:rsidP="009B35CE">
      <w:pPr>
        <w:pStyle w:val="Heading5"/>
      </w:pPr>
      <w:r w:rsidRPr="00107676">
        <w:t>Clinical effectiveness</w:t>
      </w:r>
    </w:p>
    <w:p w:rsidR="009B35CE" w:rsidRPr="00C77B6A" w:rsidRDefault="009B35CE" w:rsidP="009B35CE">
      <w:pPr>
        <w:spacing w:after="40"/>
      </w:pPr>
      <w:r>
        <w:t xml:space="preserve">One </w:t>
      </w:r>
      <w:r w:rsidRPr="00C77B6A">
        <w:t xml:space="preserve">RCT reported on the effectiveness of a </w:t>
      </w:r>
      <w:r w:rsidRPr="00986739">
        <w:t xml:space="preserve">sGC stimulator </w:t>
      </w:r>
      <w:r w:rsidRPr="00C77B6A">
        <w:t xml:space="preserve">in addition to </w:t>
      </w:r>
      <w:r w:rsidRPr="00986739">
        <w:t>PDE-5 inhibitor</w:t>
      </w:r>
      <w:r w:rsidRPr="00C77B6A">
        <w:t xml:space="preserve"> in treating PAH </w:t>
      </w:r>
      <w:r w:rsidR="00C8308F">
        <w:t xml:space="preserve">when </w:t>
      </w:r>
      <w:r w:rsidRPr="00C77B6A">
        <w:t>compared with place</w:t>
      </w:r>
      <w:r>
        <w:t xml:space="preserve">bo plus a </w:t>
      </w:r>
      <w:r w:rsidRPr="00986739">
        <w:t>PDE-5 inhibitor</w:t>
      </w:r>
      <w:r>
        <w:t>:</w:t>
      </w:r>
    </w:p>
    <w:p w:rsidR="009B35CE" w:rsidRPr="00B607A5" w:rsidRDefault="009B35CE" w:rsidP="00D103A9">
      <w:pPr>
        <w:pStyle w:val="Bullettext"/>
        <w:rPr>
          <w:bCs/>
        </w:rPr>
      </w:pPr>
      <w:r w:rsidRPr="00B607A5">
        <w:t xml:space="preserve">PATENT-PLUS enrolled </w:t>
      </w:r>
      <w:r w:rsidR="00C8308F" w:rsidRPr="00B607A5">
        <w:t xml:space="preserve">WHO FC III/IV PAH patients </w:t>
      </w:r>
      <w:r w:rsidRPr="00B607A5">
        <w:t xml:space="preserve">receiving stable sildenafil therapy to </w:t>
      </w:r>
      <w:r w:rsidR="00C8308F" w:rsidRPr="00B607A5">
        <w:t xml:space="preserve">additional </w:t>
      </w:r>
      <w:r w:rsidRPr="00B607A5">
        <w:t xml:space="preserve">receive </w:t>
      </w:r>
      <w:r w:rsidR="00C8308F" w:rsidRPr="00B607A5">
        <w:t xml:space="preserve">either </w:t>
      </w:r>
      <w:r w:rsidRPr="00B607A5">
        <w:t>riociguat or placebo</w:t>
      </w:r>
      <w:r w:rsidR="00C8308F" w:rsidRPr="00B607A5">
        <w:t>.</w:t>
      </w:r>
    </w:p>
    <w:p w:rsidR="009B35CE" w:rsidRPr="00B607A5" w:rsidRDefault="009B35CE" w:rsidP="00D103A9">
      <w:pPr>
        <w:pStyle w:val="Bullettext"/>
        <w:rPr>
          <w:bCs/>
        </w:rPr>
      </w:pPr>
      <w:r w:rsidRPr="00B607A5">
        <w:t xml:space="preserve">No subgroup analyses </w:t>
      </w:r>
      <w:proofErr w:type="gramStart"/>
      <w:r w:rsidRPr="00B607A5">
        <w:t xml:space="preserve">were </w:t>
      </w:r>
      <w:r w:rsidR="00EB514E" w:rsidRPr="00B607A5">
        <w:t>performed</w:t>
      </w:r>
      <w:proofErr w:type="gramEnd"/>
      <w:r w:rsidR="00EB514E" w:rsidRPr="00B607A5">
        <w:t>.</w:t>
      </w:r>
    </w:p>
    <w:p w:rsidR="009B35CE" w:rsidRDefault="009B35CE" w:rsidP="00D103A9">
      <w:r>
        <w:t>The evidence provided by this trial is summarised in</w:t>
      </w:r>
      <w:r w:rsidR="00D103A9">
        <w:t xml:space="preserve"> </w:t>
      </w:r>
      <w:r w:rsidR="003951FA">
        <w:t>Table 4.</w:t>
      </w:r>
      <w:r w:rsidR="003951FA">
        <w:rPr>
          <w:noProof/>
        </w:rPr>
        <w:t>16</w:t>
      </w:r>
      <w:r>
        <w:t>.</w:t>
      </w:r>
    </w:p>
    <w:p w:rsidR="009B35CE" w:rsidRDefault="00487776" w:rsidP="009B35CE">
      <w:r>
        <w:t xml:space="preserve">Overall, </w:t>
      </w:r>
      <w:r w:rsidRPr="00944958">
        <w:t xml:space="preserve">there is </w:t>
      </w:r>
      <w:r>
        <w:t>insufficient</w:t>
      </w:r>
      <w:r w:rsidRPr="00944958">
        <w:t xml:space="preserve"> evidence</w:t>
      </w:r>
      <w:r w:rsidRPr="000522D6">
        <w:t xml:space="preserve"> </w:t>
      </w:r>
      <w:r>
        <w:t>to determine</w:t>
      </w:r>
      <w:r w:rsidRPr="000522D6">
        <w:t xml:space="preserve"> whether </w:t>
      </w:r>
      <w:r w:rsidR="00EB514E">
        <w:t xml:space="preserve">the </w:t>
      </w:r>
      <w:r w:rsidRPr="006316DF">
        <w:t xml:space="preserve">use of a </w:t>
      </w:r>
      <w:r w:rsidRPr="00DC1C45">
        <w:t>sGC stimulator</w:t>
      </w:r>
      <w:r w:rsidRPr="00D00AC2">
        <w:t xml:space="preserve"> in addition to a </w:t>
      </w:r>
      <w:r w:rsidRPr="00944958">
        <w:t>PDE-5 inhibitor</w:t>
      </w:r>
      <w:r w:rsidRPr="000522D6">
        <w:t xml:space="preserve">, relative to </w:t>
      </w:r>
      <w:r w:rsidRPr="00944958">
        <w:t xml:space="preserve">PDE-5 inhibitor </w:t>
      </w:r>
      <w:r w:rsidRPr="000522D6">
        <w:t>monotherapy</w:t>
      </w:r>
      <w:r w:rsidR="00EB514E">
        <w:t>,</w:t>
      </w:r>
      <w:r w:rsidRPr="000522D6">
        <w:t xml:space="preserve"> </w:t>
      </w:r>
      <w:r w:rsidRPr="006316DF">
        <w:t>is likely to be beneficial</w:t>
      </w:r>
      <w:r w:rsidR="00EB514E">
        <w:t xml:space="preserve"> for PAH</w:t>
      </w:r>
      <w:r w:rsidRPr="006316DF">
        <w:t>.</w:t>
      </w:r>
    </w:p>
    <w:p w:rsidR="009B35CE" w:rsidRDefault="00272F8F" w:rsidP="00BC5A2B">
      <w:pPr>
        <w:pStyle w:val="Caption"/>
      </w:pPr>
      <w:bookmarkStart w:id="42" w:name="_Ref506206420"/>
      <w:bookmarkStart w:id="43" w:name="_Toc38360313"/>
      <w:r>
        <w:t>Table 4.</w:t>
      </w:r>
      <w:r w:rsidR="003951FA">
        <w:rPr>
          <w:noProof/>
        </w:rPr>
        <w:t>16</w:t>
      </w:r>
      <w:bookmarkEnd w:id="42"/>
      <w:r w:rsidR="00D103A9">
        <w:tab/>
      </w:r>
      <w:r w:rsidR="009B35CE">
        <w:t xml:space="preserve">Summary of the evidence for the clinical effectiveness of a </w:t>
      </w:r>
      <w:r w:rsidR="009B35CE" w:rsidRPr="002375AD">
        <w:t xml:space="preserve">sGC stimulator </w:t>
      </w:r>
      <w:r w:rsidR="009B35CE" w:rsidRPr="00542902">
        <w:t xml:space="preserve">in addition to </w:t>
      </w:r>
      <w:r w:rsidR="009B35CE">
        <w:t xml:space="preserve">a </w:t>
      </w:r>
      <w:r w:rsidR="009B35CE" w:rsidRPr="00542902">
        <w:t>PDE-5 inhibitor, relative</w:t>
      </w:r>
      <w:r w:rsidR="009B35CE">
        <w:t xml:space="preserve"> to PDE-5 inhibitor monotherapy</w:t>
      </w:r>
      <w:bookmarkEnd w:id="43"/>
    </w:p>
    <w:tbl>
      <w:tblPr>
        <w:tblStyle w:val="TableGrid"/>
        <w:tblW w:w="9634" w:type="dxa"/>
        <w:tblLook w:val="04A0" w:firstRow="1" w:lastRow="0" w:firstColumn="1" w:lastColumn="0" w:noHBand="0" w:noVBand="1"/>
        <w:tblCaption w:val="Summary of the evidence for the clinical effectiveness of a sGC stimulator in addition to a PDE-5 inhibitor, relative to PDE-5 inhibitor monotherapy"/>
      </w:tblPr>
      <w:tblGrid>
        <w:gridCol w:w="1555"/>
        <w:gridCol w:w="1984"/>
        <w:gridCol w:w="6095"/>
      </w:tblGrid>
      <w:tr w:rsidR="009B35CE" w:rsidRPr="00737EA5"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Outcome</w:t>
            </w:r>
          </w:p>
        </w:tc>
        <w:tc>
          <w:tcPr>
            <w:tcW w:w="1984" w:type="dxa"/>
            <w:tcBorders>
              <w:top w:val="single" w:sz="4" w:space="0" w:color="auto"/>
              <w:left w:val="single" w:sz="4" w:space="0" w:color="auto"/>
              <w:bottom w:val="single" w:sz="4" w:space="0" w:color="auto"/>
              <w:right w:val="single" w:sz="4" w:space="0" w:color="auto"/>
            </w:tcBorders>
          </w:tcPr>
          <w:p w:rsidR="0051596A" w:rsidRDefault="009B35CE" w:rsidP="0051596A">
            <w:pPr>
              <w:pStyle w:val="Tabletext"/>
              <w:rPr>
                <w:b/>
              </w:rPr>
            </w:pPr>
            <w:r w:rsidRPr="006C297E">
              <w:rPr>
                <w:b/>
              </w:rPr>
              <w:t>Included trials</w:t>
            </w:r>
            <w:r w:rsidR="0051596A">
              <w:rPr>
                <w:b/>
              </w:rPr>
              <w:t xml:space="preserve"> </w:t>
            </w:r>
          </w:p>
          <w:p w:rsidR="009B35CE" w:rsidRPr="006C297E" w:rsidRDefault="0051596A" w:rsidP="0051596A">
            <w:pPr>
              <w:pStyle w:val="Tabletext"/>
              <w:rPr>
                <w:rFonts w:asciiTheme="minorHAnsi" w:hAnsiTheme="minorHAnsi"/>
                <w:b/>
              </w:rPr>
            </w:pPr>
            <w:r w:rsidRPr="00293DE5">
              <w:rPr>
                <w:b/>
              </w:rPr>
              <w:t>No. of patients</w:t>
            </w:r>
            <w:r w:rsidR="009B35CE" w:rsidRPr="006C297E">
              <w:rPr>
                <w:b/>
              </w:rPr>
              <w:t xml:space="preserve"> </w:t>
            </w:r>
          </w:p>
        </w:tc>
        <w:tc>
          <w:tcPr>
            <w:tcW w:w="609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Summary of evidence</w:t>
            </w:r>
          </w:p>
        </w:tc>
      </w:tr>
      <w:tr w:rsidR="009B35CE"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9B35CE" w:rsidP="00D103A9">
            <w:pPr>
              <w:pStyle w:val="Tabletext"/>
              <w:rPr>
                <w:rFonts w:asciiTheme="minorHAnsi" w:hAnsiTheme="minorHAnsi"/>
              </w:rPr>
            </w:pPr>
            <w:r>
              <w:t>P</w:t>
            </w:r>
            <w:r w:rsidRPr="00FD4377">
              <w:t>atients with WHO FC III/IV PAH</w:t>
            </w:r>
          </w:p>
        </w:tc>
      </w:tr>
      <w:tr w:rsidR="00C828F9" w:rsidTr="00D103A9">
        <w:tc>
          <w:tcPr>
            <w:tcW w:w="1555" w:type="dxa"/>
          </w:tcPr>
          <w:p w:rsidR="00C828F9" w:rsidRPr="001D637C" w:rsidRDefault="00C828F9" w:rsidP="00C828F9">
            <w:pPr>
              <w:pStyle w:val="Tabletext"/>
            </w:pPr>
            <w:r>
              <w:t>All-cause mortality</w:t>
            </w:r>
          </w:p>
        </w:tc>
        <w:tc>
          <w:tcPr>
            <w:tcW w:w="1984" w:type="dxa"/>
            <w:tcBorders>
              <w:top w:val="single" w:sz="4" w:space="0" w:color="auto"/>
              <w:left w:val="single" w:sz="4" w:space="0" w:color="auto"/>
              <w:bottom w:val="single" w:sz="4" w:space="0" w:color="auto"/>
              <w:right w:val="single" w:sz="4" w:space="0" w:color="auto"/>
            </w:tcBorders>
          </w:tcPr>
          <w:p w:rsidR="00C828F9" w:rsidRDefault="00C828F9" w:rsidP="00C828F9">
            <w:pPr>
              <w:pStyle w:val="Tabletext"/>
            </w:pPr>
            <w:r>
              <w:t>PATENT-PLUS (riociguat/sildenafil)</w:t>
            </w:r>
          </w:p>
          <w:p w:rsidR="00C828F9" w:rsidRPr="001D637C" w:rsidRDefault="00C828F9" w:rsidP="00C828F9">
            <w:pPr>
              <w:pStyle w:val="Tabletext"/>
            </w:pPr>
            <w:r>
              <w:t>N=18</w:t>
            </w:r>
          </w:p>
        </w:tc>
        <w:tc>
          <w:tcPr>
            <w:tcW w:w="6095" w:type="dxa"/>
          </w:tcPr>
          <w:p w:rsidR="00C828F9" w:rsidRPr="00C77B6A" w:rsidRDefault="00C828F9" w:rsidP="00480FDF">
            <w:pPr>
              <w:pStyle w:val="Tabletext"/>
              <w:numPr>
                <w:ilvl w:val="0"/>
                <w:numId w:val="42"/>
              </w:numPr>
              <w:ind w:left="227" w:hanging="227"/>
            </w:pPr>
            <w:r>
              <w:t>Low</w:t>
            </w:r>
            <w:r w:rsidRPr="00C77B6A">
              <w:t xml:space="preserve"> quality</w:t>
            </w:r>
            <w:r w:rsidRPr="00C77B6A">
              <w:rPr>
                <w:rFonts w:cs="Cambria Math"/>
              </w:rPr>
              <w:t xml:space="preserve"> evidence (GRADE </w:t>
            </w:r>
            <w:r w:rsidRPr="00C77B6A">
              <w:rPr>
                <w:rFonts w:ascii="Cambria Math" w:hAnsi="Cambria Math" w:cs="Cambria Math"/>
                <w:color w:val="00B050"/>
              </w:rPr>
              <w:t>⨁⨁</w:t>
            </w:r>
            <w:r w:rsidRPr="00E564DD">
              <w:rPr>
                <w:rFonts w:ascii="Cambria Math" w:eastAsia="Times New Roman" w:hAnsi="Cambria Math" w:cs="Cambria Math"/>
                <w:bCs/>
                <w:color w:val="FF0000"/>
              </w:rPr>
              <w:t>⨀⨀</w:t>
            </w:r>
            <w:r w:rsidRPr="00C77B6A">
              <w:t>)</w:t>
            </w:r>
          </w:p>
          <w:p w:rsidR="00C828F9" w:rsidRPr="00C77B6A" w:rsidRDefault="00C828F9" w:rsidP="00480FDF">
            <w:pPr>
              <w:pStyle w:val="Tabletext"/>
              <w:numPr>
                <w:ilvl w:val="0"/>
                <w:numId w:val="42"/>
              </w:numPr>
              <w:ind w:left="227" w:hanging="227"/>
            </w:pPr>
            <w:r>
              <w:t>No patients died during the study period</w:t>
            </w:r>
            <w:r w:rsidR="001D6161">
              <w:t>.</w:t>
            </w:r>
          </w:p>
        </w:tc>
      </w:tr>
      <w:tr w:rsidR="00C828F9" w:rsidTr="00D103A9">
        <w:tc>
          <w:tcPr>
            <w:tcW w:w="1555" w:type="dxa"/>
            <w:tcBorders>
              <w:top w:val="single" w:sz="4" w:space="0" w:color="auto"/>
              <w:left w:val="single" w:sz="4" w:space="0" w:color="auto"/>
              <w:bottom w:val="single" w:sz="4" w:space="0" w:color="auto"/>
              <w:right w:val="single" w:sz="4" w:space="0" w:color="auto"/>
            </w:tcBorders>
          </w:tcPr>
          <w:p w:rsidR="00C828F9" w:rsidRPr="001D637C" w:rsidRDefault="00C828F9" w:rsidP="00C828F9">
            <w:pPr>
              <w:pStyle w:val="Tabletext"/>
            </w:pPr>
            <w:r w:rsidRPr="00FA1124">
              <w:t>Improved WHO FC</w:t>
            </w:r>
          </w:p>
        </w:tc>
        <w:tc>
          <w:tcPr>
            <w:tcW w:w="1984" w:type="dxa"/>
            <w:tcBorders>
              <w:top w:val="single" w:sz="4" w:space="0" w:color="auto"/>
              <w:left w:val="single" w:sz="4" w:space="0" w:color="auto"/>
              <w:bottom w:val="single" w:sz="4" w:space="0" w:color="auto"/>
              <w:right w:val="single" w:sz="4" w:space="0" w:color="auto"/>
            </w:tcBorders>
          </w:tcPr>
          <w:p w:rsidR="00C828F9" w:rsidRDefault="00C828F9" w:rsidP="00C828F9">
            <w:pPr>
              <w:pStyle w:val="Tabletext"/>
            </w:pPr>
            <w:r>
              <w:t xml:space="preserve">PATENT-PLUS (riociguat/sildenafil) </w:t>
            </w:r>
          </w:p>
          <w:p w:rsidR="00C828F9" w:rsidRPr="001D637C" w:rsidRDefault="00C828F9" w:rsidP="00C828F9">
            <w:pPr>
              <w:pStyle w:val="Tabletext"/>
            </w:pPr>
            <w:r>
              <w:t>N=18</w:t>
            </w:r>
          </w:p>
        </w:tc>
        <w:tc>
          <w:tcPr>
            <w:tcW w:w="6095" w:type="dxa"/>
            <w:tcBorders>
              <w:top w:val="single" w:sz="4" w:space="0" w:color="auto"/>
              <w:left w:val="single" w:sz="4" w:space="0" w:color="auto"/>
              <w:bottom w:val="single" w:sz="4" w:space="0" w:color="auto"/>
              <w:right w:val="single" w:sz="4" w:space="0" w:color="auto"/>
            </w:tcBorders>
          </w:tcPr>
          <w:p w:rsidR="00C828F9" w:rsidRPr="006B11DC" w:rsidRDefault="00C828F9" w:rsidP="00480FDF">
            <w:pPr>
              <w:pStyle w:val="Tabletext"/>
              <w:numPr>
                <w:ilvl w:val="0"/>
                <w:numId w:val="42"/>
              </w:numPr>
              <w:ind w:left="227" w:hanging="227"/>
            </w:pPr>
            <w:r>
              <w:t xml:space="preserve">Low </w:t>
            </w:r>
            <w:r w:rsidRPr="006B11DC">
              <w:t xml:space="preserve">quality evidence (GRADE </w:t>
            </w:r>
            <w:r w:rsidRPr="006B11DC">
              <w:rPr>
                <w:rFonts w:ascii="Cambria Math" w:hAnsi="Cambria Math" w:cs="Cambria Math"/>
                <w:color w:val="00B050"/>
              </w:rPr>
              <w:t>⨁⨁</w:t>
            </w:r>
            <w:r w:rsidRPr="00E564DD">
              <w:rPr>
                <w:rFonts w:ascii="Cambria Math" w:hAnsi="Cambria Math" w:cs="Cambria Math"/>
                <w:bCs/>
                <w:color w:val="FF0000"/>
              </w:rPr>
              <w:t>⨀</w:t>
            </w:r>
            <w:r w:rsidRPr="00083FA5">
              <w:rPr>
                <w:rFonts w:ascii="Cambria Math" w:hAnsi="Cambria Math" w:cs="Cambria Math"/>
                <w:color w:val="FF0000"/>
              </w:rPr>
              <w:t>⨀</w:t>
            </w:r>
            <w:r w:rsidRPr="006B11DC">
              <w:t>)</w:t>
            </w:r>
          </w:p>
          <w:p w:rsidR="00C828F9" w:rsidRPr="006B11DC" w:rsidRDefault="00C828F9" w:rsidP="00480FDF">
            <w:pPr>
              <w:pStyle w:val="Tabletext"/>
              <w:numPr>
                <w:ilvl w:val="0"/>
                <w:numId w:val="42"/>
              </w:numPr>
              <w:ind w:left="227" w:hanging="227"/>
            </w:pPr>
            <w:r>
              <w:t xml:space="preserve">Fewer </w:t>
            </w:r>
            <w:r w:rsidRPr="00B92556">
              <w:t xml:space="preserve">patients </w:t>
            </w:r>
            <w:r>
              <w:t>improved their WHO FC</w:t>
            </w:r>
            <w:r w:rsidRPr="00B92556">
              <w:t xml:space="preserve"> with combination therapy compared with monotherapy, </w:t>
            </w:r>
            <w:r w:rsidR="00002D3C" w:rsidRPr="00B92556">
              <w:t xml:space="preserve">but the </w:t>
            </w:r>
            <w:r w:rsidR="00002D3C">
              <w:t>wide 95% CI indicates</w:t>
            </w:r>
            <w:r w:rsidR="00002D3C" w:rsidRPr="00B92556">
              <w:t xml:space="preserve"> that </w:t>
            </w:r>
            <w:r w:rsidR="00002D3C">
              <w:t>the study was underpowered for this outcome</w:t>
            </w:r>
            <w:r w:rsidR="00002D3C" w:rsidRPr="006B11DC">
              <w:t xml:space="preserve"> </w:t>
            </w:r>
            <w:r w:rsidRPr="006B11DC">
              <w:t xml:space="preserve">(RR = </w:t>
            </w:r>
            <w:r>
              <w:t>0</w:t>
            </w:r>
            <w:r w:rsidRPr="006B11DC">
              <w:t>.</w:t>
            </w:r>
            <w:r>
              <w:t>50</w:t>
            </w:r>
            <w:r w:rsidRPr="006B11DC">
              <w:t>; 95% CI 0.</w:t>
            </w:r>
            <w:r>
              <w:t>09</w:t>
            </w:r>
            <w:r w:rsidRPr="006B11DC">
              <w:t xml:space="preserve">, </w:t>
            </w:r>
            <w:r>
              <w:t>2</w:t>
            </w:r>
            <w:r w:rsidRPr="006B11DC">
              <w:t>.</w:t>
            </w:r>
            <w:r>
              <w:t>73</w:t>
            </w:r>
            <w:r w:rsidRPr="006B11DC">
              <w:t>)</w:t>
            </w:r>
            <w:r w:rsidR="001D6161">
              <w:t>.</w:t>
            </w:r>
          </w:p>
        </w:tc>
      </w:tr>
      <w:tr w:rsidR="00C828F9" w:rsidTr="00D103A9">
        <w:tc>
          <w:tcPr>
            <w:tcW w:w="1555" w:type="dxa"/>
          </w:tcPr>
          <w:p w:rsidR="00C828F9" w:rsidRPr="001D637C" w:rsidRDefault="00C828F9" w:rsidP="00C828F9">
            <w:pPr>
              <w:pStyle w:val="Tabletext"/>
            </w:pPr>
            <w:r>
              <w:t xml:space="preserve">Worsened </w:t>
            </w:r>
            <w:r w:rsidRPr="00FA1124">
              <w:t>WHO FC</w:t>
            </w:r>
          </w:p>
        </w:tc>
        <w:tc>
          <w:tcPr>
            <w:tcW w:w="1984" w:type="dxa"/>
            <w:tcBorders>
              <w:top w:val="single" w:sz="4" w:space="0" w:color="auto"/>
              <w:left w:val="single" w:sz="4" w:space="0" w:color="auto"/>
              <w:bottom w:val="single" w:sz="4" w:space="0" w:color="auto"/>
              <w:right w:val="single" w:sz="4" w:space="0" w:color="auto"/>
            </w:tcBorders>
          </w:tcPr>
          <w:p w:rsidR="00C828F9" w:rsidRDefault="00C828F9" w:rsidP="00C828F9">
            <w:pPr>
              <w:pStyle w:val="Tabletext"/>
            </w:pPr>
            <w:r>
              <w:t xml:space="preserve">PATENT-PLUS (riociguat/sildenafil) </w:t>
            </w:r>
          </w:p>
          <w:p w:rsidR="00C828F9" w:rsidRPr="001D637C" w:rsidRDefault="00C828F9" w:rsidP="00C828F9">
            <w:pPr>
              <w:pStyle w:val="Tabletext"/>
            </w:pPr>
            <w:r>
              <w:t>N=18</w:t>
            </w:r>
          </w:p>
        </w:tc>
        <w:tc>
          <w:tcPr>
            <w:tcW w:w="6095" w:type="dxa"/>
          </w:tcPr>
          <w:p w:rsidR="00C828F9" w:rsidRPr="006B11DC" w:rsidRDefault="00C828F9" w:rsidP="00480FDF">
            <w:pPr>
              <w:pStyle w:val="Tabletext"/>
              <w:numPr>
                <w:ilvl w:val="0"/>
                <w:numId w:val="42"/>
              </w:numPr>
              <w:ind w:left="227" w:hanging="227"/>
            </w:pPr>
            <w:r>
              <w:t>Low</w:t>
            </w:r>
            <w:r w:rsidRPr="006B11DC">
              <w:t xml:space="preserve"> quality</w:t>
            </w:r>
            <w:r w:rsidRPr="006B11DC">
              <w:rPr>
                <w:rFonts w:cs="Cambria Math"/>
              </w:rPr>
              <w:t xml:space="preserve"> evidence (GRADE </w:t>
            </w:r>
            <w:r w:rsidRPr="006B11DC">
              <w:rPr>
                <w:rFonts w:ascii="Cambria Math" w:hAnsi="Cambria Math" w:cs="Cambria Math"/>
                <w:color w:val="00B050"/>
              </w:rPr>
              <w:t>⨁⨁</w:t>
            </w:r>
            <w:r w:rsidRPr="00E564DD">
              <w:rPr>
                <w:rFonts w:ascii="Cambria Math" w:eastAsia="Times New Roman" w:hAnsi="Cambria Math" w:cs="Cambria Math"/>
                <w:bCs/>
                <w:color w:val="FF0000"/>
              </w:rPr>
              <w:t>⨀⨀</w:t>
            </w:r>
            <w:r w:rsidRPr="006B11DC">
              <w:t>)</w:t>
            </w:r>
          </w:p>
          <w:p w:rsidR="00C828F9" w:rsidRPr="006B11DC" w:rsidRDefault="00C828F9" w:rsidP="00480FDF">
            <w:pPr>
              <w:pStyle w:val="Tabletext"/>
              <w:numPr>
                <w:ilvl w:val="0"/>
                <w:numId w:val="42"/>
              </w:numPr>
              <w:ind w:left="227" w:hanging="227"/>
            </w:pPr>
            <w:r w:rsidRPr="00151DD9">
              <w:t>No patients had worsening of their WHO FC</w:t>
            </w:r>
            <w:r>
              <w:t xml:space="preserve"> during the study period</w:t>
            </w:r>
            <w:r w:rsidR="001D6161">
              <w:t>.</w:t>
            </w:r>
          </w:p>
        </w:tc>
      </w:tr>
      <w:tr w:rsidR="00C828F9" w:rsidTr="00D103A9">
        <w:tc>
          <w:tcPr>
            <w:tcW w:w="1555" w:type="dxa"/>
          </w:tcPr>
          <w:p w:rsidR="00C828F9" w:rsidRPr="001D637C" w:rsidRDefault="00C828F9" w:rsidP="00C828F9">
            <w:pPr>
              <w:pStyle w:val="Tabletext"/>
            </w:pPr>
            <w:r>
              <w:t>Change in 6MWD from baseline</w:t>
            </w:r>
          </w:p>
        </w:tc>
        <w:tc>
          <w:tcPr>
            <w:tcW w:w="1984" w:type="dxa"/>
            <w:tcBorders>
              <w:top w:val="single" w:sz="4" w:space="0" w:color="auto"/>
              <w:left w:val="single" w:sz="4" w:space="0" w:color="auto"/>
              <w:bottom w:val="single" w:sz="4" w:space="0" w:color="auto"/>
              <w:right w:val="single" w:sz="4" w:space="0" w:color="auto"/>
            </w:tcBorders>
          </w:tcPr>
          <w:p w:rsidR="00C828F9" w:rsidRDefault="00C828F9" w:rsidP="00C828F9">
            <w:pPr>
              <w:pStyle w:val="Tabletext"/>
            </w:pPr>
            <w:r>
              <w:t xml:space="preserve">PATENT-PLUS (riociguat/sildenafil) </w:t>
            </w:r>
          </w:p>
          <w:p w:rsidR="00C828F9" w:rsidRPr="001D637C" w:rsidRDefault="00C828F9" w:rsidP="00C828F9">
            <w:pPr>
              <w:pStyle w:val="Tabletext"/>
            </w:pPr>
            <w:r>
              <w:t>N=18</w:t>
            </w:r>
          </w:p>
        </w:tc>
        <w:tc>
          <w:tcPr>
            <w:tcW w:w="6095" w:type="dxa"/>
          </w:tcPr>
          <w:p w:rsidR="00C828F9" w:rsidRPr="006B11DC" w:rsidRDefault="00C828F9" w:rsidP="00480FDF">
            <w:pPr>
              <w:pStyle w:val="Tabletext"/>
              <w:numPr>
                <w:ilvl w:val="0"/>
                <w:numId w:val="42"/>
              </w:numPr>
              <w:ind w:left="227" w:hanging="227"/>
            </w:pPr>
            <w:r>
              <w:t>Very low</w:t>
            </w:r>
            <w:r w:rsidRPr="006B11DC">
              <w:t xml:space="preserve"> quality</w:t>
            </w:r>
            <w:r w:rsidRPr="006B11DC">
              <w:rPr>
                <w:rFonts w:cs="Cambria Math"/>
              </w:rPr>
              <w:t xml:space="preserve"> evidence (GRADE </w:t>
            </w:r>
            <w:r w:rsidRPr="006B11DC">
              <w:rPr>
                <w:rFonts w:ascii="Cambria Math" w:hAnsi="Cambria Math" w:cs="Cambria Math"/>
                <w:color w:val="00B050"/>
              </w:rPr>
              <w:t>⨁</w:t>
            </w:r>
            <w:r w:rsidRPr="00E564DD">
              <w:rPr>
                <w:rFonts w:ascii="Cambria Math" w:eastAsia="Times New Roman" w:hAnsi="Cambria Math" w:cs="Cambria Math"/>
                <w:bCs/>
                <w:color w:val="FF0000"/>
              </w:rPr>
              <w:t>⨀⨀</w:t>
            </w:r>
            <w:r w:rsidRPr="006316DF">
              <w:rPr>
                <w:rFonts w:ascii="Cambria Math" w:hAnsi="Cambria Math" w:cs="Cambria Math"/>
                <w:color w:val="C00000"/>
              </w:rPr>
              <w:t>⨀</w:t>
            </w:r>
            <w:r w:rsidRPr="006B11DC">
              <w:t>)</w:t>
            </w:r>
          </w:p>
          <w:p w:rsidR="00C828F9" w:rsidRPr="006B11DC" w:rsidRDefault="00C828F9" w:rsidP="00480FDF">
            <w:pPr>
              <w:pStyle w:val="Tabletext"/>
              <w:numPr>
                <w:ilvl w:val="0"/>
                <w:numId w:val="42"/>
              </w:numPr>
              <w:ind w:left="227" w:hanging="227"/>
            </w:pPr>
            <w:r w:rsidRPr="006B11DC">
              <w:t xml:space="preserve">Patients </w:t>
            </w:r>
            <w:r>
              <w:t>on combination therapy</w:t>
            </w:r>
            <w:r w:rsidRPr="006B11DC">
              <w:t xml:space="preserve"> had a </w:t>
            </w:r>
            <w:r>
              <w:t>smaller</w:t>
            </w:r>
            <w:r w:rsidRPr="006B11DC">
              <w:t xml:space="preserve"> mean improvement in their 6MWD than those </w:t>
            </w:r>
            <w:r>
              <w:t>on monotherapy</w:t>
            </w:r>
            <w:r w:rsidR="00002D3C">
              <w:t>, but the difference was not clinically important</w:t>
            </w:r>
            <w:r w:rsidRPr="006B11DC">
              <w:t xml:space="preserve"> (</w:t>
            </w:r>
            <w:r>
              <w:t>MD</w:t>
            </w:r>
            <w:r w:rsidRPr="006B11DC">
              <w:t xml:space="preserve"> = </w:t>
            </w:r>
            <w:r>
              <w:t>23</w:t>
            </w:r>
            <w:r w:rsidRPr="006B11DC">
              <w:t xml:space="preserve"> m </w:t>
            </w:r>
            <w:r>
              <w:t>less</w:t>
            </w:r>
            <w:r w:rsidRPr="006B11DC">
              <w:t>)</w:t>
            </w:r>
            <w:r w:rsidR="001D6161">
              <w:t>.</w:t>
            </w:r>
          </w:p>
        </w:tc>
      </w:tr>
    </w:tbl>
    <w:p w:rsidR="00D419F1" w:rsidRDefault="009B35CE" w:rsidP="00D103A9">
      <w:pPr>
        <w:pStyle w:val="Tablenote"/>
      </w:pPr>
      <w:r>
        <w:t xml:space="preserve">6MWD = 6-minute </w:t>
      </w:r>
      <w:r w:rsidR="0082368E">
        <w:t>walk distance</w:t>
      </w:r>
      <w:r>
        <w:t xml:space="preserve">; CI = confidence interval; FC = functional class; </w:t>
      </w:r>
      <w:r w:rsidR="00385E5A">
        <w:t>GRADE = grading of recommendations assessment, development and evaluation</w:t>
      </w:r>
      <w:r w:rsidR="001D34EE" w:rsidRPr="001D34EE">
        <w:rPr>
          <w:noProof/>
          <w:vertAlign w:val="superscript"/>
        </w:rPr>
        <w:t>1</w:t>
      </w:r>
      <w:r w:rsidR="00D419F1" w:rsidRPr="009E3B52">
        <w:t xml:space="preserve">; </w:t>
      </w:r>
      <w:r>
        <w:t xml:space="preserve">MD = mean difference; </w:t>
      </w:r>
      <w:r w:rsidRPr="00C65B42">
        <w:t xml:space="preserve">PAH = pulmonary arterial hypertension; </w:t>
      </w:r>
      <w:r w:rsidRPr="00955629">
        <w:t xml:space="preserve">PDE-5 = phosphodiesterase type-5; </w:t>
      </w:r>
      <w:r>
        <w:t xml:space="preserve">RR = relative risk; </w:t>
      </w:r>
      <w:r w:rsidR="009B47AA" w:rsidRPr="009B47AA">
        <w:t xml:space="preserve">sGC = soluble guanylate cyclase stimulator; </w:t>
      </w:r>
      <w:r>
        <w:t>WHO = World Health Organization</w:t>
      </w:r>
    </w:p>
    <w:p w:rsidR="009B35CE" w:rsidRPr="0042195A" w:rsidRDefault="009B35CE" w:rsidP="009B35CE">
      <w:pPr>
        <w:pStyle w:val="Heading5"/>
      </w:pPr>
      <w:r w:rsidRPr="0042195A">
        <w:t>Safety</w:t>
      </w:r>
    </w:p>
    <w:p w:rsidR="009B35CE" w:rsidRDefault="009B35CE" w:rsidP="009B35CE">
      <w:r>
        <w:t xml:space="preserve">One RCT reported on the comparative safety of treatment with a </w:t>
      </w:r>
      <w:r w:rsidRPr="002375AD">
        <w:t xml:space="preserve">sGC stimulator </w:t>
      </w:r>
      <w:r w:rsidRPr="00542902">
        <w:t xml:space="preserve">in addition to </w:t>
      </w:r>
      <w:r>
        <w:t xml:space="preserve">a </w:t>
      </w:r>
      <w:r w:rsidRPr="00542902">
        <w:t xml:space="preserve">PDE-5 inhibitor, </w:t>
      </w:r>
      <w:r>
        <w:t>compared with a PDE-5 inhibitor alone</w:t>
      </w:r>
      <w:r w:rsidR="00EB514E">
        <w:t>,</w:t>
      </w:r>
      <w:r>
        <w:t xml:space="preserve"> in patient</w:t>
      </w:r>
      <w:r w:rsidR="00EB514E">
        <w:t>s</w:t>
      </w:r>
      <w:r>
        <w:t xml:space="preserve"> with PAH:</w:t>
      </w:r>
    </w:p>
    <w:p w:rsidR="009B35CE" w:rsidRPr="00B607A5" w:rsidRDefault="009B35CE" w:rsidP="00D103A9">
      <w:pPr>
        <w:pStyle w:val="Bullettext"/>
      </w:pPr>
      <w:r w:rsidRPr="00B607A5">
        <w:t>PATENT-PLUS</w:t>
      </w:r>
    </w:p>
    <w:p w:rsidR="00EB514E" w:rsidRPr="00B607A5" w:rsidRDefault="00E20AB7" w:rsidP="007D4DF1">
      <w:pPr>
        <w:pStyle w:val="Bullettext"/>
      </w:pPr>
      <w:r w:rsidRPr="00B607A5">
        <w:t>There were no new safety signals identified.</w:t>
      </w:r>
      <w:r w:rsidR="007D4DF1" w:rsidRPr="00B607A5">
        <w:t xml:space="preserve"> </w:t>
      </w:r>
    </w:p>
    <w:p w:rsidR="009B35CE" w:rsidRDefault="009B35CE" w:rsidP="004B3BDC">
      <w:pPr>
        <w:spacing w:before="0" w:line="240" w:lineRule="auto"/>
      </w:pPr>
      <w:r>
        <w:t>The evidence provided by this trial is summarised in</w:t>
      </w:r>
      <w:r w:rsidR="00D103A9">
        <w:t xml:space="preserve"> </w:t>
      </w:r>
      <w:r w:rsidR="004B3BDC">
        <w:t>Table 4.17</w:t>
      </w:r>
      <w:r>
        <w:t>.</w:t>
      </w:r>
    </w:p>
    <w:p w:rsidR="009B35CE" w:rsidRDefault="00487776" w:rsidP="009B35CE">
      <w:r>
        <w:t xml:space="preserve">Overall, </w:t>
      </w:r>
      <w:r w:rsidRPr="00487776">
        <w:t>there is considerable uncertainty whether the use of a sGC stimulator in addition to PDE-5 inhibitor, relative to PDE-5 inhibitor monotherapy</w:t>
      </w:r>
      <w:r w:rsidR="00EB514E">
        <w:t xml:space="preserve">, </w:t>
      </w:r>
      <w:r w:rsidRPr="00487776">
        <w:t>would cause additional harm</w:t>
      </w:r>
      <w:r w:rsidR="00EB514E">
        <w:t xml:space="preserve"> to PAH patients</w:t>
      </w:r>
      <w:r w:rsidR="009B35CE" w:rsidRPr="006316DF">
        <w:t xml:space="preserve">. </w:t>
      </w:r>
    </w:p>
    <w:p w:rsidR="0044469E" w:rsidRDefault="0044469E">
      <w:pPr>
        <w:spacing w:before="0" w:line="240" w:lineRule="auto"/>
        <w:rPr>
          <w:b/>
          <w:iCs/>
          <w:szCs w:val="18"/>
        </w:rPr>
      </w:pPr>
      <w:bookmarkStart w:id="44" w:name="_Ref506207886"/>
      <w:bookmarkStart w:id="45" w:name="_Toc38360314"/>
      <w:r>
        <w:br w:type="page"/>
      </w:r>
    </w:p>
    <w:p w:rsidR="009B35CE" w:rsidRDefault="00272F8F" w:rsidP="00BC5A2B">
      <w:pPr>
        <w:pStyle w:val="Caption"/>
      </w:pPr>
      <w:r>
        <w:t>Table 4.</w:t>
      </w:r>
      <w:r w:rsidR="003951FA">
        <w:rPr>
          <w:noProof/>
        </w:rPr>
        <w:t>17</w:t>
      </w:r>
      <w:bookmarkEnd w:id="44"/>
      <w:r w:rsidR="00D103A9">
        <w:tab/>
      </w:r>
      <w:r w:rsidR="009B35CE">
        <w:t xml:space="preserve">Summary of the evidence for the safety of a </w:t>
      </w:r>
      <w:r w:rsidR="009B35CE" w:rsidRPr="00986739">
        <w:t xml:space="preserve">sGC stimulator </w:t>
      </w:r>
      <w:r w:rsidR="009B35CE" w:rsidRPr="00542902">
        <w:t xml:space="preserve">in addition to </w:t>
      </w:r>
      <w:r w:rsidR="009B35CE">
        <w:t xml:space="preserve">a </w:t>
      </w:r>
      <w:r w:rsidR="009B35CE" w:rsidRPr="00542902">
        <w:t>PDE-5 inhibitor, relative</w:t>
      </w:r>
      <w:r w:rsidR="009B35CE">
        <w:t xml:space="preserve"> to PDE-5 inhibitor monotherapy</w:t>
      </w:r>
      <w:bookmarkEnd w:id="45"/>
    </w:p>
    <w:tbl>
      <w:tblPr>
        <w:tblStyle w:val="TableGrid"/>
        <w:tblW w:w="9634" w:type="dxa"/>
        <w:tblLook w:val="04A0" w:firstRow="1" w:lastRow="0" w:firstColumn="1" w:lastColumn="0" w:noHBand="0" w:noVBand="1"/>
        <w:tblCaption w:val="Summary of the evidence for the safety of a sGC stimulator in addition to a PDE-5 inhibitor, relative to PDE-5 inhibitor monotherapy"/>
      </w:tblPr>
      <w:tblGrid>
        <w:gridCol w:w="1555"/>
        <w:gridCol w:w="1984"/>
        <w:gridCol w:w="6095"/>
      </w:tblGrid>
      <w:tr w:rsidR="009B35CE" w:rsidRPr="00737EA5"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Outcome</w:t>
            </w:r>
          </w:p>
        </w:tc>
        <w:tc>
          <w:tcPr>
            <w:tcW w:w="1984" w:type="dxa"/>
            <w:tcBorders>
              <w:top w:val="single" w:sz="4" w:space="0" w:color="auto"/>
              <w:left w:val="single" w:sz="4" w:space="0" w:color="auto"/>
              <w:bottom w:val="single" w:sz="4" w:space="0" w:color="auto"/>
              <w:right w:val="single" w:sz="4" w:space="0" w:color="auto"/>
            </w:tcBorders>
          </w:tcPr>
          <w:p w:rsidR="0051596A" w:rsidRDefault="009B35CE" w:rsidP="0051596A">
            <w:pPr>
              <w:pStyle w:val="Tabletext"/>
              <w:rPr>
                <w:b/>
              </w:rPr>
            </w:pPr>
            <w:r w:rsidRPr="006C297E">
              <w:rPr>
                <w:b/>
              </w:rPr>
              <w:t>Included trials</w:t>
            </w:r>
            <w:r w:rsidR="0051596A">
              <w:rPr>
                <w:b/>
              </w:rPr>
              <w:t xml:space="preserve"> </w:t>
            </w:r>
          </w:p>
          <w:p w:rsidR="009B35CE" w:rsidRPr="006C297E" w:rsidRDefault="0051596A" w:rsidP="0051596A">
            <w:pPr>
              <w:pStyle w:val="Tabletext"/>
              <w:rPr>
                <w:rFonts w:asciiTheme="minorHAnsi" w:hAnsiTheme="minorHAnsi"/>
                <w:b/>
              </w:rPr>
            </w:pPr>
            <w:r w:rsidRPr="00293DE5">
              <w:rPr>
                <w:b/>
              </w:rPr>
              <w:t>No. of patients</w:t>
            </w:r>
            <w:r w:rsidR="009B35CE" w:rsidRPr="006C297E">
              <w:rPr>
                <w:b/>
              </w:rPr>
              <w:t xml:space="preserve"> </w:t>
            </w:r>
          </w:p>
        </w:tc>
        <w:tc>
          <w:tcPr>
            <w:tcW w:w="609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Summary of evidence</w:t>
            </w:r>
          </w:p>
        </w:tc>
      </w:tr>
      <w:tr w:rsidR="009B35CE"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9B35CE" w:rsidP="00D103A9">
            <w:pPr>
              <w:pStyle w:val="Tabletext"/>
              <w:rPr>
                <w:rFonts w:asciiTheme="minorHAnsi" w:hAnsiTheme="minorHAnsi"/>
              </w:rPr>
            </w:pPr>
            <w:r>
              <w:t>P</w:t>
            </w:r>
            <w:r w:rsidRPr="00FD4377">
              <w:t>atients with WHO FC III/IV PAH</w:t>
            </w:r>
          </w:p>
        </w:tc>
      </w:tr>
      <w:tr w:rsidR="009B35CE" w:rsidTr="00D103A9">
        <w:tc>
          <w:tcPr>
            <w:tcW w:w="1555" w:type="dxa"/>
            <w:tcBorders>
              <w:top w:val="single" w:sz="4" w:space="0" w:color="auto"/>
              <w:left w:val="single" w:sz="4" w:space="0" w:color="auto"/>
              <w:bottom w:val="single" w:sz="4" w:space="0" w:color="auto"/>
              <w:right w:val="single" w:sz="4" w:space="0" w:color="auto"/>
            </w:tcBorders>
          </w:tcPr>
          <w:p w:rsidR="009B35CE" w:rsidRPr="001D637C" w:rsidRDefault="009B35CE" w:rsidP="00D103A9">
            <w:pPr>
              <w:pStyle w:val="Tabletext"/>
            </w:pPr>
            <w:r>
              <w:t>Any AE</w:t>
            </w:r>
          </w:p>
        </w:tc>
        <w:tc>
          <w:tcPr>
            <w:tcW w:w="1984" w:type="dxa"/>
            <w:tcBorders>
              <w:top w:val="single" w:sz="4" w:space="0" w:color="auto"/>
              <w:left w:val="single" w:sz="4" w:space="0" w:color="auto"/>
              <w:bottom w:val="single" w:sz="4" w:space="0" w:color="auto"/>
              <w:right w:val="single" w:sz="4" w:space="0" w:color="auto"/>
            </w:tcBorders>
          </w:tcPr>
          <w:p w:rsidR="0051596A" w:rsidRDefault="009B35CE" w:rsidP="0051596A">
            <w:pPr>
              <w:pStyle w:val="Tabletext"/>
            </w:pPr>
            <w:r>
              <w:t>PATENT-PLUS (riociguat/sildenafil)</w:t>
            </w:r>
            <w:r w:rsidR="0051596A">
              <w:t xml:space="preserve"> </w:t>
            </w:r>
          </w:p>
          <w:p w:rsidR="009B35CE" w:rsidRPr="001D637C" w:rsidRDefault="0051596A" w:rsidP="0051596A">
            <w:pPr>
              <w:pStyle w:val="Tabletext"/>
            </w:pPr>
            <w:r>
              <w:t>N=18</w:t>
            </w:r>
          </w:p>
        </w:tc>
        <w:tc>
          <w:tcPr>
            <w:tcW w:w="6095" w:type="dxa"/>
            <w:tcBorders>
              <w:top w:val="single" w:sz="4" w:space="0" w:color="auto"/>
              <w:left w:val="single" w:sz="4" w:space="0" w:color="auto"/>
              <w:bottom w:val="single" w:sz="4" w:space="0" w:color="auto"/>
              <w:right w:val="single" w:sz="4" w:space="0" w:color="auto"/>
            </w:tcBorders>
          </w:tcPr>
          <w:p w:rsidR="009B35CE" w:rsidRPr="00B96C6F" w:rsidRDefault="00C828F9" w:rsidP="00480FDF">
            <w:pPr>
              <w:pStyle w:val="Tabletext"/>
              <w:numPr>
                <w:ilvl w:val="0"/>
                <w:numId w:val="56"/>
              </w:numPr>
              <w:ind w:left="227" w:hanging="219"/>
              <w:rPr>
                <w:szCs w:val="18"/>
              </w:rPr>
            </w:pPr>
            <w:r>
              <w:t xml:space="preserve">Low </w:t>
            </w:r>
            <w:r w:rsidRPr="006B11DC">
              <w:t xml:space="preserve">quality evidence (GRADE </w:t>
            </w:r>
            <w:r w:rsidRPr="006B11DC">
              <w:rPr>
                <w:rFonts w:ascii="Cambria Math" w:hAnsi="Cambria Math" w:cs="Cambria Math"/>
                <w:color w:val="00B050"/>
              </w:rPr>
              <w:t>⨁⨁</w:t>
            </w:r>
            <w:r w:rsidRPr="00E564DD">
              <w:rPr>
                <w:rFonts w:ascii="Cambria Math" w:hAnsi="Cambria Math" w:cs="Cambria Math"/>
                <w:bCs/>
                <w:color w:val="FF0000"/>
              </w:rPr>
              <w:t>⨀</w:t>
            </w:r>
            <w:r w:rsidRPr="00083FA5">
              <w:rPr>
                <w:rFonts w:ascii="Cambria Math" w:hAnsi="Cambria Math" w:cs="Cambria Math"/>
                <w:color w:val="FF0000"/>
              </w:rPr>
              <w:t>⨀</w:t>
            </w:r>
            <w:r w:rsidRPr="006B11DC">
              <w:t>)</w:t>
            </w:r>
          </w:p>
          <w:p w:rsidR="009B35CE" w:rsidRPr="00B96C6F" w:rsidRDefault="009B35CE" w:rsidP="00480FDF">
            <w:pPr>
              <w:pStyle w:val="Tabletext"/>
              <w:numPr>
                <w:ilvl w:val="0"/>
                <w:numId w:val="56"/>
              </w:numPr>
              <w:ind w:left="227" w:hanging="219"/>
            </w:pPr>
            <w:r w:rsidRPr="002375AD">
              <w:t xml:space="preserve">More patients experienced an AE with combination therapy compared with monotherapy, </w:t>
            </w:r>
            <w:r w:rsidR="00002D3C" w:rsidRPr="002375AD">
              <w:t xml:space="preserve">but the </w:t>
            </w:r>
            <w:r w:rsidR="00002D3C">
              <w:t>95% CI indicates</w:t>
            </w:r>
            <w:r w:rsidR="00002D3C" w:rsidRPr="002375AD">
              <w:t xml:space="preserve"> that </w:t>
            </w:r>
            <w:r w:rsidR="00002D3C">
              <w:t>the study was underpowered for this outcome</w:t>
            </w:r>
            <w:r w:rsidRPr="002375AD">
              <w:t xml:space="preserve"> </w:t>
            </w:r>
            <w:r w:rsidRPr="00B96C6F">
              <w:t xml:space="preserve">(RR = </w:t>
            </w:r>
            <w:r>
              <w:t>1</w:t>
            </w:r>
            <w:r w:rsidRPr="00B96C6F">
              <w:t>.</w:t>
            </w:r>
            <w:r>
              <w:t>50</w:t>
            </w:r>
            <w:r w:rsidRPr="00B96C6F">
              <w:t>; 95% CI 0.</w:t>
            </w:r>
            <w:r>
              <w:t>85</w:t>
            </w:r>
            <w:r w:rsidRPr="00B96C6F">
              <w:t xml:space="preserve">, </w:t>
            </w:r>
            <w:r>
              <w:t>2</w:t>
            </w:r>
            <w:r w:rsidRPr="00B96C6F">
              <w:t>.</w:t>
            </w:r>
            <w:r>
              <w:t>64</w:t>
            </w:r>
            <w:r w:rsidRPr="00B96C6F">
              <w:t>)</w:t>
            </w:r>
            <w:r w:rsidR="001D6161">
              <w:t>.</w:t>
            </w:r>
          </w:p>
        </w:tc>
      </w:tr>
      <w:tr w:rsidR="009B35CE" w:rsidTr="00D103A9">
        <w:tc>
          <w:tcPr>
            <w:tcW w:w="1555" w:type="dxa"/>
          </w:tcPr>
          <w:p w:rsidR="009B35CE" w:rsidRPr="001D637C" w:rsidRDefault="009B35CE" w:rsidP="00D103A9">
            <w:pPr>
              <w:pStyle w:val="Tabletext"/>
            </w:pPr>
            <w:r>
              <w:t>Serious AEs</w:t>
            </w:r>
          </w:p>
        </w:tc>
        <w:tc>
          <w:tcPr>
            <w:tcW w:w="1984" w:type="dxa"/>
            <w:tcBorders>
              <w:top w:val="single" w:sz="4" w:space="0" w:color="auto"/>
              <w:left w:val="single" w:sz="4" w:space="0" w:color="auto"/>
              <w:bottom w:val="single" w:sz="4" w:space="0" w:color="auto"/>
              <w:right w:val="single" w:sz="4" w:space="0" w:color="auto"/>
            </w:tcBorders>
          </w:tcPr>
          <w:p w:rsidR="0051596A" w:rsidRDefault="009B35CE" w:rsidP="0051596A">
            <w:pPr>
              <w:pStyle w:val="Tabletext"/>
            </w:pPr>
            <w:r>
              <w:t>PATENT-PLUS (riociguat/sildenafil)</w:t>
            </w:r>
            <w:r w:rsidR="0051596A">
              <w:t xml:space="preserve"> </w:t>
            </w:r>
          </w:p>
          <w:p w:rsidR="009B35CE" w:rsidRPr="001D637C" w:rsidRDefault="0051596A" w:rsidP="0051596A">
            <w:pPr>
              <w:pStyle w:val="Tabletext"/>
            </w:pPr>
            <w:r>
              <w:t>N=18</w:t>
            </w:r>
          </w:p>
        </w:tc>
        <w:tc>
          <w:tcPr>
            <w:tcW w:w="6095" w:type="dxa"/>
          </w:tcPr>
          <w:p w:rsidR="009B35CE" w:rsidRPr="00B96C6F" w:rsidRDefault="00C828F9" w:rsidP="00480FDF">
            <w:pPr>
              <w:pStyle w:val="Tabletext"/>
              <w:numPr>
                <w:ilvl w:val="0"/>
                <w:numId w:val="56"/>
              </w:numPr>
              <w:ind w:left="227" w:hanging="219"/>
              <w:rPr>
                <w:szCs w:val="18"/>
              </w:rPr>
            </w:pPr>
            <w:r>
              <w:t xml:space="preserve">Low </w:t>
            </w:r>
            <w:r w:rsidRPr="006B11DC">
              <w:t xml:space="preserve">quality evidence (GRADE </w:t>
            </w:r>
            <w:r w:rsidRPr="006B11DC">
              <w:rPr>
                <w:rFonts w:ascii="Cambria Math" w:hAnsi="Cambria Math" w:cs="Cambria Math"/>
                <w:color w:val="00B050"/>
              </w:rPr>
              <w:t>⨁⨁</w:t>
            </w:r>
            <w:r w:rsidRPr="00E564DD">
              <w:rPr>
                <w:rFonts w:ascii="Cambria Math" w:hAnsi="Cambria Math" w:cs="Cambria Math"/>
                <w:bCs/>
                <w:color w:val="FF0000"/>
              </w:rPr>
              <w:t>⨀</w:t>
            </w:r>
            <w:r w:rsidRPr="00083FA5">
              <w:rPr>
                <w:rFonts w:ascii="Cambria Math" w:hAnsi="Cambria Math" w:cs="Cambria Math"/>
                <w:color w:val="FF0000"/>
              </w:rPr>
              <w:t>⨀</w:t>
            </w:r>
            <w:r w:rsidRPr="006B11DC">
              <w:t>)</w:t>
            </w:r>
          </w:p>
          <w:p w:rsidR="009B35CE" w:rsidRPr="00B96C6F" w:rsidRDefault="009B35CE" w:rsidP="00480FDF">
            <w:pPr>
              <w:pStyle w:val="Tabletext"/>
              <w:numPr>
                <w:ilvl w:val="0"/>
                <w:numId w:val="56"/>
              </w:numPr>
              <w:ind w:left="227" w:hanging="219"/>
            </w:pPr>
            <w:r>
              <w:rPr>
                <w:szCs w:val="18"/>
              </w:rPr>
              <w:t>More</w:t>
            </w:r>
            <w:r w:rsidRPr="00B96C6F">
              <w:rPr>
                <w:szCs w:val="18"/>
              </w:rPr>
              <w:t xml:space="preserve"> patients </w:t>
            </w:r>
            <w:r w:rsidR="00E00863">
              <w:rPr>
                <w:szCs w:val="18"/>
              </w:rPr>
              <w:t xml:space="preserve">experienced </w:t>
            </w:r>
            <w:r>
              <w:rPr>
                <w:szCs w:val="18"/>
              </w:rPr>
              <w:t>a serious AE</w:t>
            </w:r>
            <w:r w:rsidRPr="00B96C6F">
              <w:t xml:space="preserve"> with combination the</w:t>
            </w:r>
            <w:r>
              <w:t xml:space="preserve">rapy compared with monotherapy, </w:t>
            </w:r>
            <w:r w:rsidR="00002D3C" w:rsidRPr="002375AD">
              <w:t xml:space="preserve">but the </w:t>
            </w:r>
            <w:r w:rsidR="00002D3C">
              <w:t>95% CI indicates</w:t>
            </w:r>
            <w:r w:rsidR="00002D3C" w:rsidRPr="002375AD">
              <w:t xml:space="preserve"> that </w:t>
            </w:r>
            <w:r w:rsidR="00002D3C">
              <w:t>the study was underpowered for this outcome</w:t>
            </w:r>
            <w:r w:rsidRPr="00B96C6F">
              <w:t xml:space="preserve"> (</w:t>
            </w:r>
            <w:r w:rsidR="00B21201">
              <w:t>ARD</w:t>
            </w:r>
            <w:r>
              <w:t xml:space="preserve"> = 16.7%</w:t>
            </w:r>
            <w:r w:rsidRPr="00B96C6F">
              <w:t xml:space="preserve">; 95% CI </w:t>
            </w:r>
            <w:r>
              <w:t>−4</w:t>
            </w:r>
            <w:r w:rsidRPr="00B96C6F">
              <w:t>.</w:t>
            </w:r>
            <w:r>
              <w:t>4</w:t>
            </w:r>
            <w:r w:rsidRPr="00B96C6F">
              <w:t xml:space="preserve">, </w:t>
            </w:r>
            <w:r>
              <w:t>37</w:t>
            </w:r>
            <w:r w:rsidRPr="00B96C6F">
              <w:t>.</w:t>
            </w:r>
            <w:r>
              <w:t>8</w:t>
            </w:r>
            <w:r w:rsidRPr="00B96C6F">
              <w:t>)</w:t>
            </w:r>
            <w:r w:rsidR="001D6161">
              <w:t>.</w:t>
            </w:r>
          </w:p>
        </w:tc>
      </w:tr>
      <w:tr w:rsidR="009B35CE" w:rsidTr="00D103A9">
        <w:tc>
          <w:tcPr>
            <w:tcW w:w="1555" w:type="dxa"/>
          </w:tcPr>
          <w:p w:rsidR="009B35CE" w:rsidRDefault="009B35CE" w:rsidP="00D103A9">
            <w:pPr>
              <w:pStyle w:val="Tabletext"/>
            </w:pPr>
            <w:r w:rsidRPr="00B96C6F">
              <w:t>AEs leading to treatment discontinuation</w:t>
            </w:r>
          </w:p>
        </w:tc>
        <w:tc>
          <w:tcPr>
            <w:tcW w:w="1984" w:type="dxa"/>
            <w:tcBorders>
              <w:top w:val="single" w:sz="4" w:space="0" w:color="auto"/>
              <w:left w:val="single" w:sz="4" w:space="0" w:color="auto"/>
              <w:bottom w:val="single" w:sz="4" w:space="0" w:color="auto"/>
              <w:right w:val="single" w:sz="4" w:space="0" w:color="auto"/>
            </w:tcBorders>
          </w:tcPr>
          <w:p w:rsidR="0051596A" w:rsidRDefault="009B35CE" w:rsidP="0051596A">
            <w:pPr>
              <w:pStyle w:val="Tabletext"/>
            </w:pPr>
            <w:r>
              <w:t>PATENT-PLUS (riociguat/sildenafil)</w:t>
            </w:r>
            <w:r w:rsidR="0051596A">
              <w:t xml:space="preserve"> </w:t>
            </w:r>
          </w:p>
          <w:p w:rsidR="009B35CE" w:rsidRDefault="0051596A" w:rsidP="0051596A">
            <w:pPr>
              <w:pStyle w:val="Tabletext"/>
            </w:pPr>
            <w:r>
              <w:t>N=18</w:t>
            </w:r>
          </w:p>
        </w:tc>
        <w:tc>
          <w:tcPr>
            <w:tcW w:w="6095" w:type="dxa"/>
            <w:tcBorders>
              <w:top w:val="single" w:sz="4" w:space="0" w:color="auto"/>
              <w:left w:val="single" w:sz="4" w:space="0" w:color="auto"/>
              <w:bottom w:val="single" w:sz="4" w:space="0" w:color="auto"/>
              <w:right w:val="single" w:sz="4" w:space="0" w:color="auto"/>
            </w:tcBorders>
          </w:tcPr>
          <w:p w:rsidR="009B35CE" w:rsidRPr="00B96C6F" w:rsidRDefault="00C828F9" w:rsidP="00480FDF">
            <w:pPr>
              <w:pStyle w:val="Tabletext"/>
              <w:numPr>
                <w:ilvl w:val="0"/>
                <w:numId w:val="56"/>
              </w:numPr>
              <w:ind w:left="227" w:hanging="219"/>
              <w:rPr>
                <w:szCs w:val="18"/>
              </w:rPr>
            </w:pPr>
            <w:r>
              <w:t xml:space="preserve">Low </w:t>
            </w:r>
            <w:r w:rsidRPr="006B11DC">
              <w:t xml:space="preserve">quality evidence (GRADE </w:t>
            </w:r>
            <w:r w:rsidRPr="006B11DC">
              <w:rPr>
                <w:rFonts w:ascii="Cambria Math" w:hAnsi="Cambria Math" w:cs="Cambria Math"/>
                <w:color w:val="00B050"/>
              </w:rPr>
              <w:t>⨁⨁</w:t>
            </w:r>
            <w:r w:rsidRPr="00E564DD">
              <w:rPr>
                <w:rFonts w:ascii="Cambria Math" w:hAnsi="Cambria Math" w:cs="Cambria Math"/>
                <w:bCs/>
                <w:color w:val="FF0000"/>
              </w:rPr>
              <w:t>⨀</w:t>
            </w:r>
            <w:r w:rsidRPr="00083FA5">
              <w:rPr>
                <w:rFonts w:ascii="Cambria Math" w:hAnsi="Cambria Math" w:cs="Cambria Math"/>
                <w:color w:val="FF0000"/>
              </w:rPr>
              <w:t>⨀</w:t>
            </w:r>
            <w:r w:rsidRPr="006B11DC">
              <w:t>)</w:t>
            </w:r>
          </w:p>
          <w:p w:rsidR="009B35CE" w:rsidRPr="006B11DC" w:rsidRDefault="009B35CE" w:rsidP="00480FDF">
            <w:pPr>
              <w:pStyle w:val="Tabletext"/>
              <w:numPr>
                <w:ilvl w:val="0"/>
                <w:numId w:val="56"/>
              </w:numPr>
              <w:ind w:left="227" w:hanging="219"/>
            </w:pPr>
            <w:r>
              <w:t xml:space="preserve">More </w:t>
            </w:r>
            <w:r w:rsidRPr="00F3410B">
              <w:t>patients had an AE leading to treatment discontinuation</w:t>
            </w:r>
            <w:r w:rsidRPr="00B96C6F">
              <w:t xml:space="preserve"> with combination th</w:t>
            </w:r>
            <w:r>
              <w:t>erapy compared with monotherapy,</w:t>
            </w:r>
            <w:r w:rsidRPr="00B96C6F">
              <w:t xml:space="preserve"> </w:t>
            </w:r>
            <w:r>
              <w:t>but the difference was not statistically significant</w:t>
            </w:r>
            <w:r w:rsidRPr="00B96C6F">
              <w:t xml:space="preserve"> (</w:t>
            </w:r>
            <w:r w:rsidR="00B21201">
              <w:t>ARD</w:t>
            </w:r>
            <w:r w:rsidRPr="00B96C6F">
              <w:t xml:space="preserve"> = </w:t>
            </w:r>
            <w:r>
              <w:t>8</w:t>
            </w:r>
            <w:r w:rsidRPr="00B96C6F">
              <w:t>.</w:t>
            </w:r>
            <w:r>
              <w:t>3%</w:t>
            </w:r>
            <w:r w:rsidRPr="00B96C6F">
              <w:t xml:space="preserve">; 95% CI </w:t>
            </w:r>
            <w:r>
              <w:t>−7</w:t>
            </w:r>
            <w:r w:rsidRPr="00B96C6F">
              <w:t>.</w:t>
            </w:r>
            <w:r>
              <w:t>3</w:t>
            </w:r>
            <w:r w:rsidRPr="00B96C6F">
              <w:t xml:space="preserve">, </w:t>
            </w:r>
            <w:r>
              <w:t>24.0</w:t>
            </w:r>
            <w:r w:rsidRPr="00B96C6F">
              <w:t>)</w:t>
            </w:r>
            <w:r w:rsidR="001D6161">
              <w:t>.</w:t>
            </w:r>
          </w:p>
        </w:tc>
      </w:tr>
    </w:tbl>
    <w:p w:rsidR="00D419F1" w:rsidRPr="006316DF" w:rsidRDefault="009B35CE" w:rsidP="00D103A9">
      <w:pPr>
        <w:pStyle w:val="Tablenote"/>
      </w:pPr>
      <w:r>
        <w:t xml:space="preserve">AE = adverse event; </w:t>
      </w:r>
      <w:r w:rsidR="00B21201">
        <w:t>ARD</w:t>
      </w:r>
      <w:r w:rsidRPr="00955629">
        <w:t xml:space="preserve"> = absolute risk </w:t>
      </w:r>
      <w:r w:rsidR="00B21201">
        <w:t>difference</w:t>
      </w:r>
      <w:r w:rsidRPr="00955629">
        <w:t xml:space="preserve">; CI = confidence interval; </w:t>
      </w:r>
      <w:r>
        <w:t xml:space="preserve">FC = functional class; </w:t>
      </w:r>
      <w:r w:rsidR="00385E5A">
        <w:t>GRADE = grading of recommendations assessment, development and evaluation</w:t>
      </w:r>
      <w:r w:rsidR="001D34EE" w:rsidRPr="001D34EE">
        <w:rPr>
          <w:noProof/>
          <w:vertAlign w:val="superscript"/>
        </w:rPr>
        <w:t>1</w:t>
      </w:r>
      <w:r w:rsidR="00D419F1" w:rsidRPr="009E3B52">
        <w:t>;</w:t>
      </w:r>
      <w:r w:rsidR="00D419F1">
        <w:t xml:space="preserve"> </w:t>
      </w:r>
      <w:r w:rsidRPr="009123E2">
        <w:t>PAH</w:t>
      </w:r>
      <w:r>
        <w:t xml:space="preserve"> = p</w:t>
      </w:r>
      <w:r w:rsidRPr="009123E2">
        <w:t xml:space="preserve">ulmonary </w:t>
      </w:r>
      <w:r>
        <w:t>a</w:t>
      </w:r>
      <w:r w:rsidRPr="009123E2">
        <w:t xml:space="preserve">rterial </w:t>
      </w:r>
      <w:r>
        <w:t>h</w:t>
      </w:r>
      <w:r w:rsidRPr="009123E2">
        <w:t>ypertension</w:t>
      </w:r>
      <w:r>
        <w:t xml:space="preserve">; </w:t>
      </w:r>
      <w:r w:rsidR="00BE3517" w:rsidRPr="00BE3517">
        <w:t xml:space="preserve">PDE-5 = phosphodiesterase type-5; </w:t>
      </w:r>
      <w:r>
        <w:t xml:space="preserve">RR = relative risk; </w:t>
      </w:r>
      <w:r w:rsidR="009B47AA" w:rsidRPr="009B47AA">
        <w:t xml:space="preserve">sGC = soluble guanylate cyclase stimulator; </w:t>
      </w:r>
      <w:r>
        <w:t>WHO = World Health Organization</w:t>
      </w:r>
    </w:p>
    <w:p w:rsidR="009B35CE" w:rsidRPr="006316DF" w:rsidRDefault="00441F08" w:rsidP="00003E50">
      <w:pPr>
        <w:pStyle w:val="Heading4"/>
        <w:tabs>
          <w:tab w:val="left" w:pos="993"/>
          <w:tab w:val="left" w:pos="1134"/>
        </w:tabs>
      </w:pPr>
      <w:r>
        <w:t>4.1.3.8</w:t>
      </w:r>
      <w:r>
        <w:tab/>
      </w:r>
      <w:proofErr w:type="gramStart"/>
      <w:r w:rsidR="009B35CE" w:rsidRPr="00CA622D">
        <w:t>sGC</w:t>
      </w:r>
      <w:proofErr w:type="gramEnd"/>
      <w:r w:rsidR="009B35CE" w:rsidRPr="00CA622D">
        <w:t xml:space="preserve"> stimulator </w:t>
      </w:r>
      <w:r w:rsidR="009B35CE" w:rsidRPr="00EF6A61">
        <w:t xml:space="preserve">in addition to </w:t>
      </w:r>
      <w:r w:rsidR="009B35CE" w:rsidRPr="002375AD">
        <w:t>a prosta</w:t>
      </w:r>
      <w:r w:rsidR="0017012F">
        <w:t>noid</w:t>
      </w:r>
    </w:p>
    <w:p w:rsidR="009B35CE" w:rsidRPr="00107676" w:rsidRDefault="009B35CE" w:rsidP="009B35CE">
      <w:pPr>
        <w:pStyle w:val="Heading5"/>
      </w:pPr>
      <w:r w:rsidRPr="00107676">
        <w:t>Clinical effectiveness</w:t>
      </w:r>
    </w:p>
    <w:p w:rsidR="009B35CE" w:rsidRDefault="009B35CE" w:rsidP="009B35CE">
      <w:r>
        <w:t xml:space="preserve">One </w:t>
      </w:r>
      <w:r w:rsidR="00EB514E">
        <w:t>RCT</w:t>
      </w:r>
      <w:r w:rsidRPr="00822C52">
        <w:t xml:space="preserve"> rep</w:t>
      </w:r>
      <w:r w:rsidR="00D103A9">
        <w:t>orted on the effectiveness of a</w:t>
      </w:r>
      <w:r w:rsidRPr="00822C52">
        <w:t xml:space="preserve"> </w:t>
      </w:r>
      <w:r w:rsidRPr="00955629">
        <w:t xml:space="preserve">sGC stimulator </w:t>
      </w:r>
      <w:r w:rsidRPr="00822C52">
        <w:t xml:space="preserve">in addition to a </w:t>
      </w:r>
      <w:r w:rsidR="00487776">
        <w:t>prostanoid</w:t>
      </w:r>
      <w:r w:rsidRPr="00C5017B">
        <w:t xml:space="preserve"> </w:t>
      </w:r>
      <w:r w:rsidR="00EB514E">
        <w:t xml:space="preserve">when </w:t>
      </w:r>
      <w:r w:rsidRPr="00822C52">
        <w:t xml:space="preserve">compared with placebo plus a </w:t>
      </w:r>
      <w:r w:rsidR="00487776">
        <w:t>prostanoid</w:t>
      </w:r>
      <w:r w:rsidRPr="00822C52">
        <w:t xml:space="preserve"> in patients with PAH</w:t>
      </w:r>
      <w:r>
        <w:t>:</w:t>
      </w:r>
    </w:p>
    <w:p w:rsidR="009B35CE" w:rsidRPr="00B607A5" w:rsidRDefault="009B35CE" w:rsidP="00D103A9">
      <w:pPr>
        <w:pStyle w:val="Bullettext"/>
      </w:pPr>
      <w:r w:rsidRPr="00B607A5">
        <w:t xml:space="preserve">PATENT-1 enrolled </w:t>
      </w:r>
      <w:r w:rsidR="00EB514E" w:rsidRPr="00B607A5">
        <w:t xml:space="preserve">PAH </w:t>
      </w:r>
      <w:r w:rsidRPr="00B607A5">
        <w:t xml:space="preserve">patients with or without background ERA or </w:t>
      </w:r>
      <w:r w:rsidR="00487776" w:rsidRPr="00B607A5">
        <w:t>prostanoid</w:t>
      </w:r>
      <w:r w:rsidRPr="00B607A5">
        <w:t xml:space="preserve"> therapy, to receive riociguat or placebo</w:t>
      </w:r>
    </w:p>
    <w:p w:rsidR="009B35CE" w:rsidRPr="00B607A5" w:rsidRDefault="009B35CE" w:rsidP="00D103A9">
      <w:pPr>
        <w:pStyle w:val="Bullettext"/>
      </w:pPr>
      <w:r w:rsidRPr="00B607A5">
        <w:t xml:space="preserve">Due to the small size of the sGC stimulator ± </w:t>
      </w:r>
      <w:r w:rsidR="00487776" w:rsidRPr="00B607A5">
        <w:t>prostanoid</w:t>
      </w:r>
      <w:r w:rsidRPr="00B607A5">
        <w:t xml:space="preserve"> group, no further subgroup analysis was undertaken</w:t>
      </w:r>
    </w:p>
    <w:p w:rsidR="009B35CE" w:rsidRDefault="009B35CE" w:rsidP="00BB1BFB">
      <w:pPr>
        <w:spacing w:before="0" w:line="240" w:lineRule="auto"/>
      </w:pPr>
      <w:r>
        <w:t>The evidence provided by this trial is summarised in</w:t>
      </w:r>
      <w:r w:rsidR="00BB1BFB">
        <w:t xml:space="preserve"> Table 4.18.</w:t>
      </w:r>
    </w:p>
    <w:p w:rsidR="009B35CE" w:rsidRDefault="00487776" w:rsidP="009B35CE">
      <w:r>
        <w:t xml:space="preserve">Overall, </w:t>
      </w:r>
      <w:r w:rsidRPr="001E5DED">
        <w:t xml:space="preserve">there is considerable uncertainty as to whether the use of a </w:t>
      </w:r>
      <w:r w:rsidRPr="00487776">
        <w:t xml:space="preserve">sGC stimulator </w:t>
      </w:r>
      <w:r w:rsidRPr="001E5DED">
        <w:t xml:space="preserve">in addition to a </w:t>
      </w:r>
      <w:r>
        <w:t>prostanoid</w:t>
      </w:r>
      <w:r w:rsidRPr="001E5DED">
        <w:t xml:space="preserve">, relative to </w:t>
      </w:r>
      <w:r>
        <w:t>prostanoid</w:t>
      </w:r>
      <w:r w:rsidRPr="001E5DED">
        <w:t xml:space="preserve"> monotherapy to treat PAH patients is likely to be beneficial</w:t>
      </w:r>
      <w:r w:rsidRPr="0034017B">
        <w:t>.</w:t>
      </w:r>
    </w:p>
    <w:p w:rsidR="009B35CE" w:rsidRDefault="00272F8F" w:rsidP="00BC5A2B">
      <w:pPr>
        <w:pStyle w:val="Caption"/>
      </w:pPr>
      <w:bookmarkStart w:id="46" w:name="_Ref506208359"/>
      <w:bookmarkStart w:id="47" w:name="_Toc38360315"/>
      <w:r>
        <w:t>Table 4.</w:t>
      </w:r>
      <w:r w:rsidR="003951FA">
        <w:rPr>
          <w:noProof/>
        </w:rPr>
        <w:t>18</w:t>
      </w:r>
      <w:bookmarkEnd w:id="46"/>
      <w:r w:rsidR="00D103A9">
        <w:tab/>
      </w:r>
      <w:r w:rsidR="009B35CE">
        <w:t xml:space="preserve">Summary of the evidence for the clinical effectiveness of a </w:t>
      </w:r>
      <w:r w:rsidR="009B35CE" w:rsidRPr="00CA622D">
        <w:t xml:space="preserve">sGC stimulator in addition to a </w:t>
      </w:r>
      <w:r w:rsidR="00487776">
        <w:t>prostanoid</w:t>
      </w:r>
      <w:r w:rsidR="009B35CE">
        <w:t>,</w:t>
      </w:r>
      <w:r w:rsidR="009B35CE" w:rsidRPr="00542902">
        <w:t xml:space="preserve"> relative</w:t>
      </w:r>
      <w:r w:rsidR="009B35CE">
        <w:t xml:space="preserve"> to </w:t>
      </w:r>
      <w:r w:rsidR="00487776">
        <w:t>prostanoid</w:t>
      </w:r>
      <w:r w:rsidR="009B35CE">
        <w:t xml:space="preserve"> monotherapy</w:t>
      </w:r>
      <w:bookmarkEnd w:id="47"/>
    </w:p>
    <w:tbl>
      <w:tblPr>
        <w:tblStyle w:val="TableGrid"/>
        <w:tblW w:w="9634" w:type="dxa"/>
        <w:tblLook w:val="04A0" w:firstRow="1" w:lastRow="0" w:firstColumn="1" w:lastColumn="0" w:noHBand="0" w:noVBand="1"/>
        <w:tblCaption w:val="Summary of the evidence for the clinical effectiveness of a sGC stimulator in addition to a prostanoid, relative to prostanoid monotherapy"/>
      </w:tblPr>
      <w:tblGrid>
        <w:gridCol w:w="1554"/>
        <w:gridCol w:w="1993"/>
        <w:gridCol w:w="6087"/>
      </w:tblGrid>
      <w:tr w:rsidR="009B35CE" w:rsidRPr="00737EA5" w:rsidTr="00D103A9">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Outcome</w:t>
            </w:r>
          </w:p>
        </w:tc>
        <w:tc>
          <w:tcPr>
            <w:tcW w:w="1984" w:type="dxa"/>
            <w:tcBorders>
              <w:top w:val="single" w:sz="4" w:space="0" w:color="auto"/>
              <w:left w:val="single" w:sz="4" w:space="0" w:color="auto"/>
              <w:bottom w:val="single" w:sz="4" w:space="0" w:color="auto"/>
              <w:right w:val="single" w:sz="4" w:space="0" w:color="auto"/>
            </w:tcBorders>
          </w:tcPr>
          <w:p w:rsidR="0051596A" w:rsidRDefault="009B35CE" w:rsidP="0051596A">
            <w:pPr>
              <w:pStyle w:val="Tabletext"/>
              <w:rPr>
                <w:b/>
              </w:rPr>
            </w:pPr>
            <w:r w:rsidRPr="006C297E">
              <w:rPr>
                <w:b/>
              </w:rPr>
              <w:t>Included trials</w:t>
            </w:r>
            <w:r w:rsidR="0051596A">
              <w:rPr>
                <w:b/>
              </w:rPr>
              <w:t xml:space="preserve"> </w:t>
            </w:r>
          </w:p>
          <w:p w:rsidR="009B35CE" w:rsidRPr="006C297E" w:rsidRDefault="0051596A" w:rsidP="0051596A">
            <w:pPr>
              <w:pStyle w:val="Tabletext"/>
              <w:rPr>
                <w:rFonts w:asciiTheme="minorHAnsi" w:hAnsiTheme="minorHAnsi"/>
                <w:b/>
              </w:rPr>
            </w:pPr>
            <w:r w:rsidRPr="00293DE5">
              <w:rPr>
                <w:b/>
              </w:rPr>
              <w:t>No. of patients</w:t>
            </w:r>
            <w:r w:rsidR="009B35CE" w:rsidRPr="006C297E">
              <w:rPr>
                <w:b/>
              </w:rPr>
              <w:t xml:space="preserve"> </w:t>
            </w:r>
          </w:p>
        </w:tc>
        <w:tc>
          <w:tcPr>
            <w:tcW w:w="6095" w:type="dxa"/>
            <w:tcBorders>
              <w:top w:val="single" w:sz="4" w:space="0" w:color="auto"/>
              <w:left w:val="single" w:sz="4" w:space="0" w:color="auto"/>
              <w:bottom w:val="single" w:sz="4" w:space="0" w:color="auto"/>
              <w:right w:val="single" w:sz="4" w:space="0" w:color="auto"/>
            </w:tcBorders>
          </w:tcPr>
          <w:p w:rsidR="009B35CE" w:rsidRPr="006C297E" w:rsidRDefault="009B35CE" w:rsidP="00D103A9">
            <w:pPr>
              <w:pStyle w:val="Tabletext"/>
              <w:rPr>
                <w:rFonts w:asciiTheme="minorHAnsi" w:hAnsiTheme="minorHAnsi"/>
                <w:b/>
              </w:rPr>
            </w:pPr>
            <w:r w:rsidRPr="006C297E">
              <w:rPr>
                <w:b/>
              </w:rPr>
              <w:t>Summary of evidence</w:t>
            </w:r>
          </w:p>
        </w:tc>
      </w:tr>
      <w:tr w:rsidR="009B35CE" w:rsidTr="00D103A9">
        <w:tc>
          <w:tcPr>
            <w:tcW w:w="9634" w:type="dxa"/>
            <w:gridSpan w:val="3"/>
            <w:tcBorders>
              <w:top w:val="nil"/>
              <w:left w:val="single" w:sz="4" w:space="0" w:color="auto"/>
              <w:bottom w:val="single" w:sz="4" w:space="0" w:color="auto"/>
              <w:right w:val="single" w:sz="4" w:space="0" w:color="auto"/>
            </w:tcBorders>
            <w:shd w:val="clear" w:color="auto" w:fill="000000"/>
          </w:tcPr>
          <w:p w:rsidR="009B35CE" w:rsidRDefault="009B35CE" w:rsidP="00D103A9">
            <w:pPr>
              <w:pStyle w:val="Tabletext"/>
              <w:rPr>
                <w:rFonts w:asciiTheme="minorHAnsi" w:hAnsiTheme="minorHAnsi"/>
              </w:rPr>
            </w:pPr>
            <w:r>
              <w:t>All PAH patients</w:t>
            </w:r>
          </w:p>
        </w:tc>
      </w:tr>
      <w:tr w:rsidR="00C828F9" w:rsidRPr="0049771F" w:rsidTr="00D103A9">
        <w:tc>
          <w:tcPr>
            <w:tcW w:w="1555" w:type="dxa"/>
            <w:tcBorders>
              <w:top w:val="single" w:sz="4" w:space="0" w:color="auto"/>
              <w:left w:val="single" w:sz="4" w:space="0" w:color="auto"/>
              <w:bottom w:val="single" w:sz="4" w:space="0" w:color="auto"/>
              <w:right w:val="single" w:sz="4" w:space="0" w:color="auto"/>
            </w:tcBorders>
          </w:tcPr>
          <w:p w:rsidR="00C828F9" w:rsidRPr="0049771F" w:rsidRDefault="00C828F9" w:rsidP="00C828F9">
            <w:pPr>
              <w:pStyle w:val="Tabletext"/>
            </w:pPr>
            <w:r w:rsidRPr="0049771F">
              <w:t>Clinical worsening</w:t>
            </w:r>
          </w:p>
        </w:tc>
        <w:tc>
          <w:tcPr>
            <w:tcW w:w="1984" w:type="dxa"/>
            <w:tcBorders>
              <w:top w:val="single" w:sz="4" w:space="0" w:color="auto"/>
              <w:left w:val="single" w:sz="4" w:space="0" w:color="auto"/>
              <w:bottom w:val="single" w:sz="4" w:space="0" w:color="auto"/>
              <w:right w:val="single" w:sz="4" w:space="0" w:color="auto"/>
            </w:tcBorders>
          </w:tcPr>
          <w:p w:rsidR="00C828F9" w:rsidRPr="0049771F" w:rsidRDefault="00C828F9" w:rsidP="00C828F9">
            <w:pPr>
              <w:pStyle w:val="Tabletext"/>
            </w:pPr>
            <w:r w:rsidRPr="0049771F">
              <w:t>PATENT-1</w:t>
            </w:r>
            <w:r w:rsidRPr="0049771F">
              <w:br/>
              <w:t>(riociguat/prostanoid)</w:t>
            </w:r>
          </w:p>
          <w:p w:rsidR="00C828F9" w:rsidRPr="0049771F" w:rsidRDefault="00C828F9" w:rsidP="00C828F9">
            <w:pPr>
              <w:pStyle w:val="Tabletext"/>
            </w:pPr>
            <w:r w:rsidRPr="0049771F">
              <w:t>N=27</w:t>
            </w:r>
          </w:p>
        </w:tc>
        <w:tc>
          <w:tcPr>
            <w:tcW w:w="6095" w:type="dxa"/>
            <w:tcBorders>
              <w:top w:val="single" w:sz="4" w:space="0" w:color="auto"/>
              <w:left w:val="single" w:sz="4" w:space="0" w:color="auto"/>
              <w:bottom w:val="single" w:sz="4" w:space="0" w:color="auto"/>
              <w:right w:val="single" w:sz="4" w:space="0" w:color="auto"/>
            </w:tcBorders>
          </w:tcPr>
          <w:p w:rsidR="00C828F9" w:rsidRPr="0049771F" w:rsidRDefault="00C828F9" w:rsidP="00480FDF">
            <w:pPr>
              <w:pStyle w:val="Tabletext"/>
              <w:numPr>
                <w:ilvl w:val="0"/>
                <w:numId w:val="43"/>
              </w:numPr>
              <w:ind w:left="227" w:hanging="227"/>
              <w:rPr>
                <w:szCs w:val="18"/>
              </w:rPr>
            </w:pPr>
            <w:r w:rsidRPr="0049771F">
              <w:t>Low quality</w:t>
            </w:r>
            <w:r w:rsidRPr="0049771F">
              <w:rPr>
                <w:rFonts w:cs="Cambria Math"/>
              </w:rPr>
              <w:t xml:space="preserve"> evidence (GRADE </w:t>
            </w:r>
            <w:r w:rsidRPr="0049771F">
              <w:rPr>
                <w:rFonts w:ascii="Cambria Math" w:hAnsi="Cambria Math" w:cs="Cambria Math"/>
                <w:color w:val="00B050"/>
              </w:rPr>
              <w:t>⨁⨁</w:t>
            </w:r>
            <w:r w:rsidRPr="0049771F">
              <w:rPr>
                <w:rFonts w:ascii="Cambria Math" w:eastAsia="Times New Roman" w:hAnsi="Cambria Math" w:cs="Cambria Math"/>
                <w:bCs/>
                <w:color w:val="FF000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828F9"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C828F9" w:rsidRPr="0049771F" w:rsidTr="00D103A9">
        <w:tc>
          <w:tcPr>
            <w:tcW w:w="1555" w:type="dxa"/>
          </w:tcPr>
          <w:p w:rsidR="00C828F9" w:rsidRPr="0049771F" w:rsidRDefault="00C828F9" w:rsidP="00C828F9">
            <w:pPr>
              <w:pStyle w:val="Tabletext"/>
            </w:pPr>
            <w:r w:rsidRPr="0049771F">
              <w:t>All-cause mortality</w:t>
            </w:r>
          </w:p>
        </w:tc>
        <w:tc>
          <w:tcPr>
            <w:tcW w:w="1984" w:type="dxa"/>
            <w:tcBorders>
              <w:top w:val="single" w:sz="4" w:space="0" w:color="auto"/>
              <w:left w:val="single" w:sz="4" w:space="0" w:color="auto"/>
              <w:bottom w:val="single" w:sz="4" w:space="0" w:color="auto"/>
              <w:right w:val="single" w:sz="4" w:space="0" w:color="auto"/>
            </w:tcBorders>
          </w:tcPr>
          <w:p w:rsidR="00C828F9" w:rsidRPr="0049771F" w:rsidRDefault="00C828F9" w:rsidP="00C828F9">
            <w:pPr>
              <w:pStyle w:val="Tabletext"/>
            </w:pPr>
            <w:r w:rsidRPr="0049771F">
              <w:t>PATENT-1</w:t>
            </w:r>
            <w:r w:rsidRPr="0049771F">
              <w:br/>
              <w:t xml:space="preserve">(riociguat/prostanoid) </w:t>
            </w:r>
          </w:p>
          <w:p w:rsidR="00C828F9" w:rsidRPr="0049771F" w:rsidRDefault="00C828F9" w:rsidP="00C828F9">
            <w:pPr>
              <w:pStyle w:val="Tabletext"/>
            </w:pPr>
            <w:r w:rsidRPr="0049771F">
              <w:t>N=27</w:t>
            </w:r>
          </w:p>
        </w:tc>
        <w:tc>
          <w:tcPr>
            <w:tcW w:w="6095" w:type="dxa"/>
          </w:tcPr>
          <w:p w:rsidR="00C828F9" w:rsidRPr="0049771F" w:rsidRDefault="00C828F9" w:rsidP="00480FDF">
            <w:pPr>
              <w:pStyle w:val="Tabletext"/>
              <w:numPr>
                <w:ilvl w:val="0"/>
                <w:numId w:val="43"/>
              </w:numPr>
              <w:ind w:left="227" w:hanging="227"/>
            </w:pPr>
            <w:r w:rsidRPr="0049771F">
              <w:t>Low quality</w:t>
            </w:r>
            <w:r w:rsidRPr="0049771F">
              <w:rPr>
                <w:rFonts w:cs="Cambria Math"/>
              </w:rPr>
              <w:t xml:space="preserve"> evidence (GRADE </w:t>
            </w:r>
            <w:r w:rsidRPr="0049771F">
              <w:rPr>
                <w:rFonts w:ascii="Cambria Math" w:hAnsi="Cambria Math" w:cs="Cambria Math"/>
                <w:color w:val="00B050"/>
              </w:rPr>
              <w:t>⨁⨁</w:t>
            </w:r>
            <w:r w:rsidRPr="0049771F">
              <w:rPr>
                <w:rFonts w:ascii="Cambria Math" w:eastAsia="Times New Roman" w:hAnsi="Cambria Math" w:cs="Cambria Math"/>
                <w:bCs/>
                <w:color w:val="FF000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828F9"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C828F9" w:rsidRPr="0049771F" w:rsidTr="00D103A9">
        <w:tc>
          <w:tcPr>
            <w:tcW w:w="1555" w:type="dxa"/>
            <w:tcBorders>
              <w:top w:val="single" w:sz="4" w:space="0" w:color="auto"/>
              <w:left w:val="single" w:sz="4" w:space="0" w:color="auto"/>
              <w:bottom w:val="single" w:sz="4" w:space="0" w:color="auto"/>
              <w:right w:val="single" w:sz="4" w:space="0" w:color="auto"/>
            </w:tcBorders>
          </w:tcPr>
          <w:p w:rsidR="00C828F9" w:rsidRPr="0049771F" w:rsidRDefault="00C828F9" w:rsidP="00C828F9">
            <w:pPr>
              <w:pStyle w:val="Tabletext"/>
            </w:pPr>
            <w:r w:rsidRPr="0049771F">
              <w:t>Hospitalisation due to worsening PAH</w:t>
            </w:r>
          </w:p>
        </w:tc>
        <w:tc>
          <w:tcPr>
            <w:tcW w:w="1984" w:type="dxa"/>
            <w:tcBorders>
              <w:top w:val="single" w:sz="4" w:space="0" w:color="auto"/>
              <w:left w:val="single" w:sz="4" w:space="0" w:color="auto"/>
              <w:bottom w:val="single" w:sz="4" w:space="0" w:color="auto"/>
              <w:right w:val="single" w:sz="4" w:space="0" w:color="auto"/>
            </w:tcBorders>
          </w:tcPr>
          <w:p w:rsidR="00C828F9" w:rsidRPr="0049771F" w:rsidRDefault="00C828F9" w:rsidP="00C828F9">
            <w:pPr>
              <w:pStyle w:val="Tabletext"/>
            </w:pPr>
            <w:r w:rsidRPr="0049771F">
              <w:t>PATENT-1</w:t>
            </w:r>
            <w:r w:rsidRPr="0049771F">
              <w:br/>
              <w:t xml:space="preserve">(riociguat/prostanoid) </w:t>
            </w:r>
          </w:p>
          <w:p w:rsidR="00C828F9" w:rsidRPr="0049771F" w:rsidRDefault="00C828F9" w:rsidP="00C828F9">
            <w:pPr>
              <w:pStyle w:val="Tabletext"/>
            </w:pPr>
            <w:r w:rsidRPr="0049771F">
              <w:t>N=27</w:t>
            </w:r>
          </w:p>
        </w:tc>
        <w:tc>
          <w:tcPr>
            <w:tcW w:w="6095" w:type="dxa"/>
            <w:tcBorders>
              <w:top w:val="single" w:sz="4" w:space="0" w:color="auto"/>
              <w:left w:val="single" w:sz="4" w:space="0" w:color="auto"/>
              <w:bottom w:val="single" w:sz="4" w:space="0" w:color="auto"/>
              <w:right w:val="single" w:sz="4" w:space="0" w:color="auto"/>
            </w:tcBorders>
          </w:tcPr>
          <w:p w:rsidR="00C828F9" w:rsidRPr="0049771F" w:rsidRDefault="00C828F9" w:rsidP="00480FDF">
            <w:pPr>
              <w:pStyle w:val="Tabletext"/>
              <w:numPr>
                <w:ilvl w:val="0"/>
                <w:numId w:val="43"/>
              </w:numPr>
              <w:ind w:left="227" w:hanging="227"/>
            </w:pPr>
            <w:r w:rsidRPr="0049771F">
              <w:t>Low quality</w:t>
            </w:r>
            <w:r w:rsidRPr="0049771F">
              <w:rPr>
                <w:rFonts w:cs="Cambria Math"/>
              </w:rPr>
              <w:t xml:space="preserve"> evidence (GRADE </w:t>
            </w:r>
            <w:r w:rsidRPr="0049771F">
              <w:rPr>
                <w:rFonts w:ascii="Cambria Math" w:hAnsi="Cambria Math" w:cs="Cambria Math"/>
                <w:color w:val="00B050"/>
              </w:rPr>
              <w:t>⨁⨁</w:t>
            </w:r>
            <w:r w:rsidRPr="0049771F">
              <w:rPr>
                <w:rFonts w:ascii="Cambria Math" w:eastAsia="Times New Roman" w:hAnsi="Cambria Math" w:cs="Cambria Math"/>
                <w:bCs/>
                <w:color w:val="FF000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828F9"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C828F9" w:rsidRPr="0049771F" w:rsidTr="00D103A9">
        <w:tc>
          <w:tcPr>
            <w:tcW w:w="1555" w:type="dxa"/>
            <w:tcBorders>
              <w:top w:val="single" w:sz="4" w:space="0" w:color="auto"/>
              <w:left w:val="single" w:sz="4" w:space="0" w:color="auto"/>
              <w:bottom w:val="single" w:sz="4" w:space="0" w:color="auto"/>
              <w:right w:val="single" w:sz="4" w:space="0" w:color="auto"/>
            </w:tcBorders>
          </w:tcPr>
          <w:p w:rsidR="00C828F9" w:rsidRPr="0049771F" w:rsidRDefault="00C828F9" w:rsidP="00C828F9">
            <w:pPr>
              <w:pStyle w:val="Tabletext"/>
            </w:pPr>
            <w:r w:rsidRPr="0049771F">
              <w:t>Improved WHO FC</w:t>
            </w:r>
          </w:p>
        </w:tc>
        <w:tc>
          <w:tcPr>
            <w:tcW w:w="1984" w:type="dxa"/>
            <w:tcBorders>
              <w:top w:val="single" w:sz="4" w:space="0" w:color="auto"/>
              <w:left w:val="single" w:sz="4" w:space="0" w:color="auto"/>
              <w:bottom w:val="single" w:sz="4" w:space="0" w:color="auto"/>
              <w:right w:val="single" w:sz="4" w:space="0" w:color="auto"/>
            </w:tcBorders>
          </w:tcPr>
          <w:p w:rsidR="00C828F9" w:rsidRPr="0049771F" w:rsidRDefault="00C828F9" w:rsidP="00C828F9">
            <w:pPr>
              <w:pStyle w:val="Tabletext"/>
            </w:pPr>
            <w:r w:rsidRPr="0049771F">
              <w:t>PATENT-1</w:t>
            </w:r>
            <w:r w:rsidRPr="0049771F">
              <w:br/>
              <w:t xml:space="preserve">(riociguat/prostanoid) </w:t>
            </w:r>
          </w:p>
          <w:p w:rsidR="00C828F9" w:rsidRPr="0049771F" w:rsidRDefault="00C828F9" w:rsidP="00C828F9">
            <w:pPr>
              <w:pStyle w:val="Tabletext"/>
            </w:pPr>
            <w:r w:rsidRPr="0049771F">
              <w:t>N=27</w:t>
            </w:r>
          </w:p>
        </w:tc>
        <w:tc>
          <w:tcPr>
            <w:tcW w:w="6095" w:type="dxa"/>
            <w:tcBorders>
              <w:top w:val="single" w:sz="4" w:space="0" w:color="auto"/>
              <w:left w:val="single" w:sz="4" w:space="0" w:color="auto"/>
              <w:bottom w:val="single" w:sz="4" w:space="0" w:color="auto"/>
              <w:right w:val="single" w:sz="4" w:space="0" w:color="auto"/>
            </w:tcBorders>
          </w:tcPr>
          <w:p w:rsidR="00C828F9" w:rsidRPr="0049771F" w:rsidRDefault="00C828F9" w:rsidP="00480FDF">
            <w:pPr>
              <w:pStyle w:val="Tabletext"/>
              <w:numPr>
                <w:ilvl w:val="0"/>
                <w:numId w:val="43"/>
              </w:numPr>
              <w:ind w:left="227" w:hanging="227"/>
            </w:pPr>
            <w:r w:rsidRPr="0049771F">
              <w:t>Very low quality</w:t>
            </w:r>
            <w:r w:rsidRPr="0049771F">
              <w:rPr>
                <w:rFonts w:cs="Cambria Math"/>
              </w:rPr>
              <w:t xml:space="preserve"> evidence (GRADE </w:t>
            </w:r>
            <w:r w:rsidRPr="0049771F">
              <w:rPr>
                <w:rFonts w:ascii="Cambria Math" w:hAnsi="Cambria Math" w:cs="Cambria Math"/>
                <w:color w:val="00B050"/>
              </w:rPr>
              <w:t>⨁</w:t>
            </w:r>
            <w:r w:rsidRPr="0049771F">
              <w:rPr>
                <w:rFonts w:ascii="Cambria Math" w:eastAsia="Times New Roman" w:hAnsi="Cambria Math" w:cs="Cambria Math"/>
                <w:bCs/>
                <w:color w:val="FF0000"/>
              </w:rPr>
              <w:t>⨀⨀</w:t>
            </w:r>
            <w:r w:rsidRPr="0049771F">
              <w:rPr>
                <w:rFonts w:ascii="Cambria Math" w:eastAsia="Times New Roman" w:hAnsi="Cambria Math" w:cs="Cambria Math"/>
                <w:bCs/>
                <w:color w:val="C0000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828F9"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C828F9" w:rsidRPr="0049771F" w:rsidTr="00D103A9">
        <w:tc>
          <w:tcPr>
            <w:tcW w:w="1555" w:type="dxa"/>
          </w:tcPr>
          <w:p w:rsidR="00C828F9" w:rsidRPr="0049771F" w:rsidRDefault="00C828F9" w:rsidP="00C828F9">
            <w:pPr>
              <w:pStyle w:val="Tabletext"/>
            </w:pPr>
            <w:r w:rsidRPr="0049771F">
              <w:t>Worsened WHO FC</w:t>
            </w:r>
          </w:p>
        </w:tc>
        <w:tc>
          <w:tcPr>
            <w:tcW w:w="1984" w:type="dxa"/>
            <w:tcBorders>
              <w:top w:val="single" w:sz="4" w:space="0" w:color="auto"/>
              <w:left w:val="single" w:sz="4" w:space="0" w:color="auto"/>
              <w:bottom w:val="single" w:sz="4" w:space="0" w:color="auto"/>
              <w:right w:val="single" w:sz="4" w:space="0" w:color="auto"/>
            </w:tcBorders>
          </w:tcPr>
          <w:p w:rsidR="00C828F9" w:rsidRPr="0049771F" w:rsidRDefault="00C828F9" w:rsidP="00C828F9">
            <w:pPr>
              <w:pStyle w:val="Tabletext"/>
            </w:pPr>
            <w:r w:rsidRPr="0049771F">
              <w:t>PATENT-1</w:t>
            </w:r>
            <w:r w:rsidRPr="0049771F">
              <w:br/>
              <w:t xml:space="preserve">(riociguat/prostanoid) </w:t>
            </w:r>
          </w:p>
          <w:p w:rsidR="00C828F9" w:rsidRPr="0049771F" w:rsidRDefault="00C828F9" w:rsidP="00C828F9">
            <w:pPr>
              <w:pStyle w:val="Tabletext"/>
            </w:pPr>
            <w:r w:rsidRPr="0049771F">
              <w:t>N=27</w:t>
            </w:r>
          </w:p>
        </w:tc>
        <w:tc>
          <w:tcPr>
            <w:tcW w:w="6095" w:type="dxa"/>
          </w:tcPr>
          <w:p w:rsidR="00C828F9" w:rsidRPr="0049771F" w:rsidRDefault="00C828F9" w:rsidP="00480FDF">
            <w:pPr>
              <w:pStyle w:val="Tabletext"/>
              <w:numPr>
                <w:ilvl w:val="0"/>
                <w:numId w:val="43"/>
              </w:numPr>
              <w:ind w:left="227" w:hanging="227"/>
            </w:pPr>
            <w:r w:rsidRPr="0049771F">
              <w:t>Low quality</w:t>
            </w:r>
            <w:r w:rsidRPr="0049771F">
              <w:rPr>
                <w:rFonts w:cs="Cambria Math"/>
              </w:rPr>
              <w:t xml:space="preserve"> evidence (GRADE </w:t>
            </w:r>
            <w:r w:rsidRPr="0049771F">
              <w:rPr>
                <w:rFonts w:ascii="Cambria Math" w:hAnsi="Cambria Math" w:cs="Cambria Math"/>
                <w:color w:val="00B050"/>
              </w:rPr>
              <w:t>⨁⨁</w:t>
            </w:r>
            <w:r w:rsidRPr="0049771F">
              <w:rPr>
                <w:rFonts w:ascii="Cambria Math" w:eastAsia="Times New Roman" w:hAnsi="Cambria Math" w:cs="Cambria Math"/>
                <w:bCs/>
                <w:color w:val="FF000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828F9"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C828F9" w:rsidRPr="0049771F" w:rsidTr="00C97379">
        <w:tc>
          <w:tcPr>
            <w:tcW w:w="1555" w:type="dxa"/>
          </w:tcPr>
          <w:p w:rsidR="00C828F9" w:rsidRPr="0049771F" w:rsidRDefault="00C828F9" w:rsidP="00C828F9">
            <w:pPr>
              <w:pStyle w:val="Tabletext"/>
            </w:pPr>
            <w:r w:rsidRPr="0049771F">
              <w:t>Change in 6MWD</w:t>
            </w:r>
            <w:r w:rsidRPr="0049771F">
              <w:rPr>
                <w:rFonts w:cs="Arial"/>
              </w:rPr>
              <w:t xml:space="preserve"> from baseline</w:t>
            </w:r>
          </w:p>
        </w:tc>
        <w:tc>
          <w:tcPr>
            <w:tcW w:w="1984" w:type="dxa"/>
          </w:tcPr>
          <w:p w:rsidR="00C828F9" w:rsidRPr="0049771F" w:rsidRDefault="00C828F9" w:rsidP="00C828F9">
            <w:pPr>
              <w:pStyle w:val="Tabletext"/>
            </w:pPr>
            <w:r w:rsidRPr="0049771F">
              <w:t>PATENT-1</w:t>
            </w:r>
            <w:r w:rsidRPr="0049771F">
              <w:br/>
              <w:t xml:space="preserve">(riociguat/prostanoid) </w:t>
            </w:r>
          </w:p>
          <w:p w:rsidR="00C828F9" w:rsidRPr="0049771F" w:rsidRDefault="00C828F9" w:rsidP="00C828F9">
            <w:pPr>
              <w:pStyle w:val="Tabletext"/>
            </w:pPr>
            <w:r w:rsidRPr="0049771F">
              <w:t>N=27</w:t>
            </w:r>
          </w:p>
        </w:tc>
        <w:tc>
          <w:tcPr>
            <w:tcW w:w="6095" w:type="dxa"/>
          </w:tcPr>
          <w:p w:rsidR="00C828F9" w:rsidRPr="0049771F" w:rsidRDefault="00C828F9" w:rsidP="00480FDF">
            <w:pPr>
              <w:pStyle w:val="Tabletext"/>
              <w:numPr>
                <w:ilvl w:val="0"/>
                <w:numId w:val="43"/>
              </w:numPr>
              <w:ind w:left="227" w:hanging="227"/>
            </w:pPr>
            <w:r w:rsidRPr="0049771F">
              <w:t xml:space="preserve">Low quality evidence (GRADE </w:t>
            </w:r>
            <w:r w:rsidRPr="0049771F">
              <w:rPr>
                <w:rFonts w:ascii="Cambria Math" w:hAnsi="Cambria Math" w:cs="Cambria Math"/>
                <w:color w:val="00B050"/>
              </w:rPr>
              <w:t>⨁⨁</w:t>
            </w:r>
            <w:r w:rsidRPr="0049771F">
              <w:rPr>
                <w:rFonts w:ascii="Cambria Math" w:eastAsia="Times New Roman" w:hAnsi="Cambria Math" w:cs="Cambria Math"/>
                <w:bCs/>
                <w:color w:val="FF0000"/>
              </w:rPr>
              <w:t>⨀⨀</w:t>
            </w:r>
            <w:r w:rsidRPr="0049771F">
              <w:t>)</w:t>
            </w:r>
          </w:p>
          <w:p w:rsidR="001D6161" w:rsidRDefault="002046A0" w:rsidP="001D6161">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1D6161">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1D6161">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1D6161">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828F9" w:rsidRPr="002046A0" w:rsidRDefault="002046A0" w:rsidP="001D6161">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C828F9" w:rsidRPr="0049771F" w:rsidTr="00C97379">
        <w:tc>
          <w:tcPr>
            <w:tcW w:w="1555" w:type="dxa"/>
          </w:tcPr>
          <w:p w:rsidR="00C828F9" w:rsidRPr="0049771F" w:rsidRDefault="00C828F9" w:rsidP="00C828F9">
            <w:pPr>
              <w:pStyle w:val="Tabletext"/>
            </w:pPr>
            <w:r w:rsidRPr="0049771F">
              <w:t>Change in QoL</w:t>
            </w:r>
            <w:r w:rsidRPr="0049771F">
              <w:rPr>
                <w:rFonts w:cs="Arial"/>
              </w:rPr>
              <w:t xml:space="preserve"> from baseline</w:t>
            </w:r>
            <w:r w:rsidRPr="0049771F">
              <w:t>:</w:t>
            </w:r>
          </w:p>
          <w:p w:rsidR="00C828F9" w:rsidRPr="0049771F" w:rsidRDefault="00C828F9" w:rsidP="00C828F9">
            <w:pPr>
              <w:pStyle w:val="Tabletext"/>
            </w:pPr>
            <w:r w:rsidRPr="0049771F">
              <w:t>EQ-5D</w:t>
            </w:r>
            <w:r w:rsidRPr="0049771F">
              <w:rPr>
                <w:vertAlign w:val="superscript"/>
              </w:rPr>
              <w:t>a</w:t>
            </w:r>
            <w:r w:rsidRPr="0049771F">
              <w:t>, LPH</w:t>
            </w:r>
            <w:r w:rsidRPr="0049771F">
              <w:rPr>
                <w:vertAlign w:val="superscript"/>
              </w:rPr>
              <w:t>b</w:t>
            </w:r>
          </w:p>
        </w:tc>
        <w:tc>
          <w:tcPr>
            <w:tcW w:w="1984" w:type="dxa"/>
          </w:tcPr>
          <w:p w:rsidR="00C828F9" w:rsidRPr="0049771F" w:rsidRDefault="00C828F9" w:rsidP="00C828F9">
            <w:pPr>
              <w:pStyle w:val="Tabletext"/>
            </w:pPr>
            <w:r w:rsidRPr="0049771F">
              <w:t>PATENT-1</w:t>
            </w:r>
            <w:r w:rsidRPr="0049771F">
              <w:br/>
              <w:t xml:space="preserve">(riociguat/prostanoid) </w:t>
            </w:r>
          </w:p>
          <w:p w:rsidR="00C828F9" w:rsidRPr="0049771F" w:rsidRDefault="00C828F9" w:rsidP="00C828F9">
            <w:pPr>
              <w:pStyle w:val="Tabletext"/>
            </w:pPr>
            <w:r w:rsidRPr="0049771F">
              <w:t>N=27</w:t>
            </w:r>
          </w:p>
        </w:tc>
        <w:tc>
          <w:tcPr>
            <w:tcW w:w="6095" w:type="dxa"/>
          </w:tcPr>
          <w:p w:rsidR="00C828F9" w:rsidRPr="0049771F" w:rsidRDefault="00C828F9" w:rsidP="00480FDF">
            <w:pPr>
              <w:pStyle w:val="Tabletext"/>
              <w:numPr>
                <w:ilvl w:val="0"/>
                <w:numId w:val="43"/>
              </w:numPr>
              <w:ind w:left="227" w:hanging="227"/>
            </w:pPr>
            <w:r w:rsidRPr="0049771F">
              <w:t xml:space="preserve">Moderate quality evidence (GRADE </w:t>
            </w:r>
            <w:r w:rsidRPr="0049771F">
              <w:rPr>
                <w:rFonts w:ascii="Cambria Math" w:hAnsi="Cambria Math" w:cs="Cambria Math"/>
                <w:color w:val="00B050"/>
              </w:rPr>
              <w:t>⨁⨁⨁</w:t>
            </w:r>
            <w:r w:rsidRPr="0049771F">
              <w:rPr>
                <w:rFonts w:ascii="Cambria Math" w:eastAsia="Times New Roman" w:hAnsi="Cambria Math" w:cs="Cambria Math"/>
                <w:bCs/>
                <w:color w:val="FF000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828F9"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r w:rsidR="00C828F9" w:rsidTr="00D103A9">
        <w:tc>
          <w:tcPr>
            <w:tcW w:w="1555" w:type="dxa"/>
          </w:tcPr>
          <w:p w:rsidR="00C828F9" w:rsidRPr="0049771F" w:rsidRDefault="00C828F9" w:rsidP="00C828F9">
            <w:pPr>
              <w:pStyle w:val="Tabletext"/>
            </w:pPr>
            <w:r w:rsidRPr="0049771F">
              <w:t>Change in haemodynamic parameters</w:t>
            </w:r>
            <w:r w:rsidRPr="0049771F">
              <w:rPr>
                <w:rFonts w:cs="Arial"/>
              </w:rPr>
              <w:t xml:space="preserve"> from baseline</w:t>
            </w:r>
            <w:r w:rsidRPr="0049771F">
              <w:t>:</w:t>
            </w:r>
          </w:p>
          <w:p w:rsidR="00C828F9" w:rsidRPr="0049771F" w:rsidRDefault="00C828F9" w:rsidP="00C828F9">
            <w:pPr>
              <w:pStyle w:val="Tabletext"/>
            </w:pPr>
            <w:r w:rsidRPr="0049771F">
              <w:t>PVR</w:t>
            </w:r>
          </w:p>
        </w:tc>
        <w:tc>
          <w:tcPr>
            <w:tcW w:w="1984" w:type="dxa"/>
          </w:tcPr>
          <w:p w:rsidR="00C828F9" w:rsidRPr="0049771F" w:rsidRDefault="00C828F9" w:rsidP="00C828F9">
            <w:pPr>
              <w:pStyle w:val="Tabletext"/>
            </w:pPr>
            <w:r w:rsidRPr="0049771F">
              <w:t>PATENT-1</w:t>
            </w:r>
            <w:r w:rsidRPr="0049771F">
              <w:br/>
              <w:t xml:space="preserve">(riociguat/prostanoid) </w:t>
            </w:r>
          </w:p>
          <w:p w:rsidR="00C828F9" w:rsidRPr="0049771F" w:rsidRDefault="00C828F9" w:rsidP="00C828F9">
            <w:pPr>
              <w:pStyle w:val="Tabletext"/>
            </w:pPr>
            <w:r w:rsidRPr="0049771F">
              <w:t>N=27</w:t>
            </w:r>
          </w:p>
        </w:tc>
        <w:tc>
          <w:tcPr>
            <w:tcW w:w="6095" w:type="dxa"/>
          </w:tcPr>
          <w:p w:rsidR="00C828F9" w:rsidRPr="0049771F" w:rsidRDefault="00C828F9" w:rsidP="00480FDF">
            <w:pPr>
              <w:pStyle w:val="Tabletext"/>
              <w:numPr>
                <w:ilvl w:val="0"/>
                <w:numId w:val="43"/>
              </w:numPr>
              <w:ind w:left="227" w:hanging="227"/>
            </w:pPr>
            <w:r w:rsidRPr="0049771F">
              <w:t xml:space="preserve">Very low quality evidence (GRADE </w:t>
            </w:r>
            <w:r w:rsidRPr="0049771F">
              <w:rPr>
                <w:rFonts w:ascii="Cambria Math" w:hAnsi="Cambria Math" w:cs="Cambria Math"/>
                <w:color w:val="00B050"/>
              </w:rPr>
              <w:t>⨁</w:t>
            </w:r>
            <w:r w:rsidRPr="0049771F">
              <w:rPr>
                <w:rFonts w:ascii="Cambria Math" w:eastAsia="Times New Roman" w:hAnsi="Cambria Math" w:cs="Cambria Math"/>
                <w:bCs/>
                <w:color w:val="FF0000"/>
              </w:rPr>
              <w:t>⨀⨀</w:t>
            </w:r>
            <w:r w:rsidRPr="0049771F">
              <w:rPr>
                <w:rFonts w:ascii="Cambria Math" w:hAnsi="Cambria Math" w:cs="Cambria Math"/>
                <w:color w:val="C00000"/>
              </w:rPr>
              <w:t>⨀</w:t>
            </w:r>
            <w:r w:rsidRPr="0049771F">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1D6161" w:rsidRDefault="002046A0" w:rsidP="002046A0">
            <w:pPr>
              <w:pStyle w:val="Tabletext"/>
              <w:ind w:left="227" w:hanging="227"/>
              <w:rPr>
                <w:rFonts w:ascii="Symbol" w:hAnsi="Symbol"/>
                <w:noProof/>
                <w:color w:val="000000"/>
                <w:sz w:val="12"/>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p w:rsidR="00C828F9" w:rsidRPr="002046A0" w:rsidRDefault="002046A0" w:rsidP="002046A0">
            <w:pPr>
              <w:pStyle w:val="Tabletext"/>
              <w:ind w:left="227" w:hanging="227"/>
              <w:rPr>
                <w:highlight w:val="black"/>
              </w:rPr>
            </w:pP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r w:rsidRPr="00DD3F6A">
              <w:rPr>
                <w:rFonts w:ascii="Symbol" w:hAnsi="Symbol"/>
                <w:noProof/>
                <w:color w:val="000000"/>
                <w:sz w:val="12"/>
                <w:highlight w:val="black"/>
              </w:rPr>
              <w:t></w:t>
            </w:r>
          </w:p>
        </w:tc>
      </w:tr>
    </w:tbl>
    <w:p w:rsidR="006778E8" w:rsidRDefault="006778E8" w:rsidP="006778E8">
      <w:pPr>
        <w:pStyle w:val="Tablenote"/>
      </w:pPr>
      <w:proofErr w:type="gramStart"/>
      <w:r>
        <w:rPr>
          <w:vertAlign w:val="superscript"/>
        </w:rPr>
        <w:t>a</w:t>
      </w:r>
      <w:proofErr w:type="gramEnd"/>
      <w:r>
        <w:rPr>
          <w:vertAlign w:val="superscript"/>
        </w:rPr>
        <w:t xml:space="preserve"> </w:t>
      </w:r>
      <w:r>
        <w:t xml:space="preserve">EQ-5D utility scores range from </w:t>
      </w:r>
      <w:r w:rsidRPr="00C569DB">
        <w:t>−</w:t>
      </w:r>
      <w:r>
        <w:t>0.59 to 1.00. A higher score represents better QoL.</w:t>
      </w:r>
    </w:p>
    <w:p w:rsidR="006778E8" w:rsidRDefault="006778E8" w:rsidP="006778E8">
      <w:pPr>
        <w:pStyle w:val="Tablenote"/>
      </w:pPr>
      <w:proofErr w:type="gramStart"/>
      <w:r>
        <w:rPr>
          <w:vertAlign w:val="superscript"/>
        </w:rPr>
        <w:t>b</w:t>
      </w:r>
      <w:proofErr w:type="gramEnd"/>
      <w:r>
        <w:rPr>
          <w:vertAlign w:val="superscript"/>
        </w:rPr>
        <w:t xml:space="preserve"> </w:t>
      </w:r>
      <w:r>
        <w:t>LPH total scores range from 0 to 105. A higher score indicates poorer QoL.</w:t>
      </w:r>
    </w:p>
    <w:p w:rsidR="00BE3517" w:rsidRDefault="009B35CE" w:rsidP="00D103A9">
      <w:pPr>
        <w:pStyle w:val="Tablenote"/>
      </w:pPr>
      <w:r>
        <w:t xml:space="preserve">6MWD = 6-minute </w:t>
      </w:r>
      <w:r w:rsidR="0082368E">
        <w:t>walk distance</w:t>
      </w:r>
      <w:r w:rsidR="00B21201">
        <w:t>; ARD</w:t>
      </w:r>
      <w:r>
        <w:t xml:space="preserve"> = absolute risk </w:t>
      </w:r>
      <w:r w:rsidR="00B21201">
        <w:t>difference</w:t>
      </w:r>
      <w:r>
        <w:t xml:space="preserve">; CI = confidence interval; </w:t>
      </w:r>
      <w:r w:rsidR="00572AE9">
        <w:t xml:space="preserve">EQ-5D = EuroQol 5 </w:t>
      </w:r>
      <w:r w:rsidRPr="00151DD9">
        <w:t xml:space="preserve">dimension; </w:t>
      </w:r>
      <w:r>
        <w:t xml:space="preserve">FC = functional class; </w:t>
      </w:r>
      <w:r w:rsidR="00385E5A">
        <w:t>GRADE = grading of recommendations assessment, development and evaluation</w:t>
      </w:r>
      <w:r w:rsidR="001D34EE" w:rsidRPr="001D34EE">
        <w:rPr>
          <w:noProof/>
          <w:vertAlign w:val="superscript"/>
        </w:rPr>
        <w:t>1</w:t>
      </w:r>
      <w:r w:rsidR="00BE3517" w:rsidRPr="00BE3517">
        <w:t>;</w:t>
      </w:r>
      <w:r w:rsidR="00BE3517">
        <w:t xml:space="preserve"> </w:t>
      </w:r>
      <w:r w:rsidRPr="00151DD9">
        <w:t xml:space="preserve">LPH = living with pulmonary hypertension; </w:t>
      </w:r>
      <w:r>
        <w:t xml:space="preserve">MD = mean difference; </w:t>
      </w:r>
      <w:r w:rsidRPr="00C65B42">
        <w:t xml:space="preserve">PAH = pulmonary arterial hypertension; </w:t>
      </w:r>
      <w:r w:rsidRPr="00151DD9">
        <w:t xml:space="preserve">PVR = pulmonary vascular resistance; </w:t>
      </w:r>
      <w:r>
        <w:t xml:space="preserve">QoL = quality of life; RR = relative risk; </w:t>
      </w:r>
      <w:r w:rsidRPr="00151DD9">
        <w:t>sGC = soluble guanylate cyclase stimulator;</w:t>
      </w:r>
      <w:r>
        <w:t xml:space="preserve"> WHO = World Health Organization</w:t>
      </w:r>
    </w:p>
    <w:p w:rsidR="009B35CE" w:rsidRPr="0042195A" w:rsidRDefault="009B35CE" w:rsidP="009B35CE">
      <w:pPr>
        <w:pStyle w:val="Heading5"/>
      </w:pPr>
      <w:r w:rsidRPr="0042195A">
        <w:t>Safety</w:t>
      </w:r>
    </w:p>
    <w:p w:rsidR="0044469E" w:rsidRDefault="00457FA6" w:rsidP="009B35CE">
      <w:r w:rsidRPr="00457FA6">
        <w:t xml:space="preserve">There is no evidence to evaluate the comparative safety of a sGC stimulator in addition to a </w:t>
      </w:r>
      <w:r>
        <w:t>prostanoid</w:t>
      </w:r>
      <w:r w:rsidRPr="00457FA6">
        <w:t xml:space="preserve">, relative to </w:t>
      </w:r>
      <w:r w:rsidR="0017012F">
        <w:t>prostanoid</w:t>
      </w:r>
      <w:r w:rsidRPr="00457FA6">
        <w:t xml:space="preserve"> monotherapy</w:t>
      </w:r>
      <w:r w:rsidR="00CC67A6">
        <w:t>,</w:t>
      </w:r>
      <w:r w:rsidRPr="00457FA6">
        <w:t xml:space="preserve"> when </w:t>
      </w:r>
      <w:r>
        <w:t>used to treat patients with PAH</w:t>
      </w:r>
      <w:r w:rsidR="009B35CE" w:rsidRPr="00944958">
        <w:t>.</w:t>
      </w:r>
    </w:p>
    <w:p w:rsidR="0044469E" w:rsidRDefault="0044469E">
      <w:pPr>
        <w:spacing w:before="0" w:line="240" w:lineRule="auto"/>
      </w:pPr>
      <w:r>
        <w:br w:type="page"/>
      </w:r>
    </w:p>
    <w:p w:rsidR="00FC1362" w:rsidRPr="00EB1471" w:rsidRDefault="00FC1362" w:rsidP="00D103A9">
      <w:pPr>
        <w:pStyle w:val="Heading3"/>
      </w:pPr>
      <w:bookmarkStart w:id="48" w:name="_Toc38360268"/>
      <w:r w:rsidRPr="00EB1471">
        <w:t>Effectiveness and safety of triple combination therapy</w:t>
      </w:r>
      <w:bookmarkEnd w:id="48"/>
      <w:r w:rsidRPr="00EB1471">
        <w:t xml:space="preserve"> </w:t>
      </w:r>
    </w:p>
    <w:p w:rsidR="005A0C83" w:rsidRPr="00532B79" w:rsidRDefault="005A0C83" w:rsidP="005A0C83">
      <w:pPr>
        <w:pStyle w:val="ToRText"/>
        <w:shd w:val="clear" w:color="auto" w:fill="F2F2F2" w:themeFill="background1" w:themeFillShade="F2"/>
        <w:spacing w:before="240"/>
        <w:rPr>
          <w:b w:val="0"/>
          <w:color w:val="auto"/>
          <w:shd w:val="clear" w:color="auto" w:fill="F2F2F2" w:themeFill="background1" w:themeFillShade="F2"/>
        </w:rPr>
      </w:pPr>
      <w:bookmarkStart w:id="49" w:name="_Toc486515177"/>
      <w:bookmarkStart w:id="50" w:name="_Toc468022801"/>
      <w:r w:rsidRPr="00532B79">
        <w:rPr>
          <w:b w:val="0"/>
          <w:color w:val="auto"/>
          <w:shd w:val="clear" w:color="auto" w:fill="F2F2F2" w:themeFill="background1" w:themeFillShade="F2"/>
        </w:rPr>
        <w:t>Q4.</w:t>
      </w:r>
      <w:r w:rsidRPr="00532B79">
        <w:rPr>
          <w:b w:val="0"/>
          <w:color w:val="auto"/>
          <w:shd w:val="clear" w:color="auto" w:fill="F2F2F2" w:themeFill="background1" w:themeFillShade="F2"/>
        </w:rPr>
        <w:tab/>
        <w:t xml:space="preserve">What is the effectiveness and safety of triple combination therapy involving any combination of an ERA, a PDE 5 inhibitor, a prostanoid, or a sGC stimulator, compared </w:t>
      </w:r>
      <w:r>
        <w:rPr>
          <w:b w:val="0"/>
          <w:color w:val="auto"/>
          <w:shd w:val="clear" w:color="auto" w:fill="F2F2F2" w:themeFill="background1" w:themeFillShade="F2"/>
        </w:rPr>
        <w:t xml:space="preserve">to dual combination therapy, </w:t>
      </w:r>
      <w:proofErr w:type="gramStart"/>
      <w:r>
        <w:rPr>
          <w:b w:val="0"/>
          <w:color w:val="auto"/>
          <w:shd w:val="clear" w:color="auto" w:fill="F2F2F2" w:themeFill="background1" w:themeFillShade="F2"/>
        </w:rPr>
        <w:t>in</w:t>
      </w:r>
      <w:r w:rsidR="00697712">
        <w:rPr>
          <w:b w:val="0"/>
          <w:color w:val="auto"/>
          <w:shd w:val="clear" w:color="auto" w:fill="F2F2F2" w:themeFill="background1" w:themeFillShade="F2"/>
        </w:rPr>
        <w:t>:</w:t>
      </w:r>
      <w:proofErr w:type="gramEnd"/>
    </w:p>
    <w:p w:rsidR="005A0C83" w:rsidRPr="00532B79" w:rsidRDefault="005A0C83" w:rsidP="005A0C83">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i)</w:t>
      </w:r>
      <w:r w:rsidRPr="00532B79">
        <w:rPr>
          <w:b w:val="0"/>
          <w:color w:val="auto"/>
          <w:shd w:val="clear" w:color="auto" w:fill="F2F2F2" w:themeFill="background1" w:themeFillShade="F2"/>
        </w:rPr>
        <w:tab/>
        <w:t>PAH patients, irrespective of disease severity or aetiology;</w:t>
      </w:r>
    </w:p>
    <w:p w:rsidR="005A0C83" w:rsidRPr="00532B79" w:rsidRDefault="005A0C83" w:rsidP="005A0C83">
      <w:pPr>
        <w:pStyle w:val="ToRText"/>
        <w:shd w:val="clear" w:color="auto" w:fill="F2F2F2" w:themeFill="background1" w:themeFillShade="F2"/>
        <w:rPr>
          <w:b w:val="0"/>
          <w:color w:val="auto"/>
          <w:shd w:val="clear" w:color="auto" w:fill="F2F2F2" w:themeFill="background1" w:themeFillShade="F2"/>
        </w:rPr>
      </w:pPr>
      <w:r w:rsidRPr="00532B79">
        <w:rPr>
          <w:b w:val="0"/>
          <w:color w:val="auto"/>
          <w:shd w:val="clear" w:color="auto" w:fill="F2F2F2" w:themeFill="background1" w:themeFillShade="F2"/>
        </w:rPr>
        <w:t>ii)</w:t>
      </w:r>
      <w:r w:rsidRPr="00532B79">
        <w:rPr>
          <w:b w:val="0"/>
          <w:color w:val="auto"/>
          <w:shd w:val="clear" w:color="auto" w:fill="F2F2F2" w:themeFill="background1" w:themeFillShade="F2"/>
        </w:rPr>
        <w:tab/>
        <w:t xml:space="preserve">PAH patients with FC III or IV; and </w:t>
      </w:r>
    </w:p>
    <w:p w:rsidR="005A0C83" w:rsidRPr="00D228A6" w:rsidRDefault="005A0C83" w:rsidP="005A0C83">
      <w:pPr>
        <w:pStyle w:val="ToRText"/>
        <w:shd w:val="clear" w:color="auto" w:fill="F2F2F2" w:themeFill="background1" w:themeFillShade="F2"/>
        <w:rPr>
          <w:b w:val="0"/>
          <w:color w:val="auto"/>
        </w:rPr>
      </w:pPr>
      <w:r w:rsidRPr="00532B79">
        <w:rPr>
          <w:b w:val="0"/>
          <w:color w:val="auto"/>
          <w:shd w:val="clear" w:color="auto" w:fill="F2F2F2" w:themeFill="background1" w:themeFillShade="F2"/>
        </w:rPr>
        <w:t>iii)</w:t>
      </w:r>
      <w:r w:rsidRPr="00532B79">
        <w:rPr>
          <w:b w:val="0"/>
          <w:color w:val="auto"/>
          <w:shd w:val="clear" w:color="auto" w:fill="F2F2F2" w:themeFill="background1" w:themeFillShade="F2"/>
        </w:rPr>
        <w:tab/>
        <w:t>PAH patients with different disease aetiologies?</w:t>
      </w:r>
    </w:p>
    <w:p w:rsidR="009B35CE" w:rsidRDefault="009B35CE" w:rsidP="009B35CE">
      <w:r w:rsidRPr="006316DF">
        <w:t xml:space="preserve">There was no </w:t>
      </w:r>
      <w:r w:rsidR="00B521CF">
        <w:t xml:space="preserve">comparative </w:t>
      </w:r>
      <w:r w:rsidRPr="006316DF">
        <w:t xml:space="preserve">evidence concerning the effectiveness and safety of </w:t>
      </w:r>
      <w:r w:rsidRPr="00C64992">
        <w:t xml:space="preserve">triple combination therapy </w:t>
      </w:r>
      <w:r w:rsidRPr="006316DF">
        <w:t xml:space="preserve">with </w:t>
      </w:r>
      <w:r w:rsidR="00C655EC">
        <w:t xml:space="preserve">PBS-listed </w:t>
      </w:r>
      <w:r w:rsidRPr="006316DF">
        <w:t>PAH medicine</w:t>
      </w:r>
      <w:r>
        <w:t>s</w:t>
      </w:r>
      <w:r w:rsidR="00B521CF">
        <w:t xml:space="preserve"> relative to</w:t>
      </w:r>
      <w:r w:rsidRPr="006316DF">
        <w:t xml:space="preserve"> </w:t>
      </w:r>
      <w:r w:rsidRPr="00C64992">
        <w:t>dual combination therapy</w:t>
      </w:r>
      <w:r w:rsidRPr="006316DF">
        <w:t xml:space="preserve"> in </w:t>
      </w:r>
      <w:r>
        <w:t xml:space="preserve">any </w:t>
      </w:r>
      <w:r w:rsidRPr="006316DF">
        <w:t>patients with PAH.</w:t>
      </w:r>
    </w:p>
    <w:p w:rsidR="003718FE" w:rsidRPr="00EB1471" w:rsidRDefault="003718FE" w:rsidP="00D103A9">
      <w:pPr>
        <w:pStyle w:val="Heading3"/>
      </w:pPr>
      <w:bookmarkStart w:id="51" w:name="_Toc38360269"/>
      <w:r>
        <w:t>Extended assessment of safety</w:t>
      </w:r>
      <w:bookmarkEnd w:id="51"/>
      <w:r w:rsidRPr="00EB1471">
        <w:t xml:space="preserve"> </w:t>
      </w:r>
    </w:p>
    <w:p w:rsidR="001D0FDA" w:rsidRDefault="001D0FDA" w:rsidP="001D0FDA">
      <w:r>
        <w:t xml:space="preserve">Results from a total of </w:t>
      </w:r>
      <w:proofErr w:type="gramStart"/>
      <w:r>
        <w:t>four</w:t>
      </w:r>
      <w:proofErr w:type="gramEnd"/>
      <w:r>
        <w:t xml:space="preserve"> RCTs and 19 observational studies were presented in the Review for extended safety assessment of PAH medicines. The key findings are:</w:t>
      </w:r>
    </w:p>
    <w:p w:rsidR="001D0FDA" w:rsidRPr="00B607A5" w:rsidRDefault="001D0FDA" w:rsidP="001D0FDA">
      <w:pPr>
        <w:pStyle w:val="Bullettext"/>
      </w:pPr>
      <w:r w:rsidRPr="00B607A5">
        <w:t xml:space="preserve">No clear safety signal has been identified </w:t>
      </w:r>
      <w:proofErr w:type="gramStart"/>
      <w:r w:rsidRPr="00B607A5">
        <w:t>on the basis of</w:t>
      </w:r>
      <w:proofErr w:type="gramEnd"/>
      <w:r w:rsidRPr="00B607A5">
        <w:t xml:space="preserve"> the safety data from included trials and studies. </w:t>
      </w:r>
    </w:p>
    <w:p w:rsidR="001D0FDA" w:rsidRPr="00B607A5" w:rsidRDefault="001D0FDA" w:rsidP="001D0FDA">
      <w:pPr>
        <w:pStyle w:val="Bullettext"/>
      </w:pPr>
      <w:r w:rsidRPr="00B607A5">
        <w:t xml:space="preserve">In paediatric patients, sildenafil had a worse safety profile than placebo. </w:t>
      </w:r>
      <w:r w:rsidR="006B2A7D" w:rsidRPr="00B607A5">
        <w:t>AE</w:t>
      </w:r>
      <w:r w:rsidRPr="00B607A5">
        <w:t xml:space="preserve">s occurring more frequently in patients receiving sildenafil, included pyrexia, increased erection, and upper respiratory tract infections. The occurrence of pyrexia, vomiting, and nausea appeared to be dose-related. </w:t>
      </w:r>
    </w:p>
    <w:p w:rsidR="001D0FDA" w:rsidRPr="00B607A5" w:rsidRDefault="001D0FDA" w:rsidP="001D0FDA">
      <w:pPr>
        <w:pStyle w:val="Bullettext"/>
      </w:pPr>
      <w:r w:rsidRPr="00B607A5">
        <w:t>The proportion of patients with ocular adverse events was generally low and comparable between sildenafil, at its recommended dose (i</w:t>
      </w:r>
      <w:r w:rsidR="007E4C7F">
        <w:t>.</w:t>
      </w:r>
      <w:r w:rsidRPr="00B607A5">
        <w:t>e</w:t>
      </w:r>
      <w:r w:rsidR="007E4C7F">
        <w:t>.</w:t>
      </w:r>
      <w:r w:rsidRPr="00B607A5">
        <w:t xml:space="preserve"> 20 mg</w:t>
      </w:r>
      <w:r w:rsidR="00AC18D8">
        <w:t xml:space="preserve"> three times a day</w:t>
      </w:r>
      <w:r w:rsidRPr="00B607A5">
        <w:t xml:space="preserve"> </w:t>
      </w:r>
      <w:r w:rsidR="00AC18D8">
        <w:t>(</w:t>
      </w:r>
      <w:r w:rsidRPr="00B607A5">
        <w:t>tid</w:t>
      </w:r>
      <w:r w:rsidR="00AC18D8">
        <w:t>)</w:t>
      </w:r>
      <w:r w:rsidRPr="00B607A5">
        <w:t xml:space="preserve">), and placebo, but with some </w:t>
      </w:r>
      <w:r w:rsidR="006B2A7D" w:rsidRPr="00B607A5">
        <w:t>AE</w:t>
      </w:r>
      <w:r w:rsidRPr="00B607A5">
        <w:t>s reported only in patients receiving sildenafil, eg retinal haemorrhage (1.4%).</w:t>
      </w:r>
    </w:p>
    <w:p w:rsidR="001D0FDA" w:rsidRPr="00B607A5" w:rsidRDefault="001D0FDA" w:rsidP="001D0FDA">
      <w:pPr>
        <w:pStyle w:val="Bullettext"/>
      </w:pPr>
      <w:r w:rsidRPr="00B607A5">
        <w:t xml:space="preserve">Monotherapy with tadalafil was inferior to placebo in terms of safety, with a higher incidence of overall </w:t>
      </w:r>
      <w:r w:rsidR="006B2A7D" w:rsidRPr="00B607A5">
        <w:t>AE</w:t>
      </w:r>
      <w:r w:rsidRPr="00B607A5">
        <w:t xml:space="preserve">s, diarrhoea, nausea, nasopharyngitis, upper respiratory tract infections, myalgia, flushing, dyspepsia and pain in </w:t>
      </w:r>
      <w:r w:rsidR="00DB4D9C" w:rsidRPr="00B607A5">
        <w:t>the extremities</w:t>
      </w:r>
      <w:r w:rsidRPr="00B607A5">
        <w:t>.</w:t>
      </w:r>
    </w:p>
    <w:p w:rsidR="001D0FDA" w:rsidRPr="00B607A5" w:rsidRDefault="001D0FDA" w:rsidP="001D0FDA">
      <w:pPr>
        <w:pStyle w:val="Bullettext"/>
      </w:pPr>
      <w:r w:rsidRPr="00B607A5">
        <w:t xml:space="preserve">The included observational studies followed patients for 2 years and above, which reflects the typical prolonged use of PAH medicines in clinical practice. For </w:t>
      </w:r>
      <w:r w:rsidR="00DB4D9C" w:rsidRPr="00B607A5">
        <w:t xml:space="preserve">individual </w:t>
      </w:r>
      <w:r w:rsidRPr="00B607A5">
        <w:t xml:space="preserve">PAH medicines, the safety results from observational studies generally agreed with each other and with the safety results from RCT(s) and post-marketing data included in </w:t>
      </w:r>
      <w:r w:rsidR="00DB4D9C" w:rsidRPr="00B607A5">
        <w:t xml:space="preserve">the </w:t>
      </w:r>
      <w:r w:rsidRPr="00B607A5">
        <w:t xml:space="preserve">product information (PI) documents. </w:t>
      </w:r>
    </w:p>
    <w:p w:rsidR="001D0FDA" w:rsidRPr="00B607A5" w:rsidRDefault="001D0FDA" w:rsidP="001D0FDA">
      <w:pPr>
        <w:pStyle w:val="Bullettext"/>
      </w:pPr>
      <w:r w:rsidRPr="00B607A5">
        <w:t>Limited data from studies in paediatric PAH patients suggested that, for both bosentan and sildenafil, the safety profile in children with PAH was generally consistent with that in a</w:t>
      </w:r>
      <w:r w:rsidR="00C175BC">
        <w:t>dults.</w:t>
      </w:r>
    </w:p>
    <w:p w:rsidR="001D0FDA" w:rsidRDefault="001D0FDA" w:rsidP="001D0FDA">
      <w:r>
        <w:t>The potential new safety signals identified by comparing the</w:t>
      </w:r>
      <w:r w:rsidR="00073A00">
        <w:t xml:space="preserve"> </w:t>
      </w:r>
      <w:r w:rsidR="00073A00" w:rsidRPr="00073A00">
        <w:t>Therapeutic Goods Administration</w:t>
      </w:r>
      <w:r>
        <w:t xml:space="preserve"> </w:t>
      </w:r>
      <w:r w:rsidR="00073A00">
        <w:t>(</w:t>
      </w:r>
      <w:r>
        <w:t>TGA</w:t>
      </w:r>
      <w:r w:rsidR="00073A00">
        <w:t xml:space="preserve">) </w:t>
      </w:r>
      <w:r>
        <w:t xml:space="preserve">approved PI with the </w:t>
      </w:r>
      <w:r w:rsidR="00073A00" w:rsidRPr="00073A00">
        <w:t xml:space="preserve">European Medicines Agency </w:t>
      </w:r>
      <w:r w:rsidR="00073A00">
        <w:t>(</w:t>
      </w:r>
      <w:r>
        <w:t>EMA</w:t>
      </w:r>
      <w:r w:rsidR="00073A00">
        <w:t>)</w:t>
      </w:r>
      <w:r>
        <w:t xml:space="preserve"> Summary of Product Characteristics (SmPC) and the </w:t>
      </w:r>
      <w:r w:rsidR="00073A00" w:rsidRPr="00073A00">
        <w:t xml:space="preserve">United States Food and Drug Administration </w:t>
      </w:r>
      <w:r w:rsidR="00073A00">
        <w:t>(</w:t>
      </w:r>
      <w:r>
        <w:t>FDA</w:t>
      </w:r>
      <w:r w:rsidR="00073A00">
        <w:t>)</w:t>
      </w:r>
      <w:r>
        <w:t xml:space="preserve"> product label include: </w:t>
      </w:r>
    </w:p>
    <w:p w:rsidR="001D0FDA" w:rsidRDefault="001D0FDA" w:rsidP="00466BBD">
      <w:pPr>
        <w:pStyle w:val="Bullettext"/>
      </w:pPr>
      <w:r>
        <w:t>U</w:t>
      </w:r>
      <w:r w:rsidRPr="001240F2">
        <w:t>se of bosentan in patients with chronic obs</w:t>
      </w:r>
      <w:r>
        <w:t>tructive pulmonary disease</w:t>
      </w:r>
      <w:r w:rsidR="00466BBD">
        <w:t xml:space="preserve"> (</w:t>
      </w:r>
      <w:r w:rsidR="00466BBD" w:rsidRPr="00466BBD">
        <w:t>increase in minute ventilation</w:t>
      </w:r>
      <w:r w:rsidR="00466BBD">
        <w:t>,</w:t>
      </w:r>
      <w:r w:rsidR="00466BBD" w:rsidRPr="00466BBD">
        <w:t xml:space="preserve"> </w:t>
      </w:r>
      <w:r w:rsidR="00466BBD">
        <w:t>decreased</w:t>
      </w:r>
      <w:r w:rsidR="00466BBD" w:rsidRPr="00466BBD">
        <w:t xml:space="preserve"> oxygen saturation</w:t>
      </w:r>
      <w:r w:rsidR="00466BBD">
        <w:t xml:space="preserve"> and</w:t>
      </w:r>
      <w:r w:rsidR="00466BBD" w:rsidRPr="00466BBD">
        <w:t xml:space="preserve"> </w:t>
      </w:r>
      <w:r w:rsidR="00466BBD">
        <w:t>dyspnoea)</w:t>
      </w:r>
      <w:r>
        <w:t>.</w:t>
      </w:r>
    </w:p>
    <w:p w:rsidR="001D0FDA" w:rsidRDefault="006B2A7D" w:rsidP="001D0FDA">
      <w:pPr>
        <w:pStyle w:val="Bullettext"/>
      </w:pPr>
      <w:r>
        <w:t>AE</w:t>
      </w:r>
      <w:r w:rsidR="001D0FDA" w:rsidRPr="001240F2">
        <w:t>s of penile haemorrhage and haematospermia in patients receiving PDE-5 inhibitors (both sildenafil and tadalafil)</w:t>
      </w:r>
      <w:r w:rsidR="001D0FDA">
        <w:t>.</w:t>
      </w:r>
    </w:p>
    <w:p w:rsidR="001D0FDA" w:rsidRPr="00B607A5" w:rsidRDefault="001D0FDA" w:rsidP="001D0FDA">
      <w:pPr>
        <w:pStyle w:val="Bullettext"/>
      </w:pPr>
      <w:r w:rsidRPr="00B607A5">
        <w:t>Potential for vaso-occlusive crises in patients receiving sildenafil for PH secondary to sickle cell anaemia.</w:t>
      </w:r>
    </w:p>
    <w:p w:rsidR="001D0FDA" w:rsidRPr="00B607A5" w:rsidRDefault="001D0FDA" w:rsidP="001D0FDA">
      <w:pPr>
        <w:pStyle w:val="Bullettext"/>
      </w:pPr>
      <w:r w:rsidRPr="00B607A5">
        <w:t xml:space="preserve">Intracerebral haemorrhage in tadalafil-treated patients. </w:t>
      </w:r>
    </w:p>
    <w:p w:rsidR="001D0FDA" w:rsidRPr="00B607A5" w:rsidRDefault="001D0FDA" w:rsidP="001D0FDA">
      <w:pPr>
        <w:pStyle w:val="Bullettext"/>
      </w:pPr>
      <w:r w:rsidRPr="00B607A5">
        <w:t xml:space="preserve">Increased mortality and serious </w:t>
      </w:r>
      <w:r w:rsidR="006B2A7D" w:rsidRPr="00B607A5">
        <w:t>AE</w:t>
      </w:r>
      <w:r w:rsidRPr="00B607A5">
        <w:t>s in patients receiving riociguat in treating PH associated with idio</w:t>
      </w:r>
      <w:r w:rsidR="00C175BC">
        <w:t>pathic interstitial pneumonias.</w:t>
      </w:r>
    </w:p>
    <w:p w:rsidR="001D0FDA" w:rsidRDefault="00466BBD" w:rsidP="001D0FDA">
      <w:r>
        <w:t>There was evidence from a long-term observational study suggest</w:t>
      </w:r>
      <w:r w:rsidRPr="009138D5">
        <w:t xml:space="preserve">ing </w:t>
      </w:r>
      <w:r>
        <w:t xml:space="preserve">increased </w:t>
      </w:r>
      <w:r w:rsidRPr="009138D5">
        <w:t xml:space="preserve">mortality with </w:t>
      </w:r>
      <w:r>
        <w:t>higher sildenafil d</w:t>
      </w:r>
      <w:r w:rsidRPr="009138D5">
        <w:t>oses</w:t>
      </w:r>
      <w:r>
        <w:t>. S</w:t>
      </w:r>
      <w:r w:rsidRPr="009D0670">
        <w:t xml:space="preserve">ildenafil </w:t>
      </w:r>
      <w:proofErr w:type="gramStart"/>
      <w:r w:rsidRPr="009D0670">
        <w:t xml:space="preserve">is not </w:t>
      </w:r>
      <w:r w:rsidRPr="00A8513C">
        <w:t>indicated</w:t>
      </w:r>
      <w:proofErr w:type="gramEnd"/>
      <w:r w:rsidRPr="009D0670">
        <w:t xml:space="preserve"> for use in </w:t>
      </w:r>
      <w:r>
        <w:t xml:space="preserve">paediatric patients, according to the TGA PI. The FDA product label communicates an apparently lesser strength of warning: </w:t>
      </w:r>
      <w:r w:rsidRPr="009138D5">
        <w:t xml:space="preserve">use of </w:t>
      </w:r>
      <w:r>
        <w:t>sildenafil</w:t>
      </w:r>
      <w:r w:rsidRPr="009138D5">
        <w:t xml:space="preserve">, particularly chronic use, is not </w:t>
      </w:r>
      <w:r w:rsidRPr="00A8513C">
        <w:t>recommended</w:t>
      </w:r>
      <w:r w:rsidRPr="009138D5">
        <w:t xml:space="preserve"> in children</w:t>
      </w:r>
      <w:r>
        <w:t xml:space="preserve"> (namely </w:t>
      </w:r>
      <w:r w:rsidRPr="009138D5">
        <w:t xml:space="preserve">there may be situations in which the benefit-risk profile of </w:t>
      </w:r>
      <w:r>
        <w:t>sildenafil</w:t>
      </w:r>
      <w:r w:rsidRPr="009138D5">
        <w:t xml:space="preserve"> may be acceptable in individual children</w:t>
      </w:r>
      <w:r>
        <w:t>;</w:t>
      </w:r>
      <w:r w:rsidRPr="009138D5">
        <w:t xml:space="preserve"> for example, when other treatment options are limited and </w:t>
      </w:r>
      <w:r>
        <w:t>sildenafil</w:t>
      </w:r>
      <w:r w:rsidRPr="009138D5">
        <w:t xml:space="preserve"> can be used with close monitoring</w:t>
      </w:r>
      <w:r>
        <w:t xml:space="preserve">). The EMA SmPC states that sildenafil </w:t>
      </w:r>
      <w:proofErr w:type="gramStart"/>
      <w:r>
        <w:t>is indicated</w:t>
      </w:r>
      <w:proofErr w:type="gramEnd"/>
      <w:r>
        <w:t xml:space="preserve"> for the t</w:t>
      </w:r>
      <w:r w:rsidRPr="00A8513C">
        <w:t xml:space="preserve">reatment of </w:t>
      </w:r>
      <w:r>
        <w:t>children aged</w:t>
      </w:r>
      <w:r w:rsidR="00FF6DF1">
        <w:br/>
      </w:r>
      <w:r>
        <w:t xml:space="preserve">1-17 years of age </w:t>
      </w:r>
      <w:r w:rsidRPr="00A8513C">
        <w:t xml:space="preserve">with </w:t>
      </w:r>
      <w:r>
        <w:t>PAH, but only at a recommended low dose. The international guidelines do not reach consensus regarding the use of sildenafil in paediatric PAH patients.</w:t>
      </w:r>
    </w:p>
    <w:p w:rsidR="00480FDF" w:rsidRPr="009F466A" w:rsidRDefault="00480FDF" w:rsidP="00480FDF">
      <w:pPr>
        <w:pStyle w:val="Heading3"/>
      </w:pPr>
      <w:bookmarkStart w:id="52" w:name="_Toc511121254"/>
      <w:bookmarkStart w:id="53" w:name="_Toc38360270"/>
      <w:r w:rsidRPr="009F466A">
        <w:t>Stakeholder views</w:t>
      </w:r>
      <w:bookmarkEnd w:id="52"/>
      <w:bookmarkEnd w:id="53"/>
    </w:p>
    <w:p w:rsidR="00480FDF" w:rsidRPr="00B833FB" w:rsidRDefault="00480FDF" w:rsidP="00B833FB">
      <w:pPr>
        <w:pStyle w:val="Bullettext"/>
      </w:pPr>
      <w:r w:rsidRPr="00B833FB">
        <w:t xml:space="preserve">Stakeholders suggest the review should include a review of recent clinical </w:t>
      </w:r>
      <w:proofErr w:type="gramStart"/>
      <w:r w:rsidRPr="00B833FB">
        <w:t>evidence</w:t>
      </w:r>
      <w:proofErr w:type="gramEnd"/>
      <w:r w:rsidRPr="00B833FB">
        <w:t xml:space="preserve"> as clinical guidelines may not reflect the most recent evidence.</w:t>
      </w:r>
    </w:p>
    <w:p w:rsidR="00A51E38" w:rsidRDefault="00480FDF" w:rsidP="00B833FB">
      <w:pPr>
        <w:pStyle w:val="Bullettext"/>
      </w:pPr>
      <w:r w:rsidRPr="00B833FB">
        <w:t xml:space="preserve">Stakeholders are concerned that recent standards of clinically relevant endpoints </w:t>
      </w:r>
      <w:proofErr w:type="gramStart"/>
      <w:r w:rsidRPr="00B833FB">
        <w:t>may be used</w:t>
      </w:r>
      <w:proofErr w:type="gramEnd"/>
      <w:r w:rsidRPr="00B833FB">
        <w:t xml:space="preserve"> to re-evaluate evidence previously considered by PBAC</w:t>
      </w:r>
      <w:r w:rsidR="00697712">
        <w:t>.</w:t>
      </w:r>
      <w:r w:rsidRPr="00B833FB">
        <w:t xml:space="preserve"> </w:t>
      </w:r>
      <w:r w:rsidR="005A0C83">
        <w:t>Stakeholders note</w:t>
      </w:r>
      <w:r w:rsidRPr="00B833FB">
        <w:t xml:space="preserve"> a shift from short-term functional changes to improvements in long-term outcomes in measuring treatment outcomes</w:t>
      </w:r>
      <w:r w:rsidR="00C175BC">
        <w:t>.</w:t>
      </w:r>
    </w:p>
    <w:p w:rsidR="00480FDF" w:rsidRPr="00B833FB" w:rsidRDefault="00A51E38" w:rsidP="00B833FB">
      <w:pPr>
        <w:pStyle w:val="Bullettext"/>
      </w:pPr>
      <w:r>
        <w:t>C</w:t>
      </w:r>
      <w:r w:rsidR="00480FDF" w:rsidRPr="00B833FB">
        <w:t xml:space="preserve">omposite endpoints </w:t>
      </w:r>
      <w:r>
        <w:t>to measure PAH</w:t>
      </w:r>
      <w:r w:rsidR="002449DC">
        <w:t xml:space="preserve"> </w:t>
      </w:r>
      <w:r w:rsidR="00480FDF" w:rsidRPr="00B833FB">
        <w:t>disease progression</w:t>
      </w:r>
      <w:r>
        <w:t xml:space="preserve"> should</w:t>
      </w:r>
      <w:r w:rsidR="002449DC">
        <w:t xml:space="preserve"> </w:t>
      </w:r>
      <w:r w:rsidR="00480FDF" w:rsidRPr="00B833FB">
        <w:t>includ</w:t>
      </w:r>
      <w:r>
        <w:t>e</w:t>
      </w:r>
      <w:r w:rsidR="00480FDF" w:rsidRPr="00B833FB">
        <w:t xml:space="preserve"> morbidity and mortality measures</w:t>
      </w:r>
      <w:r w:rsidR="00C175BC">
        <w:t>.</w:t>
      </w:r>
    </w:p>
    <w:p w:rsidR="00480FDF" w:rsidRDefault="00480FDF" w:rsidP="00B833FB">
      <w:pPr>
        <w:pStyle w:val="Bullettext"/>
      </w:pPr>
      <w:r w:rsidRPr="00B833FB">
        <w:t>Stakeholders note there are few RCTs assessing the comparative efficacy and safety of PAH treatments, but provide available evidence for ambrisentan and epoprostenol that is yet to be</w:t>
      </w:r>
      <w:r w:rsidRPr="00550857">
        <w:t xml:space="preserve"> considered by PBAC, with inclusion of studies pertaining to combination use and use in the FC II patient population.</w:t>
      </w:r>
    </w:p>
    <w:p w:rsidR="00B27192" w:rsidRDefault="00B27192" w:rsidP="00395F6E">
      <w:pPr>
        <w:pStyle w:val="Heading3"/>
      </w:pPr>
      <w:bookmarkStart w:id="54" w:name="_Toc38360271"/>
      <w:r w:rsidRPr="00EB1471">
        <w:t>Con</w:t>
      </w:r>
      <w:r w:rsidR="00890B4D" w:rsidRPr="00EB1471">
        <w:t>s</w:t>
      </w:r>
      <w:r w:rsidRPr="00EB1471">
        <w:t>umer Views</w:t>
      </w:r>
      <w:bookmarkEnd w:id="54"/>
    </w:p>
    <w:p w:rsidR="00F177DF" w:rsidRPr="00F177DF" w:rsidRDefault="00F177DF" w:rsidP="00EE0B11">
      <w:pPr>
        <w:pStyle w:val="Bullettext"/>
      </w:pPr>
      <w:r w:rsidRPr="00F177DF">
        <w:t xml:space="preserve">Consumers on combination therapy </w:t>
      </w:r>
      <w:r>
        <w:t xml:space="preserve">advised they </w:t>
      </w:r>
      <w:r w:rsidRPr="00F177DF">
        <w:t>tended to be using various double and triple combinations of endothelin receptor antagonists with PDE</w:t>
      </w:r>
      <w:r w:rsidR="00FF6DF1">
        <w:t>-</w:t>
      </w:r>
      <w:r w:rsidR="00C175BC">
        <w:t>5 inhibitors and prostacyclins.</w:t>
      </w:r>
    </w:p>
    <w:p w:rsidR="00F177DF" w:rsidRPr="00F177DF" w:rsidRDefault="00F177DF" w:rsidP="00EE0B11">
      <w:pPr>
        <w:pStyle w:val="Bullettext"/>
      </w:pPr>
      <w:r w:rsidRPr="00F177DF">
        <w:t>Some consumers participated in drug trials, including for bardoxolone methyl (Catalyst trial) and oral trepos</w:t>
      </w:r>
      <w:r w:rsidR="00C175BC">
        <w:t>tinil, a prostacyclin analogue.</w:t>
      </w:r>
    </w:p>
    <w:p w:rsidR="00F177DF" w:rsidRPr="00F177DF" w:rsidRDefault="00F177DF" w:rsidP="00EE0B11">
      <w:pPr>
        <w:pStyle w:val="Bullettext"/>
      </w:pPr>
      <w:r w:rsidRPr="00F177DF">
        <w:t>There were reports of patients in the P</w:t>
      </w:r>
      <w:r w:rsidR="00A36179">
        <w:t>ulmonary Hypertension Association Australia</w:t>
      </w:r>
      <w:r w:rsidRPr="00F177DF">
        <w:t xml:space="preserve"> using selexipag.</w:t>
      </w:r>
    </w:p>
    <w:p w:rsidR="00F177DF" w:rsidRPr="00F177DF" w:rsidRDefault="00F177DF" w:rsidP="00EE0B11">
      <w:pPr>
        <w:pStyle w:val="Bullettext"/>
      </w:pPr>
      <w:r w:rsidRPr="00F177DF">
        <w:t>Consumers advised that they usually stay on the same medicines and add a further medicine to address worsening symptoms.</w:t>
      </w:r>
    </w:p>
    <w:p w:rsidR="00F177DF" w:rsidRPr="00F177DF" w:rsidRDefault="00F177DF" w:rsidP="00EE0B11">
      <w:pPr>
        <w:pStyle w:val="Bullettext"/>
      </w:pPr>
      <w:r w:rsidRPr="00F177DF">
        <w:t xml:space="preserve">Consumers swapped medicines to alleviate </w:t>
      </w:r>
      <w:r w:rsidR="00FF6DF1" w:rsidRPr="00F177DF">
        <w:t>side effects</w:t>
      </w:r>
      <w:r w:rsidRPr="00F177DF">
        <w:t xml:space="preserve"> or because they proved ineffective.</w:t>
      </w:r>
    </w:p>
    <w:p w:rsidR="00A51E38" w:rsidRDefault="00F177DF" w:rsidP="00EE0B11">
      <w:pPr>
        <w:pStyle w:val="Bullettext"/>
      </w:pPr>
      <w:r w:rsidRPr="00F177DF">
        <w:t xml:space="preserve">Consumers pointed out that continuous intravenous administration of epoprostenol, while effective, leads to considerable inconvenience and additional cost </w:t>
      </w:r>
      <w:r>
        <w:t xml:space="preserve">for accessories and dressings. </w:t>
      </w:r>
      <w:r w:rsidRPr="00F177DF">
        <w:t xml:space="preserve">In </w:t>
      </w:r>
      <w:proofErr w:type="gramStart"/>
      <w:r w:rsidRPr="00F177DF">
        <w:t>addition</w:t>
      </w:r>
      <w:proofErr w:type="gramEnd"/>
      <w:r w:rsidRPr="00F177DF">
        <w:t xml:space="preserve"> there is a risk </w:t>
      </w:r>
      <w:r w:rsidR="00C175BC">
        <w:t>of catheter-related infection.</w:t>
      </w:r>
    </w:p>
    <w:p w:rsidR="00F177DF" w:rsidRPr="00F177DF" w:rsidRDefault="00F177DF" w:rsidP="00EE0B11">
      <w:pPr>
        <w:pStyle w:val="Bullettext"/>
      </w:pPr>
      <w:r w:rsidRPr="00F177DF">
        <w:t>Some consumers reported preferring the nebulised prostacyclins which although had more frequent dosing, were less invasive.</w:t>
      </w:r>
    </w:p>
    <w:p w:rsidR="00F177DF" w:rsidRPr="00F177DF" w:rsidRDefault="00F177DF" w:rsidP="00EE0B11">
      <w:pPr>
        <w:pStyle w:val="Bullettext"/>
      </w:pPr>
      <w:proofErr w:type="gramStart"/>
      <w:r w:rsidRPr="00F177DF">
        <w:t>Generally</w:t>
      </w:r>
      <w:proofErr w:type="gramEnd"/>
      <w:r w:rsidRPr="00F177DF">
        <w:t xml:space="preserve"> consumers found that PAH medicines did not impact on other medicines.</w:t>
      </w:r>
    </w:p>
    <w:p w:rsidR="00F177DF" w:rsidRPr="00F177DF" w:rsidRDefault="00F177DF" w:rsidP="00EE0B11">
      <w:pPr>
        <w:pStyle w:val="Bullettext"/>
      </w:pPr>
      <w:r w:rsidRPr="00F177DF">
        <w:t xml:space="preserve">Some advised they could not take cold/flu </w:t>
      </w:r>
      <w:proofErr w:type="gramStart"/>
      <w:r w:rsidRPr="00F177DF">
        <w:t>medicines or antihistamines</w:t>
      </w:r>
      <w:proofErr w:type="gramEnd"/>
      <w:r w:rsidRPr="00F177DF">
        <w:t xml:space="preserve"> or anti-inflammatory medicines</w:t>
      </w:r>
      <w:r>
        <w:t>.</w:t>
      </w:r>
    </w:p>
    <w:p w:rsidR="00553362" w:rsidRPr="00EB1471" w:rsidRDefault="00A72B1D" w:rsidP="00D92F94">
      <w:pPr>
        <w:pStyle w:val="Heading2"/>
      </w:pPr>
      <w:bookmarkStart w:id="55" w:name="_Toc38360272"/>
      <w:bookmarkStart w:id="56" w:name="_Toc482191511"/>
      <w:bookmarkStart w:id="57" w:name="_Toc486515178"/>
      <w:bookmarkEnd w:id="49"/>
      <w:r>
        <w:t>Introduction</w:t>
      </w:r>
      <w:bookmarkEnd w:id="55"/>
    </w:p>
    <w:p w:rsidR="001D0FDA" w:rsidRPr="00EB1471" w:rsidRDefault="00606F24" w:rsidP="001D0FDA">
      <w:pPr>
        <w:rPr>
          <w:snapToGrid w:val="0"/>
        </w:rPr>
      </w:pPr>
      <w:r w:rsidRPr="00606F24">
        <w:rPr>
          <w:snapToGrid w:val="0"/>
        </w:rPr>
        <w:t>The</w:t>
      </w:r>
      <w:r w:rsidR="001D0FDA" w:rsidRPr="00606F24">
        <w:rPr>
          <w:snapToGrid w:val="0"/>
        </w:rPr>
        <w:t xml:space="preserve"> Australian Government Department of Health </w:t>
      </w:r>
      <w:r w:rsidRPr="00606F24">
        <w:rPr>
          <w:snapToGrid w:val="0"/>
        </w:rPr>
        <w:t xml:space="preserve">commissioned </w:t>
      </w:r>
      <w:r w:rsidR="001D0FDA" w:rsidRPr="00606F24">
        <w:rPr>
          <w:snapToGrid w:val="0"/>
        </w:rPr>
        <w:t>a systematic literature review of</w:t>
      </w:r>
      <w:r w:rsidR="001D0FDA" w:rsidRPr="00EB1471">
        <w:rPr>
          <w:snapToGrid w:val="0"/>
        </w:rPr>
        <w:t xml:space="preserve"> the </w:t>
      </w:r>
      <w:r w:rsidR="001D0FDA">
        <w:rPr>
          <w:snapToGrid w:val="0"/>
        </w:rPr>
        <w:t>PAH medicine</w:t>
      </w:r>
      <w:r w:rsidR="001D0FDA" w:rsidRPr="00EB1471">
        <w:rPr>
          <w:snapToGrid w:val="0"/>
        </w:rPr>
        <w:t>s currently listed on the PBS, particularly the combination use and use in the WHO functional class II patient populations (Term of Reference 4 of the Post-Market Review of PAH medicines). For detailed background information regarding this PAH Post-Market Review, refer to the Background section.</w:t>
      </w:r>
    </w:p>
    <w:p w:rsidR="001D0FDA" w:rsidRPr="00EB1471" w:rsidRDefault="001D0FDA" w:rsidP="00FF6DF1">
      <w:pPr>
        <w:rPr>
          <w:snapToGrid w:val="0"/>
        </w:rPr>
      </w:pPr>
      <w:proofErr w:type="gramStart"/>
      <w:r w:rsidRPr="00EB1471">
        <w:rPr>
          <w:snapToGrid w:val="0"/>
        </w:rPr>
        <w:t>T</w:t>
      </w:r>
      <w:r>
        <w:rPr>
          <w:snapToGrid w:val="0"/>
        </w:rPr>
        <w:t>he aim of ToR 4 of this review wa</w:t>
      </w:r>
      <w:r w:rsidRPr="00EB1471">
        <w:rPr>
          <w:snapToGrid w:val="0"/>
        </w:rPr>
        <w:t xml:space="preserve">s to update the evidence base for the eight PAH medicines listed on the PBS, as monotherapy, for the treatment of WHO FC III-IV and to assess the effectiveness and safety of </w:t>
      </w:r>
      <w:r>
        <w:rPr>
          <w:snapToGrid w:val="0"/>
        </w:rPr>
        <w:t>PAH medicine</w:t>
      </w:r>
      <w:r w:rsidRPr="00EB1471">
        <w:rPr>
          <w:snapToGrid w:val="0"/>
        </w:rPr>
        <w:t>s outside the PBS restrictions</w:t>
      </w:r>
      <w:r w:rsidR="007E4C7F">
        <w:rPr>
          <w:snapToGrid w:val="0"/>
        </w:rPr>
        <w:t>;</w:t>
      </w:r>
      <w:r w:rsidRPr="00EB1471">
        <w:rPr>
          <w:snapToGrid w:val="0"/>
        </w:rPr>
        <w:t xml:space="preserve"> i</w:t>
      </w:r>
      <w:r w:rsidR="007E4C7F">
        <w:rPr>
          <w:snapToGrid w:val="0"/>
        </w:rPr>
        <w:t>.</w:t>
      </w:r>
      <w:r w:rsidRPr="00EB1471">
        <w:rPr>
          <w:snapToGrid w:val="0"/>
        </w:rPr>
        <w:t>e</w:t>
      </w:r>
      <w:r w:rsidR="007E4C7F">
        <w:rPr>
          <w:snapToGrid w:val="0"/>
        </w:rPr>
        <w:t>.</w:t>
      </w:r>
      <w:r w:rsidRPr="00EB1471">
        <w:rPr>
          <w:snapToGrid w:val="0"/>
        </w:rPr>
        <w:t xml:space="preserve"> for the treatment of patients with WHO FC I or II PAH as well as the combination use of these medicines.</w:t>
      </w:r>
      <w:proofErr w:type="gramEnd"/>
      <w:r w:rsidRPr="00EB1471">
        <w:rPr>
          <w:snapToGrid w:val="0"/>
        </w:rPr>
        <w:t xml:space="preserve"> Any new safety signals associated with the listed </w:t>
      </w:r>
      <w:r>
        <w:rPr>
          <w:snapToGrid w:val="0"/>
        </w:rPr>
        <w:t>PAH medicine</w:t>
      </w:r>
      <w:r w:rsidRPr="00EB1471">
        <w:rPr>
          <w:snapToGrid w:val="0"/>
        </w:rPr>
        <w:t xml:space="preserve">s - that </w:t>
      </w:r>
      <w:proofErr w:type="gramStart"/>
      <w:r w:rsidRPr="00EB1471">
        <w:rPr>
          <w:snapToGrid w:val="0"/>
        </w:rPr>
        <w:t>ha</w:t>
      </w:r>
      <w:r>
        <w:rPr>
          <w:snapToGrid w:val="0"/>
        </w:rPr>
        <w:t>d</w:t>
      </w:r>
      <w:r w:rsidRPr="00EB1471">
        <w:rPr>
          <w:snapToGrid w:val="0"/>
        </w:rPr>
        <w:t xml:space="preserve"> not been previously noted</w:t>
      </w:r>
      <w:proofErr w:type="gramEnd"/>
      <w:r w:rsidRPr="00EB1471">
        <w:rPr>
          <w:snapToGrid w:val="0"/>
        </w:rPr>
        <w:t xml:space="preserve"> by the PBAC - were also of interest.</w:t>
      </w:r>
    </w:p>
    <w:p w:rsidR="00675E77" w:rsidRPr="00EB1471" w:rsidRDefault="00675E77" w:rsidP="00D92F94">
      <w:pPr>
        <w:pStyle w:val="Heading2"/>
      </w:pPr>
      <w:bookmarkStart w:id="58" w:name="_Toc38360273"/>
      <w:r w:rsidRPr="00EB1471">
        <w:t>Methodology</w:t>
      </w:r>
      <w:bookmarkEnd w:id="50"/>
      <w:bookmarkEnd w:id="56"/>
      <w:bookmarkEnd w:id="57"/>
      <w:bookmarkEnd w:id="58"/>
    </w:p>
    <w:p w:rsidR="00C175BC" w:rsidRDefault="001D0FDA" w:rsidP="006567B4">
      <w:r w:rsidRPr="00F819A1">
        <w:t xml:space="preserve">This section outlines the methodology that underpinned the evidence review undertaken to address ToR 4. </w:t>
      </w:r>
      <w:proofErr w:type="gramStart"/>
      <w:r w:rsidRPr="00F819A1">
        <w:t>Throughout Chapter 4, new studies that add to the existing evidence base are discussed in light of findings previously submitted to the PBAC, with consideration of whether the new evidence provides support for previous PBAC decision making and whether the new evidence supports the use of PAH medicines in PAH patients with less severe disease (i</w:t>
      </w:r>
      <w:r w:rsidR="007E4C7F">
        <w:t>.</w:t>
      </w:r>
      <w:r w:rsidRPr="00F819A1">
        <w:t>e</w:t>
      </w:r>
      <w:r w:rsidR="007E4C7F">
        <w:t>.</w:t>
      </w:r>
      <w:r w:rsidRPr="00F819A1">
        <w:t xml:space="preserve"> WHO FC I-II) and the use of combination therapy with PAH medicines.</w:t>
      </w:r>
      <w:proofErr w:type="gramEnd"/>
    </w:p>
    <w:p w:rsidR="00C175BC" w:rsidRDefault="00C175BC">
      <w:pPr>
        <w:spacing w:before="0" w:line="240" w:lineRule="auto"/>
      </w:pPr>
      <w:r>
        <w:br w:type="page"/>
      </w:r>
    </w:p>
    <w:p w:rsidR="001D0FDA" w:rsidRPr="00EB1471" w:rsidRDefault="001D0FDA" w:rsidP="00480FDF">
      <w:pPr>
        <w:pStyle w:val="Heading3"/>
        <w:numPr>
          <w:ilvl w:val="2"/>
          <w:numId w:val="45"/>
        </w:numPr>
        <w:tabs>
          <w:tab w:val="clear" w:pos="2695"/>
        </w:tabs>
        <w:ind w:left="0"/>
      </w:pPr>
      <w:bookmarkStart w:id="59" w:name="_Toc468022802"/>
      <w:bookmarkStart w:id="60" w:name="_Toc482191512"/>
      <w:bookmarkStart w:id="61" w:name="_Toc486515179"/>
      <w:bookmarkStart w:id="62" w:name="_Toc506464130"/>
      <w:bookmarkStart w:id="63" w:name="_Toc38360274"/>
      <w:r w:rsidRPr="00EB1471">
        <w:t>Identification of relevant studies</w:t>
      </w:r>
      <w:bookmarkEnd w:id="59"/>
      <w:bookmarkEnd w:id="60"/>
      <w:bookmarkEnd w:id="61"/>
      <w:bookmarkEnd w:id="62"/>
      <w:bookmarkEnd w:id="63"/>
    </w:p>
    <w:p w:rsidR="001D0FDA" w:rsidRPr="00EB1471" w:rsidRDefault="001D0FDA" w:rsidP="00480FDF">
      <w:pPr>
        <w:pStyle w:val="Heading4"/>
        <w:numPr>
          <w:ilvl w:val="3"/>
          <w:numId w:val="45"/>
        </w:numPr>
      </w:pPr>
      <w:r w:rsidRPr="00EB1471">
        <w:t>4.3.</w:t>
      </w:r>
      <w:r>
        <w:t>1</w:t>
      </w:r>
      <w:r w:rsidRPr="00EB1471">
        <w:t>.1</w:t>
      </w:r>
      <w:r w:rsidRPr="00EB1471">
        <w:tab/>
        <w:t>Research questions</w:t>
      </w:r>
    </w:p>
    <w:p w:rsidR="001D0FDA" w:rsidRPr="00EB1471" w:rsidRDefault="001D0FDA" w:rsidP="001D0FDA">
      <w:pPr>
        <w:rPr>
          <w:rFonts w:eastAsia="Times New Roman"/>
          <w:szCs w:val="20"/>
        </w:rPr>
      </w:pPr>
      <w:r w:rsidRPr="00EB1471">
        <w:rPr>
          <w:rFonts w:eastAsia="Times New Roman"/>
          <w:szCs w:val="20"/>
        </w:rPr>
        <w:t xml:space="preserve">Outlined below are the research questions that </w:t>
      </w:r>
      <w:proofErr w:type="gramStart"/>
      <w:r w:rsidRPr="00EB1471">
        <w:rPr>
          <w:rFonts w:eastAsia="Times New Roman"/>
          <w:szCs w:val="20"/>
        </w:rPr>
        <w:t>were formulated and used to guide the review</w:t>
      </w:r>
      <w:proofErr w:type="gramEnd"/>
      <w:r w:rsidRPr="00EB1471">
        <w:rPr>
          <w:rFonts w:eastAsia="Times New Roman"/>
          <w:szCs w:val="20"/>
        </w:rPr>
        <w:t>:</w:t>
      </w:r>
    </w:p>
    <w:p w:rsidR="001D0FDA" w:rsidRPr="00EB1471" w:rsidRDefault="001D0FDA" w:rsidP="001D0FDA">
      <w:pPr>
        <w:ind w:left="709" w:hanging="425"/>
      </w:pPr>
      <w:r w:rsidRPr="00EB1471">
        <w:t>1.</w:t>
      </w:r>
      <w:r w:rsidRPr="00EB1471">
        <w:tab/>
        <w:t>What is the effectiveness and safety of monotherapy with a PAH medicine, compared to</w:t>
      </w:r>
      <w:r w:rsidRPr="00EB1471">
        <w:rPr>
          <w:i/>
        </w:rPr>
        <w:t xml:space="preserve"> </w:t>
      </w:r>
      <w:r w:rsidRPr="00EB1471">
        <w:t>placebo/no treatment or another PAH medicine listed on the PBS, in pa</w:t>
      </w:r>
      <w:r w:rsidR="00C175BC">
        <w:t>tients with WHO FC I or II PAH?</w:t>
      </w:r>
    </w:p>
    <w:p w:rsidR="001D0FDA" w:rsidRPr="00EB1471" w:rsidRDefault="001D0FDA" w:rsidP="001D0FDA">
      <w:pPr>
        <w:ind w:left="709" w:hanging="425"/>
      </w:pPr>
      <w:r w:rsidRPr="00EB1471">
        <w:t>2.</w:t>
      </w:r>
      <w:r w:rsidRPr="00EB1471">
        <w:tab/>
        <w:t>What is the new evidence concerning the effectiveness and safety of monotherapy with a PAH medicine, compared to the main comparator accepted by the PBAC, in patients with WHO FC III or IV PAH, that has not previously been considered by the PBAC?</w:t>
      </w:r>
    </w:p>
    <w:p w:rsidR="001D0FDA" w:rsidRPr="00EB1471" w:rsidRDefault="001D0FDA" w:rsidP="001D0FDA">
      <w:pPr>
        <w:ind w:left="709" w:hanging="425"/>
      </w:pPr>
      <w:r w:rsidRPr="00EB1471">
        <w:t>3.</w:t>
      </w:r>
      <w:r w:rsidRPr="00EB1471">
        <w:tab/>
        <w:t>What is the effectiveness and safety of dual combination therapy involving any combination of an ERA, a PDE-5 inhibitor, a prostanoid, or a sGC stimulator, compared to monotherapy, in: i) PAH patients, irrespective of disease severity or aetiology; ii) PAH patients with FC III or IV; and iii) PAH patients with different disease aetiologies?</w:t>
      </w:r>
    </w:p>
    <w:p w:rsidR="001D0FDA" w:rsidRPr="00EB1471" w:rsidRDefault="001D0FDA" w:rsidP="001D0FDA">
      <w:pPr>
        <w:ind w:left="709" w:hanging="425"/>
      </w:pPr>
      <w:r w:rsidRPr="00EB1471">
        <w:t>4.</w:t>
      </w:r>
      <w:r w:rsidRPr="00EB1471">
        <w:tab/>
        <w:t>What is the effectiveness and safety of triple combination therapy involving any combination of an ERA, a PDE-5 inhibitor, a prostanoid, or a sGC stimulator, compared to dual combination therapy, in: i) PAH patients, irrespective of disease severity or aetiology; ii) PAH patients with FC III or IV; and iii) PAH patients with</w:t>
      </w:r>
      <w:r w:rsidR="00C175BC">
        <w:t xml:space="preserve"> different disease aetiologies?</w:t>
      </w:r>
    </w:p>
    <w:p w:rsidR="001D0FDA" w:rsidRPr="00EB1471" w:rsidRDefault="001D0FDA" w:rsidP="00FF6DF1">
      <w:pPr>
        <w:spacing w:before="120" w:line="240" w:lineRule="auto"/>
        <w:rPr>
          <w:rFonts w:cs="Arial"/>
          <w:bCs/>
        </w:rPr>
      </w:pPr>
      <w:r w:rsidRPr="00EB1471">
        <w:rPr>
          <w:rFonts w:cs="Arial"/>
          <w:bCs/>
        </w:rPr>
        <w:t xml:space="preserve">The PICO </w:t>
      </w:r>
      <w:r w:rsidRPr="00EB1471">
        <w:rPr>
          <w:snapToGrid w:val="0"/>
        </w:rPr>
        <w:t xml:space="preserve">(Population, Intervention, Comparator, Outcomes) </w:t>
      </w:r>
      <w:r w:rsidRPr="00EB1471">
        <w:rPr>
          <w:rFonts w:cs="Arial"/>
          <w:bCs/>
        </w:rPr>
        <w:t xml:space="preserve">study selection criteria for each of the research questions </w:t>
      </w:r>
      <w:proofErr w:type="gramStart"/>
      <w:r w:rsidRPr="00EB1471">
        <w:rPr>
          <w:rFonts w:cs="Arial"/>
          <w:bCs/>
        </w:rPr>
        <w:t>are shown</w:t>
      </w:r>
      <w:proofErr w:type="gramEnd"/>
      <w:r w:rsidRPr="00EB1471">
        <w:rPr>
          <w:rFonts w:cs="Arial"/>
          <w:bCs/>
        </w:rPr>
        <w:t xml:space="preserve"> in</w:t>
      </w:r>
      <w:r w:rsidR="00C8237F">
        <w:rPr>
          <w:rFonts w:cs="Arial"/>
          <w:bCs/>
        </w:rPr>
        <w:t xml:space="preserve"> Table 4.19 to Table 4.22</w:t>
      </w:r>
      <w:r w:rsidRPr="00EB1471">
        <w:rPr>
          <w:rFonts w:cs="Arial"/>
          <w:bCs/>
        </w:rPr>
        <w:t>.</w:t>
      </w:r>
    </w:p>
    <w:p w:rsidR="00F819A1" w:rsidRDefault="00F819A1">
      <w:pPr>
        <w:spacing w:before="0" w:line="240" w:lineRule="auto"/>
        <w:rPr>
          <w:b/>
          <w:iCs/>
          <w:szCs w:val="18"/>
        </w:rPr>
      </w:pPr>
      <w:bookmarkStart w:id="64" w:name="_Ref505948635"/>
      <w:bookmarkStart w:id="65" w:name="_Ref500769434"/>
      <w:r>
        <w:br w:type="page"/>
      </w:r>
    </w:p>
    <w:p w:rsidR="001D0FDA" w:rsidRPr="00EB1471" w:rsidRDefault="001D0FDA" w:rsidP="002002A6">
      <w:pPr>
        <w:pStyle w:val="Caption"/>
        <w:ind w:left="1134" w:hanging="1134"/>
      </w:pPr>
      <w:bookmarkStart w:id="66" w:name="_Toc38360316"/>
      <w:r>
        <w:t>Table 4.</w:t>
      </w:r>
      <w:r w:rsidR="003951FA">
        <w:rPr>
          <w:noProof/>
        </w:rPr>
        <w:t>19</w:t>
      </w:r>
      <w:bookmarkEnd w:id="64"/>
      <w:r>
        <w:tab/>
      </w:r>
      <w:bookmarkEnd w:id="65"/>
      <w:r w:rsidRPr="00EB1471">
        <w:t>Study selection criteria for systematic review of PAH medicines: research question 1</w:t>
      </w:r>
      <w:bookmarkEnd w:id="66"/>
    </w:p>
    <w:tbl>
      <w:tblPr>
        <w:tblStyle w:val="TableGrid"/>
        <w:tblW w:w="5000" w:type="pct"/>
        <w:tblLook w:val="04A0" w:firstRow="1" w:lastRow="0" w:firstColumn="1" w:lastColumn="0" w:noHBand="0" w:noVBand="1"/>
        <w:tblCaption w:val="Study selection criteria for systematic review of PAH medicines: research question 1"/>
      </w:tblPr>
      <w:tblGrid>
        <w:gridCol w:w="1661"/>
        <w:gridCol w:w="7967"/>
      </w:tblGrid>
      <w:tr w:rsidR="001D0FDA" w:rsidRPr="00EB1471" w:rsidTr="006D01E8">
        <w:trPr>
          <w:cnfStyle w:val="100000000000" w:firstRow="1" w:lastRow="0" w:firstColumn="0" w:lastColumn="0" w:oddVBand="0" w:evenVBand="0" w:oddHBand="0" w:evenHBand="0" w:firstRowFirstColumn="0" w:firstRowLastColumn="0" w:lastRowFirstColumn="0" w:lastRowLastColumn="0"/>
          <w:trHeight w:val="54"/>
        </w:trPr>
        <w:tc>
          <w:tcPr>
            <w:tcW w:w="1661" w:type="dxa"/>
            <w:shd w:val="clear" w:color="auto" w:fill="BFBFBF" w:themeFill="background1" w:themeFillShade="BF"/>
          </w:tcPr>
          <w:p w:rsidR="001D0FDA" w:rsidRPr="00EB1471" w:rsidRDefault="001D0FDA" w:rsidP="001D0FDA">
            <w:pPr>
              <w:pStyle w:val="Tabletext"/>
              <w:rPr>
                <w:b/>
              </w:rPr>
            </w:pPr>
            <w:r w:rsidRPr="00EB1471">
              <w:rPr>
                <w:b/>
              </w:rPr>
              <w:t>PICO component</w:t>
            </w:r>
          </w:p>
        </w:tc>
        <w:tc>
          <w:tcPr>
            <w:tcW w:w="7967" w:type="dxa"/>
            <w:shd w:val="clear" w:color="auto" w:fill="BFBFBF" w:themeFill="background1" w:themeFillShade="BF"/>
          </w:tcPr>
          <w:p w:rsidR="001D0FDA" w:rsidRPr="00EB1471" w:rsidRDefault="001D0FDA" w:rsidP="001D0FDA">
            <w:pPr>
              <w:pStyle w:val="Tabletext"/>
              <w:rPr>
                <w:b/>
              </w:rPr>
            </w:pPr>
            <w:r w:rsidRPr="00EB1471">
              <w:rPr>
                <w:b/>
              </w:rPr>
              <w:t>Description</w:t>
            </w:r>
          </w:p>
        </w:tc>
      </w:tr>
      <w:tr w:rsidR="001D0FDA" w:rsidRPr="00EB1471" w:rsidTr="006D01E8">
        <w:tc>
          <w:tcPr>
            <w:tcW w:w="1661" w:type="dxa"/>
          </w:tcPr>
          <w:p w:rsidR="001D0FDA" w:rsidRPr="00EB1471" w:rsidRDefault="001D0FDA" w:rsidP="001D0FDA">
            <w:pPr>
              <w:pStyle w:val="Tabletext"/>
              <w:rPr>
                <w:b/>
              </w:rPr>
            </w:pPr>
            <w:r w:rsidRPr="00EB1471">
              <w:rPr>
                <w:b/>
              </w:rPr>
              <w:t>Population</w:t>
            </w:r>
          </w:p>
        </w:tc>
        <w:tc>
          <w:tcPr>
            <w:tcW w:w="7967" w:type="dxa"/>
          </w:tcPr>
          <w:p w:rsidR="001D0FDA" w:rsidRPr="00EB1471" w:rsidRDefault="001D0FDA" w:rsidP="001D0FDA">
            <w:pPr>
              <w:pStyle w:val="Tabletext"/>
            </w:pPr>
            <w:r w:rsidRPr="00EB1471">
              <w:t>Patients with WHO FC I or II PAH</w:t>
            </w:r>
          </w:p>
        </w:tc>
      </w:tr>
      <w:tr w:rsidR="001D0FDA" w:rsidRPr="00EB1471" w:rsidTr="006D01E8">
        <w:tc>
          <w:tcPr>
            <w:tcW w:w="1661" w:type="dxa"/>
          </w:tcPr>
          <w:p w:rsidR="001D0FDA" w:rsidRPr="00EB1471" w:rsidRDefault="001D0FDA" w:rsidP="001D0FDA">
            <w:pPr>
              <w:pStyle w:val="Tabletext"/>
              <w:rPr>
                <w:b/>
              </w:rPr>
            </w:pPr>
            <w:r w:rsidRPr="00EB1471">
              <w:rPr>
                <w:b/>
              </w:rPr>
              <w:t>Intervention</w:t>
            </w:r>
          </w:p>
        </w:tc>
        <w:tc>
          <w:tcPr>
            <w:tcW w:w="7967" w:type="dxa"/>
          </w:tcPr>
          <w:p w:rsidR="001D0FDA" w:rsidRPr="00EB1471" w:rsidRDefault="001D0FDA" w:rsidP="001D0FDA">
            <w:pPr>
              <w:pStyle w:val="Tabletext"/>
            </w:pPr>
            <w:r w:rsidRPr="00EB1471">
              <w:t>Monotherapy with a PAH medicine currently listed on the PBS</w:t>
            </w:r>
            <w:r w:rsidRPr="00EB1471">
              <w:rPr>
                <w:vertAlign w:val="superscript"/>
              </w:rPr>
              <w:t>a</w:t>
            </w:r>
            <w:r w:rsidRPr="00EB1471">
              <w:t xml:space="preserve"> </w:t>
            </w:r>
          </w:p>
        </w:tc>
      </w:tr>
      <w:tr w:rsidR="001D0FDA" w:rsidRPr="00EB1471" w:rsidTr="006D01E8">
        <w:tc>
          <w:tcPr>
            <w:tcW w:w="1661" w:type="dxa"/>
          </w:tcPr>
          <w:p w:rsidR="001D0FDA" w:rsidRPr="00EB1471" w:rsidRDefault="001D0FDA" w:rsidP="001D0FDA">
            <w:pPr>
              <w:pStyle w:val="Tabletext"/>
              <w:rPr>
                <w:b/>
              </w:rPr>
            </w:pPr>
            <w:r w:rsidRPr="00EB1471">
              <w:rPr>
                <w:b/>
              </w:rPr>
              <w:t>Comparators</w:t>
            </w:r>
          </w:p>
        </w:tc>
        <w:tc>
          <w:tcPr>
            <w:tcW w:w="7967" w:type="dxa"/>
          </w:tcPr>
          <w:p w:rsidR="001D0FDA" w:rsidRPr="00EB1471" w:rsidRDefault="001D0FDA" w:rsidP="001D0FDA">
            <w:pPr>
              <w:pStyle w:val="Tabletext"/>
            </w:pPr>
            <w:r w:rsidRPr="00EB1471">
              <w:t>Placebo/no treatment or another PAH medicine currently listed on the PBS</w:t>
            </w:r>
            <w:r w:rsidRPr="00EB1471">
              <w:rPr>
                <w:vertAlign w:val="superscript"/>
              </w:rPr>
              <w:t>a</w:t>
            </w:r>
          </w:p>
        </w:tc>
      </w:tr>
      <w:tr w:rsidR="001D0FDA" w:rsidRPr="00EB1471" w:rsidTr="006D01E8">
        <w:tc>
          <w:tcPr>
            <w:tcW w:w="1661" w:type="dxa"/>
          </w:tcPr>
          <w:p w:rsidR="001D0FDA" w:rsidRPr="00EB1471" w:rsidRDefault="001D0FDA" w:rsidP="001D0FDA">
            <w:pPr>
              <w:pStyle w:val="Tabletext"/>
              <w:rPr>
                <w:b/>
              </w:rPr>
            </w:pPr>
            <w:r w:rsidRPr="00EB1471">
              <w:rPr>
                <w:b/>
              </w:rPr>
              <w:t>Outcomes</w:t>
            </w:r>
          </w:p>
        </w:tc>
        <w:tc>
          <w:tcPr>
            <w:tcW w:w="7967" w:type="dxa"/>
          </w:tcPr>
          <w:p w:rsidR="001D0FDA" w:rsidRPr="00EB1471" w:rsidRDefault="001D0FDA" w:rsidP="001D0FDA">
            <w:pPr>
              <w:pStyle w:val="Tabletext"/>
            </w:pPr>
            <w:r w:rsidRPr="00EB1471">
              <w:rPr>
                <w:u w:val="single"/>
              </w:rPr>
              <w:t>Effectiveness</w:t>
            </w:r>
            <w:r w:rsidRPr="00EB1471">
              <w:t xml:space="preserve"> </w:t>
            </w:r>
            <w:r w:rsidRPr="00EB1471">
              <w:tab/>
              <w:t>Study-defined clinical worsening</w:t>
            </w:r>
            <w:r w:rsidRPr="00EB1471">
              <w:rPr>
                <w:vertAlign w:val="superscript"/>
              </w:rPr>
              <w:t>b</w:t>
            </w:r>
          </w:p>
          <w:p w:rsidR="001D0FDA" w:rsidRPr="00EB1471" w:rsidRDefault="001D0FDA" w:rsidP="001D0FDA">
            <w:pPr>
              <w:pStyle w:val="Tabletext"/>
            </w:pPr>
            <w:r w:rsidRPr="00EB1471">
              <w:tab/>
            </w:r>
            <w:r w:rsidRPr="00EB1471">
              <w:tab/>
              <w:t>Mortality</w:t>
            </w:r>
          </w:p>
          <w:p w:rsidR="001D0FDA" w:rsidRPr="00EB1471" w:rsidRDefault="001D0FDA" w:rsidP="001D0FDA">
            <w:pPr>
              <w:pStyle w:val="Tabletext"/>
            </w:pPr>
            <w:r w:rsidRPr="00EB1471">
              <w:tab/>
            </w:r>
            <w:r w:rsidRPr="00EB1471">
              <w:tab/>
              <w:t>Hospitalisation</w:t>
            </w:r>
          </w:p>
          <w:p w:rsidR="001D0FDA" w:rsidRPr="00EB1471" w:rsidRDefault="001D0FDA" w:rsidP="001D0FDA">
            <w:pPr>
              <w:pStyle w:val="Tabletext"/>
            </w:pPr>
            <w:r w:rsidRPr="00EB1471">
              <w:tab/>
            </w:r>
            <w:r w:rsidRPr="00EB1471">
              <w:tab/>
              <w:t>WHO FC</w:t>
            </w:r>
          </w:p>
          <w:p w:rsidR="001D0FDA" w:rsidRPr="00EB1471" w:rsidRDefault="001D0FDA" w:rsidP="001D0FDA">
            <w:pPr>
              <w:pStyle w:val="Tabletext"/>
            </w:pPr>
            <w:r w:rsidRPr="00EB1471">
              <w:tab/>
            </w:r>
            <w:r w:rsidRPr="00EB1471">
              <w:tab/>
              <w:t>6MWD</w:t>
            </w:r>
          </w:p>
          <w:p w:rsidR="001D0FDA" w:rsidRPr="00EB1471" w:rsidRDefault="001D0FDA" w:rsidP="001D0FDA">
            <w:pPr>
              <w:pStyle w:val="Tabletext"/>
            </w:pPr>
            <w:r w:rsidRPr="00EB1471">
              <w:tab/>
            </w:r>
            <w:r w:rsidRPr="00EB1471">
              <w:tab/>
              <w:t>Quality of life</w:t>
            </w:r>
          </w:p>
          <w:p w:rsidR="001D0FDA" w:rsidRPr="00EB1471" w:rsidRDefault="001D0FDA" w:rsidP="001D0FDA">
            <w:pPr>
              <w:pStyle w:val="Tabletext"/>
            </w:pPr>
            <w:r w:rsidRPr="00EB1471">
              <w:tab/>
            </w:r>
            <w:r w:rsidRPr="00EB1471">
              <w:tab/>
              <w:t>Lung transplant</w:t>
            </w:r>
          </w:p>
          <w:p w:rsidR="001D0FDA" w:rsidRPr="00EB1471" w:rsidRDefault="001D0FDA" w:rsidP="001D0FDA">
            <w:pPr>
              <w:pStyle w:val="Tabletext"/>
            </w:pPr>
            <w:r w:rsidRPr="00EB1471">
              <w:tab/>
            </w:r>
            <w:r w:rsidRPr="00EB1471">
              <w:tab/>
              <w:t>Atrial septostomy</w:t>
            </w:r>
          </w:p>
          <w:p w:rsidR="001D0FDA" w:rsidRPr="00EB1471" w:rsidRDefault="001D0FDA" w:rsidP="001D0FDA">
            <w:pPr>
              <w:pStyle w:val="Tabletext"/>
            </w:pPr>
            <w:r w:rsidRPr="00EB1471">
              <w:tab/>
            </w:r>
            <w:r w:rsidRPr="00EB1471">
              <w:tab/>
              <w:t>Initiation of other PAH medicine(s)</w:t>
            </w:r>
          </w:p>
          <w:p w:rsidR="001D0FDA" w:rsidRPr="00EB1471" w:rsidRDefault="001D0FDA" w:rsidP="001D0FDA">
            <w:pPr>
              <w:pStyle w:val="Tabletext"/>
            </w:pPr>
            <w:r w:rsidRPr="00EB1471">
              <w:tab/>
            </w:r>
            <w:r w:rsidRPr="00EB1471">
              <w:tab/>
              <w:t>Haemodynamic parameters</w:t>
            </w:r>
          </w:p>
          <w:p w:rsidR="001D0FDA" w:rsidRPr="00EB1471" w:rsidRDefault="001D0FDA" w:rsidP="001D0FDA">
            <w:pPr>
              <w:pStyle w:val="Tabletext"/>
            </w:pPr>
            <w:r w:rsidRPr="00EB1471">
              <w:rPr>
                <w:u w:val="single"/>
              </w:rPr>
              <w:t>Safety</w:t>
            </w:r>
            <w:r w:rsidRPr="00EB1471">
              <w:tab/>
            </w:r>
            <w:r w:rsidRPr="00EB1471">
              <w:tab/>
              <w:t>Adverse events</w:t>
            </w:r>
          </w:p>
        </w:tc>
      </w:tr>
      <w:tr w:rsidR="001D0FDA" w:rsidRPr="00EB1471" w:rsidTr="006D01E8">
        <w:tc>
          <w:tcPr>
            <w:tcW w:w="1661" w:type="dxa"/>
          </w:tcPr>
          <w:p w:rsidR="001D0FDA" w:rsidRPr="00EB1471" w:rsidRDefault="001D0FDA" w:rsidP="001D0FDA">
            <w:pPr>
              <w:pStyle w:val="Tabletext"/>
              <w:rPr>
                <w:b/>
              </w:rPr>
            </w:pPr>
            <w:r w:rsidRPr="00EB1471">
              <w:rPr>
                <w:b/>
              </w:rPr>
              <w:t>Study design</w:t>
            </w:r>
          </w:p>
        </w:tc>
        <w:tc>
          <w:tcPr>
            <w:tcW w:w="7967" w:type="dxa"/>
          </w:tcPr>
          <w:p w:rsidR="001D0FDA" w:rsidRPr="00EB1471" w:rsidRDefault="001D0FDA" w:rsidP="001D0FDA">
            <w:pPr>
              <w:pStyle w:val="Tabletext"/>
              <w:ind w:left="1418" w:hanging="1418"/>
              <w:rPr>
                <w:u w:val="single"/>
              </w:rPr>
            </w:pPr>
            <w:r w:rsidRPr="00EB1471">
              <w:rPr>
                <w:u w:val="single"/>
              </w:rPr>
              <w:t>Effectiveness</w:t>
            </w:r>
            <w:r w:rsidRPr="00EB1471">
              <w:tab/>
              <w:t>Randomised trials or systematic reviews of randomised trials. If there was no evidence obtainable from these study designs, then the search expanded to include nonrandomised or observational studies (cohort or case-control) and systematic reviews of these.</w:t>
            </w:r>
          </w:p>
          <w:p w:rsidR="001D0FDA" w:rsidRPr="00EB1471" w:rsidRDefault="001D0FDA" w:rsidP="001D0FDA">
            <w:pPr>
              <w:pStyle w:val="Tabletext"/>
              <w:ind w:left="1418" w:hanging="1418"/>
            </w:pPr>
            <w:r w:rsidRPr="00EB1471">
              <w:rPr>
                <w:u w:val="single"/>
              </w:rPr>
              <w:t>Safety</w:t>
            </w:r>
            <w:r w:rsidRPr="00EB1471">
              <w:tab/>
              <w:t>Randomised trials, large nonrandomised or observational studies (cohort, case-control, cross-sectional, or case series), or systematic reviews of randomised and/or nonrandomised/observational studies</w:t>
            </w:r>
          </w:p>
        </w:tc>
      </w:tr>
      <w:tr w:rsidR="001D0FDA" w:rsidRPr="00EB1471" w:rsidTr="006D01E8">
        <w:tc>
          <w:tcPr>
            <w:tcW w:w="1661" w:type="dxa"/>
          </w:tcPr>
          <w:p w:rsidR="001D0FDA" w:rsidRPr="00EB1471" w:rsidRDefault="001D0FDA" w:rsidP="001D0FDA">
            <w:pPr>
              <w:pStyle w:val="Tabletext"/>
              <w:rPr>
                <w:b/>
              </w:rPr>
            </w:pPr>
            <w:r w:rsidRPr="00EB1471">
              <w:rPr>
                <w:b/>
              </w:rPr>
              <w:t>Language</w:t>
            </w:r>
          </w:p>
        </w:tc>
        <w:tc>
          <w:tcPr>
            <w:tcW w:w="7967" w:type="dxa"/>
          </w:tcPr>
          <w:p w:rsidR="001D0FDA" w:rsidRPr="00EB1471" w:rsidRDefault="001D0FDA" w:rsidP="001D0FDA">
            <w:pPr>
              <w:pStyle w:val="Tabletext"/>
            </w:pPr>
            <w:r w:rsidRPr="00EB1471">
              <w:rPr>
                <w:rFonts w:cs="Arial Narrow"/>
              </w:rPr>
              <w:t xml:space="preserve">English only </w:t>
            </w:r>
          </w:p>
        </w:tc>
      </w:tr>
      <w:tr w:rsidR="001D0FDA" w:rsidRPr="00EB1471" w:rsidTr="006D01E8">
        <w:tc>
          <w:tcPr>
            <w:tcW w:w="9628" w:type="dxa"/>
            <w:gridSpan w:val="2"/>
          </w:tcPr>
          <w:p w:rsidR="001D0FDA" w:rsidRPr="00EB1471" w:rsidRDefault="001D0FDA" w:rsidP="001D0FDA">
            <w:pPr>
              <w:pStyle w:val="Tabletext"/>
              <w:rPr>
                <w:rFonts w:cs="Arial Narrow"/>
                <w:b/>
                <w:bCs/>
              </w:rPr>
            </w:pPr>
            <w:r w:rsidRPr="00EB1471">
              <w:rPr>
                <w:rFonts w:cs="Arial Narrow"/>
                <w:b/>
              </w:rPr>
              <w:t>Research question: What is the effectiveness and safety of monotherapy with a PAH medicine, compared to placebo/no treatment or another PAH medicine listed on the PBS, in patients with WHO FC I or II PAH?</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Including macitentan, ambrisentan, bosentan, sildenafil, tadalafil, iloprost, epoprostenol and riociguat</w:t>
      </w:r>
    </w:p>
    <w:p w:rsidR="006D01E8" w:rsidRPr="00EB1471" w:rsidRDefault="006D01E8" w:rsidP="006D01E8">
      <w:pPr>
        <w:pStyle w:val="Tablenote"/>
      </w:pPr>
      <w:proofErr w:type="gramStart"/>
      <w:r w:rsidRPr="00EB1471">
        <w:rPr>
          <w:vertAlign w:val="superscript"/>
        </w:rPr>
        <w:t>b</w:t>
      </w:r>
      <w:proofErr w:type="gramEnd"/>
      <w:r w:rsidRPr="00EB1471">
        <w:t xml:space="preserve"> Representing a composite of death, PAH-related hospitalisation, lung transplantation, atrial septostomy, initiation of other PAH medicine(s), deterioration of functional class, and/or worsening of 6MWD. The definition the composite outcome differed between studies. </w:t>
      </w:r>
    </w:p>
    <w:p w:rsidR="001D0FDA" w:rsidRPr="00EB1471" w:rsidRDefault="001D0FDA" w:rsidP="001D0FDA">
      <w:pPr>
        <w:pStyle w:val="Tablenote"/>
      </w:pPr>
      <w:r w:rsidRPr="00EB1471">
        <w:t xml:space="preserve">6MWD = 6-minute </w:t>
      </w:r>
      <w:r w:rsidR="0082368E">
        <w:t>walk distance</w:t>
      </w:r>
      <w:r w:rsidRPr="00EB1471">
        <w:t>; FC = functional class; PAH = pulmonary arterial hypertension; PBS = Pharmaceutical Benefits Scheme; WHO = World Health Organization</w:t>
      </w:r>
    </w:p>
    <w:p w:rsidR="00FF6DF1" w:rsidRDefault="00FF6DF1">
      <w:pPr>
        <w:spacing w:before="0" w:line="240" w:lineRule="auto"/>
        <w:rPr>
          <w:b/>
          <w:iCs/>
          <w:szCs w:val="18"/>
        </w:rPr>
      </w:pPr>
      <w:r>
        <w:br w:type="page"/>
      </w:r>
    </w:p>
    <w:p w:rsidR="001D0FDA" w:rsidRPr="00EB1471" w:rsidRDefault="001D0FDA" w:rsidP="002002A6">
      <w:pPr>
        <w:pStyle w:val="Caption"/>
        <w:keepNext w:val="0"/>
        <w:ind w:left="1134" w:hanging="1134"/>
        <w:rPr>
          <w:i/>
        </w:rPr>
      </w:pPr>
      <w:bookmarkStart w:id="67" w:name="_Toc38360317"/>
      <w:r>
        <w:t>Table 4.</w:t>
      </w:r>
      <w:r w:rsidR="003951FA">
        <w:rPr>
          <w:noProof/>
        </w:rPr>
        <w:t>20</w:t>
      </w:r>
      <w:r>
        <w:tab/>
      </w:r>
      <w:r w:rsidRPr="00EB1471">
        <w:t>Study selection criteria for systematic review of PAH medicines: research question 2</w:t>
      </w:r>
      <w:bookmarkEnd w:id="67"/>
    </w:p>
    <w:tbl>
      <w:tblPr>
        <w:tblStyle w:val="TableGrid"/>
        <w:tblW w:w="5000" w:type="pct"/>
        <w:tblLook w:val="04A0" w:firstRow="1" w:lastRow="0" w:firstColumn="1" w:lastColumn="0" w:noHBand="0" w:noVBand="1"/>
        <w:tblCaption w:val="Study selection criteria for systematic review of PAH medicines: research question 2"/>
      </w:tblPr>
      <w:tblGrid>
        <w:gridCol w:w="1661"/>
        <w:gridCol w:w="7967"/>
      </w:tblGrid>
      <w:tr w:rsidR="001D0FDA" w:rsidRPr="00EB1471" w:rsidTr="006D01E8">
        <w:trPr>
          <w:cnfStyle w:val="100000000000" w:firstRow="1" w:lastRow="0" w:firstColumn="0" w:lastColumn="0" w:oddVBand="0" w:evenVBand="0" w:oddHBand="0" w:evenHBand="0" w:firstRowFirstColumn="0" w:firstRowLastColumn="0" w:lastRowFirstColumn="0" w:lastRowLastColumn="0"/>
          <w:trHeight w:val="54"/>
        </w:trPr>
        <w:tc>
          <w:tcPr>
            <w:tcW w:w="1661" w:type="dxa"/>
            <w:shd w:val="clear" w:color="auto" w:fill="BFBFBF" w:themeFill="background1" w:themeFillShade="BF"/>
          </w:tcPr>
          <w:p w:rsidR="001D0FDA" w:rsidRPr="00EB1471" w:rsidRDefault="001D0FDA" w:rsidP="00D14599">
            <w:pPr>
              <w:pStyle w:val="Tabletext"/>
              <w:rPr>
                <w:b/>
              </w:rPr>
            </w:pPr>
            <w:r w:rsidRPr="00EB1471">
              <w:rPr>
                <w:b/>
              </w:rPr>
              <w:t>PICO component</w:t>
            </w:r>
          </w:p>
        </w:tc>
        <w:tc>
          <w:tcPr>
            <w:tcW w:w="7967" w:type="dxa"/>
            <w:shd w:val="clear" w:color="auto" w:fill="BFBFBF" w:themeFill="background1" w:themeFillShade="BF"/>
          </w:tcPr>
          <w:p w:rsidR="001D0FDA" w:rsidRPr="00EB1471" w:rsidRDefault="001D0FDA" w:rsidP="00D14599">
            <w:pPr>
              <w:pStyle w:val="Tabletext"/>
              <w:rPr>
                <w:b/>
              </w:rPr>
            </w:pPr>
            <w:r w:rsidRPr="00EB1471">
              <w:rPr>
                <w:b/>
              </w:rPr>
              <w:t>Description</w:t>
            </w:r>
          </w:p>
        </w:tc>
      </w:tr>
      <w:tr w:rsidR="001D0FDA" w:rsidRPr="00EB1471" w:rsidTr="006D01E8">
        <w:tc>
          <w:tcPr>
            <w:tcW w:w="1661" w:type="dxa"/>
          </w:tcPr>
          <w:p w:rsidR="001D0FDA" w:rsidRPr="00EB1471" w:rsidRDefault="001D0FDA" w:rsidP="00D14599">
            <w:pPr>
              <w:pStyle w:val="Tabletext"/>
              <w:rPr>
                <w:b/>
              </w:rPr>
            </w:pPr>
            <w:r w:rsidRPr="00EB1471">
              <w:rPr>
                <w:b/>
              </w:rPr>
              <w:t>Population</w:t>
            </w:r>
          </w:p>
        </w:tc>
        <w:tc>
          <w:tcPr>
            <w:tcW w:w="7967" w:type="dxa"/>
          </w:tcPr>
          <w:p w:rsidR="001D0FDA" w:rsidRPr="00EB1471" w:rsidRDefault="001D0FDA" w:rsidP="00D14599">
            <w:pPr>
              <w:pStyle w:val="Tabletext"/>
            </w:pPr>
            <w:r w:rsidRPr="00EB1471">
              <w:t xml:space="preserve">Patients with WHO FC III or IV PAH </w:t>
            </w:r>
          </w:p>
        </w:tc>
      </w:tr>
      <w:tr w:rsidR="001D0FDA" w:rsidRPr="00EB1471" w:rsidTr="006D01E8">
        <w:tc>
          <w:tcPr>
            <w:tcW w:w="1661" w:type="dxa"/>
          </w:tcPr>
          <w:p w:rsidR="001D0FDA" w:rsidRPr="00EB1471" w:rsidRDefault="001D0FDA" w:rsidP="00D14599">
            <w:pPr>
              <w:pStyle w:val="Tabletext"/>
              <w:rPr>
                <w:b/>
              </w:rPr>
            </w:pPr>
            <w:r w:rsidRPr="00EB1471">
              <w:rPr>
                <w:b/>
              </w:rPr>
              <w:t>Intervention</w:t>
            </w:r>
          </w:p>
        </w:tc>
        <w:tc>
          <w:tcPr>
            <w:tcW w:w="7967" w:type="dxa"/>
          </w:tcPr>
          <w:p w:rsidR="001D0FDA" w:rsidRPr="00EB1471" w:rsidRDefault="001D0FDA" w:rsidP="00D14599">
            <w:pPr>
              <w:pStyle w:val="Tabletext"/>
            </w:pPr>
            <w:r w:rsidRPr="00EB1471">
              <w:t>Monotherapy with a PAH medicine currently listed on the PBS</w:t>
            </w:r>
            <w:r w:rsidRPr="00EB1471">
              <w:rPr>
                <w:vertAlign w:val="superscript"/>
              </w:rPr>
              <w:t xml:space="preserve">a </w:t>
            </w:r>
          </w:p>
        </w:tc>
      </w:tr>
      <w:tr w:rsidR="001D0FDA" w:rsidRPr="00EB1471" w:rsidTr="006D01E8">
        <w:tc>
          <w:tcPr>
            <w:tcW w:w="1661" w:type="dxa"/>
          </w:tcPr>
          <w:p w:rsidR="001D0FDA" w:rsidRPr="00EB1471" w:rsidRDefault="001D0FDA" w:rsidP="00D14599">
            <w:pPr>
              <w:pStyle w:val="Tabletext"/>
              <w:rPr>
                <w:b/>
              </w:rPr>
            </w:pPr>
            <w:r w:rsidRPr="00EB1471">
              <w:rPr>
                <w:b/>
              </w:rPr>
              <w:t>Comparators</w:t>
            </w:r>
          </w:p>
        </w:tc>
        <w:tc>
          <w:tcPr>
            <w:tcW w:w="7967" w:type="dxa"/>
          </w:tcPr>
          <w:p w:rsidR="001D0FDA" w:rsidRPr="00EB1471" w:rsidRDefault="001D0FDA" w:rsidP="00D14599">
            <w:pPr>
              <w:pStyle w:val="Tabletext"/>
            </w:pPr>
            <w:r w:rsidRPr="00EB1471">
              <w:t>The main comparator previously accepted by the PBAC</w:t>
            </w:r>
          </w:p>
        </w:tc>
      </w:tr>
      <w:tr w:rsidR="001D0FDA" w:rsidRPr="00EB1471" w:rsidTr="006D01E8">
        <w:tc>
          <w:tcPr>
            <w:tcW w:w="1661" w:type="dxa"/>
          </w:tcPr>
          <w:p w:rsidR="001D0FDA" w:rsidRPr="00EB1471" w:rsidRDefault="001D0FDA" w:rsidP="00D14599">
            <w:pPr>
              <w:pStyle w:val="Tabletext"/>
              <w:rPr>
                <w:b/>
              </w:rPr>
            </w:pPr>
            <w:r w:rsidRPr="00EB1471">
              <w:rPr>
                <w:b/>
              </w:rPr>
              <w:t>Outcomes</w:t>
            </w:r>
          </w:p>
        </w:tc>
        <w:tc>
          <w:tcPr>
            <w:tcW w:w="7967" w:type="dxa"/>
          </w:tcPr>
          <w:p w:rsidR="001D0FDA" w:rsidRPr="00EB1471" w:rsidRDefault="001D0FDA" w:rsidP="00D14599">
            <w:pPr>
              <w:pStyle w:val="Tabletext"/>
            </w:pPr>
            <w:r w:rsidRPr="00EB1471">
              <w:rPr>
                <w:u w:val="single"/>
              </w:rPr>
              <w:t>Effectiveness</w:t>
            </w:r>
            <w:r w:rsidRPr="00EB1471">
              <w:t xml:space="preserve"> </w:t>
            </w:r>
            <w:r w:rsidRPr="00EB1471">
              <w:tab/>
              <w:t>Study-defined clinical worsening</w:t>
            </w:r>
            <w:r w:rsidRPr="00EB1471">
              <w:rPr>
                <w:vertAlign w:val="superscript"/>
              </w:rPr>
              <w:t>b</w:t>
            </w:r>
          </w:p>
          <w:p w:rsidR="001D0FDA" w:rsidRPr="00EB1471" w:rsidRDefault="001D0FDA" w:rsidP="00D14599">
            <w:pPr>
              <w:pStyle w:val="Tabletext"/>
            </w:pPr>
            <w:r w:rsidRPr="00EB1471">
              <w:tab/>
            </w:r>
            <w:r w:rsidRPr="00EB1471">
              <w:tab/>
              <w:t>Mortality</w:t>
            </w:r>
          </w:p>
          <w:p w:rsidR="001D0FDA" w:rsidRPr="00EB1471" w:rsidRDefault="001D0FDA" w:rsidP="00D14599">
            <w:pPr>
              <w:pStyle w:val="Tabletext"/>
            </w:pPr>
            <w:r w:rsidRPr="00EB1471">
              <w:tab/>
            </w:r>
            <w:r w:rsidRPr="00EB1471">
              <w:tab/>
              <w:t>Hospitalisation</w:t>
            </w:r>
          </w:p>
          <w:p w:rsidR="001D0FDA" w:rsidRPr="00EB1471" w:rsidRDefault="001D0FDA" w:rsidP="00D14599">
            <w:pPr>
              <w:pStyle w:val="Tabletext"/>
            </w:pPr>
            <w:r w:rsidRPr="00EB1471">
              <w:tab/>
            </w:r>
            <w:r w:rsidRPr="00EB1471">
              <w:tab/>
              <w:t>WHO FC</w:t>
            </w:r>
          </w:p>
          <w:p w:rsidR="001D0FDA" w:rsidRPr="00EB1471" w:rsidRDefault="001D0FDA" w:rsidP="00D14599">
            <w:pPr>
              <w:pStyle w:val="Tabletext"/>
            </w:pPr>
            <w:r w:rsidRPr="00EB1471">
              <w:tab/>
            </w:r>
            <w:r w:rsidRPr="00EB1471">
              <w:tab/>
              <w:t>6MWD</w:t>
            </w:r>
          </w:p>
          <w:p w:rsidR="001D0FDA" w:rsidRPr="00EB1471" w:rsidRDefault="001D0FDA" w:rsidP="00D14599">
            <w:pPr>
              <w:pStyle w:val="Tabletext"/>
            </w:pPr>
            <w:r w:rsidRPr="00EB1471">
              <w:tab/>
            </w:r>
            <w:r w:rsidRPr="00EB1471">
              <w:tab/>
              <w:t>Quality of life</w:t>
            </w:r>
          </w:p>
          <w:p w:rsidR="001D0FDA" w:rsidRPr="00EB1471" w:rsidRDefault="001D0FDA" w:rsidP="00D14599">
            <w:pPr>
              <w:pStyle w:val="Tabletext"/>
            </w:pPr>
            <w:r w:rsidRPr="00EB1471">
              <w:tab/>
            </w:r>
            <w:r w:rsidRPr="00EB1471">
              <w:tab/>
              <w:t>Lung transplant</w:t>
            </w:r>
          </w:p>
          <w:p w:rsidR="001D0FDA" w:rsidRPr="00EB1471" w:rsidRDefault="001D0FDA" w:rsidP="00D14599">
            <w:pPr>
              <w:pStyle w:val="Tabletext"/>
            </w:pPr>
            <w:r w:rsidRPr="00EB1471">
              <w:tab/>
            </w:r>
            <w:r w:rsidRPr="00EB1471">
              <w:tab/>
              <w:t>Atrial septostomy</w:t>
            </w:r>
          </w:p>
          <w:p w:rsidR="001D0FDA" w:rsidRPr="00EB1471" w:rsidRDefault="001D0FDA" w:rsidP="00D14599">
            <w:pPr>
              <w:pStyle w:val="Tabletext"/>
            </w:pPr>
            <w:r w:rsidRPr="00EB1471">
              <w:tab/>
            </w:r>
            <w:r w:rsidRPr="00EB1471">
              <w:tab/>
              <w:t>Initiation of other PAH medicine(s)</w:t>
            </w:r>
          </w:p>
          <w:p w:rsidR="001D0FDA" w:rsidRPr="00EB1471" w:rsidRDefault="001D0FDA" w:rsidP="00D14599">
            <w:pPr>
              <w:pStyle w:val="Tabletext"/>
              <w:ind w:left="1310" w:hanging="1310"/>
            </w:pPr>
            <w:r w:rsidRPr="00EB1471">
              <w:tab/>
            </w:r>
            <w:r w:rsidRPr="00EB1471">
              <w:tab/>
              <w:t>Haemodynamic parameters</w:t>
            </w:r>
          </w:p>
          <w:p w:rsidR="001D0FDA" w:rsidRPr="00EB1471" w:rsidRDefault="001D0FDA" w:rsidP="00D14599">
            <w:pPr>
              <w:pStyle w:val="Tabletext"/>
            </w:pPr>
            <w:r w:rsidRPr="00EB1471">
              <w:rPr>
                <w:u w:val="single"/>
              </w:rPr>
              <w:t>Safety</w:t>
            </w:r>
            <w:r w:rsidRPr="00EB1471">
              <w:tab/>
            </w:r>
            <w:r w:rsidRPr="00EB1471">
              <w:tab/>
              <w:t>Adverse events</w:t>
            </w:r>
          </w:p>
        </w:tc>
      </w:tr>
      <w:tr w:rsidR="001D0FDA" w:rsidRPr="00EB1471" w:rsidTr="006D01E8">
        <w:tc>
          <w:tcPr>
            <w:tcW w:w="1661" w:type="dxa"/>
          </w:tcPr>
          <w:p w:rsidR="001D0FDA" w:rsidRPr="00EB1471" w:rsidRDefault="001D0FDA" w:rsidP="00D14599">
            <w:pPr>
              <w:pStyle w:val="Tabletext"/>
              <w:rPr>
                <w:b/>
              </w:rPr>
            </w:pPr>
            <w:r w:rsidRPr="00EB1471">
              <w:rPr>
                <w:b/>
              </w:rPr>
              <w:t>Study design</w:t>
            </w:r>
          </w:p>
        </w:tc>
        <w:tc>
          <w:tcPr>
            <w:tcW w:w="7967" w:type="dxa"/>
          </w:tcPr>
          <w:p w:rsidR="001D0FDA" w:rsidRPr="00EB1471" w:rsidRDefault="001D0FDA" w:rsidP="00D14599">
            <w:pPr>
              <w:pStyle w:val="Tabletext"/>
              <w:ind w:left="1418" w:hanging="1418"/>
              <w:rPr>
                <w:u w:val="single"/>
              </w:rPr>
            </w:pPr>
            <w:r w:rsidRPr="00EB1471">
              <w:rPr>
                <w:u w:val="single"/>
              </w:rPr>
              <w:t>Effectiveness</w:t>
            </w:r>
            <w:r w:rsidRPr="00EB1471">
              <w:tab/>
              <w:t>Randomised trials or systematic reviews of randomised trials. If there was no evidence obtainable from these study designs and the previous evidence assessed by the PBAC was nonexperimental, then the search expanded to include nonrandomised or observational studies (cohort or case-control) and systematic reviews of these.</w:t>
            </w:r>
          </w:p>
          <w:p w:rsidR="001D0FDA" w:rsidRPr="00EB1471" w:rsidRDefault="001D0FDA" w:rsidP="00D14599">
            <w:pPr>
              <w:pStyle w:val="Tabletext"/>
              <w:ind w:left="1418" w:hanging="1418"/>
            </w:pPr>
            <w:r w:rsidRPr="00EB1471">
              <w:rPr>
                <w:u w:val="single"/>
              </w:rPr>
              <w:t>Safety</w:t>
            </w:r>
            <w:r w:rsidRPr="00EB1471">
              <w:tab/>
              <w:t>Randomised trials, large nonrandomised or observational studies (cohort, case-control, cross-sectional, or case series), or systematic reviews of randomised and/or nonrandomised/observational studies</w:t>
            </w:r>
          </w:p>
        </w:tc>
      </w:tr>
      <w:tr w:rsidR="001D0FDA" w:rsidRPr="00EB1471" w:rsidTr="006D01E8">
        <w:tc>
          <w:tcPr>
            <w:tcW w:w="1661" w:type="dxa"/>
          </w:tcPr>
          <w:p w:rsidR="001D0FDA" w:rsidRPr="00EB1471" w:rsidRDefault="001D0FDA" w:rsidP="00D14599">
            <w:pPr>
              <w:pStyle w:val="Tabletext"/>
              <w:rPr>
                <w:b/>
              </w:rPr>
            </w:pPr>
            <w:r w:rsidRPr="00EB1471">
              <w:rPr>
                <w:b/>
              </w:rPr>
              <w:t>Language</w:t>
            </w:r>
          </w:p>
        </w:tc>
        <w:tc>
          <w:tcPr>
            <w:tcW w:w="7967" w:type="dxa"/>
          </w:tcPr>
          <w:p w:rsidR="001D0FDA" w:rsidRPr="00EB1471" w:rsidRDefault="001D0FDA" w:rsidP="00D14599">
            <w:pPr>
              <w:pStyle w:val="Tabletext"/>
            </w:pPr>
            <w:r w:rsidRPr="00EB1471">
              <w:rPr>
                <w:rFonts w:cs="Arial Narrow"/>
              </w:rPr>
              <w:t>English only</w:t>
            </w:r>
          </w:p>
        </w:tc>
      </w:tr>
      <w:tr w:rsidR="001D0FDA" w:rsidRPr="00EB1471" w:rsidTr="006D01E8">
        <w:tc>
          <w:tcPr>
            <w:tcW w:w="9628" w:type="dxa"/>
            <w:gridSpan w:val="2"/>
          </w:tcPr>
          <w:p w:rsidR="001D0FDA" w:rsidRPr="00EB1471" w:rsidRDefault="001D0FDA" w:rsidP="00D14599">
            <w:pPr>
              <w:pStyle w:val="Tabletext"/>
              <w:rPr>
                <w:rFonts w:cs="Arial Narrow"/>
                <w:b/>
                <w:bCs/>
              </w:rPr>
            </w:pPr>
            <w:r w:rsidRPr="00EB1471">
              <w:rPr>
                <w:rFonts w:cs="Arial Narrow"/>
                <w:b/>
              </w:rPr>
              <w:t xml:space="preserve">Research question: What is the new evidence concerning the effectiveness and safety of monotherapy with a PAH medicine, compared to the main comparator accepted by the PBAC, in patients with WHO FC III or IV PAH, that has not previously been considered by the PBAC? </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Including macitentan, ambrisentan, bosentan, sildenafil, tadalafil, iloprost, epoprostenol and riociguat</w:t>
      </w:r>
    </w:p>
    <w:p w:rsidR="006D01E8" w:rsidRPr="00EB1471" w:rsidRDefault="006D01E8" w:rsidP="006D01E8">
      <w:pPr>
        <w:pStyle w:val="Tablenote"/>
      </w:pPr>
      <w:proofErr w:type="gramStart"/>
      <w:r w:rsidRPr="00EB1471">
        <w:rPr>
          <w:vertAlign w:val="superscript"/>
        </w:rPr>
        <w:t>b</w:t>
      </w:r>
      <w:proofErr w:type="gramEnd"/>
      <w:r w:rsidRPr="00EB1471">
        <w:t xml:space="preserve"> Representing a composite of death, PAH-related hospitalisation, lung transplantation, atrial septostomy, initiation of other PAH medicine(s), deterioration of functional class, and/or worsening of 6MWD. The definition the composite outcome differed between studies.</w:t>
      </w:r>
    </w:p>
    <w:p w:rsidR="001D0FDA" w:rsidRPr="00EB1471" w:rsidRDefault="001D0FDA" w:rsidP="00D14599">
      <w:pPr>
        <w:pStyle w:val="Tablenote"/>
      </w:pPr>
      <w:r w:rsidRPr="00EB1471">
        <w:t xml:space="preserve">6MWD = 6-minute </w:t>
      </w:r>
      <w:r w:rsidR="0082368E">
        <w:t>walk distance</w:t>
      </w:r>
      <w:r w:rsidRPr="00EB1471">
        <w:t>; FC = functional class; PAH = pulmonary arterial hypertension; PBAC = Pharmaceutical Benefits Advisory Committee; PBS = Pharmaceutical Benefits Scheme; WHO = World Health Organization</w:t>
      </w:r>
    </w:p>
    <w:p w:rsidR="00FF6DF1" w:rsidRDefault="00FF6DF1">
      <w:pPr>
        <w:spacing w:before="0" w:line="240" w:lineRule="auto"/>
        <w:rPr>
          <w:b/>
          <w:iCs/>
          <w:szCs w:val="18"/>
        </w:rPr>
      </w:pPr>
      <w:bookmarkStart w:id="68" w:name="_Ref508396773"/>
      <w:bookmarkStart w:id="69" w:name="_Ref508396772"/>
      <w:r>
        <w:br w:type="page"/>
      </w:r>
    </w:p>
    <w:p w:rsidR="001D0FDA" w:rsidRPr="00EB1471" w:rsidRDefault="001D0FDA" w:rsidP="002002A6">
      <w:pPr>
        <w:pStyle w:val="Caption"/>
        <w:ind w:left="1134" w:hanging="1134"/>
      </w:pPr>
      <w:bookmarkStart w:id="70" w:name="_Toc38360318"/>
      <w:r>
        <w:t>Table 4.</w:t>
      </w:r>
      <w:r w:rsidR="003951FA">
        <w:rPr>
          <w:noProof/>
        </w:rPr>
        <w:t>21</w:t>
      </w:r>
      <w:bookmarkEnd w:id="68"/>
      <w:r>
        <w:tab/>
      </w:r>
      <w:r w:rsidRPr="00EB1471">
        <w:t>Study selection criteria for systematic review of PAH medicines: research question 3</w:t>
      </w:r>
      <w:bookmarkEnd w:id="69"/>
      <w:bookmarkEnd w:id="70"/>
    </w:p>
    <w:tbl>
      <w:tblPr>
        <w:tblStyle w:val="TableGrid"/>
        <w:tblW w:w="5000" w:type="pct"/>
        <w:tblLook w:val="04A0" w:firstRow="1" w:lastRow="0" w:firstColumn="1" w:lastColumn="0" w:noHBand="0" w:noVBand="1"/>
        <w:tblCaption w:val="Study selection criteria for systematic review of PAH medicines: research question 3"/>
      </w:tblPr>
      <w:tblGrid>
        <w:gridCol w:w="1662"/>
        <w:gridCol w:w="7966"/>
      </w:tblGrid>
      <w:tr w:rsidR="001D0FDA" w:rsidRPr="00EB1471" w:rsidTr="006D01E8">
        <w:trPr>
          <w:cnfStyle w:val="100000000000" w:firstRow="1" w:lastRow="0" w:firstColumn="0" w:lastColumn="0" w:oddVBand="0" w:evenVBand="0" w:oddHBand="0" w:evenHBand="0" w:firstRowFirstColumn="0" w:firstRowLastColumn="0" w:lastRowFirstColumn="0" w:lastRowLastColumn="0"/>
          <w:trHeight w:val="54"/>
        </w:trPr>
        <w:tc>
          <w:tcPr>
            <w:tcW w:w="1662" w:type="dxa"/>
            <w:shd w:val="clear" w:color="auto" w:fill="BFBFBF" w:themeFill="background1" w:themeFillShade="BF"/>
          </w:tcPr>
          <w:p w:rsidR="001D0FDA" w:rsidRPr="00EB1471" w:rsidRDefault="001D0FDA" w:rsidP="001D0FDA">
            <w:pPr>
              <w:pStyle w:val="Tabletext"/>
              <w:rPr>
                <w:b/>
              </w:rPr>
            </w:pPr>
            <w:r w:rsidRPr="00EB1471">
              <w:rPr>
                <w:b/>
              </w:rPr>
              <w:t>PICO component</w:t>
            </w:r>
          </w:p>
        </w:tc>
        <w:tc>
          <w:tcPr>
            <w:tcW w:w="7966" w:type="dxa"/>
            <w:shd w:val="clear" w:color="auto" w:fill="BFBFBF" w:themeFill="background1" w:themeFillShade="BF"/>
          </w:tcPr>
          <w:p w:rsidR="001D0FDA" w:rsidRPr="00EB1471" w:rsidRDefault="001D0FDA" w:rsidP="001D0FDA">
            <w:pPr>
              <w:pStyle w:val="Tabletext"/>
              <w:rPr>
                <w:b/>
              </w:rPr>
            </w:pPr>
            <w:r w:rsidRPr="00EB1471">
              <w:rPr>
                <w:b/>
              </w:rPr>
              <w:t>Description</w:t>
            </w:r>
          </w:p>
        </w:tc>
      </w:tr>
      <w:tr w:rsidR="001D0FDA" w:rsidRPr="00EB1471" w:rsidTr="006D01E8">
        <w:tc>
          <w:tcPr>
            <w:tcW w:w="1662" w:type="dxa"/>
          </w:tcPr>
          <w:p w:rsidR="001D0FDA" w:rsidRPr="00EB1471" w:rsidRDefault="001D0FDA" w:rsidP="001D0FDA">
            <w:pPr>
              <w:pStyle w:val="Tabletext"/>
              <w:rPr>
                <w:b/>
              </w:rPr>
            </w:pPr>
            <w:r w:rsidRPr="00EB1471">
              <w:rPr>
                <w:b/>
              </w:rPr>
              <w:t>Population</w:t>
            </w:r>
          </w:p>
        </w:tc>
        <w:tc>
          <w:tcPr>
            <w:tcW w:w="7966" w:type="dxa"/>
          </w:tcPr>
          <w:p w:rsidR="001D0FDA" w:rsidRPr="00EB1471" w:rsidRDefault="001D0FDA" w:rsidP="001D0FDA">
            <w:pPr>
              <w:pStyle w:val="Tabletext"/>
            </w:pPr>
            <w:r w:rsidRPr="00EB1471">
              <w:t>Patients with PAH irrespective of disease severity or aetiology.</w:t>
            </w:r>
          </w:p>
          <w:p w:rsidR="001D0FDA" w:rsidRPr="00EB1471" w:rsidRDefault="001D0FDA" w:rsidP="001D0FDA">
            <w:pPr>
              <w:pStyle w:val="Tabletext"/>
            </w:pPr>
            <w:r w:rsidRPr="00EB1471">
              <w:t>Subgroups:</w:t>
            </w:r>
          </w:p>
          <w:p w:rsidR="001D0FDA" w:rsidRPr="00EB1471" w:rsidRDefault="001D0FDA" w:rsidP="001D0FDA">
            <w:pPr>
              <w:pStyle w:val="Tabletext"/>
              <w:numPr>
                <w:ilvl w:val="0"/>
                <w:numId w:val="14"/>
              </w:numPr>
              <w:autoSpaceDE/>
              <w:autoSpaceDN/>
              <w:adjustRightInd/>
              <w:ind w:left="458" w:hanging="284"/>
              <w:jc w:val="both"/>
            </w:pPr>
            <w:r w:rsidRPr="00EB1471">
              <w:t xml:space="preserve">with FC III or IV; or </w:t>
            </w:r>
          </w:p>
          <w:p w:rsidR="001D0FDA" w:rsidRPr="00EB1471" w:rsidRDefault="001D0FDA" w:rsidP="001D0FDA">
            <w:pPr>
              <w:pStyle w:val="Tabletext"/>
              <w:numPr>
                <w:ilvl w:val="0"/>
                <w:numId w:val="14"/>
              </w:numPr>
              <w:autoSpaceDE/>
              <w:autoSpaceDN/>
              <w:adjustRightInd/>
              <w:ind w:left="458" w:hanging="284"/>
              <w:jc w:val="both"/>
            </w:pPr>
            <w:r w:rsidRPr="00EB1471">
              <w:t>with different disease aetiologies</w:t>
            </w:r>
          </w:p>
        </w:tc>
      </w:tr>
      <w:tr w:rsidR="001D0FDA" w:rsidRPr="00EB1471" w:rsidTr="006D01E8">
        <w:tc>
          <w:tcPr>
            <w:tcW w:w="1662" w:type="dxa"/>
          </w:tcPr>
          <w:p w:rsidR="001D0FDA" w:rsidRPr="00EB1471" w:rsidRDefault="001D0FDA" w:rsidP="001D0FDA">
            <w:pPr>
              <w:pStyle w:val="Tabletext"/>
              <w:rPr>
                <w:b/>
              </w:rPr>
            </w:pPr>
            <w:r w:rsidRPr="00EB1471">
              <w:rPr>
                <w:b/>
              </w:rPr>
              <w:t>Interventions</w:t>
            </w:r>
          </w:p>
        </w:tc>
        <w:tc>
          <w:tcPr>
            <w:tcW w:w="7966" w:type="dxa"/>
          </w:tcPr>
          <w:p w:rsidR="001D0FDA" w:rsidRPr="00EB1471" w:rsidRDefault="001D0FDA" w:rsidP="001D0FDA">
            <w:pPr>
              <w:pStyle w:val="Tabletext"/>
            </w:pPr>
            <w:r w:rsidRPr="00EB1471">
              <w:t>Dual combination therapy involving any combination of an ERA, a PDE-5 inhibitor, a prostanoid, or a sGC stimulator currently listed on the PBS</w:t>
            </w:r>
            <w:r w:rsidRPr="00EB1471">
              <w:rPr>
                <w:vertAlign w:val="superscript"/>
              </w:rPr>
              <w:t>a</w:t>
            </w:r>
          </w:p>
        </w:tc>
      </w:tr>
      <w:tr w:rsidR="001D0FDA" w:rsidRPr="00EB1471" w:rsidTr="006D01E8">
        <w:tc>
          <w:tcPr>
            <w:tcW w:w="1662" w:type="dxa"/>
          </w:tcPr>
          <w:p w:rsidR="001D0FDA" w:rsidRPr="00EB1471" w:rsidRDefault="001D0FDA" w:rsidP="001D0FDA">
            <w:pPr>
              <w:pStyle w:val="Tabletext"/>
              <w:rPr>
                <w:b/>
              </w:rPr>
            </w:pPr>
            <w:r w:rsidRPr="00EB1471">
              <w:rPr>
                <w:b/>
              </w:rPr>
              <w:t>Comparator</w:t>
            </w:r>
          </w:p>
        </w:tc>
        <w:tc>
          <w:tcPr>
            <w:tcW w:w="7966" w:type="dxa"/>
          </w:tcPr>
          <w:p w:rsidR="001D0FDA" w:rsidRPr="00EB1471" w:rsidRDefault="001D0FDA" w:rsidP="001D0FDA">
            <w:pPr>
              <w:pStyle w:val="Tabletext"/>
            </w:pPr>
            <w:r w:rsidRPr="00EB1471">
              <w:t>Monotherapy with a PAH medicine currently listed on the PBS</w:t>
            </w:r>
            <w:r w:rsidRPr="00EB1471">
              <w:rPr>
                <w:vertAlign w:val="superscript"/>
              </w:rPr>
              <w:t>b</w:t>
            </w:r>
          </w:p>
        </w:tc>
      </w:tr>
      <w:tr w:rsidR="001D0FDA" w:rsidRPr="00EB1471" w:rsidTr="006D01E8">
        <w:tc>
          <w:tcPr>
            <w:tcW w:w="1662" w:type="dxa"/>
          </w:tcPr>
          <w:p w:rsidR="001D0FDA" w:rsidRPr="00EB1471" w:rsidRDefault="001D0FDA" w:rsidP="001D0FDA">
            <w:pPr>
              <w:pStyle w:val="Tabletext"/>
              <w:rPr>
                <w:b/>
              </w:rPr>
            </w:pPr>
            <w:r w:rsidRPr="00EB1471">
              <w:rPr>
                <w:b/>
              </w:rPr>
              <w:t>Outcomes</w:t>
            </w:r>
          </w:p>
        </w:tc>
        <w:tc>
          <w:tcPr>
            <w:tcW w:w="7966" w:type="dxa"/>
          </w:tcPr>
          <w:p w:rsidR="001D0FDA" w:rsidRPr="00EB1471" w:rsidRDefault="001D0FDA" w:rsidP="001D0FDA">
            <w:pPr>
              <w:pStyle w:val="Tabletext"/>
            </w:pPr>
            <w:r w:rsidRPr="00EB1471">
              <w:rPr>
                <w:u w:val="single"/>
              </w:rPr>
              <w:t>Effectiveness</w:t>
            </w:r>
            <w:r w:rsidRPr="00EB1471">
              <w:t xml:space="preserve"> </w:t>
            </w:r>
            <w:r w:rsidRPr="00EB1471">
              <w:tab/>
              <w:t>Study-defined clinical worsening</w:t>
            </w:r>
            <w:r w:rsidRPr="00EB1471">
              <w:rPr>
                <w:vertAlign w:val="superscript"/>
              </w:rPr>
              <w:t>c</w:t>
            </w:r>
          </w:p>
          <w:p w:rsidR="001D0FDA" w:rsidRPr="00EB1471" w:rsidRDefault="001D0FDA" w:rsidP="001D0FDA">
            <w:pPr>
              <w:pStyle w:val="Tabletext"/>
            </w:pPr>
            <w:r w:rsidRPr="00EB1471">
              <w:tab/>
            </w:r>
            <w:r w:rsidRPr="00EB1471">
              <w:tab/>
              <w:t>Mortality</w:t>
            </w:r>
          </w:p>
          <w:p w:rsidR="001D0FDA" w:rsidRPr="00EB1471" w:rsidRDefault="001D0FDA" w:rsidP="001D0FDA">
            <w:pPr>
              <w:pStyle w:val="Tabletext"/>
            </w:pPr>
            <w:r w:rsidRPr="00EB1471">
              <w:tab/>
            </w:r>
            <w:r w:rsidRPr="00EB1471">
              <w:tab/>
              <w:t>Hospitalisation</w:t>
            </w:r>
          </w:p>
          <w:p w:rsidR="001D0FDA" w:rsidRPr="00EB1471" w:rsidRDefault="001D0FDA" w:rsidP="001D0FDA">
            <w:pPr>
              <w:pStyle w:val="Tabletext"/>
            </w:pPr>
            <w:r w:rsidRPr="00EB1471">
              <w:tab/>
            </w:r>
            <w:r w:rsidRPr="00EB1471">
              <w:tab/>
              <w:t>WHO FC</w:t>
            </w:r>
          </w:p>
          <w:p w:rsidR="001D0FDA" w:rsidRPr="00EB1471" w:rsidRDefault="001D0FDA" w:rsidP="001D0FDA">
            <w:pPr>
              <w:pStyle w:val="Tabletext"/>
            </w:pPr>
            <w:r w:rsidRPr="00EB1471">
              <w:tab/>
            </w:r>
            <w:r w:rsidRPr="00EB1471">
              <w:tab/>
              <w:t>6MWD</w:t>
            </w:r>
          </w:p>
          <w:p w:rsidR="001D0FDA" w:rsidRPr="00EB1471" w:rsidRDefault="001D0FDA" w:rsidP="001D0FDA">
            <w:pPr>
              <w:pStyle w:val="Tabletext"/>
            </w:pPr>
            <w:r w:rsidRPr="00EB1471">
              <w:tab/>
            </w:r>
            <w:r w:rsidRPr="00EB1471">
              <w:tab/>
              <w:t>Quality of life</w:t>
            </w:r>
          </w:p>
          <w:p w:rsidR="001D0FDA" w:rsidRPr="00EB1471" w:rsidRDefault="001D0FDA" w:rsidP="001D0FDA">
            <w:pPr>
              <w:pStyle w:val="Tabletext"/>
            </w:pPr>
            <w:r w:rsidRPr="00EB1471">
              <w:tab/>
            </w:r>
            <w:r w:rsidRPr="00EB1471">
              <w:tab/>
              <w:t>Lung transplant</w:t>
            </w:r>
          </w:p>
          <w:p w:rsidR="001D0FDA" w:rsidRPr="00EB1471" w:rsidRDefault="001D0FDA" w:rsidP="001D0FDA">
            <w:pPr>
              <w:pStyle w:val="Tabletext"/>
            </w:pPr>
            <w:r w:rsidRPr="00EB1471">
              <w:tab/>
            </w:r>
            <w:r w:rsidRPr="00EB1471">
              <w:tab/>
              <w:t>Atrial septostomy</w:t>
            </w:r>
          </w:p>
          <w:p w:rsidR="001D0FDA" w:rsidRPr="00EB1471" w:rsidRDefault="001D0FDA" w:rsidP="001D0FDA">
            <w:pPr>
              <w:pStyle w:val="Tabletext"/>
            </w:pPr>
            <w:r w:rsidRPr="00EB1471">
              <w:tab/>
            </w:r>
            <w:r w:rsidRPr="00EB1471">
              <w:tab/>
              <w:t>Initiation of other PAH medicine(s)</w:t>
            </w:r>
          </w:p>
          <w:p w:rsidR="001D0FDA" w:rsidRPr="00EB1471" w:rsidRDefault="001D0FDA" w:rsidP="001D0FDA">
            <w:pPr>
              <w:pStyle w:val="Tabletext"/>
            </w:pPr>
            <w:r w:rsidRPr="00EB1471">
              <w:tab/>
            </w:r>
            <w:r w:rsidRPr="00EB1471">
              <w:tab/>
              <w:t>Haemodynamic parameters</w:t>
            </w:r>
          </w:p>
          <w:p w:rsidR="001D0FDA" w:rsidRPr="00EB1471" w:rsidRDefault="001D0FDA" w:rsidP="001D0FDA">
            <w:pPr>
              <w:pStyle w:val="Tabletext"/>
            </w:pPr>
            <w:r w:rsidRPr="00EB1471">
              <w:rPr>
                <w:u w:val="single"/>
              </w:rPr>
              <w:t>Safety</w:t>
            </w:r>
            <w:r w:rsidRPr="00EB1471">
              <w:tab/>
            </w:r>
            <w:r w:rsidRPr="00EB1471">
              <w:tab/>
              <w:t>Adverse events</w:t>
            </w:r>
          </w:p>
        </w:tc>
      </w:tr>
      <w:tr w:rsidR="001D0FDA" w:rsidRPr="00EB1471" w:rsidTr="006D01E8">
        <w:tc>
          <w:tcPr>
            <w:tcW w:w="1662" w:type="dxa"/>
          </w:tcPr>
          <w:p w:rsidR="001D0FDA" w:rsidRPr="00EB1471" w:rsidRDefault="001D0FDA" w:rsidP="001D0FDA">
            <w:pPr>
              <w:pStyle w:val="Tabletext"/>
              <w:rPr>
                <w:b/>
              </w:rPr>
            </w:pPr>
            <w:r w:rsidRPr="00EB1471">
              <w:rPr>
                <w:b/>
              </w:rPr>
              <w:t>Study design</w:t>
            </w:r>
          </w:p>
        </w:tc>
        <w:tc>
          <w:tcPr>
            <w:tcW w:w="7966" w:type="dxa"/>
          </w:tcPr>
          <w:p w:rsidR="001D0FDA" w:rsidRPr="00EB1471" w:rsidRDefault="001D0FDA" w:rsidP="001D0FDA">
            <w:pPr>
              <w:pStyle w:val="Tabletext"/>
              <w:ind w:left="1418" w:hanging="1418"/>
            </w:pPr>
            <w:r w:rsidRPr="00EB1471">
              <w:rPr>
                <w:u w:val="single"/>
              </w:rPr>
              <w:t>Effectiveness</w:t>
            </w:r>
            <w:r w:rsidRPr="00EB1471">
              <w:tab/>
              <w:t>Randomised trials or systematic reviews of randomised trials. If there was no evidence obtainable from these study designs, then the search expanded to include nonrandomised or observational studies (cohort or case-control) and systematic reviews of these.</w:t>
            </w:r>
          </w:p>
          <w:p w:rsidR="001D0FDA" w:rsidRPr="00EB1471" w:rsidRDefault="001D0FDA" w:rsidP="001D0FDA">
            <w:pPr>
              <w:pStyle w:val="Tabletext"/>
              <w:ind w:left="1418" w:hanging="1418"/>
            </w:pPr>
            <w:r w:rsidRPr="00EB1471">
              <w:rPr>
                <w:u w:val="single"/>
              </w:rPr>
              <w:t>Safety</w:t>
            </w:r>
            <w:r w:rsidRPr="00EB1471">
              <w:tab/>
              <w:t>Randomised trials, large nonrandomised or observational studies (cohort, case-control, cross-sectional, or case series), or systematic reviews of randomised and/or nonrandomised/observational studies</w:t>
            </w:r>
          </w:p>
        </w:tc>
      </w:tr>
      <w:tr w:rsidR="001D0FDA" w:rsidRPr="00EB1471" w:rsidTr="006D01E8">
        <w:tc>
          <w:tcPr>
            <w:tcW w:w="1662" w:type="dxa"/>
          </w:tcPr>
          <w:p w:rsidR="001D0FDA" w:rsidRPr="00EB1471" w:rsidRDefault="001D0FDA" w:rsidP="001D0FDA">
            <w:pPr>
              <w:pStyle w:val="Tabletext"/>
              <w:rPr>
                <w:b/>
              </w:rPr>
            </w:pPr>
            <w:r w:rsidRPr="00EB1471">
              <w:rPr>
                <w:b/>
              </w:rPr>
              <w:t>Language</w:t>
            </w:r>
          </w:p>
        </w:tc>
        <w:tc>
          <w:tcPr>
            <w:tcW w:w="7966" w:type="dxa"/>
          </w:tcPr>
          <w:p w:rsidR="001D0FDA" w:rsidRPr="00EB1471" w:rsidRDefault="001D0FDA" w:rsidP="001D0FDA">
            <w:pPr>
              <w:pStyle w:val="Tabletext"/>
            </w:pPr>
            <w:r w:rsidRPr="00EB1471">
              <w:rPr>
                <w:rFonts w:cs="Arial Narrow"/>
              </w:rPr>
              <w:t>English only</w:t>
            </w:r>
          </w:p>
        </w:tc>
      </w:tr>
      <w:tr w:rsidR="001D0FDA" w:rsidRPr="00EB1471" w:rsidTr="006D01E8">
        <w:tc>
          <w:tcPr>
            <w:tcW w:w="9628" w:type="dxa"/>
            <w:gridSpan w:val="2"/>
          </w:tcPr>
          <w:p w:rsidR="001D0FDA" w:rsidRPr="00EB1471" w:rsidRDefault="001D0FDA" w:rsidP="001D0FDA">
            <w:pPr>
              <w:pStyle w:val="Tabletext"/>
              <w:rPr>
                <w:rFonts w:cs="Arial Narrow"/>
                <w:b/>
                <w:bCs/>
              </w:rPr>
            </w:pPr>
            <w:r w:rsidRPr="00EB1471">
              <w:rPr>
                <w:rFonts w:cs="Arial Narrow"/>
                <w:b/>
              </w:rPr>
              <w:t>Research question: What is the effectiveness and safety of dual combination therapy involving any combination of an ERA, a PDE-5 inhibitor, a prostanoid, or a sGC stimulator, compared to monotherapy, in: i) PAH patients, irrespective of disease severity or aetiology; ii) PAH patients with FC III or IV; and iii) PAH patients with different disease aetiologies?</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ERA refers to macitentan, ambrisentan or bosentan. PDE-5 inhibitor refers to sildenafil or tadalafil. Prostanoid refers to iloprost or epoprostenol. </w:t>
      </w:r>
      <w:proofErr w:type="gramStart"/>
      <w:r w:rsidRPr="00EB1471">
        <w:t>sGC</w:t>
      </w:r>
      <w:proofErr w:type="gramEnd"/>
      <w:r w:rsidRPr="00EB1471">
        <w:t xml:space="preserve"> stimulator refers to riociguat </w:t>
      </w:r>
    </w:p>
    <w:p w:rsidR="006D01E8" w:rsidRPr="00EB1471" w:rsidRDefault="006D01E8" w:rsidP="006D01E8">
      <w:pPr>
        <w:pStyle w:val="Tablenote"/>
      </w:pPr>
      <w:proofErr w:type="gramStart"/>
      <w:r w:rsidRPr="00EB1471">
        <w:rPr>
          <w:vertAlign w:val="superscript"/>
        </w:rPr>
        <w:t>b</w:t>
      </w:r>
      <w:proofErr w:type="gramEnd"/>
      <w:r w:rsidRPr="00EB1471">
        <w:t xml:space="preserve"> Including macitentan, ambrisentan, bosentan, sildenafil, tadalafil, iloprost, epoprostenol and riociguat</w:t>
      </w:r>
    </w:p>
    <w:p w:rsidR="006D01E8" w:rsidRPr="00EB1471" w:rsidRDefault="006D01E8" w:rsidP="006D01E8">
      <w:pPr>
        <w:pStyle w:val="Tablenote"/>
      </w:pPr>
      <w:proofErr w:type="gramStart"/>
      <w:r w:rsidRPr="00EB1471">
        <w:rPr>
          <w:vertAlign w:val="superscript"/>
        </w:rPr>
        <w:t>c</w:t>
      </w:r>
      <w:proofErr w:type="gramEnd"/>
      <w:r w:rsidRPr="00EB1471">
        <w:t xml:space="preserve"> Representing a composite of death, PAH-related hospitalisation, lung transplantation, atrial septostomy, initiation of other PAH medicine(s), deterioration of functional class, and/or worsening of 6MWD. The definition the composite outcome differed between studies.</w:t>
      </w:r>
    </w:p>
    <w:p w:rsidR="001D0FDA" w:rsidRPr="00EB1471" w:rsidRDefault="001D0FDA" w:rsidP="001D0FDA">
      <w:pPr>
        <w:pStyle w:val="Tablenote"/>
      </w:pPr>
      <w:r w:rsidRPr="00EB1471">
        <w:t xml:space="preserve">6MWD = 6-minute </w:t>
      </w:r>
      <w:r w:rsidR="0082368E">
        <w:t>walk distance</w:t>
      </w:r>
      <w:r w:rsidRPr="00EB1471">
        <w:t>; ERA = endothelin receptor antagonist; FC = functional class; PAH = pulmonary arterial hypertension; PBS = Pharmaceutical Benefits Scheme; PDE-5 = phosphodiesterase type 5; sGC = soluble guanylate cyclase; WHO = World Health Organization</w:t>
      </w:r>
    </w:p>
    <w:p w:rsidR="00FF6DF1" w:rsidRDefault="00FF6DF1">
      <w:pPr>
        <w:spacing w:before="0" w:line="240" w:lineRule="auto"/>
        <w:rPr>
          <w:b/>
          <w:iCs/>
          <w:szCs w:val="18"/>
        </w:rPr>
      </w:pPr>
      <w:bookmarkStart w:id="71" w:name="_Ref505948644"/>
      <w:r>
        <w:br w:type="page"/>
      </w:r>
    </w:p>
    <w:p w:rsidR="001D0FDA" w:rsidRPr="00EB1471" w:rsidRDefault="001D0FDA" w:rsidP="002002A6">
      <w:pPr>
        <w:pStyle w:val="Caption"/>
        <w:ind w:left="1134" w:hanging="1134"/>
      </w:pPr>
      <w:bookmarkStart w:id="72" w:name="_Toc38360319"/>
      <w:r>
        <w:t>Table 4.</w:t>
      </w:r>
      <w:r w:rsidR="003951FA">
        <w:rPr>
          <w:noProof/>
        </w:rPr>
        <w:t>22</w:t>
      </w:r>
      <w:bookmarkEnd w:id="71"/>
      <w:r>
        <w:tab/>
      </w:r>
      <w:r w:rsidRPr="00EB1471">
        <w:t>Study selection criteria for systematic review of PAH medicines: research question 4</w:t>
      </w:r>
      <w:bookmarkEnd w:id="72"/>
    </w:p>
    <w:tbl>
      <w:tblPr>
        <w:tblStyle w:val="TableGrid"/>
        <w:tblW w:w="5000" w:type="pct"/>
        <w:tblLook w:val="04A0" w:firstRow="1" w:lastRow="0" w:firstColumn="1" w:lastColumn="0" w:noHBand="0" w:noVBand="1"/>
        <w:tblCaption w:val="Study selection criteria for systematic review of PAH medicines: research question 4"/>
      </w:tblPr>
      <w:tblGrid>
        <w:gridCol w:w="1661"/>
        <w:gridCol w:w="7967"/>
      </w:tblGrid>
      <w:tr w:rsidR="001D0FDA" w:rsidRPr="00EB1471" w:rsidTr="006D01E8">
        <w:trPr>
          <w:cnfStyle w:val="100000000000" w:firstRow="1" w:lastRow="0" w:firstColumn="0" w:lastColumn="0" w:oddVBand="0" w:evenVBand="0" w:oddHBand="0" w:evenHBand="0" w:firstRowFirstColumn="0" w:firstRowLastColumn="0" w:lastRowFirstColumn="0" w:lastRowLastColumn="0"/>
          <w:trHeight w:val="54"/>
        </w:trPr>
        <w:tc>
          <w:tcPr>
            <w:tcW w:w="1661" w:type="dxa"/>
            <w:shd w:val="clear" w:color="auto" w:fill="BFBFBF" w:themeFill="background1" w:themeFillShade="BF"/>
          </w:tcPr>
          <w:p w:rsidR="001D0FDA" w:rsidRPr="00EB1471" w:rsidRDefault="001D0FDA" w:rsidP="00D14599">
            <w:pPr>
              <w:pStyle w:val="Tabletext"/>
              <w:keepLines/>
              <w:rPr>
                <w:b/>
              </w:rPr>
            </w:pPr>
            <w:r w:rsidRPr="00EB1471">
              <w:rPr>
                <w:b/>
              </w:rPr>
              <w:t>PICO component</w:t>
            </w:r>
          </w:p>
        </w:tc>
        <w:tc>
          <w:tcPr>
            <w:tcW w:w="7967" w:type="dxa"/>
            <w:shd w:val="clear" w:color="auto" w:fill="BFBFBF" w:themeFill="background1" w:themeFillShade="BF"/>
          </w:tcPr>
          <w:p w:rsidR="001D0FDA" w:rsidRPr="00EB1471" w:rsidRDefault="001D0FDA" w:rsidP="00D14599">
            <w:pPr>
              <w:pStyle w:val="Tabletext"/>
              <w:keepLines/>
              <w:rPr>
                <w:b/>
              </w:rPr>
            </w:pPr>
            <w:r w:rsidRPr="00EB1471">
              <w:rPr>
                <w:b/>
              </w:rPr>
              <w:t>Description</w:t>
            </w:r>
          </w:p>
        </w:tc>
      </w:tr>
      <w:tr w:rsidR="001D0FDA" w:rsidRPr="00EB1471" w:rsidTr="006D01E8">
        <w:tc>
          <w:tcPr>
            <w:tcW w:w="1661" w:type="dxa"/>
          </w:tcPr>
          <w:p w:rsidR="001D0FDA" w:rsidRPr="00EB1471" w:rsidRDefault="001D0FDA" w:rsidP="00D14599">
            <w:pPr>
              <w:pStyle w:val="Tabletext"/>
              <w:keepLines/>
              <w:rPr>
                <w:b/>
              </w:rPr>
            </w:pPr>
            <w:r w:rsidRPr="00EB1471">
              <w:rPr>
                <w:b/>
              </w:rPr>
              <w:t>Population</w:t>
            </w:r>
          </w:p>
        </w:tc>
        <w:tc>
          <w:tcPr>
            <w:tcW w:w="7967" w:type="dxa"/>
          </w:tcPr>
          <w:p w:rsidR="001D0FDA" w:rsidRPr="00EB1471" w:rsidRDefault="001D0FDA" w:rsidP="00D14599">
            <w:pPr>
              <w:pStyle w:val="Tabletext"/>
              <w:keepLines/>
            </w:pPr>
            <w:r w:rsidRPr="00EB1471">
              <w:t>Patients with PAH irrespective of disease severity or aetiology.</w:t>
            </w:r>
          </w:p>
          <w:p w:rsidR="001D0FDA" w:rsidRPr="00EB1471" w:rsidRDefault="001D0FDA" w:rsidP="00D14599">
            <w:pPr>
              <w:pStyle w:val="Tabletext"/>
              <w:keepLines/>
            </w:pPr>
            <w:r w:rsidRPr="00EB1471">
              <w:t>Subgroups:</w:t>
            </w:r>
          </w:p>
          <w:p w:rsidR="001D0FDA" w:rsidRPr="00EB1471" w:rsidRDefault="001D0FDA" w:rsidP="00D14599">
            <w:pPr>
              <w:pStyle w:val="Tabletext"/>
              <w:keepLines/>
              <w:numPr>
                <w:ilvl w:val="0"/>
                <w:numId w:val="13"/>
              </w:numPr>
              <w:autoSpaceDE/>
              <w:autoSpaceDN/>
              <w:adjustRightInd/>
              <w:ind w:left="458" w:hanging="284"/>
              <w:jc w:val="both"/>
            </w:pPr>
            <w:r w:rsidRPr="00EB1471">
              <w:t xml:space="preserve">with FC III or IV; or </w:t>
            </w:r>
          </w:p>
          <w:p w:rsidR="001D0FDA" w:rsidRPr="00EB1471" w:rsidRDefault="001D0FDA" w:rsidP="00D14599">
            <w:pPr>
              <w:pStyle w:val="Tabletext"/>
              <w:keepLines/>
              <w:numPr>
                <w:ilvl w:val="0"/>
                <w:numId w:val="13"/>
              </w:numPr>
              <w:autoSpaceDE/>
              <w:autoSpaceDN/>
              <w:adjustRightInd/>
              <w:ind w:left="458" w:hanging="284"/>
              <w:jc w:val="both"/>
            </w:pPr>
            <w:r w:rsidRPr="00EB1471">
              <w:t>with different disease aetiologies</w:t>
            </w:r>
          </w:p>
        </w:tc>
      </w:tr>
      <w:tr w:rsidR="001D0FDA" w:rsidRPr="00EB1471" w:rsidTr="006D01E8">
        <w:tc>
          <w:tcPr>
            <w:tcW w:w="1661" w:type="dxa"/>
          </w:tcPr>
          <w:p w:rsidR="001D0FDA" w:rsidRPr="00EB1471" w:rsidRDefault="001D0FDA" w:rsidP="00D14599">
            <w:pPr>
              <w:pStyle w:val="Tabletext"/>
              <w:keepLines/>
              <w:rPr>
                <w:b/>
              </w:rPr>
            </w:pPr>
            <w:r w:rsidRPr="00EB1471">
              <w:rPr>
                <w:b/>
              </w:rPr>
              <w:t>Intervention</w:t>
            </w:r>
          </w:p>
        </w:tc>
        <w:tc>
          <w:tcPr>
            <w:tcW w:w="7967" w:type="dxa"/>
          </w:tcPr>
          <w:p w:rsidR="001D0FDA" w:rsidRPr="00EB1471" w:rsidRDefault="001D0FDA" w:rsidP="00D14599">
            <w:pPr>
              <w:pStyle w:val="Tabletext"/>
              <w:keepLines/>
            </w:pPr>
            <w:r w:rsidRPr="00EB1471">
              <w:t>Triple combination therapy involving any combination of an ERA, a PDE-5 inhibitor, a prostanoid, or a sGC stimulator currently listed on the PBS</w:t>
            </w:r>
            <w:r w:rsidRPr="00EB1471">
              <w:rPr>
                <w:vertAlign w:val="superscript"/>
              </w:rPr>
              <w:t>a</w:t>
            </w:r>
          </w:p>
        </w:tc>
      </w:tr>
      <w:tr w:rsidR="001D0FDA" w:rsidRPr="00EB1471" w:rsidTr="006D01E8">
        <w:tc>
          <w:tcPr>
            <w:tcW w:w="1661" w:type="dxa"/>
          </w:tcPr>
          <w:p w:rsidR="001D0FDA" w:rsidRPr="00EB1471" w:rsidRDefault="001D0FDA" w:rsidP="00D14599">
            <w:pPr>
              <w:pStyle w:val="Tabletext"/>
              <w:keepLines/>
              <w:rPr>
                <w:b/>
              </w:rPr>
            </w:pPr>
            <w:r w:rsidRPr="00EB1471">
              <w:rPr>
                <w:b/>
              </w:rPr>
              <w:t>Comparator</w:t>
            </w:r>
          </w:p>
        </w:tc>
        <w:tc>
          <w:tcPr>
            <w:tcW w:w="7967" w:type="dxa"/>
          </w:tcPr>
          <w:p w:rsidR="001D0FDA" w:rsidRPr="00EB1471" w:rsidRDefault="001D0FDA" w:rsidP="00D14599">
            <w:pPr>
              <w:pStyle w:val="Tabletext"/>
              <w:keepLines/>
            </w:pPr>
            <w:r w:rsidRPr="00EB1471">
              <w:t>Dual combination therapy involving any combination of an ERA, a PDE-5 inhibitor, a prostanoid, or a sGC stimulator currently listed on the PBS</w:t>
            </w:r>
            <w:r w:rsidRPr="00EB1471">
              <w:rPr>
                <w:vertAlign w:val="superscript"/>
              </w:rPr>
              <w:t>a</w:t>
            </w:r>
          </w:p>
        </w:tc>
      </w:tr>
      <w:tr w:rsidR="001D0FDA" w:rsidRPr="00EB1471" w:rsidTr="006D01E8">
        <w:tc>
          <w:tcPr>
            <w:tcW w:w="1661" w:type="dxa"/>
          </w:tcPr>
          <w:p w:rsidR="001D0FDA" w:rsidRPr="00EB1471" w:rsidRDefault="001D0FDA" w:rsidP="00D14599">
            <w:pPr>
              <w:pStyle w:val="Tabletext"/>
              <w:keepLines/>
              <w:rPr>
                <w:b/>
              </w:rPr>
            </w:pPr>
            <w:r w:rsidRPr="00EB1471">
              <w:rPr>
                <w:b/>
              </w:rPr>
              <w:t>Outcomes</w:t>
            </w:r>
          </w:p>
        </w:tc>
        <w:tc>
          <w:tcPr>
            <w:tcW w:w="7967" w:type="dxa"/>
          </w:tcPr>
          <w:p w:rsidR="001D0FDA" w:rsidRPr="00EB1471" w:rsidRDefault="001D0FDA" w:rsidP="00D14599">
            <w:pPr>
              <w:pStyle w:val="Tabletext"/>
              <w:keepLines/>
            </w:pPr>
            <w:r w:rsidRPr="00EB1471">
              <w:rPr>
                <w:u w:val="single"/>
              </w:rPr>
              <w:t>Effectiveness</w:t>
            </w:r>
            <w:r w:rsidRPr="00EB1471">
              <w:t xml:space="preserve"> </w:t>
            </w:r>
            <w:r w:rsidRPr="00EB1471">
              <w:tab/>
              <w:t>Study-defined clinical worsening</w:t>
            </w:r>
            <w:r w:rsidRPr="00EB1471">
              <w:rPr>
                <w:vertAlign w:val="superscript"/>
              </w:rPr>
              <w:t>b</w:t>
            </w:r>
          </w:p>
          <w:p w:rsidR="001D0FDA" w:rsidRPr="00EB1471" w:rsidRDefault="001D0FDA" w:rsidP="00D14599">
            <w:pPr>
              <w:pStyle w:val="Tabletext"/>
              <w:keepLines/>
            </w:pPr>
            <w:r w:rsidRPr="00EB1471">
              <w:tab/>
            </w:r>
            <w:r w:rsidRPr="00EB1471">
              <w:tab/>
              <w:t>Mortality</w:t>
            </w:r>
          </w:p>
          <w:p w:rsidR="001D0FDA" w:rsidRPr="00EB1471" w:rsidRDefault="001D0FDA" w:rsidP="00D14599">
            <w:pPr>
              <w:pStyle w:val="Tabletext"/>
              <w:keepLines/>
            </w:pPr>
            <w:r w:rsidRPr="00EB1471">
              <w:tab/>
            </w:r>
            <w:r w:rsidRPr="00EB1471">
              <w:tab/>
              <w:t>Hospitalisation</w:t>
            </w:r>
          </w:p>
          <w:p w:rsidR="001D0FDA" w:rsidRPr="00EB1471" w:rsidRDefault="001D0FDA" w:rsidP="00D14599">
            <w:pPr>
              <w:pStyle w:val="Tabletext"/>
              <w:keepLines/>
            </w:pPr>
            <w:r w:rsidRPr="00EB1471">
              <w:tab/>
            </w:r>
            <w:r w:rsidRPr="00EB1471">
              <w:tab/>
              <w:t>WHO FC</w:t>
            </w:r>
          </w:p>
          <w:p w:rsidR="001D0FDA" w:rsidRPr="00EB1471" w:rsidRDefault="001D0FDA" w:rsidP="00D14599">
            <w:pPr>
              <w:pStyle w:val="Tabletext"/>
              <w:keepLines/>
            </w:pPr>
            <w:r w:rsidRPr="00EB1471">
              <w:tab/>
            </w:r>
            <w:r w:rsidRPr="00EB1471">
              <w:tab/>
              <w:t>6MWD</w:t>
            </w:r>
          </w:p>
          <w:p w:rsidR="001D0FDA" w:rsidRPr="00EB1471" w:rsidRDefault="001D0FDA" w:rsidP="00D14599">
            <w:pPr>
              <w:pStyle w:val="Tabletext"/>
              <w:keepLines/>
            </w:pPr>
            <w:r w:rsidRPr="00EB1471">
              <w:tab/>
            </w:r>
            <w:r w:rsidRPr="00EB1471">
              <w:tab/>
              <w:t>Quality of life</w:t>
            </w:r>
          </w:p>
          <w:p w:rsidR="001D0FDA" w:rsidRPr="00EB1471" w:rsidRDefault="001D0FDA" w:rsidP="00D14599">
            <w:pPr>
              <w:pStyle w:val="Tabletext"/>
              <w:keepLines/>
            </w:pPr>
            <w:r w:rsidRPr="00EB1471">
              <w:tab/>
            </w:r>
            <w:r w:rsidRPr="00EB1471">
              <w:tab/>
              <w:t>Lung transplant</w:t>
            </w:r>
          </w:p>
          <w:p w:rsidR="001D0FDA" w:rsidRPr="00EB1471" w:rsidRDefault="001D0FDA" w:rsidP="00D14599">
            <w:pPr>
              <w:pStyle w:val="Tabletext"/>
              <w:keepLines/>
            </w:pPr>
            <w:r w:rsidRPr="00EB1471">
              <w:tab/>
            </w:r>
            <w:r w:rsidRPr="00EB1471">
              <w:tab/>
              <w:t>Atrial septostomy</w:t>
            </w:r>
          </w:p>
          <w:p w:rsidR="001D0FDA" w:rsidRPr="00EB1471" w:rsidRDefault="001D0FDA" w:rsidP="00D14599">
            <w:pPr>
              <w:pStyle w:val="Tabletext"/>
              <w:keepLines/>
            </w:pPr>
            <w:r w:rsidRPr="00EB1471">
              <w:tab/>
            </w:r>
            <w:r w:rsidRPr="00EB1471">
              <w:tab/>
              <w:t>Initiation of other PAH medicine(s)</w:t>
            </w:r>
          </w:p>
          <w:p w:rsidR="001D0FDA" w:rsidRPr="00EB1471" w:rsidRDefault="001D0FDA" w:rsidP="00D14599">
            <w:pPr>
              <w:pStyle w:val="Tabletext"/>
              <w:keepLines/>
              <w:ind w:left="1310" w:hanging="1310"/>
            </w:pPr>
            <w:r w:rsidRPr="00EB1471">
              <w:tab/>
            </w:r>
            <w:r w:rsidRPr="00EB1471">
              <w:tab/>
              <w:t>Haemodynamic parameters</w:t>
            </w:r>
          </w:p>
          <w:p w:rsidR="001D0FDA" w:rsidRPr="00EB1471" w:rsidRDefault="001D0FDA" w:rsidP="00D14599">
            <w:pPr>
              <w:pStyle w:val="Tabletext"/>
              <w:keepLines/>
            </w:pPr>
            <w:r w:rsidRPr="00EB1471">
              <w:rPr>
                <w:u w:val="single"/>
              </w:rPr>
              <w:t>Safety</w:t>
            </w:r>
            <w:r w:rsidRPr="00EB1471">
              <w:tab/>
            </w:r>
            <w:r w:rsidRPr="00EB1471">
              <w:tab/>
              <w:t>Adverse events</w:t>
            </w:r>
          </w:p>
        </w:tc>
      </w:tr>
      <w:tr w:rsidR="001D0FDA" w:rsidRPr="00EB1471" w:rsidTr="006D01E8">
        <w:tc>
          <w:tcPr>
            <w:tcW w:w="1661" w:type="dxa"/>
          </w:tcPr>
          <w:p w:rsidR="001D0FDA" w:rsidRPr="00EB1471" w:rsidRDefault="001D0FDA" w:rsidP="00D14599">
            <w:pPr>
              <w:pStyle w:val="Tabletext"/>
              <w:keepLines/>
              <w:rPr>
                <w:b/>
              </w:rPr>
            </w:pPr>
            <w:r w:rsidRPr="00EB1471">
              <w:rPr>
                <w:b/>
              </w:rPr>
              <w:t>Study design</w:t>
            </w:r>
          </w:p>
        </w:tc>
        <w:tc>
          <w:tcPr>
            <w:tcW w:w="7967" w:type="dxa"/>
          </w:tcPr>
          <w:p w:rsidR="001D0FDA" w:rsidRPr="00EB1471" w:rsidRDefault="001D0FDA" w:rsidP="00D14599">
            <w:pPr>
              <w:pStyle w:val="Tabletext"/>
              <w:keepLines/>
              <w:ind w:left="1418" w:hanging="1418"/>
              <w:rPr>
                <w:u w:val="single"/>
              </w:rPr>
            </w:pPr>
            <w:r w:rsidRPr="00EB1471">
              <w:rPr>
                <w:u w:val="single"/>
              </w:rPr>
              <w:t>Effectiveness</w:t>
            </w:r>
            <w:r w:rsidRPr="00EB1471">
              <w:tab/>
              <w:t>Randomised trials or systematic reviews of randomised trials. If there was no evidence obtainable from these study designs, then the search expanded to include nonrandomised or observational studies (cohort or case-control) and systematic reviews of these.</w:t>
            </w:r>
          </w:p>
          <w:p w:rsidR="001D0FDA" w:rsidRPr="00EB1471" w:rsidRDefault="001D0FDA" w:rsidP="00D14599">
            <w:pPr>
              <w:pStyle w:val="Tabletext"/>
              <w:keepLines/>
              <w:ind w:left="1418" w:hanging="1418"/>
            </w:pPr>
            <w:r w:rsidRPr="00EB1471">
              <w:rPr>
                <w:u w:val="single"/>
              </w:rPr>
              <w:t>Safety</w:t>
            </w:r>
            <w:r w:rsidRPr="00EB1471">
              <w:tab/>
              <w:t>Randomised trials, large nonrandomised or observational studies (cohort, case-control, cross-sectional, or case series), or systematic reviews of randomised and/or nonrandomised/observational studies</w:t>
            </w:r>
          </w:p>
        </w:tc>
      </w:tr>
      <w:tr w:rsidR="001D0FDA" w:rsidRPr="00EB1471" w:rsidTr="006D01E8">
        <w:tc>
          <w:tcPr>
            <w:tcW w:w="1661" w:type="dxa"/>
          </w:tcPr>
          <w:p w:rsidR="001D0FDA" w:rsidRPr="00EB1471" w:rsidRDefault="001D0FDA" w:rsidP="00D14599">
            <w:pPr>
              <w:pStyle w:val="Tabletext"/>
              <w:keepLines/>
              <w:rPr>
                <w:b/>
              </w:rPr>
            </w:pPr>
            <w:r w:rsidRPr="00EB1471">
              <w:rPr>
                <w:b/>
              </w:rPr>
              <w:t>Language</w:t>
            </w:r>
          </w:p>
        </w:tc>
        <w:tc>
          <w:tcPr>
            <w:tcW w:w="7967" w:type="dxa"/>
          </w:tcPr>
          <w:p w:rsidR="001D0FDA" w:rsidRPr="00EB1471" w:rsidRDefault="001D0FDA" w:rsidP="00D14599">
            <w:pPr>
              <w:pStyle w:val="Tabletext"/>
              <w:keepLines/>
            </w:pPr>
            <w:r w:rsidRPr="00EB1471">
              <w:rPr>
                <w:rFonts w:cs="Arial Narrow"/>
              </w:rPr>
              <w:t>English only</w:t>
            </w:r>
          </w:p>
        </w:tc>
      </w:tr>
      <w:tr w:rsidR="001D0FDA" w:rsidRPr="00EB1471" w:rsidTr="006D01E8">
        <w:tc>
          <w:tcPr>
            <w:tcW w:w="9628" w:type="dxa"/>
            <w:gridSpan w:val="2"/>
          </w:tcPr>
          <w:p w:rsidR="001D0FDA" w:rsidRPr="00EB1471" w:rsidRDefault="001D0FDA" w:rsidP="00D14599">
            <w:pPr>
              <w:pStyle w:val="Tabletext"/>
              <w:keepLines/>
              <w:rPr>
                <w:rFonts w:cs="Arial Narrow"/>
                <w:b/>
                <w:bCs/>
              </w:rPr>
            </w:pPr>
            <w:r w:rsidRPr="00EB1471">
              <w:rPr>
                <w:rFonts w:cs="Arial Narrow"/>
                <w:b/>
              </w:rPr>
              <w:t>Research question: What is the efficacy and safety of triple combination therapy involving any combination of an ERA, a PDE-5 inhibitor, a prostanoid, or a sGC stimulator, compared to dual combination therapy, in: i) PAH patients, irrespective of disease severity or aetiology; ii) PAH patients with FC III or IV; and iii) PAH patients with different disease aetiologies?</w:t>
            </w:r>
          </w:p>
        </w:tc>
      </w:tr>
    </w:tbl>
    <w:p w:rsidR="006D01E8" w:rsidRPr="00BE3517" w:rsidRDefault="006D01E8" w:rsidP="006D01E8">
      <w:pPr>
        <w:pStyle w:val="Tablenote"/>
      </w:pPr>
      <w:proofErr w:type="gramStart"/>
      <w:r w:rsidRPr="00BE3517">
        <w:rPr>
          <w:vertAlign w:val="superscript"/>
        </w:rPr>
        <w:t>a</w:t>
      </w:r>
      <w:proofErr w:type="gramEnd"/>
      <w:r w:rsidRPr="00BE3517">
        <w:t xml:space="preserve"> ERA refers to macitentan, ambrisentan or bosentan. PDE-5 inhibitor refers to sildenafil or tadalafil. Prostanoid refers to iloprost or epoprostenol. </w:t>
      </w:r>
      <w:proofErr w:type="gramStart"/>
      <w:r w:rsidRPr="00BE3517">
        <w:t>sGC</w:t>
      </w:r>
      <w:proofErr w:type="gramEnd"/>
      <w:r w:rsidRPr="00BE3517">
        <w:t xml:space="preserve"> stimulator refers to riociguat </w:t>
      </w:r>
    </w:p>
    <w:p w:rsidR="006D01E8" w:rsidRPr="00BE3517" w:rsidRDefault="006D01E8" w:rsidP="006D01E8">
      <w:pPr>
        <w:pStyle w:val="Tablenote"/>
      </w:pPr>
      <w:proofErr w:type="gramStart"/>
      <w:r w:rsidRPr="00BE3517">
        <w:rPr>
          <w:vertAlign w:val="superscript"/>
        </w:rPr>
        <w:t>b</w:t>
      </w:r>
      <w:proofErr w:type="gramEnd"/>
      <w:r w:rsidRPr="00BE3517">
        <w:t xml:space="preserve"> Representing a composite of death, PAH-related hospitalisation, lung transplantation, atrial septostomy, initiation of other PAH medicine(s), deterioration of functional class, and/or worsening of 6MWD. The definition the composite outcome differed between studies.</w:t>
      </w:r>
    </w:p>
    <w:p w:rsidR="001D0FDA" w:rsidRPr="00BE3517" w:rsidRDefault="001D0FDA" w:rsidP="00BE3517">
      <w:pPr>
        <w:pStyle w:val="Tablenote"/>
      </w:pPr>
      <w:r w:rsidRPr="00BE3517">
        <w:t xml:space="preserve">6MWD = 6-minute </w:t>
      </w:r>
      <w:r w:rsidR="0082368E">
        <w:t>walk distance</w:t>
      </w:r>
      <w:r w:rsidRPr="00BE3517">
        <w:t>; ERA = endothelin receptor antagonist; FC = functional class; PAH = pulmonary arterial hypertension; PBS = Pharmaceutical Benefits Scheme; PDE-5 = phosphodiesterase type 5; sGC = soluble guanylate cyclase; WHO = World Health Organization</w:t>
      </w:r>
    </w:p>
    <w:p w:rsidR="001D0FDA" w:rsidRPr="00EB1471" w:rsidRDefault="001D0FDA" w:rsidP="00480FDF">
      <w:pPr>
        <w:pStyle w:val="Heading4"/>
        <w:numPr>
          <w:ilvl w:val="3"/>
          <w:numId w:val="45"/>
        </w:numPr>
      </w:pPr>
      <w:r w:rsidRPr="00EB1471">
        <w:t>4.3.</w:t>
      </w:r>
      <w:r>
        <w:t>1</w:t>
      </w:r>
      <w:r w:rsidRPr="00EB1471">
        <w:t>.2</w:t>
      </w:r>
      <w:r w:rsidRPr="00EB1471">
        <w:tab/>
        <w:t>Literature sources and search strategies</w:t>
      </w:r>
    </w:p>
    <w:p w:rsidR="001D0FDA" w:rsidRPr="00EB1471" w:rsidRDefault="001D0FDA" w:rsidP="001D0FDA">
      <w:r w:rsidRPr="00EB1471">
        <w:t xml:space="preserve">The </w:t>
      </w:r>
      <w:proofErr w:type="gramStart"/>
      <w:r w:rsidRPr="00EB1471">
        <w:t>peer reviewed</w:t>
      </w:r>
      <w:proofErr w:type="gramEnd"/>
      <w:r w:rsidRPr="00EB1471">
        <w:t xml:space="preserve"> literature was searched for studies which investigated the effectiveness and/or safety of the medicines currently listed on the PBS for the treatment of PAH. </w:t>
      </w:r>
      <w:r w:rsidR="0018092D" w:rsidRPr="00775ABB">
        <w:t xml:space="preserve">No restriction </w:t>
      </w:r>
      <w:r w:rsidR="0018092D">
        <w:t>was</w:t>
      </w:r>
      <w:r w:rsidR="0018092D" w:rsidRPr="00775ABB">
        <w:t xml:space="preserve"> placed on the </w:t>
      </w:r>
      <w:proofErr w:type="gramStart"/>
      <w:r w:rsidR="0018092D" w:rsidRPr="00775ABB">
        <w:t>time period</w:t>
      </w:r>
      <w:proofErr w:type="gramEnd"/>
      <w:r w:rsidR="0018092D" w:rsidRPr="00775ABB">
        <w:t xml:space="preserve"> searched because the search terms </w:t>
      </w:r>
      <w:r w:rsidR="0018092D">
        <w:t>included the specific drug names.</w:t>
      </w:r>
      <w:r w:rsidR="0018092D" w:rsidRPr="00775ABB">
        <w:t xml:space="preserve"> </w:t>
      </w:r>
      <w:r w:rsidRPr="00EB1471">
        <w:t xml:space="preserve">The initial literature search </w:t>
      </w:r>
      <w:proofErr w:type="gramStart"/>
      <w:r w:rsidRPr="00EB1471">
        <w:t>was conducted on 4</w:t>
      </w:r>
      <w:r w:rsidRPr="00EB1471">
        <w:rPr>
          <w:vertAlign w:val="superscript"/>
        </w:rPr>
        <w:t>th</w:t>
      </w:r>
      <w:r w:rsidRPr="00EB1471">
        <w:t xml:space="preserve"> October 2017 and updated on 5</w:t>
      </w:r>
      <w:r w:rsidRPr="00EB1471">
        <w:rPr>
          <w:vertAlign w:val="superscript"/>
        </w:rPr>
        <w:t>th</w:t>
      </w:r>
      <w:r w:rsidRPr="00EB1471">
        <w:t xml:space="preserve"> December 2017</w:t>
      </w:r>
      <w:proofErr w:type="gramEnd"/>
      <w:r w:rsidRPr="00EB1471">
        <w:t xml:space="preserve">. The search covered the following databases: PubMed, Embase.com and the Cochrane Library. Search terms </w:t>
      </w:r>
      <w:proofErr w:type="gramStart"/>
      <w:r w:rsidRPr="00EB1471">
        <w:t>are described</w:t>
      </w:r>
      <w:proofErr w:type="gramEnd"/>
      <w:r w:rsidRPr="00EB1471">
        <w:t xml:space="preserve"> in </w:t>
      </w:r>
      <w:r w:rsidR="003951FA">
        <w:t>Table 4.</w:t>
      </w:r>
      <w:r w:rsidR="003951FA">
        <w:rPr>
          <w:noProof/>
        </w:rPr>
        <w:t>23</w:t>
      </w:r>
      <w:r w:rsidRPr="00EB1471">
        <w:t xml:space="preserve"> and </w:t>
      </w:r>
      <w:r w:rsidR="003951FA">
        <w:t>Table 4.</w:t>
      </w:r>
      <w:r w:rsidR="003951FA">
        <w:rPr>
          <w:noProof/>
        </w:rPr>
        <w:t>24</w:t>
      </w:r>
      <w:r w:rsidR="00C175BC">
        <w:t>.</w:t>
      </w:r>
    </w:p>
    <w:p w:rsidR="001D0FDA" w:rsidRPr="00EB1471" w:rsidRDefault="001D0FDA" w:rsidP="001D0FDA">
      <w:pPr>
        <w:pStyle w:val="Caption"/>
      </w:pPr>
      <w:bookmarkStart w:id="73" w:name="_Ref505948713"/>
      <w:bookmarkStart w:id="74" w:name="_Toc477865243"/>
      <w:bookmarkStart w:id="75" w:name="_Toc38360320"/>
      <w:r>
        <w:t>Table 4.</w:t>
      </w:r>
      <w:r w:rsidR="003951FA">
        <w:rPr>
          <w:noProof/>
        </w:rPr>
        <w:t>23</w:t>
      </w:r>
      <w:bookmarkEnd w:id="73"/>
      <w:r>
        <w:tab/>
      </w:r>
      <w:r w:rsidRPr="00EB1471">
        <w:t>Search terms for evidence to inform the systematic review questions (Pubmed and Cochrane Library)</w:t>
      </w:r>
      <w:bookmarkEnd w:id="74"/>
      <w:bookmarkEnd w:id="7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arch terms for evidence to inform the systematic review questions (Pubmed and Cochrane Library)"/>
      </w:tblPr>
      <w:tblGrid>
        <w:gridCol w:w="1980"/>
        <w:gridCol w:w="7654"/>
      </w:tblGrid>
      <w:tr w:rsidR="001D0FDA" w:rsidRPr="00EB1471" w:rsidTr="00A0351C">
        <w:trPr>
          <w:cantSplit/>
          <w:tblHeader/>
        </w:trPr>
        <w:tc>
          <w:tcPr>
            <w:tcW w:w="1980" w:type="dxa"/>
            <w:shd w:val="clear" w:color="auto" w:fill="BFBFBF" w:themeFill="background1" w:themeFillShade="BF"/>
          </w:tcPr>
          <w:p w:rsidR="001D0FDA" w:rsidRPr="00EB1471" w:rsidRDefault="001D0FDA" w:rsidP="001D0FDA">
            <w:pPr>
              <w:pStyle w:val="Tabletext"/>
              <w:rPr>
                <w:b/>
              </w:rPr>
            </w:pPr>
            <w:r w:rsidRPr="00EB1471">
              <w:rPr>
                <w:b/>
              </w:rPr>
              <w:t>Element of clinical question</w:t>
            </w:r>
          </w:p>
        </w:tc>
        <w:tc>
          <w:tcPr>
            <w:tcW w:w="7654" w:type="dxa"/>
            <w:shd w:val="clear" w:color="auto" w:fill="BFBFBF" w:themeFill="background1" w:themeFillShade="BF"/>
          </w:tcPr>
          <w:p w:rsidR="001D0FDA" w:rsidRPr="00EB1471" w:rsidRDefault="001D0FDA" w:rsidP="001D0FDA">
            <w:pPr>
              <w:pStyle w:val="Tabletext"/>
              <w:rPr>
                <w:b/>
              </w:rPr>
            </w:pPr>
            <w:r w:rsidRPr="00EB1471">
              <w:rPr>
                <w:b/>
              </w:rPr>
              <w:t>Pubmed/Medline search terms</w:t>
            </w:r>
          </w:p>
        </w:tc>
      </w:tr>
      <w:tr w:rsidR="001D0FDA" w:rsidRPr="00EB1471" w:rsidTr="001D0FDA">
        <w:trPr>
          <w:cantSplit/>
        </w:trPr>
        <w:tc>
          <w:tcPr>
            <w:tcW w:w="1980" w:type="dxa"/>
          </w:tcPr>
          <w:p w:rsidR="001D0FDA" w:rsidRPr="00EB1471" w:rsidRDefault="001D0FDA" w:rsidP="001D0FDA">
            <w:pPr>
              <w:pStyle w:val="Tabletext"/>
            </w:pPr>
            <w:r w:rsidRPr="00EB1471">
              <w:t>Population</w:t>
            </w:r>
          </w:p>
        </w:tc>
        <w:tc>
          <w:tcPr>
            <w:tcW w:w="7654" w:type="dxa"/>
          </w:tcPr>
          <w:p w:rsidR="001D0FDA" w:rsidRPr="00EB1471" w:rsidRDefault="001D0FDA" w:rsidP="001D0FDA">
            <w:pPr>
              <w:pStyle w:val="Tabletext"/>
            </w:pPr>
            <w:r w:rsidRPr="00EB1471">
              <w:t>“pulmonary arterial hypertension” OR PAH OR “pulmonary artery hypertension” OR “primary pulmonary hypertension” OR IPAH OR FPAH OR HPAH OR CTEPH OR PVH OR POPH OR “pulmonary venous hypertension” OR “portopulmonary hypertension” OR “chronic thromboembolic pulmonary hypertension” OR “hypertension, pulmonary”[MesH]</w:t>
            </w:r>
          </w:p>
        </w:tc>
      </w:tr>
      <w:tr w:rsidR="001D0FDA" w:rsidRPr="00EB1471" w:rsidTr="001D0FDA">
        <w:tc>
          <w:tcPr>
            <w:tcW w:w="1980" w:type="dxa"/>
          </w:tcPr>
          <w:p w:rsidR="001D0FDA" w:rsidRPr="00EB1471" w:rsidRDefault="001D0FDA" w:rsidP="001D0FDA">
            <w:pPr>
              <w:pStyle w:val="Tabletext"/>
            </w:pPr>
            <w:r w:rsidRPr="00EB1471">
              <w:t>Intervention</w:t>
            </w:r>
          </w:p>
        </w:tc>
        <w:tc>
          <w:tcPr>
            <w:tcW w:w="7654" w:type="dxa"/>
          </w:tcPr>
          <w:p w:rsidR="001D0FDA" w:rsidRPr="00EB1471" w:rsidRDefault="001D0FDA" w:rsidP="001D0FDA">
            <w:pPr>
              <w:pStyle w:val="Tabletext"/>
            </w:pPr>
            <w:r w:rsidRPr="00EB1471">
              <w:t>Macitentan OR Opsumit OR</w:t>
            </w:r>
          </w:p>
          <w:p w:rsidR="001D0FDA" w:rsidRPr="00EB1471" w:rsidRDefault="001D0FDA" w:rsidP="001D0FDA">
            <w:pPr>
              <w:pStyle w:val="Tabletext"/>
            </w:pPr>
            <w:r w:rsidRPr="00EB1471">
              <w:t>ambrisentan OR Letairis OR Volibris OR Pulmonext OR</w:t>
            </w:r>
          </w:p>
          <w:p w:rsidR="001D0FDA" w:rsidRPr="00EB1471" w:rsidRDefault="001D0FDA" w:rsidP="001D0FDA">
            <w:pPr>
              <w:pStyle w:val="Tabletext"/>
            </w:pPr>
            <w:r w:rsidRPr="00EB1471">
              <w:t>bosentan OR Traceleer OR</w:t>
            </w:r>
          </w:p>
          <w:p w:rsidR="001D0FDA" w:rsidRPr="00EB1471" w:rsidRDefault="001D0FDA" w:rsidP="001D0FDA">
            <w:pPr>
              <w:pStyle w:val="Tabletext"/>
            </w:pPr>
            <w:r w:rsidRPr="00EB1471">
              <w:t>iloprost OR Ventavis OR Ilomedine OR</w:t>
            </w:r>
          </w:p>
          <w:p w:rsidR="001D0FDA" w:rsidRPr="00EB1471" w:rsidRDefault="001D0FDA" w:rsidP="001D0FDA">
            <w:pPr>
              <w:pStyle w:val="Tabletext"/>
            </w:pPr>
            <w:r w:rsidRPr="00EB1471">
              <w:t>epoprostenol OR Flolan OR Veletri OR</w:t>
            </w:r>
          </w:p>
          <w:p w:rsidR="001D0FDA" w:rsidRPr="00EB1471" w:rsidRDefault="001D0FDA" w:rsidP="001D0FDA">
            <w:pPr>
              <w:pStyle w:val="Tabletext"/>
            </w:pPr>
            <w:r w:rsidRPr="00EB1471">
              <w:t>sildenafil OR Viagra OR Revatio OR</w:t>
            </w:r>
          </w:p>
          <w:p w:rsidR="001D0FDA" w:rsidRPr="00EB1471" w:rsidRDefault="001D0FDA" w:rsidP="001D0FDA">
            <w:pPr>
              <w:pStyle w:val="Tabletext"/>
            </w:pPr>
            <w:r w:rsidRPr="00EB1471">
              <w:t>tadalafil OR Cialis OR Adcirca OR</w:t>
            </w:r>
          </w:p>
          <w:p w:rsidR="001D0FDA" w:rsidRPr="00EB1471" w:rsidRDefault="001D0FDA" w:rsidP="001D0FDA">
            <w:pPr>
              <w:pStyle w:val="Tabletext"/>
            </w:pPr>
            <w:r w:rsidRPr="00EB1471">
              <w:t>riociguat OR Adempas</w:t>
            </w:r>
          </w:p>
        </w:tc>
      </w:tr>
      <w:tr w:rsidR="001D0FDA" w:rsidRPr="00EB1471" w:rsidTr="001D0FDA">
        <w:tc>
          <w:tcPr>
            <w:tcW w:w="1980" w:type="dxa"/>
          </w:tcPr>
          <w:p w:rsidR="001D0FDA" w:rsidRPr="00EB1471" w:rsidRDefault="001D0FDA" w:rsidP="001D0FDA">
            <w:pPr>
              <w:pStyle w:val="Tabletext"/>
            </w:pPr>
            <w:r w:rsidRPr="00EB1471">
              <w:t>Comparator (if applicable)</w:t>
            </w:r>
          </w:p>
        </w:tc>
        <w:tc>
          <w:tcPr>
            <w:tcW w:w="7654" w:type="dxa"/>
          </w:tcPr>
          <w:p w:rsidR="001D0FDA" w:rsidRPr="00EB1471" w:rsidRDefault="001D0FDA" w:rsidP="001D0FDA">
            <w:pPr>
              <w:pStyle w:val="Tabletext"/>
            </w:pPr>
            <w:r w:rsidRPr="00EB1471">
              <w:t>-</w:t>
            </w:r>
          </w:p>
        </w:tc>
      </w:tr>
      <w:tr w:rsidR="001D0FDA" w:rsidRPr="00EB1471" w:rsidTr="001D0FDA">
        <w:tc>
          <w:tcPr>
            <w:tcW w:w="1980" w:type="dxa"/>
          </w:tcPr>
          <w:p w:rsidR="001D0FDA" w:rsidRPr="00EB1471" w:rsidRDefault="001D0FDA" w:rsidP="001D0FDA">
            <w:pPr>
              <w:pStyle w:val="Tabletext"/>
            </w:pPr>
            <w:r w:rsidRPr="00EB1471">
              <w:t>Outcomes (if applicable)</w:t>
            </w:r>
          </w:p>
        </w:tc>
        <w:tc>
          <w:tcPr>
            <w:tcW w:w="7654" w:type="dxa"/>
          </w:tcPr>
          <w:p w:rsidR="001D0FDA" w:rsidRPr="00EB1471" w:rsidRDefault="001D0FDA" w:rsidP="001D0FDA">
            <w:pPr>
              <w:pStyle w:val="Tabletext"/>
            </w:pPr>
            <w:r w:rsidRPr="00EB1471">
              <w:t>-</w:t>
            </w:r>
          </w:p>
        </w:tc>
      </w:tr>
      <w:tr w:rsidR="001D0FDA" w:rsidRPr="00EB1471" w:rsidTr="001D0FDA">
        <w:tc>
          <w:tcPr>
            <w:tcW w:w="1980" w:type="dxa"/>
          </w:tcPr>
          <w:p w:rsidR="001D0FDA" w:rsidRPr="00EB1471" w:rsidRDefault="001D0FDA" w:rsidP="001D0FDA">
            <w:pPr>
              <w:pStyle w:val="Tabletext"/>
            </w:pPr>
            <w:r w:rsidRPr="00EB1471">
              <w:t>Limits</w:t>
            </w:r>
          </w:p>
        </w:tc>
        <w:tc>
          <w:tcPr>
            <w:tcW w:w="7654" w:type="dxa"/>
          </w:tcPr>
          <w:p w:rsidR="001D0FDA" w:rsidRPr="00EB1471" w:rsidRDefault="001D0FDA" w:rsidP="001D0FDA">
            <w:pPr>
              <w:pStyle w:val="Tabletext"/>
            </w:pPr>
            <w:r w:rsidRPr="00EB1471">
              <w:t>Article type: Clinical Study OR Clinical Trial OR Controlled Clinical Trial OR Comparative Study OR Observational Study OR Pragmatic Clinical Trial OR Randomized Controlled Trial OR Systematic Reviews OR Meta-Analysis OR Technical Report</w:t>
            </w:r>
          </w:p>
        </w:tc>
      </w:tr>
    </w:tbl>
    <w:p w:rsidR="001D0FDA" w:rsidRPr="00EB1471" w:rsidRDefault="001D0FDA" w:rsidP="001D0FDA">
      <w:pPr>
        <w:pStyle w:val="Tablenote"/>
      </w:pPr>
      <w:r w:rsidRPr="00EB1471">
        <w:t>MeSH = Medical Subject Heading, based on a Medline/PubMed platform</w:t>
      </w:r>
    </w:p>
    <w:p w:rsidR="001D0FDA" w:rsidRPr="00EB1471" w:rsidRDefault="001D0FDA" w:rsidP="001D0FDA">
      <w:pPr>
        <w:pStyle w:val="Caption"/>
      </w:pPr>
      <w:bookmarkStart w:id="76" w:name="_Ref505948718"/>
      <w:bookmarkStart w:id="77" w:name="_Ref437507650"/>
      <w:bookmarkStart w:id="78" w:name="_Toc477865244"/>
      <w:bookmarkStart w:id="79" w:name="_Toc38360321"/>
      <w:r>
        <w:t>Table 4.</w:t>
      </w:r>
      <w:r w:rsidR="003951FA">
        <w:rPr>
          <w:noProof/>
        </w:rPr>
        <w:t>24</w:t>
      </w:r>
      <w:bookmarkEnd w:id="76"/>
      <w:r>
        <w:tab/>
      </w:r>
      <w:r w:rsidRPr="00EB1471">
        <w:t>Search terms for evidence to inform the systematic review questions (</w:t>
      </w:r>
      <w:bookmarkEnd w:id="77"/>
      <w:r w:rsidRPr="00EB1471">
        <w:t>Embase PICO search)</w:t>
      </w:r>
      <w:bookmarkEnd w:id="78"/>
      <w:bookmarkEnd w:id="7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arch terms for evidence to inform the systematic review questions (Embase PICO search)"/>
      </w:tblPr>
      <w:tblGrid>
        <w:gridCol w:w="1980"/>
        <w:gridCol w:w="7654"/>
      </w:tblGrid>
      <w:tr w:rsidR="001D0FDA" w:rsidRPr="00EB1471" w:rsidTr="00A0351C">
        <w:trPr>
          <w:tblHeader/>
        </w:trPr>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0FDA" w:rsidRPr="00EB1471" w:rsidRDefault="001D0FDA" w:rsidP="001D0FDA">
            <w:pPr>
              <w:pStyle w:val="Tabletext"/>
              <w:rPr>
                <w:b/>
              </w:rPr>
            </w:pPr>
            <w:r w:rsidRPr="00EB1471">
              <w:rPr>
                <w:b/>
              </w:rPr>
              <w:t>Element of clinical question</w:t>
            </w:r>
          </w:p>
        </w:tc>
        <w:tc>
          <w:tcPr>
            <w:tcW w:w="76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D0FDA" w:rsidRPr="00EB1471" w:rsidRDefault="001D0FDA" w:rsidP="001D0FDA">
            <w:pPr>
              <w:pStyle w:val="Tabletext"/>
              <w:rPr>
                <w:b/>
              </w:rPr>
            </w:pPr>
            <w:r w:rsidRPr="00EB1471">
              <w:rPr>
                <w:b/>
              </w:rPr>
              <w:t>Embase search terms</w:t>
            </w:r>
          </w:p>
        </w:tc>
      </w:tr>
      <w:tr w:rsidR="001D0FDA" w:rsidRPr="00EB1471" w:rsidTr="001D0FDA">
        <w:tc>
          <w:tcPr>
            <w:tcW w:w="1980" w:type="dxa"/>
            <w:tcBorders>
              <w:top w:val="single" w:sz="4" w:space="0" w:color="auto"/>
              <w:left w:val="single" w:sz="4" w:space="0" w:color="auto"/>
              <w:bottom w:val="single" w:sz="4" w:space="0" w:color="auto"/>
              <w:right w:val="single" w:sz="4" w:space="0" w:color="auto"/>
            </w:tcBorders>
            <w:hideMark/>
          </w:tcPr>
          <w:p w:rsidR="001D0FDA" w:rsidRPr="00EB1471" w:rsidRDefault="001D0FDA" w:rsidP="001D0FDA">
            <w:pPr>
              <w:pStyle w:val="Tabletext"/>
            </w:pPr>
            <w:r w:rsidRPr="00EB1471">
              <w:t>Population</w:t>
            </w:r>
          </w:p>
        </w:tc>
        <w:tc>
          <w:tcPr>
            <w:tcW w:w="7654" w:type="dxa"/>
            <w:tcBorders>
              <w:top w:val="single" w:sz="4" w:space="0" w:color="auto"/>
              <w:left w:val="single" w:sz="4" w:space="0" w:color="auto"/>
              <w:bottom w:val="single" w:sz="4" w:space="0" w:color="auto"/>
              <w:right w:val="single" w:sz="4" w:space="0" w:color="auto"/>
            </w:tcBorders>
          </w:tcPr>
          <w:p w:rsidR="001D0FDA" w:rsidRPr="00EB1471" w:rsidRDefault="001D0FDA" w:rsidP="001D0FDA">
            <w:pPr>
              <w:pStyle w:val="Tabletext"/>
            </w:pPr>
            <w:r w:rsidRPr="00EB1471">
              <w:t>‘pulmonary hypertension’/exp +19 synonyms:all</w:t>
            </w:r>
          </w:p>
        </w:tc>
      </w:tr>
      <w:tr w:rsidR="001D0FDA" w:rsidRPr="00EB1471" w:rsidTr="001D0FDA">
        <w:tc>
          <w:tcPr>
            <w:tcW w:w="1980" w:type="dxa"/>
            <w:tcBorders>
              <w:top w:val="single" w:sz="4" w:space="0" w:color="auto"/>
              <w:left w:val="single" w:sz="4" w:space="0" w:color="auto"/>
              <w:bottom w:val="single" w:sz="4" w:space="0" w:color="auto"/>
              <w:right w:val="single" w:sz="4" w:space="0" w:color="auto"/>
            </w:tcBorders>
            <w:hideMark/>
          </w:tcPr>
          <w:p w:rsidR="001D0FDA" w:rsidRPr="00EB1471" w:rsidRDefault="001D0FDA" w:rsidP="001D0FDA">
            <w:pPr>
              <w:pStyle w:val="Tabletext"/>
            </w:pPr>
            <w:r w:rsidRPr="00EB1471">
              <w:t>Intervention</w:t>
            </w:r>
          </w:p>
        </w:tc>
        <w:tc>
          <w:tcPr>
            <w:tcW w:w="7654" w:type="dxa"/>
            <w:tcBorders>
              <w:top w:val="single" w:sz="4" w:space="0" w:color="auto"/>
              <w:left w:val="single" w:sz="4" w:space="0" w:color="auto"/>
              <w:bottom w:val="single" w:sz="4" w:space="0" w:color="auto"/>
              <w:right w:val="single" w:sz="4" w:space="0" w:color="auto"/>
            </w:tcBorders>
          </w:tcPr>
          <w:p w:rsidR="001D0FDA" w:rsidRPr="00EB1471" w:rsidRDefault="001D0FDA" w:rsidP="001D0FDA">
            <w:pPr>
              <w:pStyle w:val="Tabletext"/>
            </w:pPr>
            <w:r w:rsidRPr="00EB1471">
              <w:t xml:space="preserve">macitentan/exp + 6 synonyms:all </w:t>
            </w:r>
          </w:p>
          <w:p w:rsidR="001D0FDA" w:rsidRPr="00EB1471" w:rsidRDefault="001D0FDA" w:rsidP="001D0FDA">
            <w:pPr>
              <w:pStyle w:val="Tabletext"/>
            </w:pPr>
            <w:r w:rsidRPr="00EB1471">
              <w:t>ambrisentan/exp +7 synonyms:all</w:t>
            </w:r>
          </w:p>
          <w:p w:rsidR="001D0FDA" w:rsidRPr="00EB1471" w:rsidRDefault="001D0FDA" w:rsidP="001D0FDA">
            <w:pPr>
              <w:pStyle w:val="Tabletext"/>
            </w:pPr>
            <w:r w:rsidRPr="00EB1471">
              <w:t>bosentan/exp + 11 synonyms:all</w:t>
            </w:r>
          </w:p>
          <w:p w:rsidR="001D0FDA" w:rsidRPr="00EB1471" w:rsidRDefault="001D0FDA" w:rsidP="001D0FDA">
            <w:pPr>
              <w:pStyle w:val="Tabletext"/>
            </w:pPr>
            <w:r w:rsidRPr="00EB1471">
              <w:t xml:space="preserve">iloprost/exp + 18 synonyms:all </w:t>
            </w:r>
          </w:p>
          <w:p w:rsidR="001D0FDA" w:rsidRPr="00EB1471" w:rsidRDefault="001D0FDA" w:rsidP="001D0FDA">
            <w:pPr>
              <w:pStyle w:val="Tabletext"/>
            </w:pPr>
            <w:r w:rsidRPr="00EB1471">
              <w:t>prostacyclin/exp + 17 synonyms:all</w:t>
            </w:r>
          </w:p>
          <w:p w:rsidR="001D0FDA" w:rsidRPr="00EB1471" w:rsidRDefault="001D0FDA" w:rsidP="001D0FDA">
            <w:pPr>
              <w:pStyle w:val="Tabletext"/>
            </w:pPr>
            <w:r w:rsidRPr="00EB1471">
              <w:t>sildenafil/exp + 28 synonyms:all</w:t>
            </w:r>
          </w:p>
          <w:p w:rsidR="001D0FDA" w:rsidRPr="00EB1471" w:rsidRDefault="001D0FDA" w:rsidP="001D0FDA">
            <w:pPr>
              <w:pStyle w:val="Tabletext"/>
            </w:pPr>
            <w:r w:rsidRPr="00EB1471">
              <w:t>tadalafil/exp + 17 synonyms:all</w:t>
            </w:r>
          </w:p>
          <w:p w:rsidR="001D0FDA" w:rsidRPr="00EB1471" w:rsidRDefault="001D0FDA" w:rsidP="001D0FDA">
            <w:pPr>
              <w:pStyle w:val="Tabletext"/>
            </w:pPr>
            <w:r w:rsidRPr="00EB1471">
              <w:t>riociguat/exp + 10 synonyms:all</w:t>
            </w:r>
          </w:p>
        </w:tc>
      </w:tr>
      <w:tr w:rsidR="001D0FDA" w:rsidRPr="00EB1471" w:rsidTr="001D0FDA">
        <w:tc>
          <w:tcPr>
            <w:tcW w:w="1980" w:type="dxa"/>
            <w:tcBorders>
              <w:top w:val="single" w:sz="4" w:space="0" w:color="auto"/>
              <w:left w:val="single" w:sz="4" w:space="0" w:color="auto"/>
              <w:bottom w:val="single" w:sz="4" w:space="0" w:color="auto"/>
              <w:right w:val="single" w:sz="4" w:space="0" w:color="auto"/>
            </w:tcBorders>
            <w:hideMark/>
          </w:tcPr>
          <w:p w:rsidR="001D0FDA" w:rsidRPr="00EB1471" w:rsidRDefault="001D0FDA" w:rsidP="001D0FDA">
            <w:pPr>
              <w:pStyle w:val="Tabletext"/>
            </w:pPr>
            <w:r w:rsidRPr="00EB1471">
              <w:t>Comparator (if applicable)</w:t>
            </w:r>
          </w:p>
        </w:tc>
        <w:tc>
          <w:tcPr>
            <w:tcW w:w="7654" w:type="dxa"/>
            <w:tcBorders>
              <w:top w:val="single" w:sz="4" w:space="0" w:color="auto"/>
              <w:left w:val="single" w:sz="4" w:space="0" w:color="auto"/>
              <w:bottom w:val="single" w:sz="4" w:space="0" w:color="auto"/>
              <w:right w:val="single" w:sz="4" w:space="0" w:color="auto"/>
            </w:tcBorders>
          </w:tcPr>
          <w:p w:rsidR="001D0FDA" w:rsidRPr="00EB1471" w:rsidRDefault="001D0FDA" w:rsidP="001D0FDA">
            <w:pPr>
              <w:pStyle w:val="Tabletext"/>
            </w:pPr>
            <w:r w:rsidRPr="00EB1471">
              <w:t>-</w:t>
            </w:r>
          </w:p>
        </w:tc>
      </w:tr>
      <w:tr w:rsidR="001D0FDA" w:rsidRPr="00EB1471" w:rsidTr="001D0FDA">
        <w:tc>
          <w:tcPr>
            <w:tcW w:w="1980" w:type="dxa"/>
            <w:tcBorders>
              <w:top w:val="single" w:sz="4" w:space="0" w:color="auto"/>
              <w:left w:val="single" w:sz="4" w:space="0" w:color="auto"/>
              <w:bottom w:val="single" w:sz="4" w:space="0" w:color="auto"/>
              <w:right w:val="single" w:sz="4" w:space="0" w:color="auto"/>
            </w:tcBorders>
            <w:hideMark/>
          </w:tcPr>
          <w:p w:rsidR="001D0FDA" w:rsidRPr="00EB1471" w:rsidRDefault="001D0FDA" w:rsidP="001D0FDA">
            <w:pPr>
              <w:pStyle w:val="Tabletext"/>
            </w:pPr>
            <w:r w:rsidRPr="00EB1471">
              <w:t>Outcomes (if applicable)</w:t>
            </w:r>
          </w:p>
        </w:tc>
        <w:tc>
          <w:tcPr>
            <w:tcW w:w="7654" w:type="dxa"/>
            <w:tcBorders>
              <w:top w:val="single" w:sz="4" w:space="0" w:color="auto"/>
              <w:left w:val="single" w:sz="4" w:space="0" w:color="auto"/>
              <w:bottom w:val="single" w:sz="4" w:space="0" w:color="auto"/>
              <w:right w:val="single" w:sz="4" w:space="0" w:color="auto"/>
            </w:tcBorders>
          </w:tcPr>
          <w:p w:rsidR="001D0FDA" w:rsidRPr="00EB1471" w:rsidRDefault="001D0FDA" w:rsidP="001D0FDA">
            <w:pPr>
              <w:pStyle w:val="Tabletext"/>
            </w:pPr>
            <w:r w:rsidRPr="00EB1471">
              <w:t>-</w:t>
            </w:r>
          </w:p>
        </w:tc>
      </w:tr>
      <w:tr w:rsidR="001D0FDA" w:rsidRPr="00EB1471" w:rsidTr="001D0FDA">
        <w:tc>
          <w:tcPr>
            <w:tcW w:w="1980" w:type="dxa"/>
            <w:tcBorders>
              <w:top w:val="single" w:sz="4" w:space="0" w:color="auto"/>
              <w:left w:val="single" w:sz="4" w:space="0" w:color="auto"/>
              <w:bottom w:val="single" w:sz="4" w:space="0" w:color="auto"/>
              <w:right w:val="single" w:sz="4" w:space="0" w:color="auto"/>
            </w:tcBorders>
            <w:hideMark/>
          </w:tcPr>
          <w:p w:rsidR="001D0FDA" w:rsidRPr="00EB1471" w:rsidRDefault="001D0FDA" w:rsidP="001D0FDA">
            <w:pPr>
              <w:pStyle w:val="Tabletext"/>
            </w:pPr>
            <w:r w:rsidRPr="00EB1471">
              <w:t>Limits</w:t>
            </w:r>
          </w:p>
        </w:tc>
        <w:tc>
          <w:tcPr>
            <w:tcW w:w="7654" w:type="dxa"/>
            <w:tcBorders>
              <w:top w:val="single" w:sz="4" w:space="0" w:color="auto"/>
              <w:left w:val="single" w:sz="4" w:space="0" w:color="auto"/>
              <w:bottom w:val="single" w:sz="4" w:space="0" w:color="auto"/>
              <w:right w:val="single" w:sz="4" w:space="0" w:color="auto"/>
            </w:tcBorders>
            <w:hideMark/>
          </w:tcPr>
          <w:p w:rsidR="001D0FDA" w:rsidRPr="00EB1471" w:rsidRDefault="001D0FDA" w:rsidP="001D0FDA">
            <w:pPr>
              <w:pStyle w:val="Tabletext"/>
            </w:pPr>
            <w:r w:rsidRPr="00EB1471">
              <w:t>controlled study OR clinical trial OR clinical article OR major clinical study OR randomized controlled trial (topic) OR randomized controlled trial OR controlled clinical trial OR retrospective study OR prospective study OR clinical trial (topic) OR double blind procedure OR multicentre study OR cohort analysis OR systematic review OR phase 3 clinical trial (topic)</w:t>
            </w:r>
          </w:p>
        </w:tc>
      </w:tr>
    </w:tbl>
    <w:p w:rsidR="001D0FDA" w:rsidRPr="00EB1471" w:rsidRDefault="001D0FDA" w:rsidP="001D0FDA">
      <w:r w:rsidRPr="00EB1471">
        <w:t xml:space="preserve">Relevant papers had their reference lists pearled for other studies potentially missed in the database searches. No restriction was placed on the </w:t>
      </w:r>
      <w:proofErr w:type="gramStart"/>
      <w:r w:rsidRPr="00EB1471">
        <w:t>time period</w:t>
      </w:r>
      <w:proofErr w:type="gramEnd"/>
      <w:r w:rsidRPr="00EB1471">
        <w:t xml:space="preserve"> searched because the search terms i</w:t>
      </w:r>
      <w:r w:rsidR="00C175BC">
        <w:t>nclude the specific drug names.</w:t>
      </w:r>
    </w:p>
    <w:p w:rsidR="001D0FDA" w:rsidRPr="00EB1471" w:rsidRDefault="001D0FDA" w:rsidP="001D0FDA">
      <w:r w:rsidRPr="00EB1471">
        <w:t xml:space="preserve">In addition to literature obtained through the above databases, the WHO clinical trials registry </w:t>
      </w:r>
      <w:proofErr w:type="gramStart"/>
      <w:r w:rsidRPr="00EB1471">
        <w:t>was searched</w:t>
      </w:r>
      <w:proofErr w:type="gramEnd"/>
      <w:r w:rsidRPr="00EB1471">
        <w:t xml:space="preserve"> for potentially relevant clinical studies. The submissions provided by the sponsors, prior to the listing of their drugs on the PBS, were also </w:t>
      </w:r>
      <w:proofErr w:type="gramStart"/>
      <w:r w:rsidRPr="00EB1471">
        <w:t>cross-checked</w:t>
      </w:r>
      <w:proofErr w:type="gramEnd"/>
      <w:r w:rsidRPr="00EB1471">
        <w:t xml:space="preserve"> for relevant trials</w:t>
      </w:r>
      <w:r w:rsidR="00C175BC">
        <w:t>.</w:t>
      </w:r>
    </w:p>
    <w:p w:rsidR="001D0FDA" w:rsidRPr="00EB1471" w:rsidRDefault="001D0FDA" w:rsidP="00480FDF">
      <w:pPr>
        <w:pStyle w:val="Heading4"/>
        <w:numPr>
          <w:ilvl w:val="3"/>
          <w:numId w:val="45"/>
        </w:numPr>
      </w:pPr>
      <w:r w:rsidRPr="00EB1471">
        <w:t>4.3.</w:t>
      </w:r>
      <w:r>
        <w:t>1</w:t>
      </w:r>
      <w:r w:rsidRPr="00EB1471">
        <w:t>.3</w:t>
      </w:r>
      <w:r w:rsidRPr="00EB1471">
        <w:tab/>
        <w:t>Inclusion/exclusion criteria</w:t>
      </w:r>
    </w:p>
    <w:p w:rsidR="001D0FDA" w:rsidRPr="00572A49" w:rsidRDefault="001D0FDA" w:rsidP="001D0FDA">
      <w:r w:rsidRPr="00572A49">
        <w:t xml:space="preserve">In general, studies </w:t>
      </w:r>
      <w:proofErr w:type="gramStart"/>
      <w:r w:rsidRPr="00572A49">
        <w:t>were excluded</w:t>
      </w:r>
      <w:proofErr w:type="gramEnd"/>
      <w:r w:rsidRPr="00572A49">
        <w:t xml:space="preserve"> from the evidence base if they:</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Did not address the research questions;</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Did not provide information on the pre-specified target population, intervention or comparator;</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Were studies recruiting a mixed population (</w:t>
      </w:r>
      <w:r>
        <w:t>eg</w:t>
      </w:r>
      <w:r w:rsidRPr="00572A49">
        <w:t xml:space="preserve"> including both FC I/II PAH and FC III/IV PAH, with or without background therapy with PAH medicine(s) etc) which did not provide results of effectiveness analysis stratified by the appropriate subgroup(s) of patients of interest</w:t>
      </w:r>
      <w:r w:rsidRPr="00572A49">
        <w:rPr>
          <w:rStyle w:val="FootnoteReference"/>
        </w:rPr>
        <w:footnoteReference w:id="1"/>
      </w:r>
      <w:r w:rsidRPr="00572A49">
        <w:t>;</w:t>
      </w:r>
    </w:p>
    <w:p w:rsidR="008E745C" w:rsidRPr="008E745C" w:rsidRDefault="008E745C" w:rsidP="00480FDF">
      <w:pPr>
        <w:pStyle w:val="ListParagraph"/>
        <w:numPr>
          <w:ilvl w:val="0"/>
          <w:numId w:val="46"/>
        </w:numPr>
      </w:pPr>
      <w:r w:rsidRPr="008E745C">
        <w:t xml:space="preserve">Were studies </w:t>
      </w:r>
      <w:r>
        <w:t>investigated a mixture of PAH therapies in the intervention arm and/or in the comparator arm which did not provide results by PAH regimen</w:t>
      </w:r>
      <w:r w:rsidRPr="008E745C">
        <w:t>;</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 xml:space="preserve">Were studies where the administration and/or dosage of a </w:t>
      </w:r>
      <w:r>
        <w:t>PAH medicine</w:t>
      </w:r>
      <w:r w:rsidRPr="00572A49">
        <w:t xml:space="preserve"> is not approved or recommended by the TGA, </w:t>
      </w:r>
      <w:r>
        <w:t>i</w:t>
      </w:r>
      <w:r w:rsidR="007E4C7F">
        <w:t>.</w:t>
      </w:r>
      <w:r>
        <w:t>e</w:t>
      </w:r>
      <w:r w:rsidR="007E4C7F">
        <w:t>.</w:t>
      </w:r>
      <w:r w:rsidRPr="00572A49">
        <w:t xml:space="preserve"> intravenous use of iloprost (approved administration: inhaled) and ambrisentan 2.5</w:t>
      </w:r>
      <w:r w:rsidR="00570FC8">
        <w:t xml:space="preserve"> mg</w:t>
      </w:r>
      <w:r w:rsidRPr="00572A49">
        <w:t xml:space="preserve"> once daily (od) (recommended dose: 5-10</w:t>
      </w:r>
      <w:r w:rsidR="00570FC8">
        <w:t xml:space="preserve"> mg</w:t>
      </w:r>
      <w:r w:rsidRPr="00572A49">
        <w:t xml:space="preserve"> od);</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 xml:space="preserve">Were studies where a </w:t>
      </w:r>
      <w:r>
        <w:t>PAH medicine</w:t>
      </w:r>
      <w:r w:rsidRPr="00572A49">
        <w:t xml:space="preserve"> was not used for the purpose of treatment (</w:t>
      </w:r>
      <w:r>
        <w:t>eg</w:t>
      </w:r>
      <w:r w:rsidRPr="00572A49">
        <w:t xml:space="preserve"> one dose </w:t>
      </w:r>
      <w:r>
        <w:t>PAH medicine</w:t>
      </w:r>
      <w:r w:rsidRPr="00572A49">
        <w:t xml:space="preserve"> to examine its acute haemodynamic effects);</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Did not address one of the pre-specified outcomes and/or provided inadequate data on these outcomes;</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 xml:space="preserve">Did not have the appropriate study design (see below); </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Were studies in languages other than English; or</w:t>
      </w:r>
    </w:p>
    <w:p w:rsidR="001D0FDA" w:rsidRPr="00572A49" w:rsidRDefault="001D0FDA" w:rsidP="00480FDF">
      <w:pPr>
        <w:pStyle w:val="ListParagraph"/>
        <w:numPr>
          <w:ilvl w:val="0"/>
          <w:numId w:val="46"/>
        </w:numPr>
        <w:autoSpaceDE w:val="0"/>
        <w:autoSpaceDN w:val="0"/>
        <w:adjustRightInd w:val="0"/>
        <w:spacing w:before="0" w:after="120" w:line="240" w:lineRule="auto"/>
        <w:contextualSpacing w:val="0"/>
      </w:pPr>
      <w:r w:rsidRPr="00572A49">
        <w:t>Were only available in abstract form (</w:t>
      </w:r>
      <w:r>
        <w:t>i</w:t>
      </w:r>
      <w:r w:rsidR="007E4C7F">
        <w:t>.</w:t>
      </w:r>
      <w:r>
        <w:t>e</w:t>
      </w:r>
      <w:r w:rsidR="007E4C7F">
        <w:t>.</w:t>
      </w:r>
      <w:r w:rsidRPr="00572A49">
        <w:t xml:space="preserve"> conference abstract).</w:t>
      </w:r>
    </w:p>
    <w:p w:rsidR="001D0FDA" w:rsidRPr="00EB1471" w:rsidRDefault="001D0FDA" w:rsidP="001D0FDA">
      <w:r w:rsidRPr="00EB1471">
        <w:t xml:space="preserve">Study types that </w:t>
      </w:r>
      <w:proofErr w:type="gramStart"/>
      <w:r w:rsidRPr="00EB1471">
        <w:t>were considered</w:t>
      </w:r>
      <w:proofErr w:type="gramEnd"/>
      <w:r w:rsidRPr="00EB1471">
        <w:t xml:space="preserve"> for inclusion in the systematic review differed for the evaluation of effectiveness and safety.</w:t>
      </w:r>
    </w:p>
    <w:p w:rsidR="001D0FDA" w:rsidRPr="00EB1471" w:rsidRDefault="001D0FDA" w:rsidP="001D0FDA">
      <w:r w:rsidRPr="00EB1471">
        <w:rPr>
          <w:u w:val="single"/>
        </w:rPr>
        <w:t>Effectiveness</w:t>
      </w:r>
    </w:p>
    <w:p w:rsidR="001D0FDA" w:rsidRPr="00EB1471" w:rsidRDefault="001D0FDA" w:rsidP="00480FDF">
      <w:pPr>
        <w:pStyle w:val="ListParagraph"/>
        <w:numPr>
          <w:ilvl w:val="0"/>
          <w:numId w:val="46"/>
        </w:numPr>
        <w:autoSpaceDE w:val="0"/>
        <w:autoSpaceDN w:val="0"/>
        <w:adjustRightInd w:val="0"/>
        <w:spacing w:before="0" w:after="120" w:line="240" w:lineRule="auto"/>
        <w:contextualSpacing w:val="0"/>
      </w:pPr>
      <w:r w:rsidRPr="00EB1471">
        <w:t xml:space="preserve">Randomised controlled trials (RCTs); </w:t>
      </w:r>
    </w:p>
    <w:p w:rsidR="001D0FDA" w:rsidRPr="00EB1471" w:rsidRDefault="001D0FDA" w:rsidP="00480FDF">
      <w:pPr>
        <w:pStyle w:val="ListParagraph"/>
        <w:numPr>
          <w:ilvl w:val="0"/>
          <w:numId w:val="46"/>
        </w:numPr>
        <w:autoSpaceDE w:val="0"/>
        <w:autoSpaceDN w:val="0"/>
        <w:adjustRightInd w:val="0"/>
        <w:spacing w:before="0" w:after="120" w:line="240" w:lineRule="auto"/>
        <w:contextualSpacing w:val="0"/>
      </w:pPr>
      <w:r w:rsidRPr="00EB1471">
        <w:t>Large nonrandomised or observational comparative studies (</w:t>
      </w:r>
      <w:r>
        <w:t xml:space="preserve">eg </w:t>
      </w:r>
      <w:r w:rsidRPr="00EB1471">
        <w:t xml:space="preserve">cohort or case-control) </w:t>
      </w:r>
      <w:r w:rsidRPr="00EB1471">
        <w:rPr>
          <w:u w:val="single"/>
        </w:rPr>
        <w:t>only if</w:t>
      </w:r>
      <w:r w:rsidRPr="00EB1471">
        <w:t xml:space="preserve"> a higher level of evidence is absent; and</w:t>
      </w:r>
    </w:p>
    <w:p w:rsidR="001D0FDA" w:rsidRPr="00EB1471" w:rsidRDefault="001D0FDA" w:rsidP="00480FDF">
      <w:pPr>
        <w:pStyle w:val="ListParagraph"/>
        <w:numPr>
          <w:ilvl w:val="0"/>
          <w:numId w:val="46"/>
        </w:numPr>
        <w:autoSpaceDE w:val="0"/>
        <w:autoSpaceDN w:val="0"/>
        <w:adjustRightInd w:val="0"/>
        <w:spacing w:before="0" w:after="120" w:line="240" w:lineRule="auto"/>
        <w:contextualSpacing w:val="0"/>
      </w:pPr>
      <w:r w:rsidRPr="00EB1471">
        <w:t>Systematic reviews of evidence with the above study designs.</w:t>
      </w:r>
    </w:p>
    <w:p w:rsidR="001D0FDA" w:rsidRPr="00EB1471" w:rsidRDefault="001D0FDA" w:rsidP="001D0FDA">
      <w:pPr>
        <w:autoSpaceDE w:val="0"/>
        <w:autoSpaceDN w:val="0"/>
        <w:adjustRightInd w:val="0"/>
        <w:spacing w:after="120"/>
      </w:pPr>
      <w:r w:rsidRPr="00EB1471">
        <w:t xml:space="preserve">Systematic reviews </w:t>
      </w:r>
      <w:r>
        <w:t>would have been</w:t>
      </w:r>
      <w:r w:rsidRPr="00EB1471">
        <w:t xml:space="preserve"> included if they posed the same question and used the same criteria for selecting trials/studies as required for this current review, and the assessors were satisfied that the systematic review had adequately considered the risk of bias i</w:t>
      </w:r>
      <w:r w:rsidR="00C175BC">
        <w:t>n the included primary studies.</w:t>
      </w:r>
    </w:p>
    <w:p w:rsidR="001D0FDA" w:rsidRPr="00EB1471" w:rsidRDefault="001D0FDA" w:rsidP="001D0FDA">
      <w:r w:rsidRPr="00EB1471">
        <w:t>Where adequate evidence was available of a higher quality (</w:t>
      </w:r>
      <w:r>
        <w:t>i</w:t>
      </w:r>
      <w:r w:rsidR="007E4C7F">
        <w:t>.</w:t>
      </w:r>
      <w:r>
        <w:t>e</w:t>
      </w:r>
      <w:r w:rsidR="007E4C7F">
        <w:t>.</w:t>
      </w:r>
      <w:r w:rsidRPr="00EB1471">
        <w:t xml:space="preserve"> studies with designs where bias is minimised), lower quali</w:t>
      </w:r>
      <w:r w:rsidR="00FF6DF1">
        <w:t xml:space="preserve">ty evidence </w:t>
      </w:r>
      <w:proofErr w:type="gramStart"/>
      <w:r w:rsidR="00FF6DF1">
        <w:t>was not considered</w:t>
      </w:r>
      <w:proofErr w:type="gramEnd"/>
      <w:r w:rsidR="00FF6DF1">
        <w:t>.</w:t>
      </w:r>
    </w:p>
    <w:p w:rsidR="001D0FDA" w:rsidRPr="00EB1471" w:rsidRDefault="001D0FDA" w:rsidP="001D0FDA">
      <w:pPr>
        <w:rPr>
          <w:u w:val="single"/>
        </w:rPr>
      </w:pPr>
      <w:r w:rsidRPr="00EB1471">
        <w:rPr>
          <w:u w:val="single"/>
        </w:rPr>
        <w:t>Safety</w:t>
      </w:r>
    </w:p>
    <w:p w:rsidR="001D0FDA" w:rsidRPr="00EB1471" w:rsidRDefault="001D0FDA" w:rsidP="00480FDF">
      <w:pPr>
        <w:pStyle w:val="ListParagraph"/>
        <w:numPr>
          <w:ilvl w:val="0"/>
          <w:numId w:val="46"/>
        </w:numPr>
        <w:autoSpaceDE w:val="0"/>
        <w:autoSpaceDN w:val="0"/>
        <w:adjustRightInd w:val="0"/>
        <w:spacing w:before="0" w:after="120" w:line="240" w:lineRule="auto"/>
        <w:contextualSpacing w:val="0"/>
      </w:pPr>
      <w:r w:rsidRPr="00EB1471">
        <w:t xml:space="preserve">RCTs; </w:t>
      </w:r>
    </w:p>
    <w:p w:rsidR="001D0FDA" w:rsidRPr="00EB1471" w:rsidRDefault="001D0FDA" w:rsidP="00480FDF">
      <w:pPr>
        <w:pStyle w:val="ListParagraph"/>
        <w:numPr>
          <w:ilvl w:val="0"/>
          <w:numId w:val="46"/>
        </w:numPr>
        <w:autoSpaceDE w:val="0"/>
        <w:autoSpaceDN w:val="0"/>
        <w:adjustRightInd w:val="0"/>
        <w:spacing w:before="0" w:after="120" w:line="240" w:lineRule="auto"/>
        <w:contextualSpacing w:val="0"/>
      </w:pPr>
      <w:r w:rsidRPr="00EB1471">
        <w:t>Large nonrandomised or observational studies;</w:t>
      </w:r>
    </w:p>
    <w:p w:rsidR="001D0FDA" w:rsidRPr="00EB1471" w:rsidRDefault="001D0FDA" w:rsidP="00480FDF">
      <w:pPr>
        <w:pStyle w:val="ListParagraph"/>
        <w:numPr>
          <w:ilvl w:val="0"/>
          <w:numId w:val="46"/>
        </w:numPr>
        <w:autoSpaceDE w:val="0"/>
        <w:autoSpaceDN w:val="0"/>
        <w:adjustRightInd w:val="0"/>
        <w:spacing w:before="0" w:after="120" w:line="240" w:lineRule="auto"/>
        <w:contextualSpacing w:val="0"/>
      </w:pPr>
      <w:r w:rsidRPr="00EB1471">
        <w:t>Systematic reviews of evidence with any study design.</w:t>
      </w:r>
    </w:p>
    <w:p w:rsidR="001D0FDA" w:rsidRDefault="001D0FDA" w:rsidP="001D0FDA">
      <w:pPr>
        <w:autoSpaceDE w:val="0"/>
        <w:autoSpaceDN w:val="0"/>
        <w:adjustRightInd w:val="0"/>
        <w:spacing w:after="120"/>
      </w:pPr>
      <w:r w:rsidRPr="008D73C9">
        <w:t xml:space="preserve">In order to detect potential safety signals that </w:t>
      </w:r>
      <w:proofErr w:type="gramStart"/>
      <w:r w:rsidRPr="008D73C9">
        <w:t>had not been noted</w:t>
      </w:r>
      <w:proofErr w:type="gramEnd"/>
      <w:r w:rsidRPr="008D73C9">
        <w:t xml:space="preserve"> by the PBAC, the reviewer read the full article of any observational study with a sample size of ≥10 patients. Short-term (follow-up of &lt;2 years) studies were included only if they identified </w:t>
      </w:r>
      <w:r w:rsidR="006B2A7D">
        <w:t>AE</w:t>
      </w:r>
      <w:r w:rsidRPr="008D73C9">
        <w:t>s not reported or under-reported by RCTs or in the TGA-approved PI. Observational studies with longer follow-up (≥2 years) which fulfilled the PICO criteria were included in the literature review had ≥50 patients receiving PAH medicines in the studies or if they had reported new safety signals.</w:t>
      </w:r>
    </w:p>
    <w:p w:rsidR="001D0FDA" w:rsidRPr="00EB1471" w:rsidRDefault="001D0FDA" w:rsidP="001D0FDA">
      <w:pPr>
        <w:autoSpaceDE w:val="0"/>
        <w:autoSpaceDN w:val="0"/>
        <w:adjustRightInd w:val="0"/>
        <w:spacing w:after="120"/>
      </w:pPr>
      <w:r w:rsidRPr="00327569">
        <w:t xml:space="preserve">It was considered that routine </w:t>
      </w:r>
      <w:r w:rsidR="006B2A7D">
        <w:t>AE</w:t>
      </w:r>
      <w:r w:rsidRPr="00327569">
        <w:t xml:space="preserve"> reporting would be the source of </w:t>
      </w:r>
      <w:r w:rsidR="006B2A7D">
        <w:t>AE</w:t>
      </w:r>
      <w:r w:rsidRPr="00327569">
        <w:t xml:space="preserve"> data and that where relevant, </w:t>
      </w:r>
      <w:r>
        <w:t>PI</w:t>
      </w:r>
      <w:r w:rsidRPr="00327569">
        <w:t xml:space="preserve"> for the </w:t>
      </w:r>
      <w:r>
        <w:t>PAH medicine</w:t>
      </w:r>
      <w:r w:rsidRPr="00327569">
        <w:t xml:space="preserve"> affected would be updated to include these. Regulatory agencies are responsible for reviewing the </w:t>
      </w:r>
      <w:r w:rsidR="006B2A7D">
        <w:t>AE</w:t>
      </w:r>
      <w:r w:rsidRPr="00327569">
        <w:t xml:space="preserve"> reports and in some cases publish</w:t>
      </w:r>
      <w:r>
        <w:t xml:space="preserve"> the outcome of these reviews. W</w:t>
      </w:r>
      <w:r w:rsidRPr="00EB1471">
        <w:t xml:space="preserve">ebsites of regulatory agencies, including the TGA, the FDA and the </w:t>
      </w:r>
      <w:r>
        <w:t>EMA</w:t>
      </w:r>
      <w:r w:rsidRPr="00EB1471">
        <w:t xml:space="preserve">, were searched for any safety concerns from post-marketing drug safety </w:t>
      </w:r>
      <w:proofErr w:type="gramStart"/>
      <w:r w:rsidRPr="00EB1471">
        <w:t>surveillance which</w:t>
      </w:r>
      <w:proofErr w:type="gramEnd"/>
      <w:r w:rsidRPr="00EB1471">
        <w:t xml:space="preserve"> might incur regulatory recall actions undertaken to mitigate risk, </w:t>
      </w:r>
      <w:r>
        <w:t>eg</w:t>
      </w:r>
      <w:r w:rsidRPr="00EB1471">
        <w:t xml:space="preserve"> alterations of the product label, hazard alert, or suspension </w:t>
      </w:r>
      <w:r w:rsidR="00B603BC">
        <w:t>or cancellation of the product.</w:t>
      </w:r>
    </w:p>
    <w:p w:rsidR="001D0FDA" w:rsidRPr="00EB1471" w:rsidRDefault="001D0FDA" w:rsidP="00480FDF">
      <w:pPr>
        <w:pStyle w:val="Heading3"/>
        <w:numPr>
          <w:ilvl w:val="2"/>
          <w:numId w:val="45"/>
        </w:numPr>
        <w:tabs>
          <w:tab w:val="clear" w:pos="2695"/>
        </w:tabs>
        <w:ind w:left="0"/>
      </w:pPr>
      <w:bookmarkStart w:id="80" w:name="_Toc506464131"/>
      <w:bookmarkStart w:id="81" w:name="_Toc38360275"/>
      <w:r w:rsidRPr="00EB1471">
        <w:t>Search results and selection of evidence</w:t>
      </w:r>
      <w:bookmarkEnd w:id="80"/>
      <w:bookmarkEnd w:id="81"/>
    </w:p>
    <w:p w:rsidR="001D0FDA" w:rsidRPr="00EB1471" w:rsidRDefault="001D0FDA" w:rsidP="001D0FDA">
      <w:r w:rsidRPr="00EB1471">
        <w:t>A PRISMA flowchart (</w:t>
      </w:r>
      <w:r w:rsidR="003951FA">
        <w:t>Figure 4.</w:t>
      </w:r>
      <w:r w:rsidR="003951FA">
        <w:rPr>
          <w:noProof/>
        </w:rPr>
        <w:t>1</w:t>
      </w:r>
      <w:r w:rsidRPr="00EB1471">
        <w:t>) provides a graphic depiction of the results of the literature search and the application of the study selection criteria as stated in Section 4.3.</w:t>
      </w:r>
      <w:r>
        <w:t>1</w:t>
      </w:r>
      <w:r w:rsidRPr="00EB1471">
        <w:t xml:space="preserve"> </w:t>
      </w:r>
      <w:r w:rsidR="001D34EE" w:rsidRPr="001A1C44">
        <w:rPr>
          <w:noProof/>
          <w:vertAlign w:val="superscript"/>
        </w:rPr>
        <w:t>24</w:t>
      </w:r>
      <w:r w:rsidR="00B603BC">
        <w:t>.</w:t>
      </w:r>
    </w:p>
    <w:p w:rsidR="001D0FDA" w:rsidRPr="00EB1471" w:rsidRDefault="001D0FDA" w:rsidP="001D0FDA">
      <w:proofErr w:type="gramStart"/>
      <w:r w:rsidRPr="00EB1471">
        <w:t>Studies were selected by a single reviewer with a second reviewer assessing 10 per cent of the most relevant citations</w:t>
      </w:r>
      <w:proofErr w:type="gramEnd"/>
      <w:r w:rsidRPr="00EB1471">
        <w:t xml:space="preserve">. </w:t>
      </w:r>
      <w:proofErr w:type="gramStart"/>
      <w:r w:rsidRPr="00EB1471">
        <w:t>Relevance was determined by the algorithm within Rayyan software</w:t>
      </w:r>
      <w:proofErr w:type="gramEnd"/>
      <w:r w:rsidRPr="00EB1471">
        <w:rPr>
          <w:rStyle w:val="FootnoteReference"/>
        </w:rPr>
        <w:footnoteReference w:id="2"/>
      </w:r>
      <w:r w:rsidR="00B603BC">
        <w:t>.</w:t>
      </w:r>
    </w:p>
    <w:p w:rsidR="001D0FDA" w:rsidRPr="00EB1471" w:rsidRDefault="001D0FDA" w:rsidP="001D0FDA">
      <w:r w:rsidRPr="00EB1471">
        <w:t xml:space="preserve">Studies </w:t>
      </w:r>
      <w:proofErr w:type="gramStart"/>
      <w:r w:rsidRPr="00EB1471">
        <w:t>were excluded</w:t>
      </w:r>
      <w:proofErr w:type="gramEnd"/>
      <w:r w:rsidRPr="00EB1471">
        <w:t xml:space="preserve"> from the review if they could not be retrieved or if they met the study selection criteria but contained insufficient or inadequate data for data extraction and synthesis. These excluded studies </w:t>
      </w:r>
      <w:proofErr w:type="gramStart"/>
      <w:r w:rsidRPr="00EB1471">
        <w:t>are listed</w:t>
      </w:r>
      <w:proofErr w:type="gramEnd"/>
      <w:r w:rsidRPr="00EB1471">
        <w:t xml:space="preserve"> in </w:t>
      </w:r>
      <w:r>
        <w:t>Appendix</w:t>
      </w:r>
      <w:r w:rsidR="00DA2636">
        <w:t xml:space="preserve"> 4</w:t>
      </w:r>
      <w:r>
        <w:t>B</w:t>
      </w:r>
      <w:r w:rsidRPr="00EB1471">
        <w:t xml:space="preserve">. </w:t>
      </w:r>
      <w:r w:rsidRPr="008D73C9">
        <w:t xml:space="preserve">A list of short-term observational studies which did not detect any new safety signals and, therefore, were excluded from extended assessment of </w:t>
      </w:r>
      <w:r>
        <w:t xml:space="preserve">the </w:t>
      </w:r>
      <w:r w:rsidRPr="008D73C9">
        <w:t>safety of PAH medicines can be provided on demand.</w:t>
      </w:r>
    </w:p>
    <w:p w:rsidR="00CF03B6" w:rsidRPr="00EB1471" w:rsidRDefault="00367EA5" w:rsidP="001D0FDA">
      <w:r>
        <w:rPr>
          <w:noProof/>
          <w:lang w:eastAsia="en-AU"/>
        </w:rPr>
        <w:drawing>
          <wp:inline distT="0" distB="0" distL="0" distR="0" wp14:anchorId="0343DC2A" wp14:editId="5D61DFCB">
            <wp:extent cx="5248910" cy="6804025"/>
            <wp:effectExtent l="0" t="0" r="8890" b="0"/>
            <wp:docPr id="4" name="Picture 4" descr="Summary of the process used to identify and select studies for the assessment of PAH medicines" title="PRISMA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910" cy="6804025"/>
                    </a:xfrm>
                    <a:prstGeom prst="rect">
                      <a:avLst/>
                    </a:prstGeom>
                    <a:noFill/>
                  </pic:spPr>
                </pic:pic>
              </a:graphicData>
            </a:graphic>
          </wp:inline>
        </w:drawing>
      </w:r>
    </w:p>
    <w:p w:rsidR="001D0FDA" w:rsidRPr="00EB1471" w:rsidRDefault="001D0FDA" w:rsidP="00367EA5">
      <w:pPr>
        <w:pStyle w:val="Caption"/>
        <w:spacing w:before="120"/>
        <w:rPr>
          <w:rStyle w:val="CaptionChar"/>
          <w:rFonts w:eastAsiaTheme="minorHAnsi"/>
          <w:b/>
        </w:rPr>
      </w:pPr>
      <w:bookmarkStart w:id="82" w:name="_Ref505950925"/>
      <w:bookmarkStart w:id="83" w:name="_Toc38360467"/>
      <w:r>
        <w:t>Figure 4.</w:t>
      </w:r>
      <w:r w:rsidR="003951FA">
        <w:rPr>
          <w:noProof/>
        </w:rPr>
        <w:t>1</w:t>
      </w:r>
      <w:bookmarkEnd w:id="82"/>
      <w:r>
        <w:rPr>
          <w:rStyle w:val="CaptionChar"/>
          <w:rFonts w:eastAsiaTheme="minorHAnsi"/>
          <w:b/>
        </w:rPr>
        <w:tab/>
      </w:r>
      <w:r w:rsidRPr="00EB1471">
        <w:rPr>
          <w:rStyle w:val="CaptionChar"/>
          <w:rFonts w:eastAsiaTheme="minorHAnsi"/>
          <w:b/>
        </w:rPr>
        <w:t xml:space="preserve">Summary of the process used to identify and select studies for the assessment of </w:t>
      </w:r>
      <w:r>
        <w:rPr>
          <w:rStyle w:val="CaptionChar"/>
          <w:rFonts w:eastAsiaTheme="minorHAnsi"/>
          <w:b/>
        </w:rPr>
        <w:t>PAH medicine</w:t>
      </w:r>
      <w:r w:rsidRPr="00EB1471">
        <w:rPr>
          <w:rStyle w:val="CaptionChar"/>
          <w:rFonts w:eastAsiaTheme="minorHAnsi"/>
          <w:b/>
        </w:rPr>
        <w:t>s</w:t>
      </w:r>
      <w:bookmarkEnd w:id="83"/>
    </w:p>
    <w:p w:rsidR="001D0FDA" w:rsidRPr="00EB1471" w:rsidRDefault="001D0FDA" w:rsidP="001D0FDA">
      <w:pPr>
        <w:pStyle w:val="Tablenote"/>
      </w:pPr>
      <w:r w:rsidRPr="00EB1471">
        <w:t>PICO = Population, Intervention, Comparator and Outcome; RCT = randomised controlled trial</w:t>
      </w:r>
    </w:p>
    <w:p w:rsidR="001D0FDA" w:rsidRPr="00EB1471" w:rsidRDefault="001D0FDA" w:rsidP="001D0FDA">
      <w:pPr>
        <w:rPr>
          <w:color w:val="000000"/>
        </w:rPr>
      </w:pPr>
      <w:r w:rsidRPr="00EB1471">
        <w:t xml:space="preserve">A profile of each included study </w:t>
      </w:r>
      <w:proofErr w:type="gramStart"/>
      <w:r w:rsidRPr="00EB1471">
        <w:t>is given</w:t>
      </w:r>
      <w:proofErr w:type="gramEnd"/>
      <w:r w:rsidRPr="00EB1471">
        <w:t xml:space="preserve"> in </w:t>
      </w:r>
      <w:r>
        <w:t xml:space="preserve">Appendix </w:t>
      </w:r>
      <w:r w:rsidR="00DA2636">
        <w:t>4</w:t>
      </w:r>
      <w:r>
        <w:t>A</w:t>
      </w:r>
      <w:r w:rsidRPr="00EB1471">
        <w:t xml:space="preserve">. </w:t>
      </w:r>
      <w:r w:rsidRPr="00EB1471">
        <w:rPr>
          <w:color w:val="000000"/>
        </w:rPr>
        <w:t>This study profile describes the study ID, authors, publication year, study design and study quality (level of evidence and risk of bias), study location, setting, length of follow-up of patients, study population characteristics, description of the intervention, description of the comparator and the relevant outcomes assessed. Key study characteristics are also summarised in a shorter format in Section 4.</w:t>
      </w:r>
      <w:r>
        <w:rPr>
          <w:color w:val="000000"/>
        </w:rPr>
        <w:t>3.4</w:t>
      </w:r>
      <w:r w:rsidRPr="00EB1471">
        <w:rPr>
          <w:color w:val="000000"/>
        </w:rPr>
        <w:t xml:space="preserve">. In studies where a </w:t>
      </w:r>
      <w:r>
        <w:rPr>
          <w:color w:val="000000"/>
        </w:rPr>
        <w:t>PAH medicine</w:t>
      </w:r>
      <w:r w:rsidRPr="00EB1471">
        <w:rPr>
          <w:color w:val="000000"/>
        </w:rPr>
        <w:t xml:space="preserve"> was given at different doses, data were extracted only for the arm with the dose that is recommended by the TGA-approved PI.</w:t>
      </w:r>
    </w:p>
    <w:p w:rsidR="001D0FDA" w:rsidRPr="00EB1471" w:rsidRDefault="001D0FDA" w:rsidP="00480FDF">
      <w:pPr>
        <w:pStyle w:val="Heading3"/>
        <w:numPr>
          <w:ilvl w:val="2"/>
          <w:numId w:val="45"/>
        </w:numPr>
        <w:tabs>
          <w:tab w:val="clear" w:pos="2695"/>
        </w:tabs>
        <w:ind w:left="0"/>
      </w:pPr>
      <w:bookmarkStart w:id="84" w:name="_Toc506464132"/>
      <w:bookmarkStart w:id="85" w:name="_Toc38360276"/>
      <w:r w:rsidRPr="00EB1471">
        <w:t>Critical appraisal</w:t>
      </w:r>
      <w:bookmarkEnd w:id="84"/>
      <w:bookmarkEnd w:id="85"/>
      <w:r w:rsidRPr="00EB1471">
        <w:t xml:space="preserve"> </w:t>
      </w:r>
    </w:p>
    <w:p w:rsidR="001D0FDA" w:rsidRPr="00EB1471" w:rsidRDefault="001D0FDA" w:rsidP="001D0FDA">
      <w:r w:rsidRPr="00EB1471">
        <w:t>Individual studies were critically appraised in terms of the risk of bias associated with their study design (</w:t>
      </w:r>
      <w:r w:rsidR="00116E63">
        <w:t>National Health and Medical Research Council (</w:t>
      </w:r>
      <w:r w:rsidRPr="00EB1471">
        <w:t>NHMRC</w:t>
      </w:r>
      <w:r w:rsidR="00116E63">
        <w:t>)</w:t>
      </w:r>
      <w:r w:rsidRPr="00EB1471">
        <w:t xml:space="preserve"> levels of evidence, see </w:t>
      </w:r>
      <w:r w:rsidR="003951FA">
        <w:t>Table 4.</w:t>
      </w:r>
      <w:r w:rsidR="003951FA">
        <w:rPr>
          <w:noProof/>
        </w:rPr>
        <w:t>25</w:t>
      </w:r>
      <w:r w:rsidRPr="00EB1471">
        <w:t xml:space="preserve">) and their execution. The Cochrane Collaboration’s </w:t>
      </w:r>
      <w:r>
        <w:t>tool for assessing risk of bias</w:t>
      </w:r>
      <w:r w:rsidR="001D34EE" w:rsidRPr="001A1C44">
        <w:rPr>
          <w:noProof/>
          <w:vertAlign w:val="superscript"/>
        </w:rPr>
        <w:t>25</w:t>
      </w:r>
      <w:r w:rsidRPr="00EB1471">
        <w:t xml:space="preserve"> was used to appraise the RCTs. Observational studies were assessed using Cochrane’s Risk Of Bias In Non-randomised Studies – o</w:t>
      </w:r>
      <w:r>
        <w:t>f Interventions (ROBINS-I) tool</w:t>
      </w:r>
      <w:r w:rsidR="001D34EE" w:rsidRPr="001A1C44">
        <w:rPr>
          <w:noProof/>
          <w:vertAlign w:val="superscript"/>
        </w:rPr>
        <w:t>26</w:t>
      </w:r>
      <w:r w:rsidRPr="00EB1471">
        <w:t>.</w:t>
      </w:r>
      <w:r>
        <w:t xml:space="preserve"> </w:t>
      </w:r>
      <w:r w:rsidRPr="00D53F84">
        <w:t xml:space="preserve">Systematic reviews </w:t>
      </w:r>
      <w:proofErr w:type="gramStart"/>
      <w:r w:rsidRPr="00D53F84">
        <w:t>would have been assess</w:t>
      </w:r>
      <w:r>
        <w:t>ed</w:t>
      </w:r>
      <w:proofErr w:type="gramEnd"/>
      <w:r>
        <w:t xml:space="preserve"> using the AMSTAR 2 checklist</w:t>
      </w:r>
      <w:r w:rsidR="001D34EE" w:rsidRPr="001A1C44">
        <w:rPr>
          <w:noProof/>
          <w:vertAlign w:val="superscript"/>
        </w:rPr>
        <w:t>27</w:t>
      </w:r>
      <w:r w:rsidRPr="00D53F84">
        <w:t>.</w:t>
      </w:r>
    </w:p>
    <w:p w:rsidR="001D0FDA" w:rsidRPr="00EB1471" w:rsidRDefault="001D0FDA" w:rsidP="001D0FDA">
      <w:pPr>
        <w:pStyle w:val="Caption"/>
      </w:pPr>
      <w:bookmarkStart w:id="86" w:name="_Ref505948784"/>
      <w:bookmarkStart w:id="87" w:name="_Toc381969867"/>
      <w:bookmarkStart w:id="88" w:name="_Toc477865246"/>
      <w:bookmarkStart w:id="89" w:name="_Toc38360322"/>
      <w:r>
        <w:t>Table 4.</w:t>
      </w:r>
      <w:r w:rsidR="003951FA">
        <w:rPr>
          <w:noProof/>
        </w:rPr>
        <w:t>25</w:t>
      </w:r>
      <w:bookmarkEnd w:id="86"/>
      <w:r>
        <w:tab/>
      </w:r>
      <w:r w:rsidRPr="00EB1471">
        <w:t>Designations of levels of interventional evidence</w:t>
      </w:r>
      <w:bookmarkEnd w:id="87"/>
      <w:bookmarkEnd w:id="88"/>
      <w:bookmarkEnd w:id="89"/>
    </w:p>
    <w:tbl>
      <w:tblPr>
        <w:tblW w:w="9493" w:type="dxa"/>
        <w:tblLayout w:type="fixed"/>
        <w:tblCellMar>
          <w:left w:w="57" w:type="dxa"/>
          <w:right w:w="0" w:type="dxa"/>
        </w:tblCellMar>
        <w:tblLook w:val="0000" w:firstRow="0" w:lastRow="0" w:firstColumn="0" w:lastColumn="0" w:noHBand="0" w:noVBand="0"/>
        <w:tblCaption w:val="Designations of levels of interventional evidence"/>
      </w:tblPr>
      <w:tblGrid>
        <w:gridCol w:w="1413"/>
        <w:gridCol w:w="8080"/>
      </w:tblGrid>
      <w:tr w:rsidR="001D0FDA" w:rsidRPr="00EB1471" w:rsidTr="00FD0BAE">
        <w:trPr>
          <w:tblHeader/>
        </w:trPr>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D0FDA" w:rsidRPr="00EB1471" w:rsidRDefault="001D0FDA" w:rsidP="001D0FDA">
            <w:pPr>
              <w:pStyle w:val="Tabletext"/>
              <w:rPr>
                <w:b/>
              </w:rPr>
            </w:pPr>
            <w:r w:rsidRPr="00EB1471">
              <w:rPr>
                <w:b/>
              </w:rPr>
              <w:t>Level</w:t>
            </w:r>
          </w:p>
        </w:tc>
        <w:tc>
          <w:tcPr>
            <w:tcW w:w="8080" w:type="dxa"/>
            <w:tcBorders>
              <w:top w:val="single" w:sz="4" w:space="0" w:color="auto"/>
              <w:left w:val="single" w:sz="4" w:space="0" w:color="auto"/>
              <w:bottom w:val="single" w:sz="4" w:space="0" w:color="auto"/>
              <w:right w:val="single" w:sz="4" w:space="0" w:color="000000"/>
            </w:tcBorders>
            <w:shd w:val="clear" w:color="auto" w:fill="BFBFBF" w:themeFill="background1" w:themeFillShade="BF"/>
          </w:tcPr>
          <w:p w:rsidR="001D0FDA" w:rsidRPr="00EB1471" w:rsidRDefault="001D0FDA" w:rsidP="001D0FDA">
            <w:pPr>
              <w:pStyle w:val="Tabletext"/>
              <w:rPr>
                <w:b/>
              </w:rPr>
            </w:pPr>
            <w:r w:rsidRPr="00EB1471">
              <w:rPr>
                <w:b/>
              </w:rPr>
              <w:t>Intervention</w:t>
            </w:r>
            <w:r w:rsidRPr="00EB1471">
              <w:rPr>
                <w:b/>
                <w:vertAlign w:val="superscript"/>
              </w:rPr>
              <w:t>a</w:t>
            </w:r>
          </w:p>
        </w:tc>
      </w:tr>
      <w:tr w:rsidR="001D0FDA" w:rsidRPr="00EB1471" w:rsidTr="001D0FDA">
        <w:tc>
          <w:tcPr>
            <w:tcW w:w="1413" w:type="dxa"/>
            <w:tcBorders>
              <w:top w:val="single" w:sz="4" w:space="0" w:color="auto"/>
              <w:left w:val="single" w:sz="4" w:space="0" w:color="auto"/>
              <w:bottom w:val="single" w:sz="4" w:space="0" w:color="000000"/>
              <w:right w:val="single" w:sz="4" w:space="0" w:color="auto"/>
            </w:tcBorders>
          </w:tcPr>
          <w:p w:rsidR="001D0FDA" w:rsidRPr="00EB1471" w:rsidRDefault="001D0FDA" w:rsidP="001D0FDA">
            <w:pPr>
              <w:pStyle w:val="Tabletext"/>
            </w:pPr>
            <w:r w:rsidRPr="00EB1471">
              <w:t>I</w:t>
            </w:r>
            <w:r w:rsidRPr="00EB1471">
              <w:rPr>
                <w:vertAlign w:val="superscript"/>
              </w:rPr>
              <w:t>b</w:t>
            </w:r>
          </w:p>
        </w:tc>
        <w:tc>
          <w:tcPr>
            <w:tcW w:w="8080" w:type="dxa"/>
            <w:tcBorders>
              <w:top w:val="single" w:sz="4" w:space="0" w:color="auto"/>
              <w:left w:val="single" w:sz="4" w:space="0" w:color="auto"/>
              <w:bottom w:val="single" w:sz="4" w:space="0" w:color="000000"/>
              <w:right w:val="single" w:sz="4" w:space="0" w:color="000000"/>
            </w:tcBorders>
          </w:tcPr>
          <w:p w:rsidR="001D0FDA" w:rsidRPr="00EB1471" w:rsidRDefault="001D0FDA" w:rsidP="001D0FDA">
            <w:pPr>
              <w:pStyle w:val="Tabletext"/>
            </w:pPr>
            <w:r w:rsidRPr="00EB1471">
              <w:t>A systematic review of level II studies</w:t>
            </w:r>
          </w:p>
        </w:tc>
      </w:tr>
      <w:tr w:rsidR="001D0FDA" w:rsidRPr="00EB1471" w:rsidTr="001D0FDA">
        <w:tc>
          <w:tcPr>
            <w:tcW w:w="1413" w:type="dxa"/>
            <w:tcBorders>
              <w:top w:val="single" w:sz="4" w:space="0" w:color="000000"/>
              <w:left w:val="single" w:sz="4" w:space="0" w:color="auto"/>
              <w:bottom w:val="single" w:sz="4" w:space="0" w:color="000000"/>
              <w:right w:val="single" w:sz="4" w:space="0" w:color="auto"/>
            </w:tcBorders>
          </w:tcPr>
          <w:p w:rsidR="001D0FDA" w:rsidRPr="00EB1471" w:rsidRDefault="001D0FDA" w:rsidP="001D0FDA">
            <w:pPr>
              <w:pStyle w:val="Tabletext"/>
            </w:pPr>
            <w:r w:rsidRPr="00EB1471">
              <w:t>II</w:t>
            </w:r>
          </w:p>
        </w:tc>
        <w:tc>
          <w:tcPr>
            <w:tcW w:w="8080" w:type="dxa"/>
            <w:tcBorders>
              <w:top w:val="single" w:sz="4" w:space="0" w:color="000000"/>
              <w:left w:val="single" w:sz="4" w:space="0" w:color="auto"/>
              <w:bottom w:val="single" w:sz="4" w:space="0" w:color="000000"/>
              <w:right w:val="single" w:sz="4" w:space="0" w:color="000000"/>
            </w:tcBorders>
          </w:tcPr>
          <w:p w:rsidR="001D0FDA" w:rsidRPr="00EB1471" w:rsidRDefault="001D0FDA" w:rsidP="001D0FDA">
            <w:pPr>
              <w:pStyle w:val="Tabletext"/>
            </w:pPr>
            <w:r w:rsidRPr="00EB1471">
              <w:t>A randomised controlled trial</w:t>
            </w:r>
          </w:p>
        </w:tc>
      </w:tr>
      <w:tr w:rsidR="001D0FDA" w:rsidRPr="00EB1471" w:rsidTr="001D0FDA">
        <w:tc>
          <w:tcPr>
            <w:tcW w:w="1413" w:type="dxa"/>
            <w:tcBorders>
              <w:top w:val="single" w:sz="4" w:space="0" w:color="000000"/>
              <w:left w:val="single" w:sz="4" w:space="0" w:color="auto"/>
              <w:bottom w:val="single" w:sz="4" w:space="0" w:color="000000"/>
              <w:right w:val="single" w:sz="4" w:space="0" w:color="auto"/>
            </w:tcBorders>
          </w:tcPr>
          <w:p w:rsidR="001D0FDA" w:rsidRPr="00EB1471" w:rsidRDefault="001D0FDA" w:rsidP="001D0FDA">
            <w:pPr>
              <w:pStyle w:val="Tabletext"/>
            </w:pPr>
            <w:r w:rsidRPr="00EB1471">
              <w:t>III-1</w:t>
            </w:r>
          </w:p>
        </w:tc>
        <w:tc>
          <w:tcPr>
            <w:tcW w:w="8080" w:type="dxa"/>
            <w:tcBorders>
              <w:top w:val="single" w:sz="4" w:space="0" w:color="000000"/>
              <w:left w:val="single" w:sz="4" w:space="0" w:color="auto"/>
              <w:bottom w:val="single" w:sz="4" w:space="0" w:color="000000"/>
              <w:right w:val="single" w:sz="4" w:space="0" w:color="000000"/>
            </w:tcBorders>
          </w:tcPr>
          <w:p w:rsidR="001D0FDA" w:rsidRPr="00EB1471" w:rsidRDefault="001D0FDA" w:rsidP="001D0FDA">
            <w:pPr>
              <w:pStyle w:val="Tabletext"/>
            </w:pPr>
            <w:r w:rsidRPr="00EB1471">
              <w:t>A pseudo-randomised controlled trial</w:t>
            </w:r>
          </w:p>
          <w:p w:rsidR="001D0FDA" w:rsidRPr="00EB1471" w:rsidRDefault="001D0FDA" w:rsidP="001D0FDA">
            <w:pPr>
              <w:pStyle w:val="Tabletext"/>
            </w:pPr>
            <w:r w:rsidRPr="00EB1471">
              <w:t>(</w:t>
            </w:r>
            <w:r>
              <w:t>i</w:t>
            </w:r>
            <w:r w:rsidR="007E4C7F">
              <w:t>.</w:t>
            </w:r>
            <w:r>
              <w:t>e</w:t>
            </w:r>
            <w:r w:rsidR="007E4C7F">
              <w:t>.</w:t>
            </w:r>
            <w:r w:rsidRPr="00EB1471">
              <w:t xml:space="preserve"> alternate allocation or some other method)</w:t>
            </w:r>
          </w:p>
        </w:tc>
      </w:tr>
      <w:tr w:rsidR="001D0FDA" w:rsidRPr="00EB1471" w:rsidTr="001D0FDA">
        <w:tc>
          <w:tcPr>
            <w:tcW w:w="1413" w:type="dxa"/>
            <w:tcBorders>
              <w:top w:val="single" w:sz="4" w:space="0" w:color="000000"/>
              <w:left w:val="single" w:sz="4" w:space="0" w:color="auto"/>
              <w:bottom w:val="single" w:sz="4" w:space="0" w:color="000000"/>
              <w:right w:val="single" w:sz="4" w:space="0" w:color="auto"/>
            </w:tcBorders>
          </w:tcPr>
          <w:p w:rsidR="001D0FDA" w:rsidRPr="00EB1471" w:rsidRDefault="001D0FDA" w:rsidP="001D0FDA">
            <w:pPr>
              <w:pStyle w:val="Tabletext"/>
            </w:pPr>
            <w:r w:rsidRPr="00EB1471">
              <w:t>III-2</w:t>
            </w:r>
          </w:p>
        </w:tc>
        <w:tc>
          <w:tcPr>
            <w:tcW w:w="8080" w:type="dxa"/>
            <w:tcBorders>
              <w:top w:val="single" w:sz="4" w:space="0" w:color="000000"/>
              <w:left w:val="single" w:sz="4" w:space="0" w:color="auto"/>
              <w:bottom w:val="single" w:sz="4" w:space="0" w:color="000000"/>
              <w:right w:val="single" w:sz="4" w:space="0" w:color="000000"/>
            </w:tcBorders>
          </w:tcPr>
          <w:p w:rsidR="001D0FDA" w:rsidRPr="00EB1471" w:rsidRDefault="001D0FDA" w:rsidP="001D0FDA">
            <w:pPr>
              <w:pStyle w:val="Tabletext"/>
            </w:pPr>
            <w:r w:rsidRPr="00EB1471">
              <w:t>A comparative study with concurrent controls:</w:t>
            </w:r>
          </w:p>
          <w:p w:rsidR="001D0FDA" w:rsidRPr="00EB1471" w:rsidRDefault="001D0FDA" w:rsidP="002449DC">
            <w:pPr>
              <w:pStyle w:val="Tabletext"/>
              <w:ind w:left="150"/>
            </w:pPr>
            <w:r w:rsidRPr="00EB1471">
              <w:t>▪ Non-randomised, experimental trial</w:t>
            </w:r>
            <w:r w:rsidRPr="00EB1471">
              <w:rPr>
                <w:vertAlign w:val="superscript"/>
              </w:rPr>
              <w:t>c</w:t>
            </w:r>
          </w:p>
          <w:p w:rsidR="001D0FDA" w:rsidRPr="00EB1471" w:rsidRDefault="001D0FDA" w:rsidP="002449DC">
            <w:pPr>
              <w:pStyle w:val="Tabletext"/>
              <w:ind w:left="150"/>
            </w:pPr>
            <w:r w:rsidRPr="00EB1471">
              <w:t>▪</w:t>
            </w:r>
            <w:r w:rsidR="002449DC">
              <w:t xml:space="preserve"> </w:t>
            </w:r>
            <w:r w:rsidRPr="00EB1471">
              <w:t>Cohort study</w:t>
            </w:r>
          </w:p>
          <w:p w:rsidR="001D0FDA" w:rsidRPr="00EB1471" w:rsidRDefault="001D0FDA" w:rsidP="002449DC">
            <w:pPr>
              <w:pStyle w:val="Tabletext"/>
              <w:ind w:left="150"/>
            </w:pPr>
            <w:r w:rsidRPr="00EB1471">
              <w:t>▪</w:t>
            </w:r>
            <w:r w:rsidR="002449DC">
              <w:t xml:space="preserve"> </w:t>
            </w:r>
            <w:r w:rsidRPr="00EB1471">
              <w:t>Case-control study</w:t>
            </w:r>
          </w:p>
          <w:p w:rsidR="001D0FDA" w:rsidRPr="00EB1471" w:rsidRDefault="001D0FDA" w:rsidP="002449DC">
            <w:pPr>
              <w:pStyle w:val="Tabletext"/>
              <w:ind w:left="150"/>
            </w:pPr>
            <w:r w:rsidRPr="00EB1471">
              <w:t>▪</w:t>
            </w:r>
            <w:r w:rsidR="002449DC">
              <w:t xml:space="preserve"> </w:t>
            </w:r>
            <w:r w:rsidRPr="00EB1471">
              <w:t>Interrupted time series with a control group</w:t>
            </w:r>
          </w:p>
        </w:tc>
      </w:tr>
      <w:tr w:rsidR="001D0FDA" w:rsidRPr="00EB1471" w:rsidTr="001D0FDA">
        <w:tc>
          <w:tcPr>
            <w:tcW w:w="1413" w:type="dxa"/>
            <w:tcBorders>
              <w:top w:val="single" w:sz="4" w:space="0" w:color="000000"/>
              <w:left w:val="single" w:sz="4" w:space="0" w:color="auto"/>
              <w:bottom w:val="single" w:sz="4" w:space="0" w:color="000000"/>
              <w:right w:val="single" w:sz="4" w:space="0" w:color="auto"/>
            </w:tcBorders>
          </w:tcPr>
          <w:p w:rsidR="001D0FDA" w:rsidRPr="00EB1471" w:rsidRDefault="001D0FDA" w:rsidP="001D0FDA">
            <w:pPr>
              <w:pStyle w:val="Tabletext"/>
            </w:pPr>
            <w:r w:rsidRPr="00EB1471">
              <w:t>III-3</w:t>
            </w:r>
          </w:p>
        </w:tc>
        <w:tc>
          <w:tcPr>
            <w:tcW w:w="8080" w:type="dxa"/>
            <w:tcBorders>
              <w:top w:val="single" w:sz="4" w:space="0" w:color="000000"/>
              <w:left w:val="single" w:sz="4" w:space="0" w:color="auto"/>
              <w:bottom w:val="single" w:sz="4" w:space="0" w:color="000000"/>
              <w:right w:val="single" w:sz="4" w:space="0" w:color="000000"/>
            </w:tcBorders>
          </w:tcPr>
          <w:p w:rsidR="001D0FDA" w:rsidRPr="00EB1471" w:rsidRDefault="001D0FDA" w:rsidP="001D0FDA">
            <w:pPr>
              <w:pStyle w:val="Tabletext"/>
            </w:pPr>
            <w:r w:rsidRPr="00EB1471">
              <w:t>A comparative study without concurrent controls:</w:t>
            </w:r>
          </w:p>
          <w:p w:rsidR="001D0FDA" w:rsidRPr="00EB1471" w:rsidRDefault="001D0FDA" w:rsidP="002449DC">
            <w:pPr>
              <w:pStyle w:val="Tabletext"/>
              <w:ind w:left="150"/>
            </w:pPr>
            <w:r w:rsidRPr="00EB1471">
              <w:t>▪ Historical control study</w:t>
            </w:r>
          </w:p>
          <w:p w:rsidR="001D0FDA" w:rsidRPr="00EB1471" w:rsidRDefault="001D0FDA" w:rsidP="002449DC">
            <w:pPr>
              <w:pStyle w:val="Tabletext"/>
              <w:ind w:left="150"/>
            </w:pPr>
            <w:r w:rsidRPr="00EB1471">
              <w:t>▪</w:t>
            </w:r>
            <w:r w:rsidR="002449DC">
              <w:t xml:space="preserve"> </w:t>
            </w:r>
            <w:r w:rsidRPr="00EB1471">
              <w:t>Two or more single arm study</w:t>
            </w:r>
            <w:r w:rsidRPr="00EB1471">
              <w:rPr>
                <w:vertAlign w:val="superscript"/>
              </w:rPr>
              <w:t>d</w:t>
            </w:r>
          </w:p>
          <w:p w:rsidR="001D0FDA" w:rsidRPr="00EB1471" w:rsidRDefault="001D0FDA" w:rsidP="002449DC">
            <w:pPr>
              <w:pStyle w:val="Tabletext"/>
              <w:ind w:left="150"/>
            </w:pPr>
            <w:r w:rsidRPr="00EB1471">
              <w:t>▪</w:t>
            </w:r>
            <w:r w:rsidR="002449DC">
              <w:t xml:space="preserve"> </w:t>
            </w:r>
            <w:r w:rsidRPr="00EB1471">
              <w:t>Interrupted time series without a parallel control group</w:t>
            </w:r>
          </w:p>
        </w:tc>
      </w:tr>
      <w:tr w:rsidR="001D0FDA" w:rsidRPr="00EB1471" w:rsidTr="001D0FDA">
        <w:tc>
          <w:tcPr>
            <w:tcW w:w="1413" w:type="dxa"/>
            <w:tcBorders>
              <w:top w:val="single" w:sz="4" w:space="0" w:color="000000"/>
              <w:left w:val="single" w:sz="4" w:space="0" w:color="auto"/>
              <w:bottom w:val="single" w:sz="4" w:space="0" w:color="auto"/>
              <w:right w:val="single" w:sz="4" w:space="0" w:color="auto"/>
            </w:tcBorders>
          </w:tcPr>
          <w:p w:rsidR="001D0FDA" w:rsidRPr="00EB1471" w:rsidRDefault="001D0FDA" w:rsidP="001D0FDA">
            <w:pPr>
              <w:pStyle w:val="Tabletext"/>
            </w:pPr>
            <w:r w:rsidRPr="00EB1471">
              <w:t>IV</w:t>
            </w:r>
          </w:p>
        </w:tc>
        <w:tc>
          <w:tcPr>
            <w:tcW w:w="8080" w:type="dxa"/>
            <w:tcBorders>
              <w:top w:val="single" w:sz="4" w:space="0" w:color="000000"/>
              <w:left w:val="single" w:sz="4" w:space="0" w:color="auto"/>
              <w:bottom w:val="single" w:sz="4" w:space="0" w:color="auto"/>
              <w:right w:val="single" w:sz="4" w:space="0" w:color="000000"/>
            </w:tcBorders>
          </w:tcPr>
          <w:p w:rsidR="001D0FDA" w:rsidRPr="00EB1471" w:rsidRDefault="001D0FDA" w:rsidP="001D0FDA">
            <w:pPr>
              <w:pStyle w:val="Tabletext"/>
            </w:pPr>
            <w:r w:rsidRPr="00EB1471">
              <w:t>Case series with either post-test or pre-test/post-test outcomes</w:t>
            </w:r>
          </w:p>
        </w:tc>
      </w:tr>
    </w:tbl>
    <w:p w:rsidR="001D0FDA" w:rsidRPr="00EB1471" w:rsidRDefault="001D0FDA" w:rsidP="001D0FDA">
      <w:pPr>
        <w:pStyle w:val="Tablenote"/>
      </w:pPr>
      <w:proofErr w:type="gramStart"/>
      <w:r w:rsidRPr="00EB1471">
        <w:rPr>
          <w:vertAlign w:val="superscript"/>
        </w:rPr>
        <w:t>a</w:t>
      </w:r>
      <w:proofErr w:type="gramEnd"/>
      <w:r w:rsidRPr="00EB1471">
        <w:t xml:space="preserve"> Definitions of these study designs are provided on pages 7-8 How to use the evidence: assessment and application of scientific evidence </w:t>
      </w:r>
      <w:r w:rsidR="001D34EE" w:rsidRPr="001A1C44">
        <w:rPr>
          <w:noProof/>
          <w:vertAlign w:val="superscript"/>
        </w:rPr>
        <w:t>28</w:t>
      </w:r>
      <w:r w:rsidRPr="00EB1471">
        <w:t xml:space="preserve"> and in the accompanying Glossary.</w:t>
      </w:r>
    </w:p>
    <w:p w:rsidR="001D0FDA" w:rsidRPr="00EB1471" w:rsidRDefault="001D0FDA" w:rsidP="001D0FDA">
      <w:pPr>
        <w:pStyle w:val="Tablenote"/>
      </w:pPr>
      <w:proofErr w:type="gramStart"/>
      <w:r w:rsidRPr="00EB1471">
        <w:rPr>
          <w:vertAlign w:val="superscript"/>
        </w:rPr>
        <w:t>b</w:t>
      </w:r>
      <w:proofErr w:type="gramEnd"/>
      <w:r w:rsidRPr="00EB1471">
        <w:t xml:space="preserve"> A systematic review will only be assigned a level of evidence as high as the studies it contains, excepting where those studies are of level II evidence. Systematic reviews of level II evidence provide more data than the individual studies and any meta-analyses will increase the precision of the overall results, reducing the likelihood that the results </w:t>
      </w:r>
      <w:proofErr w:type="gramStart"/>
      <w:r w:rsidRPr="00EB1471">
        <w:t>are affected</w:t>
      </w:r>
      <w:proofErr w:type="gramEnd"/>
      <w:r w:rsidRPr="00EB1471">
        <w:t xml:space="preserve"> by chance. Systematic reviews of lower level evidence present results of likely poor internal validity and thus are rated on the likelihood that the results have been affected by bias, rather than whether the systematic </w:t>
      </w:r>
      <w:proofErr w:type="gramStart"/>
      <w:r w:rsidRPr="00EB1471">
        <w:t>review</w:t>
      </w:r>
      <w:proofErr w:type="gramEnd"/>
      <w:r w:rsidRPr="00EB1471">
        <w:t xml:space="preserve"> itself is of good quality. Systematic review quality </w:t>
      </w:r>
      <w:proofErr w:type="gramStart"/>
      <w:r w:rsidRPr="00EB1471">
        <w:t>should be assessed</w:t>
      </w:r>
      <w:proofErr w:type="gramEnd"/>
      <w:r w:rsidRPr="00EB1471">
        <w:t xml:space="preserve"> separately. A systematic review should consist of at least two studies. In systematic reviews that include different study designs, the overall level of evidence should relate to each individual outcome/result, as different studies (and study designs) might contribute to each different outcome.</w:t>
      </w:r>
    </w:p>
    <w:p w:rsidR="001D0FDA" w:rsidRPr="00EB1471" w:rsidRDefault="001D0FDA" w:rsidP="001D0FDA">
      <w:pPr>
        <w:pStyle w:val="Tablenote"/>
      </w:pPr>
      <w:proofErr w:type="gramStart"/>
      <w:r w:rsidRPr="00EB1471">
        <w:rPr>
          <w:vertAlign w:val="superscript"/>
        </w:rPr>
        <w:t>c</w:t>
      </w:r>
      <w:proofErr w:type="gramEnd"/>
      <w:r w:rsidRPr="00EB1471">
        <w:t xml:space="preserve"> This also includes controlled before-and-after (pre-test/post-test) studies, as well as adjusted indirect comparisons (</w:t>
      </w:r>
      <w:r>
        <w:t>ie</w:t>
      </w:r>
      <w:r w:rsidRPr="00EB1471">
        <w:t xml:space="preserve"> utilise A vs B and B vs C, to determine A vs C with statistical adjustment for B).</w:t>
      </w:r>
    </w:p>
    <w:p w:rsidR="001D0FDA" w:rsidRPr="00EB1471" w:rsidRDefault="001D0FDA" w:rsidP="001D0FDA">
      <w:pPr>
        <w:pStyle w:val="Tablenote"/>
      </w:pPr>
      <w:proofErr w:type="gramStart"/>
      <w:r w:rsidRPr="00EB1471">
        <w:rPr>
          <w:vertAlign w:val="superscript"/>
        </w:rPr>
        <w:t>d</w:t>
      </w:r>
      <w:proofErr w:type="gramEnd"/>
      <w:r w:rsidRPr="00EB1471">
        <w:t xml:space="preserve"> Comparing single arm studies </w:t>
      </w:r>
      <w:r>
        <w:t>i</w:t>
      </w:r>
      <w:r w:rsidR="007E4C7F">
        <w:t>.</w:t>
      </w:r>
      <w:r>
        <w:t>e</w:t>
      </w:r>
      <w:r w:rsidR="007E4C7F">
        <w:t>.</w:t>
      </w:r>
      <w:r w:rsidRPr="00EB1471">
        <w:t xml:space="preserve"> case series from two studies. This would also include unadjusted indirect comparisons (</w:t>
      </w:r>
      <w:r>
        <w:t>i</w:t>
      </w:r>
      <w:r w:rsidR="007E4C7F">
        <w:t>.</w:t>
      </w:r>
      <w:r>
        <w:t>e</w:t>
      </w:r>
      <w:r w:rsidR="007E4C7F">
        <w:t>.</w:t>
      </w:r>
      <w:r w:rsidRPr="00EB1471">
        <w:t xml:space="preserve"> utilise A vs B and B vs C, to determine A vs C but where there is no statistical adjustment for B).</w:t>
      </w:r>
    </w:p>
    <w:p w:rsidR="001D0FDA" w:rsidRPr="00EB1471" w:rsidRDefault="001D0FDA" w:rsidP="001D0FDA">
      <w:pPr>
        <w:pStyle w:val="Tablenote"/>
      </w:pPr>
      <w:r w:rsidRPr="00EB1471">
        <w:rPr>
          <w:u w:val="single"/>
        </w:rPr>
        <w:t>Note A</w:t>
      </w:r>
      <w:r w:rsidRPr="00EB1471">
        <w:t xml:space="preserve">: Assessment of comparative harms/safety should occur according to the hierarchy presented for each of the research questions, with the proviso that this assessment occurs within the context of the topic </w:t>
      </w:r>
      <w:proofErr w:type="gramStart"/>
      <w:r w:rsidRPr="00EB1471">
        <w:t>being assessed</w:t>
      </w:r>
      <w:proofErr w:type="gramEnd"/>
      <w:r w:rsidRPr="00EB1471">
        <w:t xml:space="preserve">. </w:t>
      </w:r>
      <w:proofErr w:type="gramStart"/>
      <w:r w:rsidRPr="00EB1471">
        <w:t>Some harms (and other outcomes) are rare and cannot feasibly be captured within randomised controlled trials, in which case lower levels of evidence may be the only type of evidence that is practically achievable; physical harms and psychological harms may need to be addressed by different study designs; harms from diagnostic testing include the likelihood of false positive and false negative results; harms from screening include the likelihood of false alarm and false reassurance results.</w:t>
      </w:r>
      <w:proofErr w:type="gramEnd"/>
    </w:p>
    <w:p w:rsidR="001D0FDA" w:rsidRPr="00EB1471" w:rsidRDefault="001D0FDA" w:rsidP="001D0FDA">
      <w:pPr>
        <w:pStyle w:val="Tablenote"/>
      </w:pPr>
      <w:r w:rsidRPr="00EB1471">
        <w:rPr>
          <w:u w:val="single"/>
        </w:rPr>
        <w:t>Note B</w:t>
      </w:r>
      <w:r w:rsidRPr="00EB1471">
        <w:t xml:space="preserve">: When a level of evidence </w:t>
      </w:r>
      <w:proofErr w:type="gramStart"/>
      <w:r w:rsidRPr="00EB1471">
        <w:t>is attributed</w:t>
      </w:r>
      <w:proofErr w:type="gramEnd"/>
      <w:r w:rsidRPr="00EB1471">
        <w:t xml:space="preserve"> in the text of a document, it should also be framed according to its co</w:t>
      </w:r>
      <w:r>
        <w:t>rresponding research question eg</w:t>
      </w:r>
      <w:r w:rsidRPr="00EB1471">
        <w:t xml:space="preserve"> level II intervention evidence; level IV diagnostic evidence; level III-2 prognostic evidence.</w:t>
      </w:r>
    </w:p>
    <w:p w:rsidR="001D0FDA" w:rsidRPr="00EB1471" w:rsidRDefault="001D0FDA" w:rsidP="001D0FDA">
      <w:pPr>
        <w:pStyle w:val="Tablenote"/>
      </w:pPr>
      <w:r w:rsidRPr="00EB1471">
        <w:rPr>
          <w:u w:val="single"/>
        </w:rPr>
        <w:t>Note C</w:t>
      </w:r>
      <w:r w:rsidRPr="00EB1471">
        <w:t>: Each individual study that is attributed a “level of evidence” should be rigorously appraised using validated or commonly used checklists or appraisal tools to ensure that factors other than study design have not affected the validity of the results.</w:t>
      </w:r>
    </w:p>
    <w:p w:rsidR="001D0FDA" w:rsidRPr="00EB1471" w:rsidRDefault="001D0FDA" w:rsidP="001D0FDA">
      <w:pPr>
        <w:pStyle w:val="Tablenote"/>
      </w:pPr>
      <w:r w:rsidRPr="00EB1471">
        <w:t xml:space="preserve">Source: Merlin </w:t>
      </w:r>
      <w:r w:rsidRPr="003F790F">
        <w:t>et al</w:t>
      </w:r>
      <w:r w:rsidRPr="00EB1471">
        <w:rPr>
          <w:i/>
        </w:rPr>
        <w:t xml:space="preserve"> </w:t>
      </w:r>
      <w:r w:rsidRPr="00EB1471">
        <w:t>2009</w:t>
      </w:r>
      <w:r w:rsidR="001D34EE" w:rsidRPr="001A1C44">
        <w:rPr>
          <w:noProof/>
          <w:vertAlign w:val="superscript"/>
        </w:rPr>
        <w:t>29</w:t>
      </w:r>
    </w:p>
    <w:p w:rsidR="001D0FDA" w:rsidRPr="00EB1471" w:rsidRDefault="001D0FDA" w:rsidP="00480FDF">
      <w:pPr>
        <w:pStyle w:val="Heading3"/>
        <w:numPr>
          <w:ilvl w:val="2"/>
          <w:numId w:val="45"/>
        </w:numPr>
        <w:tabs>
          <w:tab w:val="clear" w:pos="2695"/>
        </w:tabs>
        <w:ind w:left="0"/>
      </w:pPr>
      <w:bookmarkStart w:id="90" w:name="_Toc506464133"/>
      <w:bookmarkStart w:id="91" w:name="_Toc38360277"/>
      <w:r w:rsidRPr="00EB1471">
        <w:t>Clinical evidence included in the systematic review</w:t>
      </w:r>
      <w:bookmarkEnd w:id="90"/>
      <w:bookmarkEnd w:id="91"/>
    </w:p>
    <w:p w:rsidR="001D0FDA" w:rsidRPr="00EB1471" w:rsidRDefault="001D0FDA" w:rsidP="00480FDF">
      <w:pPr>
        <w:pStyle w:val="Heading4"/>
        <w:numPr>
          <w:ilvl w:val="3"/>
          <w:numId w:val="45"/>
        </w:numPr>
      </w:pPr>
      <w:r>
        <w:t>4.3.4.1</w:t>
      </w:r>
      <w:r>
        <w:tab/>
      </w:r>
      <w:r w:rsidRPr="00EB1471">
        <w:t>Clinical evidence addressing questions 1 to 4</w:t>
      </w:r>
    </w:p>
    <w:p w:rsidR="001D0FDA" w:rsidRPr="00EB1471" w:rsidRDefault="001D0FDA" w:rsidP="001D0FDA">
      <w:r w:rsidRPr="00EB1471">
        <w:t xml:space="preserve">There were no systematic reviews identified that posed the same questions and used the same criteria for selecting trials/studies determined </w:t>
      </w:r>
      <w:r w:rsidRPr="00EB1471">
        <w:rPr>
          <w:i/>
        </w:rPr>
        <w:t>a priori</w:t>
      </w:r>
      <w:r w:rsidRPr="00EB1471">
        <w:t xml:space="preserve"> for this current review. The review was therefore reliant on primary research evidence.</w:t>
      </w:r>
    </w:p>
    <w:p w:rsidR="001D0FDA" w:rsidRPr="00EB1471" w:rsidRDefault="001D0FDA" w:rsidP="00595E34">
      <w:proofErr w:type="gramStart"/>
      <w:r w:rsidRPr="00EB1471">
        <w:t>A total of 30</w:t>
      </w:r>
      <w:proofErr w:type="gramEnd"/>
      <w:r w:rsidRPr="00EB1471">
        <w:t xml:space="preserve"> references were included in this literature review which reported comparative effectiveness and/or safety of </w:t>
      </w:r>
      <w:r>
        <w:t>PAH medicine</w:t>
      </w:r>
      <w:r w:rsidRPr="00EB1471">
        <w:t>s versus their comparators in the appropriate populations of interest as specified in</w:t>
      </w:r>
      <w:r w:rsidR="00C8237F">
        <w:t xml:space="preserve"> Tale 4.19 to Table 4.22</w:t>
      </w:r>
      <w:r w:rsidRPr="00EB1471">
        <w:t xml:space="preserve">. They were related to </w:t>
      </w:r>
      <w:proofErr w:type="gramStart"/>
      <w:r w:rsidRPr="00EB1471">
        <w:t>a total of 19</w:t>
      </w:r>
      <w:proofErr w:type="gramEnd"/>
      <w:r w:rsidRPr="00EB1471">
        <w:t xml:space="preserve"> RCTs (level II evidence) and two comparative observational studies (level III-2 evidence and level III-3 evidence). A summar</w:t>
      </w:r>
      <w:r>
        <w:t>y of the key features of these studies</w:t>
      </w:r>
      <w:r w:rsidRPr="00EB1471">
        <w:t xml:space="preserve"> </w:t>
      </w:r>
      <w:proofErr w:type="gramStart"/>
      <w:r w:rsidRPr="00EB1471">
        <w:t>is presented</w:t>
      </w:r>
      <w:proofErr w:type="gramEnd"/>
      <w:r w:rsidRPr="00EB1471">
        <w:t xml:space="preserve"> in </w:t>
      </w:r>
      <w:r w:rsidR="003951FA">
        <w:t>Table 4.26</w:t>
      </w:r>
      <w:r w:rsidR="00B603BC">
        <w:t>.</w:t>
      </w:r>
    </w:p>
    <w:p w:rsidR="001D0FDA" w:rsidRPr="00EB1471" w:rsidRDefault="001D0FDA" w:rsidP="001D0FDA">
      <w:proofErr w:type="gramStart"/>
      <w:r w:rsidRPr="00EB1471">
        <w:t>Of the 19 included RCTs, PBAC has reviewed data from six trials (ARIES-1, ARIES-2, PATENT-1, PHIRST, SERAPHIN and SUPER-1) on the overall population and/or on the subgroup of patients in line with the PBS restrictions requested by the PAH submissions, i</w:t>
      </w:r>
      <w:r w:rsidR="007E4C7F">
        <w:t>.</w:t>
      </w:r>
      <w:r w:rsidRPr="00EB1471">
        <w:t>e</w:t>
      </w:r>
      <w:r w:rsidR="007E4C7F">
        <w:t>.</w:t>
      </w:r>
      <w:r w:rsidRPr="00EB1471">
        <w:t xml:space="preserve"> WHO FC III or IV patients without background therapy with other PAH medicines (see </w:t>
      </w:r>
      <w:r w:rsidR="003951FA">
        <w:t>Table 4.</w:t>
      </w:r>
      <w:r w:rsidR="003951FA">
        <w:rPr>
          <w:noProof/>
        </w:rPr>
        <w:t>4</w:t>
      </w:r>
      <w:r w:rsidRPr="00EB1471">
        <w:t xml:space="preserve"> in the “4.</w:t>
      </w:r>
      <w:r>
        <w:t>1</w:t>
      </w:r>
      <w:r w:rsidRPr="00EB1471">
        <w:t xml:space="preserve"> </w:t>
      </w:r>
      <w:r>
        <w:t>Key findings for ToR 4” section</w:t>
      </w:r>
      <w:r w:rsidRPr="00EB1471">
        <w:t>).</w:t>
      </w:r>
      <w:proofErr w:type="gramEnd"/>
      <w:r w:rsidRPr="00EB1471">
        <w:t xml:space="preserve"> Trial results presented in this literature review were of patient populations outside the PBS target patients, namely patients receiving monotherapy with a PAH medicine for treatment of WHO FC I-II PAH (</w:t>
      </w:r>
      <w:r w:rsidR="001F432E">
        <w:t>r</w:t>
      </w:r>
      <w:r w:rsidRPr="00EB1471">
        <w:t>esearch question 1) and patients on PAH dual or triple combination therapy (</w:t>
      </w:r>
      <w:r w:rsidR="001F432E">
        <w:t>r</w:t>
      </w:r>
      <w:r w:rsidRPr="00EB1471">
        <w:t>esearch question</w:t>
      </w:r>
      <w:r w:rsidR="00B603BC">
        <w:t>s 3 and 4).</w:t>
      </w:r>
    </w:p>
    <w:p w:rsidR="001D0FDA" w:rsidRPr="00EB1471" w:rsidRDefault="001D0FDA" w:rsidP="001D0FDA">
      <w:pPr>
        <w:pStyle w:val="Caption"/>
      </w:pPr>
      <w:bookmarkStart w:id="92" w:name="_Ref505948898"/>
      <w:bookmarkStart w:id="93" w:name="_Toc38360323"/>
      <w:r>
        <w:t>Table 4.</w:t>
      </w:r>
      <w:r w:rsidR="003951FA">
        <w:rPr>
          <w:noProof/>
        </w:rPr>
        <w:t>26</w:t>
      </w:r>
      <w:bookmarkEnd w:id="92"/>
      <w:r>
        <w:tab/>
      </w:r>
      <w:r w:rsidRPr="00EB1471">
        <w:t>Key features of the included evidence addressing research questions</w:t>
      </w:r>
      <w:bookmarkEnd w:id="93"/>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addressing research questions"/>
      </w:tblPr>
      <w:tblGrid>
        <w:gridCol w:w="1482"/>
        <w:gridCol w:w="1341"/>
        <w:gridCol w:w="1566"/>
        <w:gridCol w:w="1699"/>
        <w:gridCol w:w="1418"/>
        <w:gridCol w:w="2270"/>
      </w:tblGrid>
      <w:tr w:rsidR="001D0FDA" w:rsidRPr="00EB1471" w:rsidTr="001D6161">
        <w:trPr>
          <w:tblHeader/>
        </w:trPr>
        <w:tc>
          <w:tcPr>
            <w:tcW w:w="758" w:type="pct"/>
            <w:tcBorders>
              <w:bottom w:val="single" w:sz="4" w:space="0" w:color="auto"/>
            </w:tcBorders>
            <w:shd w:val="clear" w:color="auto" w:fill="BFBFBF" w:themeFill="background1" w:themeFillShade="BF"/>
            <w:tcMar>
              <w:left w:w="108" w:type="dxa"/>
              <w:right w:w="108" w:type="dxa"/>
            </w:tcMar>
          </w:tcPr>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Study ID</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Study period</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Location</w:t>
            </w:r>
          </w:p>
        </w:tc>
        <w:tc>
          <w:tcPr>
            <w:tcW w:w="686" w:type="pct"/>
            <w:tcBorders>
              <w:bottom w:val="single" w:sz="4" w:space="0" w:color="auto"/>
            </w:tcBorders>
            <w:shd w:val="clear" w:color="auto" w:fill="BFBFBF" w:themeFill="background1" w:themeFillShade="BF"/>
          </w:tcPr>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Study design</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Duration of follow-up</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Risk of bias</w:t>
            </w:r>
          </w:p>
        </w:tc>
        <w:tc>
          <w:tcPr>
            <w:tcW w:w="801" w:type="pct"/>
            <w:tcBorders>
              <w:bottom w:val="single" w:sz="4" w:space="0" w:color="auto"/>
            </w:tcBorders>
            <w:shd w:val="clear" w:color="auto" w:fill="BFBFBF" w:themeFill="background1" w:themeFillShade="BF"/>
          </w:tcPr>
          <w:p w:rsidR="001D0FDA" w:rsidRPr="00EB1471" w:rsidRDefault="001D0FDA" w:rsidP="001D0FDA">
            <w:pPr>
              <w:pStyle w:val="Tabletext"/>
              <w:ind w:right="-28"/>
              <w:rPr>
                <w:rFonts w:eastAsia="Times New Roman"/>
                <w:b/>
                <w:snapToGrid w:val="0"/>
                <w:vertAlign w:val="superscript"/>
                <w:lang w:eastAsia="en-US"/>
              </w:rPr>
            </w:pPr>
            <w:r w:rsidRPr="00EB1471">
              <w:rPr>
                <w:rFonts w:eastAsia="Times New Roman"/>
                <w:b/>
                <w:snapToGrid w:val="0"/>
                <w:lang w:eastAsia="en-US"/>
              </w:rPr>
              <w:t>N</w:t>
            </w:r>
            <w:r w:rsidRPr="00EB1471">
              <w:rPr>
                <w:rFonts w:eastAsia="Times New Roman"/>
                <w:b/>
                <w:snapToGrid w:val="0"/>
                <w:vertAlign w:val="superscript"/>
                <w:lang w:eastAsia="en-US"/>
              </w:rPr>
              <w:t>a</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 xml:space="preserve">WHO FC </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PAH aetiology</w:t>
            </w:r>
          </w:p>
        </w:tc>
        <w:tc>
          <w:tcPr>
            <w:tcW w:w="869" w:type="pct"/>
            <w:tcBorders>
              <w:bottom w:val="single" w:sz="4" w:space="0" w:color="auto"/>
            </w:tcBorders>
            <w:shd w:val="clear" w:color="auto" w:fill="BFBFBF" w:themeFill="background1" w:themeFillShade="BF"/>
          </w:tcPr>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Intervention(s)</w:t>
            </w:r>
            <w:r w:rsidRPr="00EB1471">
              <w:rPr>
                <w:rFonts w:eastAsia="Times New Roman"/>
                <w:b/>
                <w:snapToGrid w:val="0"/>
                <w:vertAlign w:val="superscript"/>
                <w:lang w:eastAsia="en-US"/>
              </w:rPr>
              <w:t>b</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Comparator</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Background therapy</w:t>
            </w:r>
          </w:p>
        </w:tc>
        <w:tc>
          <w:tcPr>
            <w:tcW w:w="725" w:type="pct"/>
            <w:tcBorders>
              <w:bottom w:val="single" w:sz="4" w:space="0" w:color="auto"/>
            </w:tcBorders>
            <w:shd w:val="clear" w:color="auto" w:fill="BFBFBF" w:themeFill="background1" w:themeFillShade="BF"/>
            <w:tcMar>
              <w:left w:w="108" w:type="dxa"/>
              <w:right w:w="108" w:type="dxa"/>
            </w:tcMar>
          </w:tcPr>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Relevant RQ</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Overall population or subgroup</w:t>
            </w:r>
          </w:p>
        </w:tc>
        <w:tc>
          <w:tcPr>
            <w:tcW w:w="1160" w:type="pct"/>
            <w:tcBorders>
              <w:bottom w:val="single" w:sz="4" w:space="0" w:color="auto"/>
            </w:tcBorders>
            <w:shd w:val="clear" w:color="auto" w:fill="BFBFBF" w:themeFill="background1" w:themeFillShade="BF"/>
            <w:tcMar>
              <w:left w:w="108" w:type="dxa"/>
              <w:right w:w="108" w:type="dxa"/>
            </w:tcMar>
          </w:tcPr>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 xml:space="preserve">Outcomes </w:t>
            </w:r>
          </w:p>
        </w:tc>
      </w:tr>
      <w:tr w:rsidR="001D0FDA" w:rsidRPr="00F3429C" w:rsidTr="001D0FDA">
        <w:tc>
          <w:tcPr>
            <w:tcW w:w="5000" w:type="pct"/>
            <w:gridSpan w:val="6"/>
            <w:shd w:val="clear" w:color="auto" w:fill="000000" w:themeFill="text1"/>
            <w:tcMar>
              <w:left w:w="108" w:type="dxa"/>
              <w:right w:w="108" w:type="dxa"/>
            </w:tcMar>
          </w:tcPr>
          <w:p w:rsidR="001D0FDA" w:rsidRPr="00F3429C" w:rsidRDefault="001D0FDA" w:rsidP="001D0FDA">
            <w:pPr>
              <w:pStyle w:val="Tabletext"/>
              <w:ind w:right="-28"/>
              <w:rPr>
                <w:rFonts w:eastAsia="Times New Roman" w:cs="Tahoma"/>
                <w:b/>
                <w:color w:val="FFFFFF" w:themeColor="background1"/>
              </w:rPr>
            </w:pPr>
            <w:r w:rsidRPr="00F3429C">
              <w:rPr>
                <w:rFonts w:eastAsia="Times New Roman"/>
                <w:b/>
                <w:color w:val="FFFFFF" w:themeColor="background1"/>
                <w:lang w:eastAsia="en-US"/>
              </w:rPr>
              <w:t>Randomised controlled trials (RCTs)</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AMBITION</w:t>
            </w:r>
            <w:r w:rsidR="001D34EE" w:rsidRPr="001A1C44">
              <w:rPr>
                <w:rFonts w:eastAsia="Times New Roman"/>
                <w:noProof/>
                <w:vertAlign w:val="superscript"/>
                <w:lang w:eastAsia="en-US"/>
              </w:rPr>
              <w:t>30-32</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2010-2014</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US, Canada, Europe, Australia, Japan</w:t>
            </w:r>
          </w:p>
        </w:tc>
        <w:tc>
          <w:tcPr>
            <w:tcW w:w="686"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DB</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1.7 years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Low</w:t>
            </w:r>
          </w:p>
        </w:tc>
        <w:tc>
          <w:tcPr>
            <w:tcW w:w="801"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N=500</w:t>
            </w:r>
          </w:p>
          <w:p w:rsidR="001D0FDA" w:rsidRPr="00D53F84" w:rsidRDefault="001D0FDA" w:rsidP="001D0FDA">
            <w:pPr>
              <w:pStyle w:val="Tabletext"/>
              <w:ind w:right="-28"/>
              <w:rPr>
                <w:rFonts w:cs="Tahoma"/>
              </w:rPr>
            </w:pPr>
            <w:r w:rsidRPr="00D53F84">
              <w:rPr>
                <w:rFonts w:cs="Tahoma"/>
              </w:rPr>
              <w:t>WHO FC II-III</w:t>
            </w:r>
          </w:p>
          <w:p w:rsidR="001D0FDA" w:rsidRPr="00D53F84" w:rsidRDefault="001D0FDA" w:rsidP="001D0FDA">
            <w:pPr>
              <w:pStyle w:val="Tabletext"/>
              <w:ind w:right="-28"/>
              <w:rPr>
                <w:rFonts w:eastAsia="Times New Roman"/>
                <w:snapToGrid w:val="0"/>
                <w:lang w:eastAsia="en-US"/>
              </w:rPr>
            </w:pPr>
            <w:r w:rsidRPr="00D53F84">
              <w:rPr>
                <w:rFonts w:cs="Tahoma"/>
              </w:rPr>
              <w:t>IPAH, HPAH, PAH-CTD, PAH-CHD, PAH-HIV, or PAH-DT</w:t>
            </w:r>
          </w:p>
        </w:tc>
        <w:tc>
          <w:tcPr>
            <w:tcW w:w="869" w:type="pct"/>
          </w:tcPr>
          <w:p w:rsidR="001D0FDA" w:rsidRPr="00D53F84" w:rsidRDefault="001D0FDA" w:rsidP="001D0FDA">
            <w:pPr>
              <w:pStyle w:val="Tabletext"/>
              <w:ind w:right="-28"/>
              <w:rPr>
                <w:rFonts w:eastAsia="Times New Roman"/>
                <w:snapToGrid w:val="0"/>
                <w:u w:val="single"/>
                <w:lang w:eastAsia="en-US"/>
              </w:rPr>
            </w:pPr>
            <w:r w:rsidRPr="00D53F84">
              <w:rPr>
                <w:rFonts w:eastAsia="Times New Roman"/>
                <w:snapToGrid w:val="0"/>
                <w:lang w:eastAsia="en-US"/>
              </w:rPr>
              <w:t>AMB 10</w:t>
            </w:r>
            <w:r w:rsidR="00570FC8">
              <w:rPr>
                <w:rFonts w:eastAsia="Times New Roman"/>
                <w:snapToGrid w:val="0"/>
                <w:lang w:eastAsia="en-US"/>
              </w:rPr>
              <w:t xml:space="preserve"> mg</w:t>
            </w:r>
            <w:r w:rsidRPr="00D53F84">
              <w:rPr>
                <w:rFonts w:eastAsia="Times New Roman"/>
                <w:snapToGrid w:val="0"/>
                <w:lang w:eastAsia="en-US"/>
              </w:rPr>
              <w:t xml:space="preserve"> od + TAD 40</w:t>
            </w:r>
            <w:r w:rsidR="00570FC8">
              <w:rPr>
                <w:rFonts w:eastAsia="Times New Roman"/>
                <w:snapToGrid w:val="0"/>
                <w:lang w:eastAsia="en-US"/>
              </w:rPr>
              <w:t xml:space="preserve"> mg</w:t>
            </w:r>
            <w:r w:rsidRPr="00D53F84">
              <w:rPr>
                <w:rFonts w:eastAsia="Times New Roman"/>
                <w:snapToGrid w:val="0"/>
                <w:lang w:eastAsia="en-US"/>
              </w:rPr>
              <w:t xml:space="preserve"> od</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AMB 10</w:t>
            </w:r>
            <w:r w:rsidR="00570FC8">
              <w:rPr>
                <w:rFonts w:eastAsia="Times New Roman"/>
                <w:snapToGrid w:val="0"/>
                <w:lang w:eastAsia="en-US"/>
              </w:rPr>
              <w:t xml:space="preserve"> mg</w:t>
            </w:r>
            <w:r w:rsidRPr="00D53F84">
              <w:rPr>
                <w:rFonts w:eastAsia="Times New Roman"/>
                <w:snapToGrid w:val="0"/>
                <w:lang w:eastAsia="en-US"/>
              </w:rPr>
              <w:t xml:space="preserve"> od + PBO</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TAD 40</w:t>
            </w:r>
            <w:r w:rsidR="00570FC8">
              <w:rPr>
                <w:rFonts w:eastAsia="Times New Roman"/>
                <w:snapToGrid w:val="0"/>
                <w:lang w:eastAsia="en-US"/>
              </w:rPr>
              <w:t xml:space="preserve"> mg</w:t>
            </w:r>
            <w:r w:rsidRPr="00D53F84">
              <w:rPr>
                <w:rFonts w:eastAsia="Times New Roman"/>
                <w:snapToGrid w:val="0"/>
                <w:lang w:eastAsia="en-US"/>
              </w:rPr>
              <w:t xml:space="preserve"> od + PBO </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No background therapy</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 xml:space="preserve">RQ </w:t>
            </w:r>
            <w:r w:rsidRPr="00D53F84">
              <w:rPr>
                <w:rFonts w:eastAsia="Times New Roman"/>
                <w:lang w:eastAsia="en-US"/>
              </w:rPr>
              <w:t>3</w:t>
            </w:r>
          </w:p>
          <w:p w:rsidR="001D0FDA" w:rsidRPr="00D53F84" w:rsidRDefault="001D0FDA" w:rsidP="001D0FDA">
            <w:pPr>
              <w:pStyle w:val="Tabletext"/>
              <w:ind w:right="-28"/>
              <w:rPr>
                <w:rFonts w:eastAsia="Times New Roman"/>
                <w:snapToGrid w:val="0"/>
                <w:lang w:eastAsia="en-US"/>
              </w:rPr>
            </w:pPr>
            <w:r w:rsidRPr="00D53F84">
              <w:rPr>
                <w:rFonts w:eastAsia="Times New Roman"/>
                <w:lang w:eastAsia="en-US"/>
              </w:rPr>
              <w:t>O</w:t>
            </w:r>
            <w:r w:rsidRPr="00D53F84">
              <w:rPr>
                <w:rFonts w:eastAsia="Times New Roman"/>
                <w:snapToGrid w:val="0"/>
                <w:lang w:eastAsia="en-US"/>
              </w:rPr>
              <w:t>verall population</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 xml:space="preserve">Clinical worsening </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Hospitalisation</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WHO FC</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Mortality</w:t>
            </w:r>
          </w:p>
          <w:p w:rsidR="001D0FDA" w:rsidRPr="00D53F84" w:rsidRDefault="001D0FDA" w:rsidP="00480FDF">
            <w:pPr>
              <w:pStyle w:val="Tabletext"/>
              <w:numPr>
                <w:ilvl w:val="0"/>
                <w:numId w:val="55"/>
              </w:numPr>
              <w:ind w:left="101" w:right="-28" w:hanging="101"/>
              <w:rPr>
                <w:rFonts w:eastAsia="Times New Roman" w:cs="Tahoma"/>
              </w:rPr>
            </w:pPr>
            <w:r w:rsidRPr="00D53F84">
              <w:rPr>
                <w:rFonts w:eastAsia="Times New Roman"/>
                <w:lang w:eastAsia="en-US"/>
              </w:rPr>
              <w:t>Change in 6MWD</w:t>
            </w:r>
            <w:r w:rsidRPr="00D53F84">
              <w:rPr>
                <w:rFonts w:eastAsia="Times New Roman" w:cs="Tahoma"/>
              </w:rPr>
              <w:t xml:space="preserve"> </w:t>
            </w:r>
          </w:p>
        </w:tc>
      </w:tr>
      <w:tr w:rsidR="001D0FDA" w:rsidRPr="00EB1471" w:rsidTr="001D6161">
        <w:tc>
          <w:tcPr>
            <w:tcW w:w="758" w:type="pct"/>
            <w:tcMar>
              <w:left w:w="108" w:type="dxa"/>
              <w:right w:w="108" w:type="dxa"/>
            </w:tcMar>
          </w:tcPr>
          <w:p w:rsidR="001D0FDA" w:rsidRPr="00D53F84" w:rsidRDefault="001D0FDA" w:rsidP="001D0FDA">
            <w:pPr>
              <w:pStyle w:val="Tabletext"/>
              <w:ind w:right="-28"/>
              <w:rPr>
                <w:rFonts w:eastAsia="Times New Roman"/>
              </w:rPr>
            </w:pPr>
            <w:r w:rsidRPr="00D53F84">
              <w:rPr>
                <w:rFonts w:eastAsia="Times New Roman"/>
              </w:rPr>
              <w:t>ARIES-1</w:t>
            </w:r>
            <w:r w:rsidR="001D34EE" w:rsidRPr="001D34EE">
              <w:rPr>
                <w:rFonts w:eastAsia="Times New Roman"/>
                <w:noProof/>
                <w:vertAlign w:val="superscript"/>
              </w:rPr>
              <w:t>6, 33, 34</w:t>
            </w:r>
          </w:p>
          <w:p w:rsidR="001D0FDA" w:rsidRPr="00D53F84" w:rsidRDefault="001D0FDA" w:rsidP="001D0FDA">
            <w:pPr>
              <w:pStyle w:val="Tabletext"/>
              <w:ind w:right="-28"/>
              <w:rPr>
                <w:rFonts w:eastAsia="Times New Roman"/>
                <w:lang w:eastAsia="en-US"/>
              </w:rPr>
            </w:pPr>
            <w:r w:rsidRPr="00D53F84">
              <w:rPr>
                <w:rFonts w:eastAsia="Times New Roman"/>
                <w:lang w:eastAsia="en-US"/>
              </w:rPr>
              <w:t xml:space="preserve">2003-2006 </w:t>
            </w:r>
          </w:p>
          <w:p w:rsidR="001D0FDA" w:rsidRPr="00D53F84" w:rsidRDefault="001D0FDA" w:rsidP="001D0FDA">
            <w:pPr>
              <w:pStyle w:val="Tabletext"/>
              <w:ind w:right="-28"/>
              <w:rPr>
                <w:rFonts w:eastAsia="Times New Roman"/>
              </w:rPr>
            </w:pPr>
            <w:r w:rsidRPr="00D53F84">
              <w:rPr>
                <w:rFonts w:eastAsia="Times New Roman"/>
                <w:lang w:eastAsia="en-US"/>
              </w:rPr>
              <w:t>US, Mexico, South America, Australia, Europe</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RCT, DB</w:t>
            </w:r>
          </w:p>
          <w:p w:rsidR="001D0FDA" w:rsidRPr="00D53F84" w:rsidRDefault="001D0FDA" w:rsidP="001D0FDA">
            <w:pPr>
              <w:pStyle w:val="Tabletext"/>
              <w:ind w:right="-28"/>
              <w:rPr>
                <w:rFonts w:eastAsia="Times New Roman"/>
                <w:lang w:eastAsia="en-US"/>
              </w:rPr>
            </w:pPr>
            <w:r w:rsidRPr="00D53F84">
              <w:rPr>
                <w:rFonts w:eastAsia="Times New Roman"/>
                <w:lang w:eastAsia="en-US"/>
              </w:rPr>
              <w:t>12 weeks</w:t>
            </w:r>
          </w:p>
          <w:p w:rsidR="001D0FDA" w:rsidRPr="00D53F84" w:rsidRDefault="001D0FDA" w:rsidP="001D0FDA">
            <w:pPr>
              <w:pStyle w:val="Tabletext"/>
              <w:ind w:right="-28"/>
              <w:rPr>
                <w:rFonts w:eastAsia="Times New Roman"/>
                <w:lang w:eastAsia="en-US"/>
              </w:rPr>
            </w:pPr>
            <w:r w:rsidRPr="00D53F84">
              <w:rPr>
                <w:rFonts w:eastAsia="Times New Roman"/>
                <w:lang w:eastAsia="en-US"/>
              </w:rPr>
              <w:t>Low-to-moderate</w:t>
            </w:r>
          </w:p>
        </w:tc>
        <w:tc>
          <w:tcPr>
            <w:tcW w:w="801" w:type="pct"/>
          </w:tcPr>
          <w:p w:rsidR="001D0FDA" w:rsidRPr="00570FC8" w:rsidRDefault="001D0FDA" w:rsidP="001D0FDA">
            <w:pPr>
              <w:pStyle w:val="Tabletext"/>
              <w:ind w:right="-28"/>
              <w:rPr>
                <w:rFonts w:eastAsia="Times New Roman" w:cs="Arial"/>
                <w:lang w:eastAsia="en-US"/>
              </w:rPr>
            </w:pPr>
            <w:r w:rsidRPr="00570FC8">
              <w:rPr>
                <w:rFonts w:eastAsia="Times New Roman" w:cs="Arial"/>
                <w:lang w:eastAsia="en-US"/>
              </w:rPr>
              <w:t>N=134</w:t>
            </w:r>
          </w:p>
          <w:p w:rsidR="001D0FDA" w:rsidRPr="00570FC8" w:rsidRDefault="001D0FDA" w:rsidP="001D0FDA">
            <w:pPr>
              <w:pStyle w:val="Tabletext"/>
              <w:ind w:right="-28"/>
              <w:rPr>
                <w:rFonts w:eastAsia="Times New Roman" w:cs="Arial"/>
                <w:lang w:eastAsia="en-US"/>
              </w:rPr>
            </w:pPr>
            <w:r w:rsidRPr="00570FC8">
              <w:rPr>
                <w:rFonts w:eastAsia="Times New Roman" w:cs="Arial"/>
                <w:lang w:eastAsia="en-US"/>
              </w:rPr>
              <w:t>WHO FC I-IV</w:t>
            </w:r>
          </w:p>
          <w:p w:rsidR="001D0FDA" w:rsidRPr="00570FC8" w:rsidRDefault="001D0FDA" w:rsidP="001D0FDA">
            <w:pPr>
              <w:pStyle w:val="Tabletext"/>
              <w:ind w:right="-28"/>
              <w:rPr>
                <w:rFonts w:eastAsia="Times New Roman" w:cs="Arial"/>
                <w:lang w:eastAsia="en-US"/>
              </w:rPr>
            </w:pPr>
            <w:r w:rsidRPr="00570FC8">
              <w:rPr>
                <w:rFonts w:eastAsia="Times New Roman" w:cs="Arial"/>
                <w:lang w:eastAsia="en-US"/>
              </w:rPr>
              <w:t>IPAH, PAH-CTD, PAH-HIV, or PAH-DT</w:t>
            </w:r>
          </w:p>
        </w:tc>
        <w:tc>
          <w:tcPr>
            <w:tcW w:w="869" w:type="pct"/>
          </w:tcPr>
          <w:p w:rsidR="001D0FDA" w:rsidRPr="00570FC8" w:rsidRDefault="001D0FDA" w:rsidP="001D0FDA">
            <w:pPr>
              <w:spacing w:before="60" w:after="60"/>
              <w:ind w:right="-28"/>
              <w:rPr>
                <w:rFonts w:ascii="Arial" w:eastAsia="Times New Roman" w:hAnsi="Arial" w:cs="Arial"/>
                <w:snapToGrid w:val="0"/>
                <w:sz w:val="20"/>
                <w:szCs w:val="20"/>
              </w:rPr>
            </w:pPr>
            <w:r w:rsidRPr="00570FC8">
              <w:rPr>
                <w:rFonts w:ascii="Arial" w:eastAsia="Times New Roman" w:hAnsi="Arial" w:cs="Arial"/>
                <w:snapToGrid w:val="0"/>
                <w:sz w:val="20"/>
                <w:szCs w:val="20"/>
              </w:rPr>
              <w:t>AMB 5</w:t>
            </w:r>
            <w:r w:rsidR="00570FC8">
              <w:rPr>
                <w:rFonts w:ascii="Arial" w:eastAsia="Times New Roman" w:hAnsi="Arial" w:cs="Arial"/>
                <w:snapToGrid w:val="0"/>
                <w:sz w:val="20"/>
                <w:szCs w:val="20"/>
              </w:rPr>
              <w:t xml:space="preserve"> </w:t>
            </w:r>
            <w:r w:rsidRPr="00570FC8">
              <w:rPr>
                <w:rFonts w:ascii="Arial" w:eastAsia="Times New Roman" w:hAnsi="Arial" w:cs="Arial"/>
                <w:snapToGrid w:val="0"/>
                <w:sz w:val="20"/>
                <w:szCs w:val="20"/>
              </w:rPr>
              <w:t xml:space="preserve">mg od </w:t>
            </w:r>
          </w:p>
          <w:p w:rsidR="001D0FDA" w:rsidRPr="00570FC8" w:rsidRDefault="001D0FDA" w:rsidP="001D0FDA">
            <w:pPr>
              <w:pStyle w:val="Tabletext"/>
              <w:ind w:right="-28"/>
              <w:rPr>
                <w:rFonts w:eastAsia="Times New Roman" w:cs="Arial"/>
                <w:snapToGrid w:val="0"/>
                <w:lang w:eastAsia="en-US"/>
              </w:rPr>
            </w:pPr>
            <w:r w:rsidRPr="00570FC8">
              <w:rPr>
                <w:rFonts w:cs="Arial"/>
              </w:rPr>
              <w:t xml:space="preserve">PBO </w:t>
            </w:r>
          </w:p>
          <w:p w:rsidR="001D0FDA" w:rsidRPr="00570FC8" w:rsidRDefault="001D0FDA" w:rsidP="001D0FDA">
            <w:pPr>
              <w:pStyle w:val="Tabletext"/>
              <w:ind w:right="-28"/>
              <w:rPr>
                <w:rFonts w:eastAsia="Times New Roman" w:cs="Arial"/>
                <w:snapToGrid w:val="0"/>
                <w:lang w:eastAsia="en-US"/>
              </w:rPr>
            </w:pPr>
          </w:p>
          <w:p w:rsidR="001D0FDA" w:rsidRPr="00570FC8" w:rsidRDefault="001D0FDA" w:rsidP="001D0FDA">
            <w:pPr>
              <w:pStyle w:val="Tabletext"/>
              <w:ind w:right="-28"/>
              <w:rPr>
                <w:rFonts w:eastAsia="Times New Roman" w:cs="Arial"/>
                <w:lang w:eastAsia="en-US"/>
              </w:rPr>
            </w:pPr>
            <w:r w:rsidRPr="00570FC8">
              <w:rPr>
                <w:rFonts w:eastAsia="Times New Roman" w:cs="Arial"/>
                <w:snapToGrid w:val="0"/>
                <w:lang w:eastAsia="en-US"/>
              </w:rPr>
              <w:t>No background therapy</w:t>
            </w:r>
          </w:p>
        </w:tc>
        <w:tc>
          <w:tcPr>
            <w:tcW w:w="725" w:type="pct"/>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WHO FC I-II PAH (n=46)</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WHO FC</w:t>
            </w:r>
          </w:p>
        </w:tc>
      </w:tr>
      <w:tr w:rsidR="001D0FDA" w:rsidRPr="00EB1471" w:rsidTr="001D6161">
        <w:tc>
          <w:tcPr>
            <w:tcW w:w="758" w:type="pct"/>
            <w:tcMar>
              <w:left w:w="108" w:type="dxa"/>
              <w:right w:w="108" w:type="dxa"/>
            </w:tcMar>
          </w:tcPr>
          <w:p w:rsidR="001D0FDA" w:rsidRPr="00D53F84" w:rsidRDefault="001D0FDA" w:rsidP="001D0FDA">
            <w:pPr>
              <w:pStyle w:val="Tabletext"/>
              <w:ind w:right="-28"/>
              <w:rPr>
                <w:rFonts w:eastAsia="Times New Roman"/>
              </w:rPr>
            </w:pPr>
            <w:r w:rsidRPr="00D53F84">
              <w:rPr>
                <w:rFonts w:eastAsia="Times New Roman"/>
              </w:rPr>
              <w:t>ARIES-2</w:t>
            </w:r>
            <w:r w:rsidR="001D34EE" w:rsidRPr="001D34EE">
              <w:rPr>
                <w:rFonts w:eastAsia="Times New Roman"/>
                <w:noProof/>
                <w:vertAlign w:val="superscript"/>
              </w:rPr>
              <w:t>6, 33, 34</w:t>
            </w:r>
          </w:p>
          <w:p w:rsidR="001D0FDA" w:rsidRPr="00D53F84" w:rsidRDefault="001D0FDA" w:rsidP="001D0FDA">
            <w:pPr>
              <w:pStyle w:val="Tabletext"/>
              <w:ind w:right="-28"/>
              <w:rPr>
                <w:rFonts w:eastAsia="Times New Roman"/>
              </w:rPr>
            </w:pPr>
            <w:r w:rsidRPr="00D53F84">
              <w:rPr>
                <w:rFonts w:eastAsia="Times New Roman"/>
                <w:lang w:eastAsia="en-US"/>
              </w:rPr>
              <w:t>2003-2006</w:t>
            </w:r>
          </w:p>
          <w:p w:rsidR="001D0FDA" w:rsidRPr="00D53F84" w:rsidRDefault="001D0FDA" w:rsidP="001D0FDA">
            <w:pPr>
              <w:pStyle w:val="Tabletext"/>
              <w:ind w:right="-28"/>
              <w:rPr>
                <w:rFonts w:eastAsia="Times New Roman"/>
              </w:rPr>
            </w:pPr>
            <w:r w:rsidRPr="00D53F84">
              <w:rPr>
                <w:rFonts w:eastAsia="Times New Roman"/>
                <w:lang w:eastAsia="en-US"/>
              </w:rPr>
              <w:t>Europe, Israel, South America</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 xml:space="preserve">RCT, DB </w:t>
            </w:r>
          </w:p>
          <w:p w:rsidR="001D0FDA" w:rsidRPr="00D53F84" w:rsidRDefault="001D0FDA" w:rsidP="001D0FDA">
            <w:pPr>
              <w:pStyle w:val="Tabletext"/>
              <w:ind w:right="-28"/>
              <w:rPr>
                <w:rFonts w:eastAsia="Times New Roman"/>
                <w:lang w:eastAsia="en-US"/>
              </w:rPr>
            </w:pPr>
            <w:r w:rsidRPr="00D53F84">
              <w:rPr>
                <w:rFonts w:eastAsia="Times New Roman"/>
                <w:lang w:eastAsia="en-US"/>
              </w:rPr>
              <w:t>12 weeks</w:t>
            </w:r>
          </w:p>
          <w:p w:rsidR="001D0FDA" w:rsidRPr="00D53F84" w:rsidRDefault="001D0FDA" w:rsidP="001D0FDA">
            <w:pPr>
              <w:pStyle w:val="Tabletext"/>
              <w:ind w:right="-28"/>
              <w:rPr>
                <w:rFonts w:eastAsia="Times New Roman"/>
                <w:lang w:eastAsia="en-US"/>
              </w:rPr>
            </w:pPr>
            <w:r w:rsidRPr="00D53F84">
              <w:rPr>
                <w:rFonts w:eastAsia="Times New Roman"/>
                <w:lang w:eastAsia="en-US"/>
              </w:rPr>
              <w:t>Low-to-moderate</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N=128</w:t>
            </w:r>
          </w:p>
          <w:p w:rsidR="001D0FDA" w:rsidRPr="00D53F84" w:rsidRDefault="001D0FDA" w:rsidP="001D0FDA">
            <w:pPr>
              <w:pStyle w:val="Tabletext"/>
              <w:ind w:right="-28"/>
              <w:rPr>
                <w:rFonts w:eastAsia="Times New Roman"/>
                <w:lang w:eastAsia="en-US"/>
              </w:rPr>
            </w:pPr>
            <w:r w:rsidRPr="00D53F84">
              <w:rPr>
                <w:rFonts w:eastAsia="Times New Roman"/>
                <w:lang w:eastAsia="en-US"/>
              </w:rPr>
              <w:t>WHO FC I-IV</w:t>
            </w:r>
          </w:p>
          <w:p w:rsidR="001D0FDA" w:rsidRPr="00D53F84" w:rsidRDefault="001D0FDA" w:rsidP="001D0FDA">
            <w:pPr>
              <w:pStyle w:val="Tabletext"/>
              <w:ind w:right="-28"/>
              <w:rPr>
                <w:rFonts w:eastAsia="Times New Roman"/>
                <w:lang w:eastAsia="en-US"/>
              </w:rPr>
            </w:pPr>
            <w:r w:rsidRPr="00D53F84">
              <w:rPr>
                <w:rFonts w:eastAsia="Times New Roman"/>
                <w:lang w:eastAsia="en-US"/>
              </w:rPr>
              <w:t>IPAH, PAH-CTD, PAH-HIV, or PAH-DT</w:t>
            </w:r>
          </w:p>
        </w:tc>
        <w:tc>
          <w:tcPr>
            <w:tcW w:w="869"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AMB 5</w:t>
            </w:r>
            <w:r w:rsidR="00570FC8">
              <w:rPr>
                <w:rFonts w:eastAsia="Times New Roman"/>
                <w:snapToGrid w:val="0"/>
                <w:lang w:eastAsia="en-US"/>
              </w:rPr>
              <w:t> mg</w:t>
            </w:r>
            <w:r w:rsidRPr="00D53F84">
              <w:rPr>
                <w:rFonts w:eastAsia="Times New Roman"/>
                <w:snapToGrid w:val="0"/>
                <w:lang w:eastAsia="en-US"/>
              </w:rPr>
              <w:t xml:space="preserve"> od </w:t>
            </w:r>
          </w:p>
          <w:p w:rsidR="001D0FDA" w:rsidRPr="00D53F84" w:rsidRDefault="001D0FDA" w:rsidP="001D0FDA">
            <w:pPr>
              <w:pStyle w:val="Tabletext"/>
              <w:ind w:right="-28"/>
              <w:rPr>
                <w:rFonts w:eastAsia="Times New Roman"/>
                <w:snapToGrid w:val="0"/>
                <w:lang w:eastAsia="en-US"/>
              </w:rPr>
            </w:pPr>
            <w:r w:rsidRPr="00D53F84">
              <w:rPr>
                <w:rFonts w:cs="Tahoma"/>
              </w:rPr>
              <w:t xml:space="preserve">PBO </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No background therapy</w:t>
            </w:r>
          </w:p>
        </w:tc>
        <w:tc>
          <w:tcPr>
            <w:tcW w:w="725" w:type="pct"/>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WHO FC I-II PAH (n=55)</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 xml:space="preserve">Clinical worsening </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WHO FC</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tc>
      </w:tr>
      <w:tr w:rsidR="001D0FDA" w:rsidRPr="00EB1471" w:rsidTr="001D6161">
        <w:tc>
          <w:tcPr>
            <w:tcW w:w="758" w:type="pct"/>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BREATHE-2</w:t>
            </w:r>
            <w:r w:rsidR="001D34EE" w:rsidRPr="001A1C44">
              <w:rPr>
                <w:rFonts w:cs="Tahoma"/>
                <w:noProof/>
                <w:vertAlign w:val="superscript"/>
              </w:rPr>
              <w:t>35</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No later than 2004</w:t>
            </w:r>
            <w:r w:rsidRPr="00D53F84">
              <w:rPr>
                <w:rFonts w:eastAsia="Times New Roman"/>
                <w:snapToGrid w:val="0"/>
                <w:vertAlign w:val="superscript"/>
                <w:lang w:eastAsia="en-US"/>
              </w:rPr>
              <w:t>c</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US, Europe</w:t>
            </w:r>
          </w:p>
        </w:tc>
        <w:tc>
          <w:tcPr>
            <w:tcW w:w="686"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DB</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16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Low-to-moderate</w:t>
            </w:r>
          </w:p>
        </w:tc>
        <w:tc>
          <w:tcPr>
            <w:tcW w:w="801" w:type="pct"/>
          </w:tcPr>
          <w:p w:rsidR="001D0FDA" w:rsidRPr="00D53F84" w:rsidRDefault="001D0FDA" w:rsidP="001D0FDA">
            <w:pPr>
              <w:pStyle w:val="Tabletext"/>
              <w:ind w:right="-28"/>
              <w:rPr>
                <w:rFonts w:cs="Tahoma"/>
              </w:rPr>
            </w:pPr>
            <w:r w:rsidRPr="00D53F84">
              <w:rPr>
                <w:rFonts w:eastAsia="Times New Roman"/>
                <w:snapToGrid w:val="0"/>
                <w:lang w:eastAsia="en-US"/>
              </w:rPr>
              <w:t>N=33</w:t>
            </w:r>
            <w:r w:rsidRPr="00D53F84">
              <w:rPr>
                <w:rFonts w:cs="Tahoma"/>
              </w:rPr>
              <w:t xml:space="preserve"> </w:t>
            </w:r>
          </w:p>
          <w:p w:rsidR="001D0FDA" w:rsidRPr="00D53F84" w:rsidRDefault="001D0FDA" w:rsidP="001D0FDA">
            <w:pPr>
              <w:pStyle w:val="Tabletext"/>
              <w:ind w:right="-28"/>
              <w:rPr>
                <w:rFonts w:cs="Tahoma"/>
              </w:rPr>
            </w:pPr>
            <w:r w:rsidRPr="00D53F84">
              <w:rPr>
                <w:rFonts w:cs="Tahoma"/>
              </w:rPr>
              <w:t>WHO FC III-IV</w:t>
            </w:r>
            <w:r w:rsidR="00246F7A" w:rsidRPr="00246F7A">
              <w:rPr>
                <w:rFonts w:cs="Tahoma"/>
                <w:vertAlign w:val="superscript"/>
              </w:rPr>
              <w:t>d</w:t>
            </w:r>
            <w:r w:rsidRPr="00D53F84">
              <w:rPr>
                <w:rFonts w:cs="Tahoma"/>
              </w:rPr>
              <w:t xml:space="preserve"> </w:t>
            </w:r>
          </w:p>
          <w:p w:rsidR="001D0FDA" w:rsidRPr="00D53F84" w:rsidRDefault="001D0FDA" w:rsidP="001D0FDA">
            <w:pPr>
              <w:pStyle w:val="Tabletext"/>
              <w:ind w:right="-28"/>
              <w:rPr>
                <w:rFonts w:eastAsia="Times New Roman"/>
                <w:snapToGrid w:val="0"/>
                <w:lang w:eastAsia="en-US"/>
              </w:rPr>
            </w:pPr>
            <w:r w:rsidRPr="00D53F84">
              <w:rPr>
                <w:rFonts w:cs="Tahoma"/>
              </w:rPr>
              <w:t>IPAH or PAH-CTD</w:t>
            </w:r>
          </w:p>
        </w:tc>
        <w:tc>
          <w:tcPr>
            <w:tcW w:w="869" w:type="pct"/>
          </w:tcPr>
          <w:p w:rsidR="001D0FDA" w:rsidRPr="00D53F84" w:rsidRDefault="001D0FDA" w:rsidP="001D0FDA">
            <w:pPr>
              <w:pStyle w:val="Tabletext"/>
              <w:ind w:right="-28"/>
              <w:rPr>
                <w:rFonts w:cs="Tahoma"/>
              </w:rPr>
            </w:pPr>
            <w:r w:rsidRPr="00D53F84">
              <w:rPr>
                <w:rFonts w:cs="Tahoma"/>
              </w:rPr>
              <w:t>BOS 125</w:t>
            </w:r>
            <w:r w:rsidR="00570FC8">
              <w:rPr>
                <w:rFonts w:cs="Tahoma"/>
              </w:rPr>
              <w:t> mg</w:t>
            </w:r>
            <w:r w:rsidRPr="00D53F84">
              <w:rPr>
                <w:rFonts w:cs="Tahoma"/>
              </w:rPr>
              <w:t xml:space="preserve"> bid + EPO 12-16</w:t>
            </w:r>
            <w:r w:rsidR="00F449B1">
              <w:rPr>
                <w:rFonts w:cs="Tahoma"/>
              </w:rPr>
              <w:t> </w:t>
            </w:r>
            <w:r w:rsidRPr="00D53F84">
              <w:rPr>
                <w:rFonts w:cs="Tahoma"/>
              </w:rPr>
              <w:t>ng/kg/min</w:t>
            </w:r>
          </w:p>
          <w:p w:rsidR="001D0FDA" w:rsidRPr="00D53F84" w:rsidRDefault="001D0FDA" w:rsidP="001D0FDA">
            <w:pPr>
              <w:pStyle w:val="Tabletext"/>
              <w:ind w:right="-28"/>
              <w:rPr>
                <w:rFonts w:cs="Tahoma"/>
              </w:rPr>
            </w:pPr>
            <w:r w:rsidRPr="00D53F84">
              <w:rPr>
                <w:rFonts w:cs="Tahoma"/>
              </w:rPr>
              <w:t>PBO + EPO 12-16</w:t>
            </w:r>
            <w:r w:rsidR="00F449B1">
              <w:rPr>
                <w:rFonts w:cs="Tahoma"/>
              </w:rPr>
              <w:t> </w:t>
            </w:r>
            <w:r w:rsidRPr="00D53F84">
              <w:rPr>
                <w:rFonts w:cs="Tahoma"/>
              </w:rPr>
              <w:t>ng/kg/min</w:t>
            </w:r>
          </w:p>
        </w:tc>
        <w:tc>
          <w:tcPr>
            <w:tcW w:w="725" w:type="pct"/>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lang w:eastAsia="en-US"/>
              </w:rPr>
              <w:t>Overall population</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 xml:space="preserve">Mortality </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WHO FC</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Haemodynamic parameters</w:t>
            </w:r>
            <w:r w:rsidR="00246F7A">
              <w:rPr>
                <w:rFonts w:eastAsia="Times New Roman"/>
                <w:vertAlign w:val="superscript"/>
                <w:lang w:eastAsia="en-US"/>
              </w:rPr>
              <w:t>e</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COMBI</w:t>
            </w:r>
            <w:r w:rsidR="001D34EE" w:rsidRPr="001A1C44">
              <w:rPr>
                <w:rFonts w:eastAsia="Times New Roman"/>
                <w:noProof/>
                <w:vertAlign w:val="superscript"/>
                <w:lang w:eastAsia="en-US"/>
              </w:rPr>
              <w:t>36</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2004</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Germany</w:t>
            </w:r>
          </w:p>
        </w:tc>
        <w:tc>
          <w:tcPr>
            <w:tcW w:w="686"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OL</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12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High</w:t>
            </w:r>
          </w:p>
        </w:tc>
        <w:tc>
          <w:tcPr>
            <w:tcW w:w="801"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N=40</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WHO FC III</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IPAH</w:t>
            </w:r>
          </w:p>
        </w:tc>
        <w:tc>
          <w:tcPr>
            <w:tcW w:w="869"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ILO 5</w:t>
            </w:r>
            <w:r w:rsidR="00F449B1">
              <w:rPr>
                <w:rFonts w:eastAsia="Times New Roman"/>
                <w:snapToGrid w:val="0"/>
                <w:lang w:eastAsia="en-US"/>
              </w:rPr>
              <w:t> </w:t>
            </w:r>
            <w:r w:rsidRPr="00D53F84">
              <w:rPr>
                <w:rFonts w:eastAsia="Times New Roman"/>
                <w:snapToGrid w:val="0"/>
                <w:lang w:eastAsia="en-US"/>
              </w:rPr>
              <w:t>µg 6 times daily</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No treatment</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Background therapy with BOS 125</w:t>
            </w:r>
            <w:r w:rsidR="00570FC8">
              <w:rPr>
                <w:rFonts w:eastAsia="Times New Roman"/>
                <w:snapToGrid w:val="0"/>
                <w:lang w:eastAsia="en-US"/>
              </w:rPr>
              <w:t> mg</w:t>
            </w:r>
            <w:r w:rsidRPr="00D53F84">
              <w:rPr>
                <w:rFonts w:eastAsia="Times New Roman"/>
                <w:snapToGrid w:val="0"/>
                <w:lang w:eastAsia="en-US"/>
              </w:rPr>
              <w:t xml:space="preserve"> bid (100%)</w:t>
            </w:r>
          </w:p>
        </w:tc>
        <w:tc>
          <w:tcPr>
            <w:tcW w:w="725"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lang w:eastAsia="en-US"/>
              </w:rPr>
              <w:t>Overall population</w:t>
            </w:r>
          </w:p>
        </w:tc>
        <w:tc>
          <w:tcPr>
            <w:tcW w:w="1160"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Pr>
                <w:rFonts w:eastAsia="Times New Roman"/>
                <w:lang w:eastAsia="en-US"/>
              </w:rPr>
              <w:t>Mortality</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QoL (EQ-</w:t>
            </w:r>
            <w:r w:rsidR="00107963">
              <w:rPr>
                <w:rFonts w:eastAsia="Times New Roman"/>
                <w:lang w:eastAsia="en-US"/>
              </w:rPr>
              <w:t>VAS</w:t>
            </w:r>
            <w:r w:rsidRPr="00D53F84">
              <w:rPr>
                <w:rFonts w:eastAsia="Times New Roman"/>
                <w:lang w:eastAsia="en-US"/>
              </w:rPr>
              <w:t>)</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tcMar>
              <w:left w:w="108" w:type="dxa"/>
              <w:right w:w="108" w:type="dxa"/>
            </w:tcMar>
          </w:tcPr>
          <w:p w:rsidR="001D0FDA" w:rsidRPr="00D53F84" w:rsidRDefault="001D0FDA" w:rsidP="001D0FDA">
            <w:pPr>
              <w:pStyle w:val="Tabletext"/>
              <w:ind w:right="-28"/>
              <w:rPr>
                <w:rFonts w:eastAsia="Times New Roman"/>
              </w:rPr>
            </w:pPr>
            <w:r w:rsidRPr="00D53F84">
              <w:rPr>
                <w:rFonts w:eastAsia="Times New Roman"/>
              </w:rPr>
              <w:t>COMPASS-2</w:t>
            </w:r>
            <w:r w:rsidR="001D34EE" w:rsidRPr="001A1C44">
              <w:rPr>
                <w:rFonts w:eastAsia="Times New Roman"/>
                <w:noProof/>
                <w:vertAlign w:val="superscript"/>
              </w:rPr>
              <w:t>37</w:t>
            </w:r>
          </w:p>
          <w:p w:rsidR="001D0FDA" w:rsidRPr="00D53F84" w:rsidRDefault="001D0FDA" w:rsidP="001D0FDA">
            <w:pPr>
              <w:pStyle w:val="Tabletext"/>
              <w:ind w:right="-28"/>
              <w:rPr>
                <w:rFonts w:eastAsia="Times New Roman"/>
              </w:rPr>
            </w:pPr>
            <w:r w:rsidRPr="00D53F84">
              <w:rPr>
                <w:rFonts w:eastAsia="Times New Roman"/>
                <w:lang w:eastAsia="en-US"/>
              </w:rPr>
              <w:t>2006-2012</w:t>
            </w:r>
          </w:p>
          <w:p w:rsidR="001D0FDA" w:rsidRPr="00D53F84" w:rsidRDefault="001D0FDA" w:rsidP="001D0FDA">
            <w:pPr>
              <w:pStyle w:val="Tabletext"/>
              <w:ind w:right="-28"/>
              <w:rPr>
                <w:rFonts w:eastAsia="Times New Roman"/>
              </w:rPr>
            </w:pPr>
            <w:r w:rsidRPr="00D53F84">
              <w:rPr>
                <w:rFonts w:eastAsia="Times New Roman"/>
                <w:lang w:eastAsia="en-US"/>
              </w:rPr>
              <w:t>US, Europe, Brazil, Saudi Arabia</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RCT, DB</w:t>
            </w:r>
          </w:p>
          <w:p w:rsidR="001D0FDA" w:rsidRPr="00D53F84" w:rsidRDefault="00300E1B" w:rsidP="001D0FDA">
            <w:pPr>
              <w:pStyle w:val="Tabletext"/>
              <w:ind w:right="-28"/>
              <w:rPr>
                <w:rFonts w:eastAsia="Times New Roman"/>
                <w:lang w:eastAsia="en-US"/>
              </w:rPr>
            </w:pPr>
            <w:r>
              <w:rPr>
                <w:rFonts w:eastAsia="Times New Roman"/>
                <w:lang w:eastAsia="en-US"/>
              </w:rPr>
              <w:t>3.2</w:t>
            </w:r>
            <w:r w:rsidR="001D0FDA" w:rsidRPr="00D53F84">
              <w:rPr>
                <w:rFonts w:eastAsia="Times New Roman"/>
                <w:lang w:eastAsia="en-US"/>
              </w:rPr>
              <w:t xml:space="preserve"> years</w:t>
            </w:r>
          </w:p>
          <w:p w:rsidR="001D0FDA" w:rsidRPr="00D53F84" w:rsidRDefault="001D0FDA" w:rsidP="001D0FDA">
            <w:pPr>
              <w:pStyle w:val="Tabletext"/>
              <w:ind w:right="-28"/>
              <w:rPr>
                <w:rFonts w:eastAsia="Times New Roman"/>
                <w:lang w:eastAsia="en-US"/>
              </w:rPr>
            </w:pPr>
            <w:r w:rsidRPr="00D53F84">
              <w:rPr>
                <w:rFonts w:eastAsia="Times New Roman"/>
                <w:lang w:eastAsia="en-US"/>
              </w:rPr>
              <w:t>Low-to-moderate</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N=334</w:t>
            </w:r>
          </w:p>
          <w:p w:rsidR="001D0FDA" w:rsidRPr="00D53F84" w:rsidRDefault="001D0FDA" w:rsidP="001D0FDA">
            <w:pPr>
              <w:pStyle w:val="Tabletext"/>
              <w:ind w:right="-28"/>
              <w:rPr>
                <w:rFonts w:eastAsia="Times New Roman"/>
                <w:lang w:eastAsia="en-US"/>
              </w:rPr>
            </w:pPr>
            <w:r w:rsidRPr="00D53F84">
              <w:rPr>
                <w:rFonts w:eastAsia="Times New Roman"/>
                <w:lang w:eastAsia="en-US"/>
              </w:rPr>
              <w:t>WHO FC II-IV</w:t>
            </w:r>
          </w:p>
          <w:p w:rsidR="001D0FDA" w:rsidRPr="00D53F84" w:rsidRDefault="001D0FDA" w:rsidP="001D0FDA">
            <w:pPr>
              <w:pStyle w:val="Tabletext"/>
              <w:ind w:right="-28"/>
              <w:rPr>
                <w:rFonts w:eastAsia="Times New Roman"/>
                <w:lang w:eastAsia="en-US"/>
              </w:rPr>
            </w:pPr>
            <w:r w:rsidRPr="00D53F84">
              <w:rPr>
                <w:rFonts w:eastAsia="Times New Roman"/>
                <w:lang w:eastAsia="en-US"/>
              </w:rPr>
              <w:t>IPAH, PAH-CTD, PAH-CHD, HPAH, or PAH-DT</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BOS 125</w:t>
            </w:r>
            <w:r w:rsidR="00570FC8">
              <w:rPr>
                <w:rFonts w:eastAsia="Times New Roman"/>
                <w:lang w:eastAsia="en-US"/>
              </w:rPr>
              <w:t> mg</w:t>
            </w:r>
            <w:r w:rsidRPr="00D53F84">
              <w:rPr>
                <w:rFonts w:eastAsia="Times New Roman"/>
                <w:lang w:eastAsia="en-US"/>
              </w:rPr>
              <w:t xml:space="preserve"> bid</w:t>
            </w:r>
          </w:p>
          <w:p w:rsidR="001D0FDA" w:rsidRPr="00D53F84" w:rsidRDefault="001D0FDA" w:rsidP="001D0FDA">
            <w:pPr>
              <w:pStyle w:val="Tabletext"/>
              <w:ind w:right="-28"/>
              <w:rPr>
                <w:rFonts w:eastAsia="Times New Roman"/>
                <w:lang w:eastAsia="en-US"/>
              </w:rPr>
            </w:pPr>
            <w:r w:rsidRPr="00D53F84">
              <w:rPr>
                <w:rFonts w:eastAsia="Times New Roman"/>
                <w:lang w:eastAsia="en-US"/>
              </w:rPr>
              <w:t xml:space="preserve">PBO </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Background therapy with SIL ≥20</w:t>
            </w:r>
            <w:r w:rsidR="00570FC8">
              <w:rPr>
                <w:rFonts w:eastAsia="Times New Roman"/>
                <w:lang w:eastAsia="en-US"/>
              </w:rPr>
              <w:t> mg</w:t>
            </w:r>
            <w:r w:rsidRPr="00D53F84">
              <w:rPr>
                <w:rFonts w:eastAsia="Times New Roman"/>
                <w:lang w:eastAsia="en-US"/>
              </w:rPr>
              <w:t xml:space="preserve"> tid (100%)</w:t>
            </w:r>
          </w:p>
        </w:tc>
        <w:tc>
          <w:tcPr>
            <w:tcW w:w="725" w:type="pct"/>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lang w:eastAsia="en-US"/>
              </w:rPr>
              <w:t>Overall population</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Mortality</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WHO FC</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tcMar>
              <w:left w:w="108" w:type="dxa"/>
              <w:right w:w="108" w:type="dxa"/>
            </w:tcMar>
          </w:tcPr>
          <w:p w:rsidR="001D0FDA" w:rsidRPr="00D53F84" w:rsidRDefault="001D0FDA" w:rsidP="001D0FDA">
            <w:pPr>
              <w:pStyle w:val="Tabletext"/>
              <w:ind w:right="-28"/>
              <w:rPr>
                <w:rFonts w:eastAsia="Times New Roman"/>
              </w:rPr>
            </w:pPr>
            <w:r w:rsidRPr="00D53F84">
              <w:rPr>
                <w:rFonts w:eastAsia="Times New Roman"/>
              </w:rPr>
              <w:t>EARLY</w:t>
            </w:r>
            <w:r w:rsidR="001D34EE" w:rsidRPr="001D34EE">
              <w:rPr>
                <w:rFonts w:eastAsia="Times New Roman"/>
                <w:noProof/>
                <w:vertAlign w:val="superscript"/>
              </w:rPr>
              <w:t>9</w:t>
            </w:r>
          </w:p>
          <w:p w:rsidR="001D0FDA" w:rsidRPr="00D53F84" w:rsidRDefault="001D0FDA" w:rsidP="001D0FDA">
            <w:pPr>
              <w:pStyle w:val="Tabletext"/>
              <w:ind w:right="-28"/>
              <w:rPr>
                <w:rFonts w:eastAsia="Times New Roman"/>
              </w:rPr>
            </w:pPr>
            <w:r w:rsidRPr="00D53F84">
              <w:rPr>
                <w:rFonts w:eastAsia="Times New Roman"/>
                <w:lang w:eastAsia="en-US"/>
              </w:rPr>
              <w:t>2004-2006</w:t>
            </w:r>
          </w:p>
          <w:p w:rsidR="001D0FDA" w:rsidRPr="00D53F84" w:rsidRDefault="001D0FDA" w:rsidP="001D0FDA">
            <w:pPr>
              <w:pStyle w:val="Tabletext"/>
              <w:ind w:right="-28"/>
              <w:rPr>
                <w:rFonts w:eastAsia="Times New Roman"/>
              </w:rPr>
            </w:pPr>
            <w:r w:rsidRPr="00D53F84">
              <w:rPr>
                <w:rFonts w:eastAsia="Times New Roman"/>
                <w:lang w:eastAsia="en-US"/>
              </w:rPr>
              <w:t>US, Europe, Brazil</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RCT, DB</w:t>
            </w:r>
          </w:p>
          <w:p w:rsidR="001D0FDA" w:rsidRPr="00D53F84" w:rsidRDefault="001D0FDA" w:rsidP="001D0FDA">
            <w:pPr>
              <w:pStyle w:val="Tabletext"/>
              <w:ind w:right="-28"/>
              <w:rPr>
                <w:rFonts w:eastAsia="Times New Roman"/>
                <w:lang w:eastAsia="en-US"/>
              </w:rPr>
            </w:pPr>
            <w:r w:rsidRPr="00D53F84">
              <w:rPr>
                <w:rFonts w:eastAsia="Times New Roman"/>
                <w:lang w:eastAsia="en-US"/>
              </w:rPr>
              <w:t>26 weeks</w:t>
            </w:r>
          </w:p>
          <w:p w:rsidR="001D0FDA" w:rsidRPr="00D53F84" w:rsidRDefault="001D0FDA" w:rsidP="001D0FDA">
            <w:pPr>
              <w:pStyle w:val="Tabletext"/>
              <w:ind w:right="-28"/>
              <w:rPr>
                <w:rFonts w:eastAsia="Times New Roman"/>
                <w:lang w:eastAsia="en-US"/>
              </w:rPr>
            </w:pPr>
            <w:r w:rsidRPr="00D53F84">
              <w:rPr>
                <w:rFonts w:eastAsia="Times New Roman"/>
                <w:lang w:eastAsia="en-US"/>
              </w:rPr>
              <w:t>Low</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N=185</w:t>
            </w:r>
          </w:p>
          <w:p w:rsidR="001D0FDA" w:rsidRPr="00D53F84" w:rsidRDefault="001D0FDA" w:rsidP="001D0FDA">
            <w:pPr>
              <w:pStyle w:val="Tabletext"/>
              <w:ind w:right="-28"/>
              <w:rPr>
                <w:rFonts w:eastAsia="Times New Roman"/>
                <w:lang w:eastAsia="en-US"/>
              </w:rPr>
            </w:pPr>
            <w:r w:rsidRPr="00D53F84">
              <w:rPr>
                <w:rFonts w:eastAsia="Times New Roman"/>
                <w:lang w:eastAsia="en-US"/>
              </w:rPr>
              <w:t>WHO FC II</w:t>
            </w:r>
          </w:p>
          <w:p w:rsidR="001D0FDA" w:rsidRPr="00D53F84" w:rsidRDefault="001D0FDA" w:rsidP="001D0FDA">
            <w:pPr>
              <w:pStyle w:val="Tabletext"/>
              <w:ind w:right="-28"/>
              <w:rPr>
                <w:rFonts w:eastAsia="Times New Roman"/>
                <w:lang w:eastAsia="en-US"/>
              </w:rPr>
            </w:pPr>
            <w:r w:rsidRPr="00D53F84">
              <w:rPr>
                <w:rFonts w:eastAsia="Times New Roman"/>
                <w:lang w:eastAsia="en-US"/>
              </w:rPr>
              <w:t>IPAH, HPAH, PAH-CTD, PAH-CHD, PAH-HIV, or PAH-DT</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BOS 125</w:t>
            </w:r>
            <w:r w:rsidR="00570FC8">
              <w:rPr>
                <w:rFonts w:eastAsia="Times New Roman"/>
                <w:lang w:eastAsia="en-US"/>
              </w:rPr>
              <w:t> mg</w:t>
            </w:r>
            <w:r w:rsidRPr="00D53F84">
              <w:rPr>
                <w:rFonts w:eastAsia="Times New Roman"/>
                <w:lang w:eastAsia="en-US"/>
              </w:rPr>
              <w:t xml:space="preserve"> bid </w:t>
            </w:r>
          </w:p>
          <w:p w:rsidR="001D0FDA" w:rsidRPr="00D53F84" w:rsidRDefault="001D0FDA" w:rsidP="001D0FDA">
            <w:pPr>
              <w:pStyle w:val="Tabletext"/>
              <w:ind w:right="-28"/>
              <w:rPr>
                <w:rFonts w:eastAsia="Times New Roman"/>
                <w:lang w:eastAsia="en-US"/>
              </w:rPr>
            </w:pPr>
            <w:r w:rsidRPr="00D53F84">
              <w:rPr>
                <w:rFonts w:eastAsia="Times New Roman"/>
                <w:lang w:eastAsia="en-US"/>
              </w:rPr>
              <w:t>PBO</w:t>
            </w:r>
          </w:p>
          <w:p w:rsidR="001D0FDA" w:rsidRPr="00D53F84" w:rsidRDefault="001D0FDA" w:rsidP="001D0FDA">
            <w:pPr>
              <w:spacing w:before="60" w:after="60"/>
              <w:rPr>
                <w:rFonts w:cs="Tahoma"/>
                <w:sz w:val="20"/>
              </w:rPr>
            </w:pPr>
          </w:p>
          <w:p w:rsidR="001D0FDA" w:rsidRPr="00D53F84" w:rsidRDefault="001D0FDA" w:rsidP="001D0FDA">
            <w:pPr>
              <w:pStyle w:val="Tabletext"/>
              <w:ind w:right="-28"/>
              <w:rPr>
                <w:rFonts w:eastAsia="Times New Roman"/>
                <w:lang w:eastAsia="en-US"/>
              </w:rPr>
            </w:pPr>
            <w:r w:rsidRPr="00D53F84">
              <w:rPr>
                <w:rFonts w:cs="Tahoma"/>
              </w:rPr>
              <w:t>Background therapy with SIL (16%)</w:t>
            </w:r>
          </w:p>
        </w:tc>
        <w:tc>
          <w:tcPr>
            <w:tcW w:w="725" w:type="pct"/>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lang w:eastAsia="en-US"/>
              </w:rPr>
            </w:pPr>
            <w:r w:rsidRPr="00D53F84">
              <w:rPr>
                <w:rFonts w:eastAsia="Times New Roman"/>
                <w:lang w:eastAsia="en-US"/>
              </w:rPr>
              <w:t xml:space="preserve">Subgroup of patients without background therapy (n=156) </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Q3</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background therapy (n=29)</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Mortality</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Haemodynamic parameters</w:t>
            </w:r>
            <w:r w:rsidR="00246F7A">
              <w:rPr>
                <w:rFonts w:eastAsia="Times New Roman"/>
                <w:vertAlign w:val="superscript"/>
                <w:lang w:eastAsia="en-US"/>
              </w:rPr>
              <w:t>e</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Han 2017</w:t>
            </w:r>
            <w:r w:rsidR="001D34EE" w:rsidRPr="001A1C44">
              <w:rPr>
                <w:rFonts w:eastAsia="Times New Roman"/>
                <w:noProof/>
                <w:vertAlign w:val="superscript"/>
                <w:lang w:eastAsia="en-US"/>
              </w:rPr>
              <w:t>38</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2012-2015</w:t>
            </w:r>
          </w:p>
          <w:p w:rsidR="001D0FDA" w:rsidRPr="00D53F84" w:rsidRDefault="001D0FDA" w:rsidP="001D0FDA">
            <w:pPr>
              <w:pStyle w:val="Tabletext"/>
              <w:ind w:right="-28"/>
              <w:rPr>
                <w:rFonts w:eastAsia="Times New Roman"/>
              </w:rPr>
            </w:pPr>
            <w:r w:rsidRPr="00D53F84">
              <w:rPr>
                <w:rFonts w:eastAsia="Times New Roman"/>
                <w:snapToGrid w:val="0"/>
                <w:lang w:eastAsia="en-US"/>
              </w:rPr>
              <w:t>China</w:t>
            </w:r>
          </w:p>
        </w:tc>
        <w:tc>
          <w:tcPr>
            <w:tcW w:w="686"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OL</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13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High</w:t>
            </w:r>
          </w:p>
        </w:tc>
        <w:tc>
          <w:tcPr>
            <w:tcW w:w="801"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N=14</w:t>
            </w:r>
          </w:p>
          <w:p w:rsidR="001D0FDA" w:rsidRPr="00D53F84" w:rsidRDefault="001D0FDA" w:rsidP="001D0FDA">
            <w:pPr>
              <w:pStyle w:val="Tabletext"/>
              <w:ind w:right="-28"/>
              <w:rPr>
                <w:rFonts w:cs="Tahoma"/>
              </w:rPr>
            </w:pPr>
            <w:r w:rsidRPr="00D53F84">
              <w:rPr>
                <w:rFonts w:cs="Tahoma"/>
              </w:rPr>
              <w:t xml:space="preserve">WHO FC III-IV </w:t>
            </w:r>
          </w:p>
          <w:p w:rsidR="001D0FDA" w:rsidRPr="00D53F84" w:rsidRDefault="001D0FDA" w:rsidP="001D0FDA">
            <w:pPr>
              <w:pStyle w:val="Tabletext"/>
              <w:ind w:right="-28"/>
              <w:rPr>
                <w:rFonts w:eastAsia="Times New Roman"/>
                <w:snapToGrid w:val="0"/>
                <w:lang w:eastAsia="en-US"/>
              </w:rPr>
            </w:pPr>
            <w:r w:rsidRPr="00D53F84">
              <w:rPr>
                <w:rFonts w:cs="Tahoma"/>
              </w:rPr>
              <w:t>IPAH or CTEPH</w:t>
            </w:r>
            <w:r w:rsidR="00246F7A">
              <w:rPr>
                <w:rFonts w:cs="Tahoma"/>
                <w:vertAlign w:val="superscript"/>
              </w:rPr>
              <w:t>f</w:t>
            </w:r>
          </w:p>
        </w:tc>
        <w:tc>
          <w:tcPr>
            <w:tcW w:w="869"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BOS 125</w:t>
            </w:r>
            <w:r w:rsidR="00570FC8">
              <w:rPr>
                <w:rFonts w:eastAsia="Times New Roman"/>
                <w:snapToGrid w:val="0"/>
                <w:lang w:eastAsia="en-US"/>
              </w:rPr>
              <w:t> mg</w:t>
            </w:r>
            <w:r w:rsidRPr="00D53F84">
              <w:rPr>
                <w:rFonts w:eastAsia="Times New Roman"/>
                <w:snapToGrid w:val="0"/>
                <w:lang w:eastAsia="en-US"/>
              </w:rPr>
              <w:t xml:space="preserve"> bid + ILO 10</w:t>
            </w:r>
            <w:r w:rsidR="00570FC8">
              <w:rPr>
                <w:rFonts w:eastAsia="Times New Roman"/>
                <w:snapToGrid w:val="0"/>
                <w:lang w:eastAsia="en-US"/>
              </w:rPr>
              <w:t xml:space="preserve"> </w:t>
            </w:r>
            <w:r w:rsidRPr="00D53F84">
              <w:rPr>
                <w:rFonts w:eastAsia="Times New Roman"/>
                <w:snapToGrid w:val="0"/>
                <w:lang w:eastAsia="en-US"/>
              </w:rPr>
              <w:t>µg 4-6 times daily</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ILO 10</w:t>
            </w:r>
            <w:r w:rsidR="00570FC8">
              <w:rPr>
                <w:rFonts w:eastAsia="Times New Roman"/>
                <w:snapToGrid w:val="0"/>
                <w:lang w:eastAsia="en-US"/>
              </w:rPr>
              <w:t xml:space="preserve"> </w:t>
            </w:r>
            <w:r w:rsidRPr="00D53F84">
              <w:rPr>
                <w:rFonts w:eastAsia="Times New Roman"/>
                <w:snapToGrid w:val="0"/>
                <w:lang w:eastAsia="en-US"/>
              </w:rPr>
              <w:t xml:space="preserve">µg 4-6 times daily </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No background therapy</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Overall population</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DF4187" w:rsidP="00480FDF">
            <w:pPr>
              <w:pStyle w:val="Tabletext"/>
              <w:numPr>
                <w:ilvl w:val="0"/>
                <w:numId w:val="55"/>
              </w:numPr>
              <w:ind w:left="101" w:right="-28" w:hanging="101"/>
              <w:rPr>
                <w:rFonts w:eastAsia="Times New Roman"/>
                <w:lang w:eastAsia="en-US"/>
              </w:rPr>
            </w:pPr>
            <w:r>
              <w:rPr>
                <w:rFonts w:eastAsia="Times New Roman"/>
                <w:lang w:eastAsia="en-US"/>
              </w:rPr>
              <w:t>QoL (ML</w:t>
            </w:r>
            <w:r w:rsidR="001D0FDA" w:rsidRPr="00D53F84">
              <w:rPr>
                <w:rFonts w:eastAsia="Times New Roman"/>
                <w:lang w:eastAsia="en-US"/>
              </w:rPr>
              <w:t>HF)</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Haemodynamic parameters</w:t>
            </w:r>
            <w:r w:rsidR="00246F7A">
              <w:rPr>
                <w:rFonts w:eastAsia="Times New Roman"/>
                <w:vertAlign w:val="superscript"/>
                <w:lang w:eastAsia="en-US"/>
              </w:rPr>
              <w:t>e</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Mainguy 2013</w:t>
            </w:r>
            <w:r w:rsidR="001D34EE" w:rsidRPr="001A1C44">
              <w:rPr>
                <w:rFonts w:eastAsia="Times New Roman"/>
                <w:noProof/>
                <w:vertAlign w:val="superscript"/>
                <w:lang w:eastAsia="en-US"/>
              </w:rPr>
              <w:t>39</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2009-2011</w:t>
            </w:r>
          </w:p>
          <w:p w:rsidR="001D0FDA" w:rsidRPr="00D53F84" w:rsidRDefault="001D0FDA" w:rsidP="001D0FDA">
            <w:pPr>
              <w:pStyle w:val="Tabletext"/>
              <w:ind w:right="-28"/>
              <w:rPr>
                <w:rFonts w:eastAsia="Times New Roman"/>
              </w:rPr>
            </w:pPr>
            <w:r w:rsidRPr="00D53F84">
              <w:rPr>
                <w:rFonts w:eastAsia="Times New Roman"/>
                <w:snapToGrid w:val="0"/>
                <w:lang w:eastAsia="en-US"/>
              </w:rPr>
              <w:t>Canada</w:t>
            </w:r>
          </w:p>
        </w:tc>
        <w:tc>
          <w:tcPr>
            <w:tcW w:w="686"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DB, cross-over</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4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Low-to-moderate</w:t>
            </w:r>
          </w:p>
        </w:tc>
        <w:tc>
          <w:tcPr>
            <w:tcW w:w="801"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N=20</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WHO FC II-III</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IPAH, HPAH, PAH-CTD, PAH-CHD</w:t>
            </w:r>
          </w:p>
        </w:tc>
        <w:tc>
          <w:tcPr>
            <w:tcW w:w="869"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SIL 20</w:t>
            </w:r>
            <w:r w:rsidR="00570FC8">
              <w:rPr>
                <w:rFonts w:eastAsia="Times New Roman"/>
                <w:snapToGrid w:val="0"/>
                <w:lang w:eastAsia="en-US"/>
              </w:rPr>
              <w:t> mg</w:t>
            </w:r>
            <w:r w:rsidRPr="00D53F84">
              <w:rPr>
                <w:rFonts w:eastAsia="Times New Roman"/>
                <w:snapToGrid w:val="0"/>
                <w:lang w:eastAsia="en-US"/>
              </w:rPr>
              <w:t xml:space="preserve"> tid</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PBO</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Background therapy with ERA (90%)</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Background therapy with EPO (10%)</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Overall population</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111"/>
              <w:rPr>
                <w:rFonts w:eastAsia="Times New Roman"/>
              </w:rPr>
            </w:pPr>
            <w:r w:rsidRPr="00D53F84">
              <w:rPr>
                <w:rFonts w:eastAsia="Times New Roman"/>
              </w:rPr>
              <w:t>Mukhopadhyay 2011</w:t>
            </w:r>
            <w:r w:rsidR="001D34EE" w:rsidRPr="001A1C44">
              <w:rPr>
                <w:rFonts w:eastAsia="Times New Roman"/>
                <w:noProof/>
                <w:vertAlign w:val="superscript"/>
              </w:rPr>
              <w:t>40</w:t>
            </w:r>
          </w:p>
          <w:p w:rsidR="001D0FDA" w:rsidRPr="00D53F84" w:rsidRDefault="001D0FDA" w:rsidP="001D0FDA">
            <w:pPr>
              <w:pStyle w:val="Tabletext"/>
              <w:ind w:right="-28"/>
              <w:rPr>
                <w:rFonts w:eastAsia="Times New Roman"/>
              </w:rPr>
            </w:pPr>
            <w:r w:rsidRPr="00D53F84">
              <w:rPr>
                <w:rFonts w:eastAsia="Times New Roman"/>
                <w:lang w:eastAsia="en-US"/>
              </w:rPr>
              <w:t>No later than 2011</w:t>
            </w:r>
            <w:r w:rsidRPr="00D53F84">
              <w:rPr>
                <w:rFonts w:eastAsia="Times New Roman"/>
                <w:vertAlign w:val="superscript"/>
                <w:lang w:eastAsia="en-US"/>
              </w:rPr>
              <w:t>c</w:t>
            </w:r>
          </w:p>
          <w:p w:rsidR="001D0FDA" w:rsidRPr="00D53F84" w:rsidRDefault="001D0FDA" w:rsidP="001D0FDA">
            <w:pPr>
              <w:pStyle w:val="Tabletext"/>
              <w:ind w:right="-28"/>
              <w:rPr>
                <w:rFonts w:eastAsia="Times New Roman"/>
              </w:rPr>
            </w:pPr>
            <w:r w:rsidRPr="00D53F84">
              <w:rPr>
                <w:rFonts w:eastAsia="Times New Roman"/>
                <w:lang w:eastAsia="en-US"/>
              </w:rPr>
              <w:t>India</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RCT, DB, cross-over</w:t>
            </w:r>
          </w:p>
          <w:p w:rsidR="001D0FDA" w:rsidRPr="00D53F84" w:rsidRDefault="001D0FDA" w:rsidP="001D0FDA">
            <w:pPr>
              <w:pStyle w:val="Tabletext"/>
              <w:ind w:right="-28"/>
              <w:rPr>
                <w:rFonts w:eastAsia="Times New Roman"/>
                <w:lang w:eastAsia="en-US"/>
              </w:rPr>
            </w:pPr>
            <w:r w:rsidRPr="00D53F84">
              <w:rPr>
                <w:rFonts w:eastAsia="Times New Roman"/>
                <w:lang w:eastAsia="en-US"/>
              </w:rPr>
              <w:t>6 weeks</w:t>
            </w:r>
          </w:p>
          <w:p w:rsidR="001D0FDA" w:rsidRPr="00D53F84" w:rsidRDefault="001D0FDA" w:rsidP="001D0FDA">
            <w:pPr>
              <w:pStyle w:val="Tabletext"/>
              <w:ind w:right="-28"/>
              <w:rPr>
                <w:rFonts w:eastAsia="Times New Roman"/>
                <w:lang w:eastAsia="en-US"/>
              </w:rPr>
            </w:pPr>
            <w:r w:rsidRPr="00D53F84">
              <w:rPr>
                <w:rFonts w:eastAsia="Times New Roman"/>
                <w:lang w:eastAsia="en-US"/>
              </w:rPr>
              <w:t>Low-to-moderate</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N=28</w:t>
            </w:r>
          </w:p>
          <w:p w:rsidR="001D0FDA" w:rsidRPr="00D53F84" w:rsidRDefault="001D0FDA" w:rsidP="001D0FDA">
            <w:pPr>
              <w:pStyle w:val="Tabletext"/>
              <w:ind w:right="-28"/>
              <w:rPr>
                <w:rFonts w:eastAsia="Times New Roman"/>
                <w:lang w:eastAsia="en-US"/>
              </w:rPr>
            </w:pPr>
            <w:r w:rsidRPr="00D53F84">
              <w:rPr>
                <w:rFonts w:eastAsia="Times New Roman"/>
                <w:lang w:eastAsia="en-US"/>
              </w:rPr>
              <w:t>WHO II-III</w:t>
            </w:r>
          </w:p>
          <w:p w:rsidR="001D0FDA" w:rsidRPr="00D53F84" w:rsidRDefault="001D0FDA" w:rsidP="001D0FDA">
            <w:pPr>
              <w:pStyle w:val="Tabletext"/>
              <w:ind w:right="-28"/>
              <w:rPr>
                <w:rFonts w:eastAsia="Times New Roman"/>
                <w:lang w:eastAsia="en-US"/>
              </w:rPr>
            </w:pPr>
            <w:r w:rsidRPr="00D53F84">
              <w:rPr>
                <w:rFonts w:eastAsia="Times New Roman"/>
                <w:lang w:eastAsia="en-US"/>
              </w:rPr>
              <w:t>PAH-CHD</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TAD 40</w:t>
            </w:r>
            <w:r w:rsidR="00570FC8">
              <w:rPr>
                <w:rFonts w:eastAsia="Times New Roman"/>
                <w:lang w:eastAsia="en-US"/>
              </w:rPr>
              <w:t> mg</w:t>
            </w:r>
            <w:r w:rsidRPr="00D53F84">
              <w:rPr>
                <w:rFonts w:eastAsia="Times New Roman"/>
                <w:lang w:eastAsia="en-US"/>
              </w:rPr>
              <w:t xml:space="preserve"> od</w:t>
            </w:r>
          </w:p>
          <w:p w:rsidR="001D0FDA" w:rsidRPr="00D53F84" w:rsidRDefault="001D0FDA" w:rsidP="001D0FDA">
            <w:pPr>
              <w:pStyle w:val="Tabletext"/>
              <w:ind w:right="-28"/>
              <w:rPr>
                <w:rFonts w:eastAsia="Times New Roman"/>
                <w:lang w:eastAsia="en-US"/>
              </w:rPr>
            </w:pPr>
            <w:r w:rsidRPr="00D53F84">
              <w:rPr>
                <w:rFonts w:eastAsia="Times New Roman"/>
                <w:lang w:eastAsia="en-US"/>
              </w:rPr>
              <w:t>PBO</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No background therapy</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WHO FC I-II PAH (n=22)</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 xml:space="preserve">Change in WHO FC </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PACES-1</w:t>
            </w:r>
            <w:r w:rsidR="001D34EE" w:rsidRPr="001A1C44">
              <w:rPr>
                <w:rFonts w:eastAsia="Times New Roman"/>
                <w:noProof/>
                <w:vertAlign w:val="superscript"/>
                <w:lang w:eastAsia="en-US"/>
              </w:rPr>
              <w:t>41</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2003-2006</w:t>
            </w:r>
          </w:p>
          <w:p w:rsidR="001D0FDA" w:rsidRPr="00D53F84" w:rsidRDefault="001D0FDA" w:rsidP="001D0FDA">
            <w:pPr>
              <w:pStyle w:val="Tabletext"/>
              <w:ind w:right="-28"/>
              <w:rPr>
                <w:rFonts w:eastAsia="Times New Roman"/>
              </w:rPr>
            </w:pPr>
            <w:r w:rsidRPr="00D53F84">
              <w:rPr>
                <w:rFonts w:eastAsia="Times New Roman"/>
                <w:snapToGrid w:val="0"/>
                <w:lang w:eastAsia="en-US"/>
              </w:rPr>
              <w:t>US, Canada, Europe, Israel</w:t>
            </w:r>
          </w:p>
        </w:tc>
        <w:tc>
          <w:tcPr>
            <w:tcW w:w="686"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DB</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16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Low</w:t>
            </w:r>
          </w:p>
        </w:tc>
        <w:tc>
          <w:tcPr>
            <w:tcW w:w="801"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N=267</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WHO FC I-IV</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IPAH or PAH-CTD</w:t>
            </w:r>
          </w:p>
        </w:tc>
        <w:tc>
          <w:tcPr>
            <w:tcW w:w="869"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SIL 20-80</w:t>
            </w:r>
            <w:r w:rsidR="00570FC8">
              <w:rPr>
                <w:rFonts w:eastAsia="Times New Roman"/>
                <w:snapToGrid w:val="0"/>
                <w:lang w:eastAsia="en-US"/>
              </w:rPr>
              <w:t> mg</w:t>
            </w:r>
            <w:r w:rsidRPr="00D53F84">
              <w:rPr>
                <w:rFonts w:eastAsia="Times New Roman"/>
                <w:snapToGrid w:val="0"/>
                <w:lang w:eastAsia="en-US"/>
              </w:rPr>
              <w:t xml:space="preserve"> tid</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PBO</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Background therapy with EPO 3-181/kg/min (100%)</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Overall population</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Mortality</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Hospitalisation</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Haemodynamic parameters</w:t>
            </w:r>
            <w:r w:rsidR="00246F7A">
              <w:rPr>
                <w:rFonts w:eastAsia="Times New Roman"/>
                <w:vertAlign w:val="superscript"/>
                <w:lang w:eastAsia="en-US"/>
              </w:rPr>
              <w:t>e</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rPr>
            </w:pPr>
            <w:r w:rsidRPr="00D53F84">
              <w:rPr>
                <w:rFonts w:eastAsia="Times New Roman"/>
              </w:rPr>
              <w:t>PATENT-1</w:t>
            </w:r>
            <w:r w:rsidR="001D34EE" w:rsidRPr="001D34EE">
              <w:rPr>
                <w:rFonts w:eastAsia="Times New Roman"/>
                <w:noProof/>
                <w:vertAlign w:val="superscript"/>
              </w:rPr>
              <w:t>23, 42, 43</w:t>
            </w:r>
          </w:p>
          <w:p w:rsidR="001D0FDA" w:rsidRPr="00D53F84" w:rsidRDefault="001D0FDA" w:rsidP="001D0FDA">
            <w:pPr>
              <w:pStyle w:val="Tabletext"/>
              <w:ind w:right="-28"/>
              <w:rPr>
                <w:rFonts w:eastAsia="Times New Roman"/>
              </w:rPr>
            </w:pPr>
            <w:r w:rsidRPr="00D53F84">
              <w:rPr>
                <w:rFonts w:eastAsia="Times New Roman"/>
                <w:lang w:eastAsia="en-US"/>
              </w:rPr>
              <w:t>2008-2012</w:t>
            </w:r>
          </w:p>
          <w:p w:rsidR="001D0FDA" w:rsidRPr="00D53F84" w:rsidRDefault="001D0FDA" w:rsidP="001D0FDA">
            <w:pPr>
              <w:pStyle w:val="Tabletext"/>
              <w:ind w:right="-28"/>
              <w:rPr>
                <w:rFonts w:eastAsia="Times New Roman"/>
              </w:rPr>
            </w:pPr>
            <w:r w:rsidRPr="00D53F84">
              <w:rPr>
                <w:rFonts w:eastAsia="Times New Roman"/>
                <w:lang w:eastAsia="en-US"/>
              </w:rPr>
              <w:t>US, Canada, Mexico, Asia, Europe, South America, Australia</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RCT, DB</w:t>
            </w:r>
          </w:p>
          <w:p w:rsidR="001D0FDA" w:rsidRPr="00D53F84" w:rsidRDefault="001D0FDA" w:rsidP="001D0FDA">
            <w:pPr>
              <w:pStyle w:val="Tabletext"/>
              <w:ind w:right="-28"/>
              <w:rPr>
                <w:rFonts w:eastAsia="Times New Roman"/>
                <w:lang w:eastAsia="en-US"/>
              </w:rPr>
            </w:pPr>
            <w:r w:rsidRPr="00D53F84">
              <w:rPr>
                <w:rFonts w:eastAsia="Times New Roman"/>
                <w:lang w:eastAsia="en-US"/>
              </w:rPr>
              <w:t>12 weeks</w:t>
            </w:r>
          </w:p>
          <w:p w:rsidR="001D0FDA" w:rsidRPr="00D53F84" w:rsidRDefault="001D0FDA" w:rsidP="001D0FDA">
            <w:pPr>
              <w:pStyle w:val="Tabletext"/>
              <w:ind w:right="-28"/>
              <w:rPr>
                <w:rFonts w:eastAsia="Times New Roman"/>
                <w:lang w:eastAsia="en-US"/>
              </w:rPr>
            </w:pPr>
            <w:r w:rsidRPr="00D53F84">
              <w:rPr>
                <w:rFonts w:eastAsia="Times New Roman"/>
                <w:lang w:eastAsia="en-US"/>
              </w:rPr>
              <w:t>Low-to-moderate</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N=380</w:t>
            </w:r>
          </w:p>
          <w:p w:rsidR="001D0FDA" w:rsidRPr="00D53F84" w:rsidRDefault="001D0FDA" w:rsidP="001D0FDA">
            <w:pPr>
              <w:pStyle w:val="Tabletext"/>
              <w:ind w:right="-28"/>
              <w:rPr>
                <w:rFonts w:eastAsia="Times New Roman"/>
                <w:lang w:eastAsia="en-US"/>
              </w:rPr>
            </w:pPr>
            <w:r w:rsidRPr="00D53F84">
              <w:rPr>
                <w:rFonts w:eastAsia="Times New Roman"/>
                <w:lang w:eastAsia="en-US"/>
              </w:rPr>
              <w:t>WHO FC I-IV</w:t>
            </w:r>
          </w:p>
          <w:p w:rsidR="001D0FDA" w:rsidRPr="00D53F84" w:rsidRDefault="001D0FDA" w:rsidP="001D0FDA">
            <w:pPr>
              <w:pStyle w:val="Tabletext"/>
              <w:rPr>
                <w:rFonts w:eastAsia="Times New Roman"/>
                <w:lang w:eastAsia="en-US"/>
              </w:rPr>
            </w:pPr>
            <w:r w:rsidRPr="00D53F84">
              <w:rPr>
                <w:rFonts w:eastAsia="Times New Roman"/>
                <w:lang w:eastAsia="en-US"/>
              </w:rPr>
              <w:t>IPAH, PAH-CTD, PAH-CHD, PAH-PH, or PAH-DT</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RIO up to 2.5</w:t>
            </w:r>
            <w:r w:rsidR="00570FC8">
              <w:rPr>
                <w:rFonts w:eastAsia="Times New Roman"/>
                <w:lang w:eastAsia="en-US"/>
              </w:rPr>
              <w:t> mg</w:t>
            </w:r>
            <w:r w:rsidRPr="00D53F84">
              <w:rPr>
                <w:rFonts w:eastAsia="Times New Roman"/>
                <w:lang w:eastAsia="en-US"/>
              </w:rPr>
              <w:t xml:space="preserve"> tid</w:t>
            </w:r>
          </w:p>
          <w:p w:rsidR="001D0FDA" w:rsidRPr="00D53F84" w:rsidRDefault="001D0FDA" w:rsidP="001D0FDA">
            <w:pPr>
              <w:pStyle w:val="Tabletext"/>
              <w:ind w:right="-28"/>
              <w:rPr>
                <w:rFonts w:eastAsia="Times New Roman"/>
                <w:lang w:eastAsia="en-US"/>
              </w:rPr>
            </w:pPr>
            <w:r w:rsidRPr="00D53F84">
              <w:rPr>
                <w:rFonts w:eastAsia="Times New Roman"/>
                <w:lang w:eastAsia="en-US"/>
              </w:rPr>
              <w:t>PBO</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Background therapy with ERA (44%)</w:t>
            </w:r>
          </w:p>
          <w:p w:rsidR="001D0FDA" w:rsidRPr="00D53F84" w:rsidRDefault="001D0FDA" w:rsidP="001D0FDA">
            <w:pPr>
              <w:pStyle w:val="Tabletext"/>
              <w:ind w:right="-28"/>
              <w:rPr>
                <w:rFonts w:eastAsia="Times New Roman"/>
                <w:lang w:eastAsia="en-US"/>
              </w:rPr>
            </w:pPr>
            <w:r w:rsidRPr="00D53F84">
              <w:rPr>
                <w:rFonts w:eastAsia="Times New Roman"/>
                <w:lang w:eastAsia="en-US"/>
              </w:rPr>
              <w:t>Background therapy with PRO (6%)</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WHO FC I-II PAH, without background therapy (n=107)</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RQ3</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background therapy (n=194)</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Mortality</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Hospitalisation</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WHO FC</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QoL (</w:t>
            </w:r>
            <w:r w:rsidR="00DF4187">
              <w:rPr>
                <w:rFonts w:eastAsia="Times New Roman"/>
                <w:lang w:eastAsia="en-US"/>
              </w:rPr>
              <w:t>LPH</w:t>
            </w:r>
            <w:r w:rsidRPr="00D53F84">
              <w:rPr>
                <w:rFonts w:eastAsia="Times New Roman"/>
                <w:lang w:eastAsia="en-US"/>
              </w:rPr>
              <w:t>, EQ-5D)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Haemodynamic parameters</w:t>
            </w:r>
            <w:r w:rsidR="00246F7A">
              <w:rPr>
                <w:rFonts w:eastAsia="Times New Roman"/>
                <w:vertAlign w:val="superscript"/>
                <w:lang w:eastAsia="en-US"/>
              </w:rPr>
              <w:t>e</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PATENT-PLUS</w:t>
            </w:r>
            <w:r w:rsidR="001D34EE" w:rsidRPr="001A1C44">
              <w:rPr>
                <w:rFonts w:eastAsia="Times New Roman"/>
                <w:noProof/>
                <w:vertAlign w:val="superscript"/>
                <w:lang w:eastAsia="en-US"/>
              </w:rPr>
              <w:t>44</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2010-2013</w:t>
            </w:r>
          </w:p>
          <w:p w:rsidR="001D0FDA" w:rsidRPr="00D53F84" w:rsidRDefault="001D0FDA" w:rsidP="001D0FDA">
            <w:pPr>
              <w:pStyle w:val="Tabletext"/>
              <w:ind w:right="-28"/>
              <w:rPr>
                <w:rFonts w:eastAsia="Times New Roman"/>
              </w:rPr>
            </w:pPr>
            <w:r w:rsidRPr="00D53F84">
              <w:rPr>
                <w:rFonts w:eastAsia="Times New Roman"/>
                <w:snapToGrid w:val="0"/>
                <w:lang w:eastAsia="en-US"/>
              </w:rPr>
              <w:t>Europe</w:t>
            </w:r>
          </w:p>
        </w:tc>
        <w:tc>
          <w:tcPr>
            <w:tcW w:w="686"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DB</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12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Low</w:t>
            </w:r>
          </w:p>
        </w:tc>
        <w:tc>
          <w:tcPr>
            <w:tcW w:w="801"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 xml:space="preserve">N=18 </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WHO FC I-IV</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IPAH, PAH-CTD, PAH-CHD or PAH-PH</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RIO up to 2.5</w:t>
            </w:r>
            <w:r w:rsidR="00570FC8">
              <w:rPr>
                <w:rFonts w:eastAsia="Times New Roman"/>
                <w:lang w:eastAsia="en-US"/>
              </w:rPr>
              <w:t> mg</w:t>
            </w:r>
            <w:r w:rsidRPr="00D53F84">
              <w:rPr>
                <w:rFonts w:eastAsia="Times New Roman"/>
                <w:lang w:eastAsia="en-US"/>
              </w:rPr>
              <w:t xml:space="preserve"> tid</w:t>
            </w:r>
          </w:p>
          <w:p w:rsidR="001D0FDA" w:rsidRPr="00D53F84" w:rsidRDefault="001D0FDA" w:rsidP="001D0FDA">
            <w:pPr>
              <w:pStyle w:val="Tabletext"/>
              <w:ind w:right="-28"/>
              <w:rPr>
                <w:rFonts w:eastAsia="Times New Roman"/>
                <w:lang w:eastAsia="en-US"/>
              </w:rPr>
            </w:pPr>
            <w:r w:rsidRPr="00D53F84">
              <w:rPr>
                <w:rFonts w:eastAsia="Times New Roman"/>
                <w:lang w:eastAsia="en-US"/>
              </w:rPr>
              <w:t>PBO</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Background therapy with SIL 20</w:t>
            </w:r>
            <w:r w:rsidR="00570FC8">
              <w:rPr>
                <w:rFonts w:eastAsia="Times New Roman"/>
                <w:snapToGrid w:val="0"/>
                <w:lang w:eastAsia="en-US"/>
              </w:rPr>
              <w:t> mg</w:t>
            </w:r>
            <w:r w:rsidRPr="00D53F84">
              <w:rPr>
                <w:rFonts w:eastAsia="Times New Roman"/>
                <w:snapToGrid w:val="0"/>
                <w:lang w:eastAsia="en-US"/>
              </w:rPr>
              <w:t xml:space="preserve"> tid (100%)</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Overall population</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WHO FC</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rPr>
            </w:pPr>
            <w:r w:rsidRPr="00D53F84">
              <w:rPr>
                <w:rFonts w:eastAsia="Times New Roman"/>
              </w:rPr>
              <w:t>PHIRST</w:t>
            </w:r>
            <w:r w:rsidR="001D34EE" w:rsidRPr="001D34EE">
              <w:rPr>
                <w:rFonts w:eastAsia="Times New Roman"/>
                <w:noProof/>
                <w:vertAlign w:val="superscript"/>
              </w:rPr>
              <w:t>12, 13, 45</w:t>
            </w:r>
          </w:p>
          <w:p w:rsidR="001D0FDA" w:rsidRPr="00D53F84" w:rsidRDefault="001D0FDA" w:rsidP="001D0FDA">
            <w:pPr>
              <w:pStyle w:val="Tabletext"/>
              <w:ind w:right="-28"/>
              <w:rPr>
                <w:rFonts w:eastAsia="Times New Roman"/>
              </w:rPr>
            </w:pPr>
            <w:r w:rsidRPr="00D53F84">
              <w:rPr>
                <w:rFonts w:eastAsia="Times New Roman"/>
                <w:lang w:eastAsia="en-US"/>
              </w:rPr>
              <w:t>2005-2007</w:t>
            </w:r>
          </w:p>
          <w:p w:rsidR="001D0FDA" w:rsidRPr="00D53F84" w:rsidRDefault="001D0FDA" w:rsidP="001D0FDA">
            <w:pPr>
              <w:pStyle w:val="Tabletext"/>
              <w:ind w:right="-28"/>
              <w:rPr>
                <w:rFonts w:eastAsia="Times New Roman"/>
              </w:rPr>
            </w:pPr>
            <w:r w:rsidRPr="00D53F84">
              <w:rPr>
                <w:rFonts w:eastAsia="Times New Roman"/>
                <w:lang w:eastAsia="en-US"/>
              </w:rPr>
              <w:t>US, Canada, Europe, Japan</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RCT, DB</w:t>
            </w:r>
          </w:p>
          <w:p w:rsidR="001D0FDA" w:rsidRPr="00D53F84" w:rsidRDefault="001D0FDA" w:rsidP="001D0FDA">
            <w:pPr>
              <w:pStyle w:val="Tabletext"/>
              <w:ind w:right="-28"/>
              <w:rPr>
                <w:rFonts w:eastAsia="Times New Roman"/>
                <w:lang w:eastAsia="en-US"/>
              </w:rPr>
            </w:pPr>
            <w:r w:rsidRPr="00D53F84">
              <w:rPr>
                <w:rFonts w:eastAsia="Times New Roman"/>
                <w:lang w:eastAsia="en-US"/>
              </w:rPr>
              <w:t>16 weeks</w:t>
            </w:r>
          </w:p>
          <w:p w:rsidR="001D0FDA" w:rsidRPr="00D53F84" w:rsidRDefault="001D0FDA" w:rsidP="001D0FDA">
            <w:pPr>
              <w:pStyle w:val="Tabletext"/>
              <w:ind w:right="-28"/>
              <w:rPr>
                <w:rFonts w:eastAsia="Times New Roman"/>
                <w:lang w:eastAsia="en-US"/>
              </w:rPr>
            </w:pPr>
            <w:r w:rsidRPr="00D53F84">
              <w:rPr>
                <w:rFonts w:eastAsia="Times New Roman"/>
                <w:lang w:eastAsia="en-US"/>
              </w:rPr>
              <w:t>Low-to-moderate</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N=161</w:t>
            </w:r>
          </w:p>
          <w:p w:rsidR="001D0FDA" w:rsidRPr="00D53F84" w:rsidRDefault="001D0FDA" w:rsidP="001D0FDA">
            <w:pPr>
              <w:pStyle w:val="Tabletext"/>
              <w:ind w:right="-28"/>
              <w:rPr>
                <w:rFonts w:eastAsia="Times New Roman"/>
                <w:lang w:eastAsia="en-US"/>
              </w:rPr>
            </w:pPr>
            <w:r w:rsidRPr="00D53F84">
              <w:rPr>
                <w:rFonts w:eastAsia="Times New Roman"/>
                <w:lang w:eastAsia="en-US"/>
              </w:rPr>
              <w:t>WHO FC I-IV</w:t>
            </w:r>
          </w:p>
          <w:p w:rsidR="001D0FDA" w:rsidRPr="00D53F84" w:rsidRDefault="001D0FDA" w:rsidP="001D0FDA">
            <w:pPr>
              <w:pStyle w:val="Tabletext"/>
              <w:ind w:right="-28"/>
              <w:rPr>
                <w:rFonts w:eastAsia="Times New Roman"/>
                <w:lang w:eastAsia="en-US"/>
              </w:rPr>
            </w:pPr>
            <w:r w:rsidRPr="00D53F84">
              <w:rPr>
                <w:rFonts w:eastAsia="Times New Roman"/>
                <w:lang w:eastAsia="en-US"/>
              </w:rPr>
              <w:t>IPAH, HPAH, PAH-CTD, PAH-CHD, or PAH-DT</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TAD 40</w:t>
            </w:r>
            <w:r w:rsidR="00570FC8">
              <w:rPr>
                <w:rFonts w:eastAsia="Times New Roman"/>
                <w:lang w:eastAsia="en-US"/>
              </w:rPr>
              <w:t> mg</w:t>
            </w:r>
            <w:r w:rsidRPr="00D53F84">
              <w:rPr>
                <w:rFonts w:eastAsia="Times New Roman"/>
                <w:lang w:eastAsia="en-US"/>
              </w:rPr>
              <w:t xml:space="preserve"> od</w:t>
            </w:r>
          </w:p>
          <w:p w:rsidR="001D0FDA" w:rsidRPr="00D53F84" w:rsidRDefault="001D0FDA" w:rsidP="001D0FDA">
            <w:pPr>
              <w:pStyle w:val="Tabletext"/>
              <w:ind w:right="-28"/>
              <w:rPr>
                <w:rFonts w:eastAsia="Times New Roman"/>
                <w:lang w:eastAsia="en-US"/>
              </w:rPr>
            </w:pPr>
            <w:r w:rsidRPr="00D53F84">
              <w:rPr>
                <w:rFonts w:eastAsia="Times New Roman"/>
                <w:lang w:eastAsia="en-US"/>
              </w:rPr>
              <w:t>PBO</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Backgr</w:t>
            </w:r>
            <w:r w:rsidR="00570FC8">
              <w:rPr>
                <w:rFonts w:eastAsia="Times New Roman"/>
                <w:lang w:eastAsia="en-US"/>
              </w:rPr>
              <w:t>ound therapy with BOS up to 125 mg</w:t>
            </w:r>
            <w:r w:rsidRPr="00D53F84">
              <w:rPr>
                <w:rFonts w:eastAsia="Times New Roman"/>
                <w:lang w:eastAsia="en-US"/>
              </w:rPr>
              <w:t xml:space="preserve"> bid (54%)</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WHO FC I-II PAH, without background therapy (n=21)</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RQ3</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background therapy (n=87)</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 xml:space="preserve">Change in </w:t>
            </w:r>
            <w:r w:rsidR="001F432E">
              <w:rPr>
                <w:rFonts w:eastAsia="Times New Roman"/>
                <w:lang w:eastAsia="en-US"/>
              </w:rPr>
              <w:t xml:space="preserve">WHO </w:t>
            </w:r>
            <w:r w:rsidRPr="00D53F84">
              <w:rPr>
                <w:rFonts w:eastAsia="Times New Roman"/>
                <w:lang w:eastAsia="en-US"/>
              </w:rPr>
              <w:t>FC</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rPr>
            </w:pPr>
            <w:r w:rsidRPr="00D53F84">
              <w:rPr>
                <w:rFonts w:eastAsia="Times New Roman"/>
              </w:rPr>
              <w:t>SERAPHIN</w:t>
            </w:r>
            <w:r w:rsidR="001D34EE" w:rsidRPr="001D34EE">
              <w:rPr>
                <w:rFonts w:eastAsia="Times New Roman"/>
                <w:noProof/>
                <w:vertAlign w:val="superscript"/>
              </w:rPr>
              <w:t>7, 46, 47</w:t>
            </w:r>
          </w:p>
          <w:p w:rsidR="001D0FDA" w:rsidRPr="00D53F84" w:rsidRDefault="001D0FDA" w:rsidP="001D0FDA">
            <w:pPr>
              <w:pStyle w:val="Tabletext"/>
              <w:ind w:right="-28"/>
              <w:rPr>
                <w:rFonts w:eastAsia="Times New Roman"/>
              </w:rPr>
            </w:pPr>
            <w:r w:rsidRPr="00D53F84">
              <w:rPr>
                <w:rFonts w:eastAsia="Times New Roman"/>
                <w:lang w:eastAsia="en-US"/>
              </w:rPr>
              <w:t>2008-2012</w:t>
            </w:r>
          </w:p>
          <w:p w:rsidR="001D0FDA" w:rsidRPr="00D53F84" w:rsidRDefault="001D0FDA" w:rsidP="001D0FDA">
            <w:pPr>
              <w:pStyle w:val="Tabletext"/>
              <w:ind w:right="-28"/>
              <w:rPr>
                <w:rFonts w:cs="Tahoma"/>
              </w:rPr>
            </w:pPr>
            <w:r w:rsidRPr="00D53F84">
              <w:rPr>
                <w:rFonts w:eastAsia="Times New Roman"/>
                <w:lang w:eastAsia="en-US"/>
              </w:rPr>
              <w:t>US, Canada, Europe, Asia, South America, Australia</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RCT, DB</w:t>
            </w:r>
          </w:p>
          <w:p w:rsidR="001D0FDA" w:rsidRPr="00D53F84" w:rsidRDefault="001D0FDA" w:rsidP="001D0FDA">
            <w:pPr>
              <w:pStyle w:val="Tabletext"/>
              <w:ind w:right="-28"/>
              <w:rPr>
                <w:rFonts w:eastAsia="Times New Roman"/>
                <w:lang w:eastAsia="en-US"/>
              </w:rPr>
            </w:pPr>
            <w:r w:rsidRPr="00D53F84">
              <w:rPr>
                <w:rFonts w:eastAsia="Times New Roman"/>
                <w:lang w:eastAsia="en-US"/>
              </w:rPr>
              <w:t>2.5 years</w:t>
            </w:r>
          </w:p>
          <w:p w:rsidR="001D0FDA" w:rsidRPr="00D53F84" w:rsidRDefault="001D0FDA" w:rsidP="001D0FDA">
            <w:pPr>
              <w:pStyle w:val="Tabletext"/>
              <w:ind w:right="-28"/>
              <w:rPr>
                <w:rFonts w:eastAsia="Times New Roman"/>
                <w:lang w:eastAsia="en-US"/>
              </w:rPr>
            </w:pPr>
            <w:r w:rsidRPr="00D53F84">
              <w:rPr>
                <w:rFonts w:eastAsia="Times New Roman"/>
                <w:lang w:eastAsia="en-US"/>
              </w:rPr>
              <w:t>Low-to-moderate</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N=492</w:t>
            </w:r>
          </w:p>
          <w:p w:rsidR="001D0FDA" w:rsidRPr="00D53F84" w:rsidRDefault="001D0FDA" w:rsidP="001D0FDA">
            <w:pPr>
              <w:pStyle w:val="Tabletext"/>
              <w:ind w:right="-28"/>
              <w:rPr>
                <w:rFonts w:eastAsia="Times New Roman"/>
                <w:lang w:eastAsia="en-US"/>
              </w:rPr>
            </w:pPr>
            <w:r w:rsidRPr="00D53F84">
              <w:rPr>
                <w:rFonts w:eastAsia="Times New Roman"/>
                <w:lang w:eastAsia="en-US"/>
              </w:rPr>
              <w:t>WHO FC I-IV</w:t>
            </w:r>
          </w:p>
          <w:p w:rsidR="001D0FDA" w:rsidRPr="00D53F84" w:rsidRDefault="001D0FDA" w:rsidP="001D0FDA">
            <w:pPr>
              <w:pStyle w:val="Tabletext"/>
              <w:ind w:right="-28"/>
              <w:rPr>
                <w:rFonts w:eastAsia="Times New Roman"/>
                <w:lang w:eastAsia="en-US"/>
              </w:rPr>
            </w:pPr>
            <w:r w:rsidRPr="00D53F84">
              <w:rPr>
                <w:rFonts w:cs="Tahoma"/>
              </w:rPr>
              <w:t>IPAH, HPAH, PAH-CTD, PAH-CHD, PAH-HIV, or PAH-DT</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MAC 10</w:t>
            </w:r>
            <w:r w:rsidR="00570FC8">
              <w:rPr>
                <w:rFonts w:eastAsia="Times New Roman"/>
                <w:lang w:eastAsia="en-US"/>
              </w:rPr>
              <w:t> mg</w:t>
            </w:r>
            <w:r w:rsidRPr="00D53F84">
              <w:rPr>
                <w:rFonts w:eastAsia="Times New Roman"/>
                <w:lang w:eastAsia="en-US"/>
              </w:rPr>
              <w:t xml:space="preserve"> od </w:t>
            </w:r>
          </w:p>
          <w:p w:rsidR="001D0FDA" w:rsidRPr="00D53F84" w:rsidRDefault="001D0FDA" w:rsidP="001D0FDA">
            <w:pPr>
              <w:pStyle w:val="Tabletext"/>
              <w:ind w:right="-28"/>
              <w:rPr>
                <w:rFonts w:eastAsia="Times New Roman"/>
                <w:lang w:eastAsia="en-US"/>
              </w:rPr>
            </w:pPr>
            <w:r w:rsidRPr="00D53F84">
              <w:rPr>
                <w:rFonts w:eastAsia="Times New Roman"/>
                <w:lang w:eastAsia="en-US"/>
              </w:rPr>
              <w:t>PBO</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 xml:space="preserve">Background therapy with PDE-5 inhibitor (61%) </w:t>
            </w:r>
          </w:p>
          <w:p w:rsidR="001D0FDA" w:rsidRPr="00D53F84" w:rsidRDefault="001D0FDA" w:rsidP="001D0FDA">
            <w:pPr>
              <w:pStyle w:val="Tabletext"/>
              <w:ind w:right="-28"/>
              <w:rPr>
                <w:rFonts w:eastAsia="Times New Roman"/>
                <w:lang w:eastAsia="en-US"/>
              </w:rPr>
            </w:pPr>
            <w:r w:rsidRPr="00D53F84">
              <w:rPr>
                <w:rFonts w:eastAsia="Times New Roman"/>
                <w:lang w:eastAsia="en-US"/>
              </w:rPr>
              <w:t>Background therapy with PRO (4%)</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WHO FC I-II PAH, without background therapy (n=100)</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background therapy (n=308)</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Mortality</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Hospitalisation</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QoL (SF-36)</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STEP</w:t>
            </w:r>
            <w:r w:rsidR="001D34EE" w:rsidRPr="001A1C44">
              <w:rPr>
                <w:rFonts w:eastAsia="Times New Roman"/>
                <w:noProof/>
                <w:vertAlign w:val="superscript"/>
                <w:lang w:eastAsia="en-US"/>
              </w:rPr>
              <w:t>48</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2004</w:t>
            </w:r>
          </w:p>
          <w:p w:rsidR="001D0FDA" w:rsidRPr="00D53F84" w:rsidRDefault="001D0FDA" w:rsidP="001D0FDA">
            <w:pPr>
              <w:pStyle w:val="Tabletext"/>
              <w:ind w:right="-28"/>
              <w:rPr>
                <w:rFonts w:eastAsia="Times New Roman"/>
              </w:rPr>
            </w:pPr>
            <w:r w:rsidRPr="00D53F84">
              <w:rPr>
                <w:rFonts w:eastAsia="Times New Roman"/>
                <w:snapToGrid w:val="0"/>
                <w:lang w:eastAsia="en-US"/>
              </w:rPr>
              <w:t>USA</w:t>
            </w:r>
          </w:p>
        </w:tc>
        <w:tc>
          <w:tcPr>
            <w:tcW w:w="686"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DB</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12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Low</w:t>
            </w:r>
          </w:p>
        </w:tc>
        <w:tc>
          <w:tcPr>
            <w:tcW w:w="801"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N=67</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WHO FC III-IV</w:t>
            </w:r>
            <w:r w:rsidR="00246F7A" w:rsidRPr="00246F7A">
              <w:rPr>
                <w:rFonts w:eastAsia="Times New Roman"/>
                <w:snapToGrid w:val="0"/>
                <w:vertAlign w:val="superscript"/>
                <w:lang w:eastAsia="en-US"/>
              </w:rPr>
              <w:t>d</w:t>
            </w:r>
            <w:r w:rsidRPr="00D53F84">
              <w:rPr>
                <w:rFonts w:eastAsia="Times New Roman"/>
                <w:snapToGrid w:val="0"/>
                <w:lang w:eastAsia="en-US"/>
              </w:rPr>
              <w:t xml:space="preserve"> </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IPAH or associated PAH</w:t>
            </w:r>
          </w:p>
        </w:tc>
        <w:tc>
          <w:tcPr>
            <w:tcW w:w="869" w:type="pct"/>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ILO 5</w:t>
            </w:r>
            <w:r w:rsidR="00F449B1">
              <w:rPr>
                <w:rFonts w:eastAsia="Times New Roman"/>
                <w:snapToGrid w:val="0"/>
                <w:lang w:eastAsia="en-US"/>
              </w:rPr>
              <w:t> </w:t>
            </w:r>
            <w:r w:rsidRPr="00D53F84">
              <w:rPr>
                <w:rFonts w:eastAsia="Times New Roman"/>
                <w:snapToGrid w:val="0"/>
                <w:lang w:eastAsia="en-US"/>
              </w:rPr>
              <w:t>µg 6-9 times daily</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PBO</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 xml:space="preserve">Background </w:t>
            </w:r>
            <w:r w:rsidRPr="00D53F84">
              <w:rPr>
                <w:rFonts w:eastAsia="Times New Roman"/>
                <w:lang w:eastAsia="en-US"/>
              </w:rPr>
              <w:t>therapy</w:t>
            </w:r>
            <w:r w:rsidRPr="00D53F84">
              <w:rPr>
                <w:rFonts w:eastAsia="Times New Roman"/>
                <w:snapToGrid w:val="0"/>
                <w:lang w:eastAsia="en-US"/>
              </w:rPr>
              <w:t xml:space="preserve"> with BOS 125</w:t>
            </w:r>
            <w:r w:rsidR="00570FC8">
              <w:rPr>
                <w:rFonts w:eastAsia="Times New Roman"/>
                <w:snapToGrid w:val="0"/>
                <w:lang w:eastAsia="en-US"/>
              </w:rPr>
              <w:t> mg</w:t>
            </w:r>
            <w:r w:rsidRPr="00D53F84">
              <w:rPr>
                <w:rFonts w:eastAsia="Times New Roman"/>
                <w:snapToGrid w:val="0"/>
                <w:lang w:eastAsia="en-US"/>
              </w:rPr>
              <w:t xml:space="preserve"> bid (100%)</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RQ 3</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Overall population</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Clinical worsening</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WHO FC</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Haemodynamic parameters</w:t>
            </w:r>
            <w:r w:rsidR="00246F7A">
              <w:rPr>
                <w:rFonts w:eastAsia="Times New Roman"/>
                <w:vertAlign w:val="superscript"/>
                <w:lang w:eastAsia="en-US"/>
              </w:rPr>
              <w:t>e</w:t>
            </w:r>
          </w:p>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Adverse events</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rPr>
            </w:pPr>
            <w:r w:rsidRPr="00D53F84">
              <w:rPr>
                <w:rFonts w:eastAsia="Times New Roman"/>
              </w:rPr>
              <w:t>SUPER-1</w:t>
            </w:r>
            <w:r w:rsidR="001D34EE" w:rsidRPr="001D34EE">
              <w:rPr>
                <w:rFonts w:eastAsia="Times New Roman"/>
                <w:noProof/>
                <w:vertAlign w:val="superscript"/>
              </w:rPr>
              <w:t>11</w:t>
            </w:r>
          </w:p>
          <w:p w:rsidR="001D0FDA" w:rsidRPr="00D53F84" w:rsidRDefault="001D0FDA" w:rsidP="001D0FDA">
            <w:pPr>
              <w:pStyle w:val="Tabletext"/>
              <w:ind w:right="-28"/>
              <w:rPr>
                <w:rFonts w:eastAsia="Times New Roman"/>
              </w:rPr>
            </w:pPr>
            <w:r w:rsidRPr="00D53F84">
              <w:rPr>
                <w:rFonts w:eastAsia="Times New Roman"/>
                <w:lang w:eastAsia="en-US"/>
              </w:rPr>
              <w:t>2002-2003</w:t>
            </w:r>
          </w:p>
          <w:p w:rsidR="001D0FDA" w:rsidRPr="00D53F84" w:rsidRDefault="001D0FDA" w:rsidP="001D0FDA">
            <w:pPr>
              <w:pStyle w:val="Tabletext"/>
              <w:ind w:right="-28"/>
              <w:rPr>
                <w:rFonts w:eastAsia="Times New Roman"/>
              </w:rPr>
            </w:pPr>
            <w:r w:rsidRPr="00D53F84">
              <w:rPr>
                <w:rFonts w:eastAsia="Times New Roman"/>
                <w:lang w:eastAsia="en-US"/>
              </w:rPr>
              <w:t>US, Mexico, South America, Europe, Asia, South Africa, Australia</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RCT, DB</w:t>
            </w:r>
          </w:p>
          <w:p w:rsidR="001D0FDA" w:rsidRPr="00D53F84" w:rsidRDefault="001D0FDA" w:rsidP="001D0FDA">
            <w:pPr>
              <w:pStyle w:val="Tabletext"/>
              <w:ind w:right="-28"/>
              <w:rPr>
                <w:rFonts w:eastAsia="Times New Roman"/>
                <w:lang w:eastAsia="en-US"/>
              </w:rPr>
            </w:pPr>
            <w:r w:rsidRPr="00D53F84">
              <w:rPr>
                <w:rFonts w:eastAsia="Times New Roman"/>
                <w:lang w:eastAsia="en-US"/>
              </w:rPr>
              <w:t>12 weeks</w:t>
            </w:r>
          </w:p>
          <w:p w:rsidR="001D0FDA" w:rsidRPr="00D53F84" w:rsidRDefault="001D0FDA" w:rsidP="001D0FDA">
            <w:pPr>
              <w:pStyle w:val="Tabletext"/>
              <w:ind w:right="-28"/>
              <w:rPr>
                <w:rFonts w:eastAsia="Times New Roman"/>
                <w:lang w:eastAsia="en-US"/>
              </w:rPr>
            </w:pPr>
            <w:r w:rsidRPr="00D53F84">
              <w:rPr>
                <w:rFonts w:eastAsia="Times New Roman"/>
                <w:lang w:eastAsia="en-US"/>
              </w:rPr>
              <w:t>Low-to-moderate</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N=139</w:t>
            </w:r>
          </w:p>
          <w:p w:rsidR="001D0FDA" w:rsidRPr="00D53F84" w:rsidRDefault="001D0FDA" w:rsidP="001D0FDA">
            <w:pPr>
              <w:pStyle w:val="Tabletext"/>
              <w:ind w:right="-28"/>
              <w:rPr>
                <w:rFonts w:cs="Tahoma"/>
              </w:rPr>
            </w:pPr>
            <w:r w:rsidRPr="00D53F84">
              <w:rPr>
                <w:rFonts w:cs="Tahoma"/>
              </w:rPr>
              <w:t xml:space="preserve">WHO FC I-IV </w:t>
            </w:r>
          </w:p>
          <w:p w:rsidR="001D0FDA" w:rsidRPr="00D53F84" w:rsidRDefault="001D0FDA" w:rsidP="001D0FDA">
            <w:pPr>
              <w:pStyle w:val="Tabletext"/>
              <w:ind w:right="-28"/>
              <w:rPr>
                <w:rFonts w:eastAsia="Times New Roman"/>
                <w:lang w:eastAsia="en-US"/>
              </w:rPr>
            </w:pPr>
            <w:r w:rsidRPr="00D53F84">
              <w:rPr>
                <w:rFonts w:cs="Tahoma"/>
              </w:rPr>
              <w:t>IPAH, PAH-CTD or PAH-CHD</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SIL 20</w:t>
            </w:r>
            <w:r w:rsidR="00570FC8">
              <w:rPr>
                <w:rFonts w:eastAsia="Times New Roman"/>
                <w:lang w:eastAsia="en-US"/>
              </w:rPr>
              <w:t> mg</w:t>
            </w:r>
            <w:r w:rsidRPr="00D53F84">
              <w:rPr>
                <w:rFonts w:eastAsia="Times New Roman"/>
                <w:lang w:eastAsia="en-US"/>
              </w:rPr>
              <w:t xml:space="preserve"> tid</w:t>
            </w:r>
          </w:p>
          <w:p w:rsidR="001D0FDA" w:rsidRPr="00D53F84" w:rsidRDefault="001D0FDA" w:rsidP="001D0FDA">
            <w:pPr>
              <w:pStyle w:val="Tabletext"/>
              <w:ind w:right="-28"/>
              <w:rPr>
                <w:rFonts w:eastAsia="Times New Roman"/>
                <w:lang w:eastAsia="en-US"/>
              </w:rPr>
            </w:pPr>
            <w:r w:rsidRPr="00D53F84">
              <w:rPr>
                <w:rFonts w:eastAsia="Times New Roman"/>
                <w:lang w:eastAsia="en-US"/>
              </w:rPr>
              <w:t>PBO</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lang w:eastAsia="en-US"/>
              </w:rPr>
            </w:pPr>
            <w:r w:rsidRPr="00D53F84">
              <w:rPr>
                <w:rFonts w:eastAsia="Times New Roman"/>
                <w:lang w:eastAsia="en-US"/>
              </w:rPr>
              <w:t>No background therapy</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lang w:eastAsia="en-US"/>
              </w:rPr>
            </w:pPr>
            <w:r w:rsidRPr="00D53F84">
              <w:rPr>
                <w:rFonts w:eastAsia="Times New Roman"/>
                <w:lang w:eastAsia="en-US"/>
              </w:rPr>
              <w:t>Subgroup of patients with WHO FC I-II PAH (n=56)</w:t>
            </w:r>
          </w:p>
        </w:tc>
        <w:tc>
          <w:tcPr>
            <w:tcW w:w="1160" w:type="pct"/>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Change in 6MWD</w:t>
            </w:r>
          </w:p>
        </w:tc>
      </w:tr>
      <w:tr w:rsidR="001D0FDA" w:rsidRPr="00EB1471" w:rsidTr="001D6161">
        <w:tc>
          <w:tcPr>
            <w:tcW w:w="758"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Vizza 2017</w:t>
            </w:r>
            <w:r w:rsidR="001D34EE" w:rsidRPr="001A1C44">
              <w:rPr>
                <w:rFonts w:eastAsia="Times New Roman"/>
                <w:noProof/>
                <w:vertAlign w:val="superscript"/>
                <w:lang w:eastAsia="en-US"/>
              </w:rPr>
              <w:t>49</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2006-2012</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US, Europe, Australia, Israel, China</w:t>
            </w:r>
          </w:p>
        </w:tc>
        <w:tc>
          <w:tcPr>
            <w:tcW w:w="686"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RCT, DB</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12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Low-to-moderate</w:t>
            </w:r>
          </w:p>
        </w:tc>
        <w:tc>
          <w:tcPr>
            <w:tcW w:w="801"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N=10</w:t>
            </w:r>
            <w:r>
              <w:rPr>
                <w:rFonts w:eastAsia="Times New Roman"/>
                <w:snapToGrid w:val="0"/>
                <w:lang w:eastAsia="en-US"/>
              </w:rPr>
              <w:t>3</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WHO FC II-IV</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IPAH, HPAH or PAH-CTD</w:t>
            </w:r>
          </w:p>
        </w:tc>
        <w:tc>
          <w:tcPr>
            <w:tcW w:w="869"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SIL 20</w:t>
            </w:r>
            <w:r w:rsidR="00570FC8">
              <w:rPr>
                <w:rFonts w:eastAsia="Times New Roman"/>
                <w:snapToGrid w:val="0"/>
                <w:lang w:eastAsia="en-US"/>
              </w:rPr>
              <w:t> mg</w:t>
            </w:r>
            <w:r w:rsidRPr="00D53F84">
              <w:rPr>
                <w:rFonts w:eastAsia="Times New Roman"/>
                <w:snapToGrid w:val="0"/>
                <w:lang w:eastAsia="en-US"/>
              </w:rPr>
              <w:t xml:space="preserve"> tid</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PBO</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Background therapy with BOS 62.5-125</w:t>
            </w:r>
            <w:r w:rsidR="00570FC8">
              <w:rPr>
                <w:rFonts w:eastAsia="Times New Roman"/>
                <w:snapToGrid w:val="0"/>
                <w:lang w:eastAsia="en-US"/>
              </w:rPr>
              <w:t> mg</w:t>
            </w:r>
            <w:r w:rsidRPr="00D53F84">
              <w:rPr>
                <w:rFonts w:eastAsia="Times New Roman"/>
                <w:snapToGrid w:val="0"/>
                <w:lang w:eastAsia="en-US"/>
              </w:rPr>
              <w:t xml:space="preserve"> bid (100%)</w:t>
            </w:r>
          </w:p>
        </w:tc>
        <w:tc>
          <w:tcPr>
            <w:tcW w:w="725"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RQ 3</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Overall population</w:t>
            </w:r>
          </w:p>
        </w:tc>
        <w:tc>
          <w:tcPr>
            <w:tcW w:w="1160"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Clinical worsening</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Mortality</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Hospitalisation</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Change in WHO FC</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Change in 6MWD</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Adverse events</w:t>
            </w:r>
          </w:p>
        </w:tc>
      </w:tr>
      <w:tr w:rsidR="001D0FDA" w:rsidRPr="00EB1471" w:rsidTr="001D6161">
        <w:tc>
          <w:tcPr>
            <w:tcW w:w="758"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Zhuang 2014</w:t>
            </w:r>
            <w:r w:rsidR="001D34EE" w:rsidRPr="001A1C44">
              <w:rPr>
                <w:rFonts w:eastAsia="Times New Roman"/>
                <w:noProof/>
                <w:vertAlign w:val="superscript"/>
                <w:lang w:eastAsia="en-US"/>
              </w:rPr>
              <w:t>50</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2011-2013</w:t>
            </w:r>
          </w:p>
          <w:p w:rsidR="001D0FDA" w:rsidRPr="00D53F84" w:rsidRDefault="001D0FDA" w:rsidP="001D0FDA">
            <w:pPr>
              <w:pStyle w:val="Tabletext"/>
              <w:ind w:right="-28"/>
              <w:rPr>
                <w:rFonts w:eastAsia="Times New Roman"/>
                <w:lang w:eastAsia="en-US"/>
              </w:rPr>
            </w:pPr>
            <w:r w:rsidRPr="00D53F84">
              <w:rPr>
                <w:rFonts w:eastAsia="Times New Roman"/>
                <w:snapToGrid w:val="0"/>
                <w:lang w:eastAsia="en-US"/>
              </w:rPr>
              <w:t>China</w:t>
            </w:r>
          </w:p>
        </w:tc>
        <w:tc>
          <w:tcPr>
            <w:tcW w:w="686"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 xml:space="preserve">RCT, DB </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16 weeks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Low-to-moderate</w:t>
            </w:r>
          </w:p>
        </w:tc>
        <w:tc>
          <w:tcPr>
            <w:tcW w:w="801"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N=124</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WHO FC II-IV</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IPAH, HPAH, PAH-CTD, PAH-CHD, or</w:t>
            </w:r>
            <w:r w:rsidR="002449DC">
              <w:rPr>
                <w:rFonts w:eastAsia="Times New Roman"/>
                <w:snapToGrid w:val="0"/>
                <w:lang w:eastAsia="en-US"/>
              </w:rPr>
              <w:t xml:space="preserve"> </w:t>
            </w:r>
            <w:r w:rsidRPr="00D53F84">
              <w:rPr>
                <w:rFonts w:eastAsia="Times New Roman"/>
                <w:snapToGrid w:val="0"/>
                <w:lang w:eastAsia="en-US"/>
              </w:rPr>
              <w:t>PAH-DT</w:t>
            </w:r>
          </w:p>
        </w:tc>
        <w:tc>
          <w:tcPr>
            <w:tcW w:w="869"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TAD 40</w:t>
            </w:r>
            <w:r w:rsidR="00570FC8">
              <w:rPr>
                <w:rFonts w:eastAsia="Times New Roman"/>
                <w:snapToGrid w:val="0"/>
                <w:lang w:eastAsia="en-US"/>
              </w:rPr>
              <w:t> mg</w:t>
            </w:r>
            <w:r w:rsidRPr="00D53F84">
              <w:rPr>
                <w:rFonts w:eastAsia="Times New Roman"/>
                <w:snapToGrid w:val="0"/>
                <w:lang w:eastAsia="en-US"/>
              </w:rPr>
              <w:t xml:space="preserve"> od</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PBO</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Background therapy with AMB 10</w:t>
            </w:r>
            <w:r w:rsidR="00570FC8">
              <w:rPr>
                <w:rFonts w:eastAsia="Times New Roman"/>
                <w:snapToGrid w:val="0"/>
                <w:lang w:eastAsia="en-US"/>
              </w:rPr>
              <w:t> mg</w:t>
            </w:r>
            <w:r w:rsidRPr="00D53F84">
              <w:rPr>
                <w:rFonts w:eastAsia="Times New Roman"/>
                <w:snapToGrid w:val="0"/>
                <w:lang w:eastAsia="en-US"/>
              </w:rPr>
              <w:t xml:space="preserve"> od (100%)</w:t>
            </w:r>
          </w:p>
        </w:tc>
        <w:tc>
          <w:tcPr>
            <w:tcW w:w="725"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RQ 3</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Overall population</w:t>
            </w:r>
          </w:p>
        </w:tc>
        <w:tc>
          <w:tcPr>
            <w:tcW w:w="1160"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Clinical worsening</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Mortality</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Hospitalisation</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Change in WHO FC</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Change in 6MWD</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Haemodynamic parameters</w:t>
            </w:r>
            <w:r w:rsidR="00246F7A">
              <w:rPr>
                <w:rFonts w:eastAsia="Times New Roman"/>
                <w:vertAlign w:val="superscript"/>
                <w:lang w:eastAsia="en-US"/>
              </w:rPr>
              <w:t>e</w:t>
            </w:r>
          </w:p>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Adverse events</w:t>
            </w:r>
          </w:p>
        </w:tc>
      </w:tr>
      <w:tr w:rsidR="001D0FDA" w:rsidRPr="00F3429C" w:rsidTr="001D0FDA">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tcMar>
              <w:left w:w="108" w:type="dxa"/>
              <w:right w:w="108" w:type="dxa"/>
            </w:tcMar>
          </w:tcPr>
          <w:p w:rsidR="001D0FDA" w:rsidRPr="00F3429C" w:rsidRDefault="001D0FDA" w:rsidP="001D0FDA">
            <w:pPr>
              <w:pStyle w:val="Tabletext"/>
              <w:ind w:right="-28"/>
              <w:rPr>
                <w:rFonts w:eastAsia="Times New Roman"/>
                <w:b/>
                <w:color w:val="FFFFFF" w:themeColor="background1"/>
                <w:lang w:eastAsia="en-US"/>
              </w:rPr>
            </w:pPr>
            <w:r>
              <w:rPr>
                <w:rFonts w:eastAsia="Times New Roman"/>
                <w:b/>
                <w:color w:val="FFFFFF" w:themeColor="background1"/>
                <w:lang w:eastAsia="en-US"/>
              </w:rPr>
              <w:t>Observational studies</w:t>
            </w:r>
          </w:p>
        </w:tc>
      </w:tr>
      <w:tr w:rsidR="001D0FDA" w:rsidRPr="00EB1471" w:rsidTr="001D6161">
        <w:tc>
          <w:tcPr>
            <w:tcW w:w="758"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Sun 2013</w:t>
            </w:r>
            <w:r w:rsidR="001D34EE" w:rsidRPr="001A1C44">
              <w:rPr>
                <w:rFonts w:eastAsia="Times New Roman"/>
                <w:noProof/>
                <w:vertAlign w:val="superscript"/>
                <w:lang w:eastAsia="en-US"/>
              </w:rPr>
              <w:t>51</w:t>
            </w:r>
          </w:p>
          <w:p w:rsidR="001D0FDA" w:rsidRPr="00D53F84" w:rsidRDefault="001D0FDA" w:rsidP="001D0FDA">
            <w:pPr>
              <w:pStyle w:val="Tabletext"/>
              <w:ind w:right="-28"/>
              <w:rPr>
                <w:rFonts w:eastAsia="Times New Roman"/>
                <w:lang w:eastAsia="en-US"/>
              </w:rPr>
            </w:pPr>
            <w:r w:rsidRPr="00D53F84">
              <w:rPr>
                <w:rFonts w:eastAsia="Times New Roman"/>
                <w:lang w:eastAsia="en-US"/>
              </w:rPr>
              <w:t>2005-2011</w:t>
            </w:r>
          </w:p>
          <w:p w:rsidR="001D0FDA" w:rsidRPr="00D53F84" w:rsidRDefault="001D0FDA" w:rsidP="001D0FDA">
            <w:pPr>
              <w:pStyle w:val="Tabletext"/>
              <w:ind w:right="-28"/>
              <w:rPr>
                <w:rFonts w:eastAsia="Times New Roman"/>
                <w:lang w:eastAsia="en-US"/>
              </w:rPr>
            </w:pPr>
            <w:r w:rsidRPr="00D53F84">
              <w:rPr>
                <w:rFonts w:eastAsia="Times New Roman"/>
                <w:lang w:eastAsia="en-US"/>
              </w:rPr>
              <w:t>China</w:t>
            </w:r>
          </w:p>
        </w:tc>
        <w:tc>
          <w:tcPr>
            <w:tcW w:w="686"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Retrospective and prospective cohort</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3.0 years</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 xml:space="preserve">Moderate </w:t>
            </w:r>
          </w:p>
        </w:tc>
        <w:tc>
          <w:tcPr>
            <w:tcW w:w="801"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N=121</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WHO FC I-IV</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PAH-CHD</w:t>
            </w:r>
          </w:p>
        </w:tc>
        <w:tc>
          <w:tcPr>
            <w:tcW w:w="869"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SIL daily dose of 60-100</w:t>
            </w:r>
            <w:r w:rsidR="00570FC8">
              <w:rPr>
                <w:rFonts w:eastAsia="Times New Roman"/>
                <w:snapToGrid w:val="0"/>
                <w:lang w:eastAsia="en-US"/>
              </w:rPr>
              <w:t> mg</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Conventional therapy</w:t>
            </w:r>
          </w:p>
          <w:p w:rsidR="001D0FDA" w:rsidRPr="00D53F84" w:rsidRDefault="001D0FDA" w:rsidP="001D0FDA">
            <w:pPr>
              <w:pStyle w:val="Tabletext"/>
              <w:ind w:right="-28"/>
              <w:rPr>
                <w:rFonts w:eastAsia="Times New Roman"/>
                <w:snapToGrid w:val="0"/>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No background therapy</w:t>
            </w:r>
          </w:p>
        </w:tc>
        <w:tc>
          <w:tcPr>
            <w:tcW w:w="725"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RQ 1</w:t>
            </w:r>
          </w:p>
          <w:p w:rsidR="001D0FDA" w:rsidRPr="00D53F84" w:rsidRDefault="001D0FDA" w:rsidP="001D0FDA">
            <w:pPr>
              <w:pStyle w:val="Tabletext"/>
              <w:ind w:right="-28"/>
              <w:rPr>
                <w:rFonts w:eastAsia="Times New Roman"/>
                <w:snapToGrid w:val="0"/>
                <w:lang w:eastAsia="en-US"/>
              </w:rPr>
            </w:pPr>
            <w:r w:rsidRPr="00D53F84">
              <w:rPr>
                <w:rFonts w:eastAsia="Times New Roman"/>
                <w:snapToGrid w:val="0"/>
                <w:lang w:eastAsia="en-US"/>
              </w:rPr>
              <w:t>Subgroup of patients with WHO FC I-II PAH (n=76)</w:t>
            </w:r>
          </w:p>
        </w:tc>
        <w:tc>
          <w:tcPr>
            <w:tcW w:w="1160"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EB1471" w:rsidRDefault="001D0FDA" w:rsidP="00480FDF">
            <w:pPr>
              <w:pStyle w:val="Tabletext"/>
              <w:numPr>
                <w:ilvl w:val="0"/>
                <w:numId w:val="55"/>
              </w:numPr>
              <w:ind w:left="101" w:right="-28" w:hanging="101"/>
              <w:rPr>
                <w:rFonts w:eastAsia="Times New Roman"/>
                <w:lang w:eastAsia="en-US"/>
              </w:rPr>
            </w:pPr>
            <w:r w:rsidRPr="00EB1471">
              <w:rPr>
                <w:rFonts w:eastAsia="Times New Roman"/>
                <w:lang w:eastAsia="en-US"/>
              </w:rPr>
              <w:t>Mortality</w:t>
            </w:r>
          </w:p>
        </w:tc>
      </w:tr>
      <w:tr w:rsidR="001D0FDA" w:rsidRPr="00EB1471" w:rsidTr="001D6161">
        <w:tc>
          <w:tcPr>
            <w:tcW w:w="758"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Sastry 2007</w:t>
            </w:r>
            <w:r w:rsidR="001D34EE" w:rsidRPr="001A1C44">
              <w:rPr>
                <w:rFonts w:eastAsia="Times New Roman"/>
                <w:noProof/>
                <w:vertAlign w:val="superscript"/>
                <w:lang w:eastAsia="en-US"/>
              </w:rPr>
              <w:t>52</w:t>
            </w:r>
          </w:p>
          <w:p w:rsidR="001D0FDA" w:rsidRPr="00D53F84" w:rsidRDefault="001D0FDA" w:rsidP="001D0FDA">
            <w:pPr>
              <w:pStyle w:val="Tabletext"/>
              <w:ind w:right="-28"/>
              <w:rPr>
                <w:rFonts w:eastAsia="Times New Roman"/>
                <w:lang w:eastAsia="en-US"/>
              </w:rPr>
            </w:pPr>
            <w:r w:rsidRPr="00D53F84">
              <w:rPr>
                <w:rFonts w:eastAsia="Times New Roman"/>
                <w:lang w:eastAsia="en-US"/>
              </w:rPr>
              <w:t>1999-2006</w:t>
            </w:r>
          </w:p>
          <w:p w:rsidR="001D0FDA" w:rsidRPr="00D53F84" w:rsidRDefault="001D0FDA" w:rsidP="001D0FDA">
            <w:pPr>
              <w:pStyle w:val="Tabletext"/>
              <w:ind w:right="-28"/>
              <w:rPr>
                <w:rFonts w:eastAsia="Times New Roman"/>
                <w:lang w:eastAsia="en-US"/>
              </w:rPr>
            </w:pPr>
            <w:r w:rsidRPr="00D53F84">
              <w:rPr>
                <w:rFonts w:eastAsia="Times New Roman"/>
                <w:lang w:eastAsia="en-US"/>
              </w:rPr>
              <w:t>India</w:t>
            </w:r>
          </w:p>
        </w:tc>
        <w:tc>
          <w:tcPr>
            <w:tcW w:w="686"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Historical control study</w:t>
            </w:r>
          </w:p>
          <w:p w:rsidR="001D0FDA" w:rsidRDefault="001D0FDA" w:rsidP="001D0FDA">
            <w:pPr>
              <w:pStyle w:val="Tabletext"/>
              <w:ind w:right="-28"/>
              <w:rPr>
                <w:rFonts w:eastAsia="Times New Roman"/>
                <w:lang w:eastAsia="en-US"/>
              </w:rPr>
            </w:pPr>
            <w:r w:rsidRPr="00D53F84">
              <w:rPr>
                <w:rFonts w:eastAsia="Times New Roman"/>
                <w:lang w:eastAsia="en-US"/>
              </w:rPr>
              <w:t>Up to 5 years</w:t>
            </w:r>
          </w:p>
          <w:p w:rsidR="001D0FDA" w:rsidRPr="00D53F84" w:rsidRDefault="001D0FDA" w:rsidP="001D0FDA">
            <w:pPr>
              <w:pStyle w:val="Tabletext"/>
              <w:ind w:right="-28"/>
              <w:rPr>
                <w:rFonts w:eastAsia="Times New Roman"/>
                <w:snapToGrid w:val="0"/>
                <w:lang w:eastAsia="en-US"/>
              </w:rPr>
            </w:pPr>
            <w:r>
              <w:rPr>
                <w:rFonts w:eastAsia="Times New Roman"/>
                <w:lang w:eastAsia="en-US"/>
              </w:rPr>
              <w:t>Moderate-to-high</w:t>
            </w:r>
          </w:p>
        </w:tc>
        <w:tc>
          <w:tcPr>
            <w:tcW w:w="80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N=178</w:t>
            </w:r>
          </w:p>
          <w:p w:rsidR="001D0FDA" w:rsidRPr="00D53F84" w:rsidRDefault="001D0FDA" w:rsidP="001D0FDA">
            <w:pPr>
              <w:pStyle w:val="Tabletext"/>
              <w:ind w:right="-28"/>
              <w:rPr>
                <w:rFonts w:eastAsia="Times New Roman"/>
                <w:lang w:eastAsia="en-US"/>
              </w:rPr>
            </w:pPr>
            <w:r w:rsidRPr="00D53F84">
              <w:rPr>
                <w:rFonts w:eastAsia="Times New Roman"/>
                <w:lang w:eastAsia="en-US"/>
              </w:rPr>
              <w:t>WHO II-IV</w:t>
            </w:r>
          </w:p>
          <w:p w:rsidR="001D0FDA" w:rsidRPr="00D53F84" w:rsidRDefault="001D0FDA" w:rsidP="001D0FDA">
            <w:pPr>
              <w:pStyle w:val="Tabletext"/>
              <w:ind w:right="-28"/>
              <w:rPr>
                <w:rFonts w:eastAsia="Times New Roman"/>
                <w:snapToGrid w:val="0"/>
                <w:lang w:eastAsia="en-US"/>
              </w:rPr>
            </w:pPr>
            <w:r w:rsidRPr="00D53F84">
              <w:rPr>
                <w:rFonts w:eastAsia="Times New Roman"/>
                <w:lang w:eastAsia="en-US"/>
              </w:rPr>
              <w:t>IPAH</w:t>
            </w:r>
          </w:p>
        </w:tc>
        <w:tc>
          <w:tcPr>
            <w:tcW w:w="869"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SIL 25-50</w:t>
            </w:r>
            <w:r w:rsidR="00570FC8">
              <w:rPr>
                <w:rFonts w:eastAsia="Times New Roman"/>
                <w:lang w:eastAsia="en-US"/>
              </w:rPr>
              <w:t> mg</w:t>
            </w:r>
            <w:r>
              <w:rPr>
                <w:rFonts w:eastAsia="Times New Roman"/>
                <w:lang w:eastAsia="en-US"/>
              </w:rPr>
              <w:t xml:space="preserve"> tid</w:t>
            </w:r>
          </w:p>
          <w:p w:rsidR="001D0FDA" w:rsidRPr="00D53F84" w:rsidRDefault="001D0FDA" w:rsidP="001D0FDA">
            <w:pPr>
              <w:pStyle w:val="Tabletext"/>
              <w:ind w:right="-28"/>
              <w:rPr>
                <w:rFonts w:eastAsia="Times New Roman"/>
                <w:lang w:eastAsia="en-US"/>
              </w:rPr>
            </w:pPr>
            <w:r w:rsidRPr="00D53F84">
              <w:rPr>
                <w:rFonts w:eastAsia="Times New Roman"/>
                <w:lang w:eastAsia="en-US"/>
              </w:rPr>
              <w:t>Conventional therapy</w:t>
            </w:r>
          </w:p>
          <w:p w:rsidR="001D0FDA" w:rsidRPr="00D53F84" w:rsidRDefault="001D0FDA" w:rsidP="001D0FDA">
            <w:pPr>
              <w:pStyle w:val="Tabletext"/>
              <w:ind w:right="-28"/>
              <w:rPr>
                <w:rFonts w:eastAsia="Times New Roman"/>
                <w:lang w:eastAsia="en-US"/>
              </w:rPr>
            </w:pPr>
          </w:p>
          <w:p w:rsidR="001D0FDA" w:rsidRPr="00D53F84" w:rsidRDefault="001D0FDA" w:rsidP="001D0FDA">
            <w:pPr>
              <w:pStyle w:val="Tabletext"/>
              <w:ind w:right="-28"/>
              <w:rPr>
                <w:rFonts w:eastAsia="Times New Roman"/>
                <w:snapToGrid w:val="0"/>
                <w:lang w:eastAsia="en-US"/>
              </w:rPr>
            </w:pPr>
            <w:r w:rsidRPr="00D53F84">
              <w:rPr>
                <w:rFonts w:eastAsia="Times New Roman"/>
                <w:lang w:eastAsia="en-US"/>
              </w:rPr>
              <w:t>No background therapy</w:t>
            </w:r>
          </w:p>
        </w:tc>
        <w:tc>
          <w:tcPr>
            <w:tcW w:w="725" w:type="pct"/>
            <w:shd w:val="clear" w:color="auto" w:fill="auto"/>
            <w:tcMar>
              <w:left w:w="108" w:type="dxa"/>
              <w:right w:w="108" w:type="dxa"/>
            </w:tcMar>
          </w:tcPr>
          <w:p w:rsidR="001D0FDA" w:rsidRPr="00D53F84" w:rsidRDefault="001D0FDA" w:rsidP="001D0FDA">
            <w:pPr>
              <w:pStyle w:val="Tabletext"/>
              <w:ind w:right="-28"/>
              <w:rPr>
                <w:rFonts w:eastAsia="Times New Roman"/>
                <w:lang w:eastAsia="en-US"/>
              </w:rPr>
            </w:pPr>
            <w:r w:rsidRPr="00D53F84">
              <w:rPr>
                <w:rFonts w:eastAsia="Times New Roman"/>
                <w:lang w:eastAsia="en-US"/>
              </w:rPr>
              <w:t>RQ 1</w:t>
            </w:r>
          </w:p>
          <w:p w:rsidR="001D0FDA" w:rsidRPr="00D53F84" w:rsidRDefault="001D0FDA" w:rsidP="001D0FDA">
            <w:pPr>
              <w:pStyle w:val="Tabletext"/>
              <w:ind w:right="-28"/>
              <w:rPr>
                <w:rFonts w:eastAsia="Times New Roman"/>
                <w:snapToGrid w:val="0"/>
                <w:lang w:eastAsia="en-US"/>
              </w:rPr>
            </w:pPr>
            <w:r w:rsidRPr="00D53F84">
              <w:rPr>
                <w:rFonts w:eastAsia="Times New Roman"/>
                <w:lang w:eastAsia="en-US"/>
              </w:rPr>
              <w:t>Subgroup of patients with WHO FC I-II PAH (n=79)</w:t>
            </w:r>
          </w:p>
        </w:tc>
        <w:tc>
          <w:tcPr>
            <w:tcW w:w="1160"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1D0FDA" w:rsidRPr="00D53F84" w:rsidRDefault="001D0FDA" w:rsidP="00480FDF">
            <w:pPr>
              <w:pStyle w:val="Tabletext"/>
              <w:numPr>
                <w:ilvl w:val="0"/>
                <w:numId w:val="55"/>
              </w:numPr>
              <w:ind w:left="101" w:right="-28" w:hanging="101"/>
              <w:rPr>
                <w:rFonts w:eastAsia="Times New Roman"/>
                <w:lang w:eastAsia="en-US"/>
              </w:rPr>
            </w:pPr>
            <w:r w:rsidRPr="00D53F84">
              <w:rPr>
                <w:rFonts w:eastAsia="Times New Roman"/>
                <w:lang w:eastAsia="en-US"/>
              </w:rPr>
              <w:t>Mortality</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Number of patients in the control arm and those in the active treatment arm where a </w:t>
      </w:r>
      <w:r>
        <w:t>PAH medicine</w:t>
      </w:r>
      <w:r w:rsidRPr="00EB1471">
        <w:t xml:space="preserve"> was given at the recommended dose regimen. </w:t>
      </w:r>
    </w:p>
    <w:p w:rsidR="006D01E8" w:rsidRPr="00EB1471" w:rsidRDefault="006D01E8" w:rsidP="006D01E8">
      <w:pPr>
        <w:pStyle w:val="Tablenote"/>
      </w:pPr>
      <w:proofErr w:type="gramStart"/>
      <w:r>
        <w:rPr>
          <w:vertAlign w:val="superscript"/>
        </w:rPr>
        <w:t>b</w:t>
      </w:r>
      <w:proofErr w:type="gramEnd"/>
      <w:r w:rsidRPr="00EB1471">
        <w:t xml:space="preserve"> Only including the active treatment arm where a </w:t>
      </w:r>
      <w:r>
        <w:t>PAH medicine</w:t>
      </w:r>
      <w:r w:rsidRPr="00EB1471">
        <w:t xml:space="preserve"> was given at the recommended dose regimen. The dose presented was the target dose. Patients could have received a </w:t>
      </w:r>
      <w:r>
        <w:t>PAH medicine</w:t>
      </w:r>
      <w:r w:rsidRPr="00EB1471">
        <w:t xml:space="preserve"> at a lower initial dose. </w:t>
      </w:r>
    </w:p>
    <w:p w:rsidR="006D01E8" w:rsidRPr="00EB1471" w:rsidRDefault="006D01E8" w:rsidP="006D01E8">
      <w:pPr>
        <w:pStyle w:val="Tablenote"/>
      </w:pPr>
      <w:proofErr w:type="gramStart"/>
      <w:r w:rsidRPr="00EB1471">
        <w:rPr>
          <w:vertAlign w:val="superscript"/>
        </w:rPr>
        <w:t>c</w:t>
      </w:r>
      <w:proofErr w:type="gramEnd"/>
      <w:r w:rsidRPr="00EB1471">
        <w:t xml:space="preserve"> Publication year. Information on the study period was not available.</w:t>
      </w:r>
    </w:p>
    <w:p w:rsidR="006D01E8" w:rsidRPr="00EB1471" w:rsidRDefault="006D01E8" w:rsidP="006D01E8">
      <w:pPr>
        <w:pStyle w:val="Tablenote"/>
      </w:pPr>
      <w:proofErr w:type="gramStart"/>
      <w:r w:rsidRPr="00EB1471">
        <w:rPr>
          <w:vertAlign w:val="superscript"/>
        </w:rPr>
        <w:t>d</w:t>
      </w:r>
      <w:proofErr w:type="gramEnd"/>
      <w:r w:rsidRPr="00EB1471">
        <w:t xml:space="preserve"> </w:t>
      </w:r>
      <w:r w:rsidR="00246F7A">
        <w:t xml:space="preserve">The name </w:t>
      </w:r>
      <w:r w:rsidR="00246F7A" w:rsidRPr="00246F7A">
        <w:t xml:space="preserve">New York Heart Association </w:t>
      </w:r>
      <w:r w:rsidR="00246F7A">
        <w:t xml:space="preserve">FC, instead of WHO FC, was used in the study. However, the description for each class in these two FC classifications is generally similar. </w:t>
      </w:r>
    </w:p>
    <w:p w:rsidR="00246F7A" w:rsidRDefault="006D01E8" w:rsidP="006D01E8">
      <w:pPr>
        <w:pStyle w:val="Tablenote"/>
      </w:pPr>
      <w:proofErr w:type="gramStart"/>
      <w:r w:rsidRPr="00EB1471">
        <w:rPr>
          <w:vertAlign w:val="superscript"/>
        </w:rPr>
        <w:t>e</w:t>
      </w:r>
      <w:proofErr w:type="gramEnd"/>
      <w:r w:rsidRPr="00EB1471">
        <w:t xml:space="preserve"> </w:t>
      </w:r>
      <w:r w:rsidR="00246F7A" w:rsidRPr="00EB1471">
        <w:t>Haemodynamic parameters include cardiac index, pulmonary arterial pressure, pulmonary vascular resistance, pulmonary capillary wedge pressure and right atrial pressure.</w:t>
      </w:r>
    </w:p>
    <w:p w:rsidR="006D01E8" w:rsidRPr="00EB1471" w:rsidRDefault="00246F7A" w:rsidP="006D01E8">
      <w:pPr>
        <w:pStyle w:val="Tablenote"/>
      </w:pPr>
      <w:proofErr w:type="gramStart"/>
      <w:r>
        <w:rPr>
          <w:vertAlign w:val="superscript"/>
        </w:rPr>
        <w:t>f</w:t>
      </w:r>
      <w:proofErr w:type="gramEnd"/>
      <w:r>
        <w:t xml:space="preserve"> </w:t>
      </w:r>
      <w:r w:rsidR="006D01E8" w:rsidRPr="00EB1471">
        <w:t xml:space="preserve">The bosentan monotherapy arm was excluded from the review, given that a non-trivial proportion of patients (28.6% (2 out of 7)) in this treatment group had CTEPH, not PAH. </w:t>
      </w:r>
    </w:p>
    <w:p w:rsidR="001D0FDA" w:rsidRPr="00EB1471" w:rsidRDefault="001D0FDA" w:rsidP="001D0FDA">
      <w:pPr>
        <w:pStyle w:val="Tablenote"/>
      </w:pPr>
      <w:proofErr w:type="gramStart"/>
      <w:r w:rsidRPr="00EB1471">
        <w:t>6MWD = 6-minute walk distance; AMB = ambrisentan; bid</w:t>
      </w:r>
      <w:r w:rsidRPr="00EB1471">
        <w:rPr>
          <w:i/>
        </w:rPr>
        <w:t xml:space="preserve"> </w:t>
      </w:r>
      <w:r w:rsidRPr="00EB1471">
        <w:t xml:space="preserve">= twice daily; BOS = bosentan; CTEPH = chronic thromboembolic pulmonary hypertension; DB = double-blinded; EPO = epoprostenol; EQ-5D = EuroQoL 5 dimensions; </w:t>
      </w:r>
      <w:r w:rsidR="00107963" w:rsidRPr="00107963">
        <w:t>EQ-VAS = EuroQoL visual analogue scale</w:t>
      </w:r>
      <w:r w:rsidR="00107963">
        <w:t xml:space="preserve">; </w:t>
      </w:r>
      <w:r w:rsidRPr="00EB1471">
        <w:t>ERA = endothelin receptor antagonist; FC = functional class; HPAH = heritable pulmonary arterial hypertension; IPAH = idiopathic pulmonary arterial hypertension; ILO = iloprost</w:t>
      </w:r>
      <w:r w:rsidR="001C295E">
        <w:t>;</w:t>
      </w:r>
      <w:r w:rsidR="001C295E" w:rsidRPr="001C295E">
        <w:t xml:space="preserve"> </w:t>
      </w:r>
      <w:r w:rsidR="001C295E">
        <w:t xml:space="preserve">LPH = Living with pulmonary hypertension; MLHF = Minnesota living with heart failure; </w:t>
      </w:r>
      <w:r w:rsidRPr="00EB1471">
        <w:t>od</w:t>
      </w:r>
      <w:r w:rsidRPr="00EB1471">
        <w:rPr>
          <w:i/>
        </w:rPr>
        <w:t xml:space="preserve"> </w:t>
      </w:r>
      <w:r w:rsidRPr="00EB1471">
        <w:t>= once daily; PDE-5 = phosphodiesterase type 5; OL = open-label; PAH = pulmonary arterial hypertension; PAH-CHD = pulmonary arterial hypertension associated with congenital heart disease; PAH-CTD = pulmonary arterial hypertension associated with connective tissue disease; PAH-DT = drug/toxin-induced pulmonary arterial hypertension; PAH-HIV = pulmonary arterial hypertension associated with human immunodeficiency virus infection; PAH-PH = pulmonary arterial hypertension associated with portal hypertension; PBO = placebo; PRO = prostanoid; QoL = quality of life; RCT = randomised controlled trial; RQ = research question; SF-36 = 36-Item Short Form Survey; SIL = sildenafil;</w:t>
      </w:r>
      <w:r w:rsidRPr="00EB1471">
        <w:rPr>
          <w:i/>
        </w:rPr>
        <w:t xml:space="preserve"> </w:t>
      </w:r>
      <w:r w:rsidRPr="00EB1471">
        <w:t>TAD = tadalafil; tid</w:t>
      </w:r>
      <w:r w:rsidRPr="00EB1471">
        <w:rPr>
          <w:i/>
        </w:rPr>
        <w:t xml:space="preserve"> </w:t>
      </w:r>
      <w:r w:rsidRPr="00EB1471">
        <w:t>= three times a day; WHO = World Health Organization</w:t>
      </w:r>
      <w:proofErr w:type="gramEnd"/>
    </w:p>
    <w:p w:rsidR="001D0FDA" w:rsidRPr="00116E63" w:rsidRDefault="001D0FDA" w:rsidP="001D0FDA">
      <w:r w:rsidRPr="00EB1471">
        <w:t>Patients in three of the 19 trials (AMBITION, COMPASS-2 and SERAPHIN) were follow</w:t>
      </w:r>
      <w:r w:rsidR="00116E63">
        <w:t>ed up for &gt;1.5 </w:t>
      </w:r>
      <w:r w:rsidRPr="00116E63">
        <w:t>years</w:t>
      </w:r>
      <w:proofErr w:type="gramStart"/>
      <w:r w:rsidRPr="00EB1471">
        <w:t>;</w:t>
      </w:r>
      <w:proofErr w:type="gramEnd"/>
      <w:r w:rsidRPr="00EB1471">
        <w:t xml:space="preserve"> whilst the other 16 RCTs had a short follow-up period of ≤6 months. More than half of the RCTs commenced &gt;10 years ago</w:t>
      </w:r>
      <w:r>
        <w:t>;</w:t>
      </w:r>
      <w:r w:rsidRPr="00EB1471">
        <w:t xml:space="preserve"> since then the management of PAH has changed with the development of targeted medical therapies and overall improvements in surgical treatment optio</w:t>
      </w:r>
      <w:r w:rsidR="00B603BC">
        <w:t>ns and general supportive care.</w:t>
      </w:r>
    </w:p>
    <w:p w:rsidR="001D0FDA" w:rsidRPr="00EB1471" w:rsidRDefault="001D0FDA" w:rsidP="001D0FDA">
      <w:r w:rsidRPr="00EB1471">
        <w:t>The two open-label trials (COMBI and Han 2017) had a high risk of bias. The remaining 17 RCTs were double-blinded</w:t>
      </w:r>
      <w:r>
        <w:t>. Five of these</w:t>
      </w:r>
      <w:r w:rsidRPr="00EB1471">
        <w:t xml:space="preserve"> had a low risk of bias (AMBITION, EARLY, PACES-1, PATENT-PLUS, and STEP) and 12 </w:t>
      </w:r>
      <w:r>
        <w:t>had</w:t>
      </w:r>
      <w:r w:rsidRPr="00EB1471">
        <w:t xml:space="preserve"> a low-to-moderate risk of bias (ARIES-1, ARIES-2, </w:t>
      </w:r>
      <w:proofErr w:type="gramStart"/>
      <w:r w:rsidRPr="00EB1471">
        <w:t>BREATHE</w:t>
      </w:r>
      <w:proofErr w:type="gramEnd"/>
      <w:r w:rsidRPr="00EB1471">
        <w:t>-2, COMPASS-2, Mainguy 2013, Mukhopadhyay 2011, PATENT-1, PHIRST, SERAPHIN, SUPER-</w:t>
      </w:r>
      <w:r w:rsidR="00B603BC">
        <w:t>1, Vizza 2017 and Zhuang 2014).</w:t>
      </w:r>
    </w:p>
    <w:p w:rsidR="001D0FDA" w:rsidRPr="00EB1471" w:rsidRDefault="001D0FDA" w:rsidP="001D0FDA">
      <w:r w:rsidRPr="00EB1471">
        <w:t xml:space="preserve">None of the trials </w:t>
      </w:r>
      <w:r>
        <w:t xml:space="preserve">solely </w:t>
      </w:r>
      <w:r w:rsidRPr="00EB1471">
        <w:t xml:space="preserve">compared PAH monotherapy with placebo/no treatment or another </w:t>
      </w:r>
      <w:r>
        <w:t>PAH medicine</w:t>
      </w:r>
      <w:r w:rsidRPr="00EB1471">
        <w:t xml:space="preserve"> in a population of patients with </w:t>
      </w:r>
      <w:r>
        <w:t>WHO FC I/II PAH</w:t>
      </w:r>
      <w:r w:rsidRPr="00EB1471">
        <w:t xml:space="preserve">. Data from relevant subgroups from eight RCTs (ARIES-1, ARIES-2, EARLY, Mukhopadhyay 2011, PATENT-1, PHIRST, SERAPHIN and SUPER-1) were therefore analysed to address </w:t>
      </w:r>
      <w:r w:rsidR="001F432E">
        <w:t>r</w:t>
      </w:r>
      <w:r w:rsidRPr="00EB1471">
        <w:t xml:space="preserve">esearch question 1. Of these trials, EARLY was the only study that solely included patients with WHO FC I/II PAH and randomisation </w:t>
      </w:r>
      <w:proofErr w:type="gramStart"/>
      <w:r w:rsidRPr="00EB1471">
        <w:t>was stratified</w:t>
      </w:r>
      <w:proofErr w:type="gramEnd"/>
      <w:r w:rsidRPr="00EB1471">
        <w:t xml:space="preserve"> according to background sildenafil use. This trial had low risk of bias and confounding. </w:t>
      </w:r>
      <w:r>
        <w:t>I</w:t>
      </w:r>
      <w:r w:rsidRPr="00EB1471">
        <w:t xml:space="preserve">n the other seven </w:t>
      </w:r>
      <w:proofErr w:type="gramStart"/>
      <w:r>
        <w:t>RCTs which</w:t>
      </w:r>
      <w:proofErr w:type="gramEnd"/>
      <w:r>
        <w:t xml:space="preserve"> involved a mixed population of WHO FC I/II and III/IV, b</w:t>
      </w:r>
      <w:r w:rsidRPr="00EB1471">
        <w:t>aseline WHO FC was not a stratification factor. Therefore, the patient characteristics at baseline might not be comparable between intervention and control arms in the WHO FC I/II, no background therapy subgroup, thereby introducing the risk of biased findings.</w:t>
      </w:r>
    </w:p>
    <w:p w:rsidR="001D0FDA" w:rsidRPr="00EB1471" w:rsidRDefault="001D0FDA" w:rsidP="001D0FDA">
      <w:r w:rsidRPr="00EB1471">
        <w:t xml:space="preserve">Eleven trials compared PAH dual therapy with monotherapy (AMBITION, BREATHE-2, COMBI, COMPASS, Han 2017, Mainguy 2013, PACES-1, PATENT-PLUS, STEP, Vizza 2017 and Zhuang 2014). Results of these trials, in addition to the subgroups of patients with background therapy from four RCTs (EARLY, PATENT-1, PHIRST and SERAPHIN), addressed </w:t>
      </w:r>
      <w:r w:rsidR="001F432E">
        <w:t>r</w:t>
      </w:r>
      <w:r w:rsidRPr="00EB1471">
        <w:t xml:space="preserve">esearch question 3. SERAPHIN was the only RCT that included a mixture of subjects with and without background therapy, with randomisation that </w:t>
      </w:r>
      <w:proofErr w:type="gramStart"/>
      <w:r w:rsidRPr="00EB1471">
        <w:t>was not stratified</w:t>
      </w:r>
      <w:proofErr w:type="gramEnd"/>
      <w:r w:rsidRPr="00EB1471">
        <w:t xml:space="preserve"> by this factor. As data on baseline characteristics </w:t>
      </w:r>
      <w:proofErr w:type="gramStart"/>
      <w:r w:rsidRPr="00EB1471">
        <w:t>were not provided</w:t>
      </w:r>
      <w:proofErr w:type="gramEnd"/>
      <w:r w:rsidRPr="00EB1471">
        <w:t xml:space="preserve"> in the subgroup of patients with background therapy across the treatment arms, results of the subgroup analyses from SERAPHIN are subject to bias and confounding. The majority of the included trials examined sequential combination therapy in PAH patients who had already been stabilised on background monotherapy, with only three RCTs (AMBITION, BREATHE-2 and Han 2017) comparing upfront combination therapy </w:t>
      </w:r>
      <w:r w:rsidRPr="00EB1471">
        <w:rPr>
          <w:i/>
        </w:rPr>
        <w:t xml:space="preserve">versus </w:t>
      </w:r>
      <w:r w:rsidRPr="00EB1471">
        <w:t>monothera</w:t>
      </w:r>
      <w:r w:rsidR="00D60D8E">
        <w:t>py in treatment-naïve patients.</w:t>
      </w:r>
    </w:p>
    <w:p w:rsidR="001D0FDA" w:rsidRPr="00EB1471" w:rsidRDefault="001D0FDA" w:rsidP="001D0FDA">
      <w:r w:rsidRPr="00EB1471">
        <w:t xml:space="preserve">There were no RCTs identified that fitted the selection criteria determined </w:t>
      </w:r>
      <w:r w:rsidRPr="00EB1471">
        <w:rPr>
          <w:i/>
        </w:rPr>
        <w:t>a priori</w:t>
      </w:r>
      <w:r w:rsidRPr="00EB1471">
        <w:t xml:space="preserve"> for </w:t>
      </w:r>
      <w:r w:rsidR="001F432E">
        <w:t>r</w:t>
      </w:r>
      <w:r w:rsidRPr="00EB1471">
        <w:t xml:space="preserve">esearch question </w:t>
      </w:r>
      <w:proofErr w:type="gramStart"/>
      <w:r w:rsidRPr="00EB1471">
        <w:t>2</w:t>
      </w:r>
      <w:proofErr w:type="gramEnd"/>
      <w:r w:rsidRPr="00EB1471">
        <w:t xml:space="preserve"> (new evidence comparing PAH monotherapy </w:t>
      </w:r>
      <w:r w:rsidRPr="00EB1471">
        <w:rPr>
          <w:i/>
        </w:rPr>
        <w:t xml:space="preserve">versus </w:t>
      </w:r>
      <w:r w:rsidRPr="00EB1471">
        <w:t xml:space="preserve">the PBAC-accepted main comparator for treatment of WHO FC III/IV) and </w:t>
      </w:r>
      <w:r w:rsidR="001F432E">
        <w:t>r</w:t>
      </w:r>
      <w:r w:rsidRPr="00EB1471">
        <w:t xml:space="preserve">esearch question 4 (triple therapy </w:t>
      </w:r>
      <w:r w:rsidRPr="00EB1471">
        <w:rPr>
          <w:i/>
        </w:rPr>
        <w:t xml:space="preserve">versus </w:t>
      </w:r>
      <w:r w:rsidRPr="00EB1471">
        <w:t>dual therapy).</w:t>
      </w:r>
    </w:p>
    <w:p w:rsidR="001D0FDA" w:rsidRPr="00EB1471" w:rsidRDefault="001D0FDA" w:rsidP="001D0FDA">
      <w:r w:rsidRPr="00EB1471">
        <w:t>Two observational studies</w:t>
      </w:r>
      <w:r w:rsidRPr="00EB1471">
        <w:rPr>
          <w:i/>
        </w:rPr>
        <w:t xml:space="preserve"> </w:t>
      </w:r>
      <w:r w:rsidRPr="00EB1471">
        <w:t xml:space="preserve">were identified by the systematic </w:t>
      </w:r>
      <w:proofErr w:type="gramStart"/>
      <w:r w:rsidRPr="00EB1471">
        <w:t>review which</w:t>
      </w:r>
      <w:proofErr w:type="gramEnd"/>
      <w:r w:rsidRPr="00EB1471">
        <w:t xml:space="preserve"> reported long-term survival data in PAH patients receiving sildenafil in addition to conventional therapy and in those treated with conventional therapy only</w:t>
      </w:r>
      <w:r>
        <w:t xml:space="preserve">. One of these had </w:t>
      </w:r>
      <w:r w:rsidRPr="00EB1471">
        <w:t xml:space="preserve">concurrent controls (Sun 2013) and the other </w:t>
      </w:r>
      <w:r>
        <w:t>had</w:t>
      </w:r>
      <w:r w:rsidRPr="00EB1471">
        <w:t xml:space="preserve"> a historical control group (Sastry 2007). Mortality results of the WHO FC I/II subgroup from these two studies </w:t>
      </w:r>
      <w:proofErr w:type="gramStart"/>
      <w:r w:rsidRPr="00EB1471">
        <w:t>were presented</w:t>
      </w:r>
      <w:proofErr w:type="gramEnd"/>
      <w:r w:rsidRPr="00EB1471">
        <w:t xml:space="preserve"> to address </w:t>
      </w:r>
      <w:r w:rsidR="001F432E">
        <w:t>r</w:t>
      </w:r>
      <w:r w:rsidRPr="00EB1471">
        <w:t xml:space="preserve">esearch question 1 as none of the identified RCTs (higher level of evidence) provided survival data associated with a PDE-5 inhibitor as monotherapy relative to no treatment/placebo in patients with WHO FC I/II PAH. However, the WHO FC I/II subgroup results </w:t>
      </w:r>
      <w:proofErr w:type="gramStart"/>
      <w:r w:rsidRPr="00EB1471">
        <w:t>should be interpreted</w:t>
      </w:r>
      <w:proofErr w:type="gramEnd"/>
      <w:r w:rsidRPr="00EB1471">
        <w:t xml:space="preserve"> with caution due to the potential for confounding, as no information on the patient characteristics of this subgroup was provided in the study report. Although mortality </w:t>
      </w:r>
      <w:r>
        <w:t xml:space="preserve">data </w:t>
      </w:r>
      <w:r w:rsidRPr="00EB1471">
        <w:t xml:space="preserve">for </w:t>
      </w:r>
      <w:r>
        <w:t xml:space="preserve">the </w:t>
      </w:r>
      <w:r w:rsidRPr="00EB1471">
        <w:t>WHO FC III/IV PAH subgroup were also reported by Sun 2013 and Sastry 2007, the studies did not fulfil the selection criteria for Research question 2, given that ‘conventional therapy’ was not the main comparator accepted by the PBAC when it recommended the listing of sildenafil. An indirect comparison of sildenafil with</w:t>
      </w:r>
      <w:r w:rsidRPr="00EB1471">
        <w:rPr>
          <w:i/>
        </w:rPr>
        <w:t xml:space="preserve"> </w:t>
      </w:r>
      <w:r w:rsidRPr="00EB1471">
        <w:t xml:space="preserve">the main comparator bosentan, </w:t>
      </w:r>
      <w:r w:rsidRPr="00EB1471">
        <w:rPr>
          <w:i/>
        </w:rPr>
        <w:t xml:space="preserve">via </w:t>
      </w:r>
      <w:r w:rsidRPr="00EB1471">
        <w:t xml:space="preserve">no treatment/placebo as the reference group, </w:t>
      </w:r>
      <w:proofErr w:type="gramStart"/>
      <w:r w:rsidRPr="00EB1471">
        <w:t>could not be performed</w:t>
      </w:r>
      <w:proofErr w:type="gramEnd"/>
      <w:r w:rsidRPr="00EB1471">
        <w:t xml:space="preserve"> in the review due to the absence of corresponding long-term survival data for bosentan.</w:t>
      </w:r>
    </w:p>
    <w:p w:rsidR="001D0FDA" w:rsidRPr="00EB1471" w:rsidRDefault="001D0FDA" w:rsidP="00480FDF">
      <w:pPr>
        <w:pStyle w:val="Heading4"/>
        <w:numPr>
          <w:ilvl w:val="3"/>
          <w:numId w:val="45"/>
        </w:numPr>
      </w:pPr>
      <w:r>
        <w:t>4.3.4.2</w:t>
      </w:r>
      <w:r>
        <w:tab/>
      </w:r>
      <w:r w:rsidRPr="00EB1471">
        <w:t>Other clinical evidence included for the extended assessment of safety</w:t>
      </w:r>
    </w:p>
    <w:p w:rsidR="001D0FDA" w:rsidRPr="00EB1471" w:rsidRDefault="003951FA" w:rsidP="001D0FDA">
      <w:r>
        <w:t>Table 4.</w:t>
      </w:r>
      <w:r>
        <w:rPr>
          <w:noProof/>
        </w:rPr>
        <w:t>27</w:t>
      </w:r>
      <w:r w:rsidR="001D0FDA">
        <w:t xml:space="preserve"> </w:t>
      </w:r>
      <w:r w:rsidR="001D0FDA" w:rsidRPr="00EB1471">
        <w:t xml:space="preserve">summarises the key features of clinical evidence included for extended assessment of safety of </w:t>
      </w:r>
      <w:r w:rsidR="001D0FDA">
        <w:t>PAH medicine</w:t>
      </w:r>
      <w:r w:rsidR="00B603BC">
        <w:t>s.</w:t>
      </w:r>
    </w:p>
    <w:p w:rsidR="001D0FDA" w:rsidRPr="00EB1471" w:rsidRDefault="001D0FDA" w:rsidP="001D0FDA">
      <w:r w:rsidRPr="00EB1471">
        <w:t>Three RCTs recruiting a mixed population - Mukhopadhyay 2011</w:t>
      </w:r>
      <w:r w:rsidR="001D34EE" w:rsidRPr="001A1C44">
        <w:rPr>
          <w:noProof/>
          <w:vertAlign w:val="superscript"/>
        </w:rPr>
        <w:t>40</w:t>
      </w:r>
      <w:r w:rsidRPr="00EB1471">
        <w:t>, PHIRST</w:t>
      </w:r>
      <w:r w:rsidR="001D34EE" w:rsidRPr="001A1C44">
        <w:rPr>
          <w:noProof/>
          <w:vertAlign w:val="superscript"/>
        </w:rPr>
        <w:t>45</w:t>
      </w:r>
      <w:r w:rsidRPr="00EB1471">
        <w:t xml:space="preserve"> and SUPER-1</w:t>
      </w:r>
      <w:r w:rsidR="001D34EE" w:rsidRPr="001A1C44">
        <w:rPr>
          <w:noProof/>
          <w:vertAlign w:val="superscript"/>
        </w:rPr>
        <w:t>53</w:t>
      </w:r>
      <w:r w:rsidRPr="00EB1471">
        <w:t xml:space="preserve"> - had their clinical effectiveness results reported for the appropriate subgroups of interest, but had their safety results reported as a mixed population</w:t>
      </w:r>
      <w:r>
        <w:t xml:space="preserve">. These </w:t>
      </w:r>
      <w:r w:rsidRPr="00EB1471">
        <w:t xml:space="preserve">data </w:t>
      </w:r>
      <w:proofErr w:type="gramStart"/>
      <w:r w:rsidRPr="00EB1471">
        <w:t>were not previously reviewed</w:t>
      </w:r>
      <w:proofErr w:type="gramEnd"/>
      <w:r w:rsidRPr="00EB1471">
        <w:t xml:space="preserve"> by the PBAC</w:t>
      </w:r>
      <w:r w:rsidR="00B603BC">
        <w:t>.</w:t>
      </w:r>
    </w:p>
    <w:p w:rsidR="001D0FDA" w:rsidRPr="00EB1471" w:rsidRDefault="001D0FDA" w:rsidP="001D0FDA">
      <w:r w:rsidRPr="00EB1471">
        <w:t>There was one RCT involving paediatric patients with WHO FC I-IV PAH which did not provide results of the clinical effectiveness analysis stratified by baseline FC: STARTS-1</w:t>
      </w:r>
      <w:r w:rsidR="001D34EE" w:rsidRPr="001A1C44">
        <w:rPr>
          <w:noProof/>
          <w:vertAlign w:val="superscript"/>
        </w:rPr>
        <w:t>54</w:t>
      </w:r>
      <w:r w:rsidRPr="00EB1471">
        <w:t xml:space="preserve">. This trial was included in the systematic review as supplementary evidence for the extended assessment of the safety of </w:t>
      </w:r>
      <w:r>
        <w:t>PAH medicine</w:t>
      </w:r>
      <w:r w:rsidRPr="00EB1471">
        <w:t>s</w:t>
      </w:r>
      <w:r w:rsidR="00B603BC">
        <w:t xml:space="preserve"> in the overall PAH population.</w:t>
      </w:r>
    </w:p>
    <w:p w:rsidR="001D0FDA" w:rsidRPr="00EB1471" w:rsidRDefault="001D0FDA" w:rsidP="001D0FDA">
      <w:r w:rsidRPr="008D73C9">
        <w:t xml:space="preserve">No short-term observational studies identified by the literature review detected important safety signals which </w:t>
      </w:r>
      <w:proofErr w:type="gramStart"/>
      <w:r w:rsidRPr="008D73C9">
        <w:t xml:space="preserve">had not </w:t>
      </w:r>
      <w:r>
        <w:t xml:space="preserve">already </w:t>
      </w:r>
      <w:r w:rsidRPr="008D73C9">
        <w:t>been noted</w:t>
      </w:r>
      <w:proofErr w:type="gramEnd"/>
      <w:r w:rsidRPr="008D73C9">
        <w:t xml:space="preserve"> by the PBAC/TGA. Safety results of PAH medicines were reported by 43 long-term observational studies, of which 24 were small studies (&lt;50 patients receiving PAH medicines) without new safety signals reported. Thus, </w:t>
      </w:r>
      <w:proofErr w:type="gramStart"/>
      <w:r w:rsidRPr="008D73C9">
        <w:t>a total of 19</w:t>
      </w:r>
      <w:proofErr w:type="gramEnd"/>
      <w:r w:rsidRPr="008D73C9">
        <w:t xml:space="preserve"> observational studies were included for </w:t>
      </w:r>
      <w:r>
        <w:t xml:space="preserve">an </w:t>
      </w:r>
      <w:r w:rsidRPr="008D73C9">
        <w:t xml:space="preserve">extended assessment of </w:t>
      </w:r>
      <w:r>
        <w:t xml:space="preserve">the </w:t>
      </w:r>
      <w:r w:rsidRPr="008D73C9">
        <w:t xml:space="preserve">safety of PAH medicines. Although the study by Sastry et al (2007) included a cohort of patients treated with sildenafil in addition to conventional therapy and </w:t>
      </w:r>
      <w:r>
        <w:t>a historical control group</w:t>
      </w:r>
      <w:r w:rsidRPr="008D73C9">
        <w:t xml:space="preserve"> receiving conventional therapy only, the results of </w:t>
      </w:r>
      <w:r w:rsidR="006B2A7D">
        <w:t>AE</w:t>
      </w:r>
      <w:r w:rsidRPr="008D73C9">
        <w:t xml:space="preserve">s </w:t>
      </w:r>
      <w:proofErr w:type="gramStart"/>
      <w:r w:rsidRPr="008D73C9">
        <w:t>were not reported</w:t>
      </w:r>
      <w:proofErr w:type="gramEnd"/>
      <w:r w:rsidRPr="008D73C9">
        <w:t xml:space="preserve"> for the control group. This study, therefore, is a non-comparative study for evaluation of safety. The remaining 18 studies were uncontrolled case series in study design. The safety of PAH </w:t>
      </w:r>
      <w:r>
        <w:t>medicines</w:t>
      </w:r>
      <w:r w:rsidRPr="008D73C9">
        <w:t xml:space="preserve"> in paediatric patients was investigated in two observational studies (STARTS extension study and Hislop 2011). The other 17 studies recruited adults only or predominantly.</w:t>
      </w:r>
    </w:p>
    <w:p w:rsidR="001D0FDA" w:rsidRPr="00EB1471" w:rsidRDefault="001D0FDA" w:rsidP="001D0FDA">
      <w:pPr>
        <w:pStyle w:val="Caption"/>
      </w:pPr>
      <w:bookmarkStart w:id="94" w:name="_Ref505948926"/>
      <w:bookmarkStart w:id="95" w:name="_Toc38360324"/>
      <w:r>
        <w:t>Table 4.</w:t>
      </w:r>
      <w:r w:rsidR="003951FA">
        <w:rPr>
          <w:noProof/>
        </w:rPr>
        <w:t>27</w:t>
      </w:r>
      <w:bookmarkEnd w:id="94"/>
      <w:r>
        <w:tab/>
      </w:r>
      <w:r w:rsidRPr="00EB1471">
        <w:t>Key features of the included evidence for assessment of extended safety</w:t>
      </w:r>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for assessment of extended safety"/>
      </w:tblPr>
      <w:tblGrid>
        <w:gridCol w:w="2481"/>
        <w:gridCol w:w="69"/>
        <w:gridCol w:w="1966"/>
        <w:gridCol w:w="2428"/>
        <w:gridCol w:w="2684"/>
      </w:tblGrid>
      <w:tr w:rsidR="001D0FDA" w:rsidRPr="00EB1471" w:rsidTr="00FD0BAE">
        <w:trPr>
          <w:tblHeader/>
        </w:trPr>
        <w:tc>
          <w:tcPr>
            <w:tcW w:w="1324" w:type="pct"/>
            <w:gridSpan w:val="2"/>
            <w:tcBorders>
              <w:bottom w:val="single" w:sz="4" w:space="0" w:color="auto"/>
            </w:tcBorders>
            <w:shd w:val="clear" w:color="auto" w:fill="BFBFBF" w:themeFill="background1" w:themeFillShade="BF"/>
            <w:tcMar>
              <w:left w:w="108" w:type="dxa"/>
              <w:right w:w="108" w:type="dxa"/>
            </w:tcMar>
          </w:tcPr>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Study ID</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Study period</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Location</w:t>
            </w:r>
          </w:p>
        </w:tc>
        <w:tc>
          <w:tcPr>
            <w:tcW w:w="1021" w:type="pct"/>
            <w:tcBorders>
              <w:bottom w:val="single" w:sz="4" w:space="0" w:color="auto"/>
            </w:tcBorders>
            <w:shd w:val="clear" w:color="auto" w:fill="BFBFBF" w:themeFill="background1" w:themeFillShade="BF"/>
          </w:tcPr>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Study design</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Duration of follow-up</w:t>
            </w:r>
          </w:p>
        </w:tc>
        <w:tc>
          <w:tcPr>
            <w:tcW w:w="1261" w:type="pct"/>
            <w:tcBorders>
              <w:bottom w:val="single" w:sz="4" w:space="0" w:color="auto"/>
            </w:tcBorders>
            <w:shd w:val="clear" w:color="auto" w:fill="BFBFBF" w:themeFill="background1" w:themeFillShade="BF"/>
          </w:tcPr>
          <w:p w:rsidR="001D0FDA" w:rsidRPr="00EB1471" w:rsidRDefault="001D0FDA" w:rsidP="001D0FDA">
            <w:pPr>
              <w:pStyle w:val="Tabletext"/>
              <w:ind w:right="-28"/>
              <w:rPr>
                <w:rFonts w:eastAsia="Times New Roman"/>
                <w:b/>
                <w:snapToGrid w:val="0"/>
                <w:vertAlign w:val="superscript"/>
                <w:lang w:eastAsia="en-US"/>
              </w:rPr>
            </w:pPr>
            <w:r w:rsidRPr="00EB1471">
              <w:rPr>
                <w:rFonts w:eastAsia="Times New Roman"/>
                <w:b/>
                <w:snapToGrid w:val="0"/>
                <w:lang w:eastAsia="en-US"/>
              </w:rPr>
              <w:t>N</w:t>
            </w:r>
            <w:r w:rsidRPr="00EB1471">
              <w:rPr>
                <w:rFonts w:eastAsia="Times New Roman"/>
                <w:b/>
                <w:snapToGrid w:val="0"/>
                <w:vertAlign w:val="superscript"/>
                <w:lang w:eastAsia="en-US"/>
              </w:rPr>
              <w:t>a</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 xml:space="preserve">WHO FC </w:t>
            </w:r>
          </w:p>
          <w:p w:rsidR="001D0FDA" w:rsidRPr="00EB1471" w:rsidRDefault="001D0FDA" w:rsidP="001D0FDA">
            <w:pPr>
              <w:pStyle w:val="Tabletext"/>
              <w:ind w:right="-28"/>
              <w:rPr>
                <w:rFonts w:eastAsia="Times New Roman"/>
                <w:b/>
                <w:snapToGrid w:val="0"/>
                <w:lang w:eastAsia="en-US"/>
              </w:rPr>
            </w:pPr>
            <w:r w:rsidRPr="00EB1471">
              <w:rPr>
                <w:rFonts w:eastAsia="Times New Roman"/>
                <w:b/>
                <w:snapToGrid w:val="0"/>
                <w:lang w:eastAsia="en-US"/>
              </w:rPr>
              <w:t>PAH aetiology</w:t>
            </w:r>
          </w:p>
        </w:tc>
        <w:tc>
          <w:tcPr>
            <w:tcW w:w="1394" w:type="pct"/>
            <w:tcBorders>
              <w:bottom w:val="single" w:sz="4" w:space="0" w:color="auto"/>
            </w:tcBorders>
            <w:shd w:val="clear" w:color="auto" w:fill="BFBFBF" w:themeFill="background1" w:themeFillShade="BF"/>
          </w:tcPr>
          <w:p w:rsidR="001D0FDA" w:rsidRPr="00EB1471" w:rsidRDefault="001D0FDA" w:rsidP="001D0FDA">
            <w:pPr>
              <w:pStyle w:val="Tabletext"/>
              <w:rPr>
                <w:rFonts w:eastAsia="Times New Roman"/>
                <w:b/>
                <w:snapToGrid w:val="0"/>
                <w:lang w:eastAsia="en-US"/>
              </w:rPr>
            </w:pPr>
            <w:r w:rsidRPr="00EB1471">
              <w:rPr>
                <w:rFonts w:eastAsia="Times New Roman"/>
                <w:b/>
                <w:snapToGrid w:val="0"/>
                <w:lang w:eastAsia="en-US"/>
              </w:rPr>
              <w:t>Intervention</w:t>
            </w:r>
            <w:r w:rsidRPr="00EB1471">
              <w:rPr>
                <w:rFonts w:eastAsia="Times New Roman"/>
                <w:b/>
                <w:snapToGrid w:val="0"/>
                <w:vertAlign w:val="superscript"/>
                <w:lang w:eastAsia="en-US"/>
              </w:rPr>
              <w:t>b</w:t>
            </w:r>
          </w:p>
          <w:p w:rsidR="001D0FDA" w:rsidRPr="00EB1471" w:rsidRDefault="001D0FDA" w:rsidP="001D0FDA">
            <w:pPr>
              <w:pStyle w:val="Tabletext"/>
              <w:rPr>
                <w:rFonts w:eastAsia="Times New Roman"/>
                <w:b/>
                <w:snapToGrid w:val="0"/>
                <w:lang w:eastAsia="en-US"/>
              </w:rPr>
            </w:pPr>
            <w:r w:rsidRPr="00EB1471">
              <w:rPr>
                <w:rFonts w:eastAsia="Times New Roman"/>
                <w:b/>
                <w:snapToGrid w:val="0"/>
                <w:lang w:eastAsia="en-US"/>
              </w:rPr>
              <w:t>Comparator</w:t>
            </w:r>
          </w:p>
          <w:p w:rsidR="001D0FDA" w:rsidRPr="00EB1471" w:rsidRDefault="001D0FDA" w:rsidP="001D0FDA">
            <w:pPr>
              <w:pStyle w:val="Tabletext"/>
              <w:rPr>
                <w:rFonts w:eastAsia="Times New Roman"/>
                <w:b/>
                <w:snapToGrid w:val="0"/>
                <w:lang w:eastAsia="en-US"/>
              </w:rPr>
            </w:pPr>
            <w:r w:rsidRPr="00EB1471">
              <w:rPr>
                <w:rFonts w:eastAsia="Times New Roman"/>
                <w:b/>
                <w:snapToGrid w:val="0"/>
                <w:lang w:eastAsia="en-US"/>
              </w:rPr>
              <w:t>Background therapy</w:t>
            </w:r>
          </w:p>
        </w:tc>
      </w:tr>
      <w:tr w:rsidR="001D0FDA" w:rsidRPr="006A1709" w:rsidTr="001D0FDA">
        <w:tc>
          <w:tcPr>
            <w:tcW w:w="5000" w:type="pct"/>
            <w:gridSpan w:val="5"/>
            <w:shd w:val="clear" w:color="auto" w:fill="000000" w:themeFill="text1"/>
            <w:tcMar>
              <w:left w:w="108" w:type="dxa"/>
              <w:right w:w="108" w:type="dxa"/>
            </w:tcMar>
          </w:tcPr>
          <w:p w:rsidR="001D0FDA" w:rsidRPr="006A1709" w:rsidRDefault="001D0FDA" w:rsidP="001D0FDA">
            <w:pPr>
              <w:pStyle w:val="Tabletext"/>
              <w:rPr>
                <w:rFonts w:eastAsia="Times New Roman" w:cs="Tahoma"/>
                <w:b/>
                <w:color w:val="FFFFFF" w:themeColor="background1"/>
              </w:rPr>
            </w:pPr>
            <w:r w:rsidRPr="006A1709">
              <w:rPr>
                <w:rFonts w:eastAsia="Times New Roman"/>
                <w:b/>
                <w:color w:val="FFFFFF" w:themeColor="background1"/>
                <w:lang w:eastAsia="en-US"/>
              </w:rPr>
              <w:t>Randomised controlled trials (RCTs)</w:t>
            </w:r>
          </w:p>
        </w:tc>
      </w:tr>
      <w:tr w:rsidR="001D0FDA" w:rsidRPr="00EB1471" w:rsidTr="001D0FDA">
        <w:tc>
          <w:tcPr>
            <w:tcW w:w="1324" w:type="pct"/>
            <w:gridSpan w:val="2"/>
            <w:shd w:val="clear" w:color="auto" w:fill="auto"/>
            <w:tcMar>
              <w:left w:w="108" w:type="dxa"/>
              <w:right w:w="108" w:type="dxa"/>
            </w:tcMar>
          </w:tcPr>
          <w:p w:rsidR="001D0FDA" w:rsidRPr="00EB1471" w:rsidRDefault="001D0FDA" w:rsidP="001D0FDA">
            <w:pPr>
              <w:pStyle w:val="Tabletext"/>
              <w:ind w:right="-28"/>
              <w:rPr>
                <w:rFonts w:eastAsia="Times New Roman"/>
                <w:lang w:eastAsia="en-US"/>
              </w:rPr>
            </w:pPr>
            <w:r w:rsidRPr="00EB1471">
              <w:rPr>
                <w:rFonts w:eastAsia="Times New Roman"/>
                <w:lang w:eastAsia="en-US"/>
              </w:rPr>
              <w:t>Mukhopadhyay 2011</w:t>
            </w:r>
            <w:r w:rsidR="001D34EE" w:rsidRPr="001A1C44">
              <w:rPr>
                <w:rFonts w:eastAsia="Times New Roman"/>
                <w:noProof/>
                <w:vertAlign w:val="superscript"/>
                <w:lang w:eastAsia="en-US"/>
              </w:rPr>
              <w:t>40</w:t>
            </w:r>
            <w:r w:rsidRPr="00EB1471">
              <w:rPr>
                <w:rFonts w:eastAsia="Times New Roman"/>
                <w:lang w:eastAsia="en-US"/>
              </w:rPr>
              <w:t xml:space="preserve"> </w:t>
            </w:r>
          </w:p>
          <w:p w:rsidR="001D0FDA" w:rsidRPr="00EB1471" w:rsidRDefault="001D0FDA" w:rsidP="001D0FDA">
            <w:pPr>
              <w:pStyle w:val="Tabletext"/>
              <w:ind w:right="-28"/>
              <w:rPr>
                <w:rFonts w:eastAsia="Times New Roman"/>
              </w:rPr>
            </w:pPr>
            <w:r w:rsidRPr="00EB1471">
              <w:rPr>
                <w:rFonts w:eastAsia="Times New Roman"/>
                <w:lang w:eastAsia="en-US"/>
              </w:rPr>
              <w:t>No later than 2011</w:t>
            </w:r>
            <w:r w:rsidRPr="00EB1471">
              <w:rPr>
                <w:rFonts w:eastAsia="Times New Roman"/>
                <w:vertAlign w:val="superscript"/>
                <w:lang w:eastAsia="en-US"/>
              </w:rPr>
              <w:t>c</w:t>
            </w:r>
          </w:p>
          <w:p w:rsidR="001D0FDA" w:rsidRPr="00EB1471" w:rsidRDefault="001D0FDA" w:rsidP="001D0FDA">
            <w:pPr>
              <w:pStyle w:val="Tabletext"/>
              <w:ind w:right="-28"/>
              <w:rPr>
                <w:rFonts w:eastAsia="Times New Roman"/>
                <w:lang w:eastAsia="en-US"/>
              </w:rPr>
            </w:pPr>
            <w:r w:rsidRPr="00EB1471">
              <w:rPr>
                <w:rFonts w:eastAsia="Times New Roman"/>
                <w:lang w:eastAsia="en-US"/>
              </w:rPr>
              <w:t>India</w:t>
            </w:r>
          </w:p>
        </w:tc>
        <w:tc>
          <w:tcPr>
            <w:tcW w:w="1021" w:type="pct"/>
          </w:tcPr>
          <w:p w:rsidR="001D0FDA" w:rsidRPr="00EB1471" w:rsidRDefault="001D0FDA" w:rsidP="001D0FDA">
            <w:pPr>
              <w:pStyle w:val="Tabletext"/>
              <w:ind w:right="-28"/>
              <w:rPr>
                <w:rFonts w:eastAsia="Times New Roman"/>
                <w:lang w:eastAsia="en-US"/>
              </w:rPr>
            </w:pPr>
            <w:r w:rsidRPr="00EB1471">
              <w:rPr>
                <w:rFonts w:eastAsia="Times New Roman"/>
                <w:lang w:eastAsia="en-US"/>
              </w:rPr>
              <w:t>RCT, DB, cross-over</w:t>
            </w:r>
          </w:p>
          <w:p w:rsidR="001D0FDA" w:rsidRPr="00EB1471" w:rsidRDefault="001D0FDA" w:rsidP="001D0FDA">
            <w:pPr>
              <w:pStyle w:val="Tabletext"/>
              <w:ind w:right="-28"/>
              <w:rPr>
                <w:rFonts w:eastAsia="Times New Roman"/>
                <w:lang w:eastAsia="en-US"/>
              </w:rPr>
            </w:pPr>
            <w:r w:rsidRPr="00EB1471">
              <w:rPr>
                <w:rFonts w:eastAsia="Times New Roman"/>
                <w:lang w:eastAsia="en-US"/>
              </w:rPr>
              <w:t>6 weeks</w:t>
            </w:r>
          </w:p>
          <w:p w:rsidR="001D0FDA" w:rsidRPr="00EB1471" w:rsidRDefault="001D0FDA" w:rsidP="001D0FDA">
            <w:pPr>
              <w:pStyle w:val="Tabletext"/>
              <w:ind w:right="-28"/>
              <w:rPr>
                <w:rFonts w:eastAsia="Times New Roman"/>
                <w:lang w:eastAsia="en-US"/>
              </w:rPr>
            </w:pPr>
            <w:r w:rsidRPr="00EB1471">
              <w:rPr>
                <w:rFonts w:eastAsia="Times New Roman"/>
                <w:lang w:eastAsia="en-US"/>
              </w:rPr>
              <w:t>Low-to-moderate</w:t>
            </w:r>
          </w:p>
        </w:tc>
        <w:tc>
          <w:tcPr>
            <w:tcW w:w="1261" w:type="pct"/>
          </w:tcPr>
          <w:p w:rsidR="001D0FDA" w:rsidRPr="00EB1471" w:rsidRDefault="001D0FDA" w:rsidP="001D0FDA">
            <w:pPr>
              <w:pStyle w:val="Tabletext"/>
              <w:ind w:right="-28"/>
              <w:rPr>
                <w:rFonts w:eastAsia="Times New Roman"/>
                <w:lang w:eastAsia="en-US"/>
              </w:rPr>
            </w:pPr>
            <w:r w:rsidRPr="00EB1471">
              <w:rPr>
                <w:rFonts w:eastAsia="Times New Roman"/>
                <w:lang w:eastAsia="en-US"/>
              </w:rPr>
              <w:t>N=28</w:t>
            </w:r>
          </w:p>
          <w:p w:rsidR="001D0FDA" w:rsidRPr="00EB1471" w:rsidRDefault="001D0FDA" w:rsidP="001D0FDA">
            <w:pPr>
              <w:pStyle w:val="Tabletext"/>
              <w:ind w:right="-28"/>
              <w:rPr>
                <w:rFonts w:eastAsia="Times New Roman"/>
                <w:lang w:eastAsia="en-US"/>
              </w:rPr>
            </w:pPr>
            <w:r w:rsidRPr="00EB1471">
              <w:rPr>
                <w:rFonts w:eastAsia="Times New Roman"/>
                <w:lang w:eastAsia="en-US"/>
              </w:rPr>
              <w:t>WHO II-III</w:t>
            </w:r>
          </w:p>
          <w:p w:rsidR="001D0FDA" w:rsidRPr="00EB1471" w:rsidRDefault="001D0FDA" w:rsidP="001D0FDA">
            <w:pPr>
              <w:pStyle w:val="Tabletext"/>
              <w:ind w:right="-28"/>
              <w:rPr>
                <w:rFonts w:eastAsia="Times New Roman"/>
                <w:lang w:eastAsia="en-US"/>
              </w:rPr>
            </w:pPr>
            <w:r w:rsidRPr="00EB1471">
              <w:rPr>
                <w:rFonts w:eastAsia="Times New Roman"/>
                <w:lang w:eastAsia="en-US"/>
              </w:rPr>
              <w:t>PAH-CHD</w:t>
            </w:r>
          </w:p>
        </w:tc>
        <w:tc>
          <w:tcPr>
            <w:tcW w:w="1394" w:type="pct"/>
          </w:tcPr>
          <w:p w:rsidR="001D0FDA" w:rsidRPr="00EB1471" w:rsidRDefault="001D0FDA" w:rsidP="001D0FDA">
            <w:pPr>
              <w:pStyle w:val="Tabletext"/>
              <w:rPr>
                <w:rFonts w:eastAsia="Times New Roman"/>
                <w:lang w:eastAsia="en-US"/>
              </w:rPr>
            </w:pPr>
            <w:r w:rsidRPr="00EB1471">
              <w:rPr>
                <w:rFonts w:eastAsia="Times New Roman"/>
                <w:lang w:eastAsia="en-US"/>
              </w:rPr>
              <w:t>TAD 40</w:t>
            </w:r>
            <w:r w:rsidR="00570FC8">
              <w:rPr>
                <w:rFonts w:eastAsia="Times New Roman"/>
                <w:lang w:eastAsia="en-US"/>
              </w:rPr>
              <w:t> mg</w:t>
            </w:r>
            <w:r w:rsidRPr="00EB1471">
              <w:rPr>
                <w:rFonts w:eastAsia="Times New Roman"/>
                <w:lang w:eastAsia="en-US"/>
              </w:rPr>
              <w:t xml:space="preserve"> od</w:t>
            </w:r>
          </w:p>
          <w:p w:rsidR="001D0FDA" w:rsidRPr="00EB1471" w:rsidRDefault="001D0FDA" w:rsidP="001D0FDA">
            <w:pPr>
              <w:pStyle w:val="Tabletext"/>
              <w:rPr>
                <w:rFonts w:eastAsia="Times New Roman"/>
                <w:lang w:eastAsia="en-US"/>
              </w:rPr>
            </w:pPr>
            <w:r w:rsidRPr="00EB1471">
              <w:rPr>
                <w:rFonts w:eastAsia="Times New Roman"/>
                <w:lang w:eastAsia="en-US"/>
              </w:rPr>
              <w:t>PBO</w:t>
            </w:r>
          </w:p>
        </w:tc>
      </w:tr>
      <w:tr w:rsidR="001D0FDA" w:rsidRPr="00EB1471" w:rsidTr="001D0FDA">
        <w:tc>
          <w:tcPr>
            <w:tcW w:w="1324" w:type="pct"/>
            <w:gridSpan w:val="2"/>
            <w:shd w:val="clear" w:color="auto" w:fill="auto"/>
            <w:tcMar>
              <w:left w:w="108" w:type="dxa"/>
              <w:right w:w="108" w:type="dxa"/>
            </w:tcMar>
          </w:tcPr>
          <w:p w:rsidR="001D0FDA" w:rsidRPr="00EB1471" w:rsidRDefault="001D0FDA" w:rsidP="001D0FDA">
            <w:pPr>
              <w:pStyle w:val="Tabletext"/>
              <w:ind w:right="-28"/>
              <w:rPr>
                <w:rFonts w:eastAsia="Times New Roman"/>
                <w:lang w:eastAsia="en-US"/>
              </w:rPr>
            </w:pPr>
            <w:r w:rsidRPr="00EB1471">
              <w:rPr>
                <w:rFonts w:eastAsia="Times New Roman"/>
                <w:lang w:eastAsia="en-US"/>
              </w:rPr>
              <w:t>PHIRST</w:t>
            </w:r>
            <w:r w:rsidR="001D34EE" w:rsidRPr="001A1C44">
              <w:rPr>
                <w:rFonts w:eastAsia="Times New Roman"/>
                <w:noProof/>
                <w:vertAlign w:val="superscript"/>
                <w:lang w:eastAsia="en-US"/>
              </w:rPr>
              <w:t>45</w:t>
            </w:r>
          </w:p>
          <w:p w:rsidR="001D0FDA" w:rsidRPr="00EB1471" w:rsidRDefault="001D0FDA" w:rsidP="001D0FDA">
            <w:pPr>
              <w:pStyle w:val="Tabletext"/>
              <w:ind w:right="-28"/>
              <w:rPr>
                <w:rFonts w:eastAsia="Times New Roman"/>
              </w:rPr>
            </w:pPr>
            <w:r w:rsidRPr="00EB1471">
              <w:rPr>
                <w:rFonts w:eastAsia="Times New Roman"/>
                <w:lang w:eastAsia="en-US"/>
              </w:rPr>
              <w:t>2005-2007</w:t>
            </w:r>
          </w:p>
          <w:p w:rsidR="001D0FDA" w:rsidRPr="00EB1471" w:rsidRDefault="001D0FDA" w:rsidP="001D0FDA">
            <w:pPr>
              <w:pStyle w:val="Tabletext"/>
              <w:ind w:right="-28"/>
              <w:rPr>
                <w:rFonts w:eastAsia="Times New Roman"/>
                <w:lang w:eastAsia="en-US"/>
              </w:rPr>
            </w:pPr>
            <w:r w:rsidRPr="00EB1471">
              <w:rPr>
                <w:rFonts w:eastAsia="Times New Roman"/>
                <w:lang w:eastAsia="en-US"/>
              </w:rPr>
              <w:t>US, Canada, Europe, Japan</w:t>
            </w:r>
          </w:p>
        </w:tc>
        <w:tc>
          <w:tcPr>
            <w:tcW w:w="1021" w:type="pct"/>
          </w:tcPr>
          <w:p w:rsidR="001D0FDA" w:rsidRPr="00EB1471" w:rsidRDefault="001D0FDA" w:rsidP="001D0FDA">
            <w:pPr>
              <w:pStyle w:val="Tabletext"/>
              <w:ind w:right="-28"/>
              <w:rPr>
                <w:rFonts w:eastAsia="Times New Roman"/>
                <w:lang w:eastAsia="en-US"/>
              </w:rPr>
            </w:pPr>
            <w:r w:rsidRPr="00EB1471">
              <w:rPr>
                <w:rFonts w:eastAsia="Times New Roman"/>
                <w:lang w:eastAsia="en-US"/>
              </w:rPr>
              <w:t>RCT, DB</w:t>
            </w:r>
          </w:p>
          <w:p w:rsidR="001D0FDA" w:rsidRPr="00EB1471" w:rsidRDefault="001D0FDA" w:rsidP="001D0FDA">
            <w:pPr>
              <w:pStyle w:val="Tabletext"/>
              <w:ind w:right="-28"/>
              <w:rPr>
                <w:rFonts w:eastAsia="Times New Roman"/>
                <w:snapToGrid w:val="0"/>
                <w:lang w:eastAsia="en-US"/>
              </w:rPr>
            </w:pPr>
            <w:r w:rsidRPr="00EB1471">
              <w:rPr>
                <w:rFonts w:eastAsia="Times New Roman"/>
                <w:lang w:eastAsia="en-US"/>
              </w:rPr>
              <w:t>16 weeks</w:t>
            </w:r>
          </w:p>
        </w:tc>
        <w:tc>
          <w:tcPr>
            <w:tcW w:w="1261" w:type="pct"/>
          </w:tcPr>
          <w:p w:rsidR="001D0FDA" w:rsidRPr="00EB1471" w:rsidRDefault="001D0FDA" w:rsidP="001D0FDA">
            <w:pPr>
              <w:pStyle w:val="Tabletext"/>
              <w:ind w:right="-28"/>
              <w:rPr>
                <w:rFonts w:eastAsia="Times New Roman"/>
                <w:lang w:eastAsia="en-US"/>
              </w:rPr>
            </w:pPr>
            <w:r w:rsidRPr="00EB1471">
              <w:rPr>
                <w:rFonts w:eastAsia="Times New Roman"/>
                <w:lang w:eastAsia="en-US"/>
              </w:rPr>
              <w:t>N=74</w:t>
            </w:r>
            <w:r w:rsidRPr="00EB1471">
              <w:rPr>
                <w:rFonts w:eastAsia="Times New Roman"/>
                <w:vertAlign w:val="superscript"/>
                <w:lang w:eastAsia="en-US"/>
              </w:rPr>
              <w:t>c</w:t>
            </w:r>
            <w:r w:rsidRPr="00EB1471">
              <w:rPr>
                <w:rFonts w:eastAsia="Times New Roman"/>
                <w:lang w:eastAsia="en-US"/>
              </w:rPr>
              <w:t>/161</w:t>
            </w:r>
          </w:p>
          <w:p w:rsidR="001D0FDA" w:rsidRPr="00EB1471" w:rsidRDefault="001D0FDA" w:rsidP="001D0FDA">
            <w:pPr>
              <w:pStyle w:val="Tabletext"/>
              <w:ind w:right="-28"/>
              <w:rPr>
                <w:rFonts w:eastAsia="Times New Roman"/>
                <w:lang w:eastAsia="en-US"/>
              </w:rPr>
            </w:pPr>
            <w:r w:rsidRPr="00EB1471">
              <w:rPr>
                <w:rFonts w:eastAsia="Times New Roman"/>
                <w:lang w:eastAsia="en-US"/>
              </w:rPr>
              <w:t>WHO FC I-IV</w:t>
            </w:r>
          </w:p>
          <w:p w:rsidR="001D0FDA" w:rsidRPr="00EB1471" w:rsidRDefault="001D0FDA" w:rsidP="001D0FDA">
            <w:pPr>
              <w:pStyle w:val="Tabletext"/>
              <w:ind w:right="-28"/>
              <w:rPr>
                <w:rFonts w:eastAsia="Times New Roman"/>
                <w:snapToGrid w:val="0"/>
                <w:lang w:eastAsia="en-US"/>
              </w:rPr>
            </w:pPr>
            <w:r w:rsidRPr="00EB1471">
              <w:rPr>
                <w:rFonts w:eastAsia="Times New Roman"/>
                <w:lang w:eastAsia="en-US"/>
              </w:rPr>
              <w:t>IPAH, HPAH, PAH-CTD, PAH-CHD, or PAH-DT</w:t>
            </w:r>
          </w:p>
        </w:tc>
        <w:tc>
          <w:tcPr>
            <w:tcW w:w="1394" w:type="pct"/>
          </w:tcPr>
          <w:p w:rsidR="001D0FDA" w:rsidRPr="00EB1471" w:rsidRDefault="001D0FDA" w:rsidP="001D0FDA">
            <w:pPr>
              <w:pStyle w:val="Tabletext"/>
              <w:rPr>
                <w:rFonts w:eastAsia="Times New Roman"/>
                <w:lang w:eastAsia="en-US"/>
              </w:rPr>
            </w:pPr>
            <w:r w:rsidRPr="00EB1471">
              <w:rPr>
                <w:rFonts w:eastAsia="Times New Roman"/>
                <w:lang w:eastAsia="en-US"/>
              </w:rPr>
              <w:t>TAD 40</w:t>
            </w:r>
            <w:r w:rsidR="00570FC8">
              <w:rPr>
                <w:rFonts w:eastAsia="Times New Roman"/>
                <w:lang w:eastAsia="en-US"/>
              </w:rPr>
              <w:t> mg</w:t>
            </w:r>
            <w:r w:rsidRPr="00EB1471">
              <w:rPr>
                <w:rFonts w:eastAsia="Times New Roman"/>
                <w:lang w:eastAsia="en-US"/>
              </w:rPr>
              <w:t xml:space="preserve"> od</w:t>
            </w:r>
          </w:p>
          <w:p w:rsidR="001D0FDA" w:rsidRPr="00EB1471" w:rsidRDefault="001D0FDA" w:rsidP="001D0FDA">
            <w:pPr>
              <w:pStyle w:val="Tabletext"/>
              <w:rPr>
                <w:rFonts w:eastAsia="Times New Roman"/>
                <w:lang w:eastAsia="en-US"/>
              </w:rPr>
            </w:pPr>
            <w:r w:rsidRPr="00EB1471">
              <w:rPr>
                <w:rFonts w:eastAsia="Times New Roman"/>
                <w:lang w:eastAsia="en-US"/>
              </w:rPr>
              <w:t>PBO</w:t>
            </w:r>
          </w:p>
          <w:p w:rsidR="001D0FDA" w:rsidRPr="00EB1471" w:rsidRDefault="001D0FDA" w:rsidP="001D0FDA">
            <w:pPr>
              <w:pStyle w:val="Tabletext"/>
              <w:rPr>
                <w:rFonts w:eastAsia="Times New Roman"/>
                <w:lang w:eastAsia="en-US"/>
              </w:rPr>
            </w:pPr>
          </w:p>
          <w:p w:rsidR="001D0FDA" w:rsidRPr="00EB1471" w:rsidRDefault="001D0FDA" w:rsidP="001D0FDA">
            <w:pPr>
              <w:pStyle w:val="Tabletext"/>
              <w:rPr>
                <w:rFonts w:eastAsia="Times New Roman"/>
                <w:lang w:eastAsia="en-US"/>
              </w:rPr>
            </w:pPr>
            <w:r w:rsidRPr="00EB1471">
              <w:rPr>
                <w:rFonts w:eastAsia="Times New Roman"/>
                <w:lang w:eastAsia="en-US"/>
              </w:rPr>
              <w:t>Background therapy with BOS up to 125</w:t>
            </w:r>
            <w:r w:rsidR="00570FC8">
              <w:rPr>
                <w:rFonts w:eastAsia="Times New Roman"/>
                <w:lang w:eastAsia="en-US"/>
              </w:rPr>
              <w:t> mg</w:t>
            </w:r>
            <w:r w:rsidRPr="00EB1471">
              <w:rPr>
                <w:rFonts w:eastAsia="Times New Roman"/>
                <w:lang w:eastAsia="en-US"/>
              </w:rPr>
              <w:t xml:space="preserve"> bid (54%)</w:t>
            </w:r>
          </w:p>
        </w:tc>
      </w:tr>
      <w:tr w:rsidR="001D0FDA" w:rsidRPr="00EB1471" w:rsidTr="001D0FDA">
        <w:tc>
          <w:tcPr>
            <w:tcW w:w="1324" w:type="pct"/>
            <w:gridSpan w:val="2"/>
            <w:shd w:val="clear" w:color="auto" w:fill="auto"/>
            <w:tcMar>
              <w:left w:w="108" w:type="dxa"/>
              <w:right w:w="108" w:type="dxa"/>
            </w:tcMar>
          </w:tcPr>
          <w:p w:rsidR="001D0FDA" w:rsidRPr="00EB1471" w:rsidRDefault="001D0FDA" w:rsidP="001D0FDA">
            <w:pPr>
              <w:pStyle w:val="Tabletext"/>
              <w:ind w:right="-28"/>
              <w:rPr>
                <w:rFonts w:eastAsia="Times New Roman"/>
                <w:lang w:eastAsia="en-US"/>
              </w:rPr>
            </w:pPr>
            <w:r w:rsidRPr="00EB1471">
              <w:rPr>
                <w:rFonts w:eastAsia="Times New Roman"/>
                <w:lang w:eastAsia="en-US"/>
              </w:rPr>
              <w:t>STARTS-1</w:t>
            </w:r>
            <w:r w:rsidR="001D34EE" w:rsidRPr="001A1C44">
              <w:rPr>
                <w:rFonts w:eastAsia="Times New Roman"/>
                <w:noProof/>
                <w:vertAlign w:val="superscript"/>
                <w:lang w:eastAsia="en-US"/>
              </w:rPr>
              <w:t>54</w:t>
            </w:r>
          </w:p>
          <w:p w:rsidR="001D0FDA" w:rsidRPr="00EB1471" w:rsidRDefault="001D0FDA" w:rsidP="001D0FDA">
            <w:pPr>
              <w:pStyle w:val="Tabletext"/>
              <w:ind w:right="-28"/>
              <w:rPr>
                <w:rFonts w:eastAsia="Times New Roman"/>
                <w:lang w:eastAsia="en-US"/>
              </w:rPr>
            </w:pPr>
            <w:r w:rsidRPr="00EB1471">
              <w:rPr>
                <w:rFonts w:eastAsia="Times New Roman"/>
                <w:lang w:eastAsia="en-US"/>
              </w:rPr>
              <w:t>2003-2008</w:t>
            </w:r>
          </w:p>
          <w:p w:rsidR="001D0FDA" w:rsidRPr="00EB1471" w:rsidRDefault="001D0FDA" w:rsidP="001D0FDA">
            <w:pPr>
              <w:pStyle w:val="Tabletext"/>
              <w:ind w:right="-28"/>
              <w:rPr>
                <w:rFonts w:eastAsia="Times New Roman"/>
                <w:lang w:eastAsia="en-US"/>
              </w:rPr>
            </w:pPr>
            <w:r w:rsidRPr="00EB1471">
              <w:rPr>
                <w:rFonts w:eastAsia="Times New Roman"/>
                <w:lang w:eastAsia="en-US"/>
              </w:rPr>
              <w:t xml:space="preserve">North, South, and Central America, Asia, Europe </w:t>
            </w:r>
          </w:p>
        </w:tc>
        <w:tc>
          <w:tcPr>
            <w:tcW w:w="1021" w:type="pct"/>
          </w:tcPr>
          <w:p w:rsidR="001D0FDA" w:rsidRPr="00EB1471" w:rsidRDefault="001D0FDA" w:rsidP="001D0FDA">
            <w:pPr>
              <w:pStyle w:val="Tabletext"/>
              <w:ind w:right="-28"/>
              <w:rPr>
                <w:rFonts w:eastAsia="Times New Roman"/>
                <w:snapToGrid w:val="0"/>
                <w:lang w:eastAsia="en-US"/>
              </w:rPr>
            </w:pPr>
            <w:r w:rsidRPr="00EB1471">
              <w:rPr>
                <w:rFonts w:eastAsia="Times New Roman"/>
                <w:snapToGrid w:val="0"/>
                <w:lang w:eastAsia="en-US"/>
              </w:rPr>
              <w:t>RCT, DB</w:t>
            </w:r>
          </w:p>
          <w:p w:rsidR="001D0FDA" w:rsidRPr="00EB1471" w:rsidRDefault="001D0FDA" w:rsidP="001D0FDA">
            <w:pPr>
              <w:pStyle w:val="Tabletext"/>
              <w:ind w:right="-28"/>
              <w:rPr>
                <w:rFonts w:eastAsia="Times New Roman"/>
                <w:snapToGrid w:val="0"/>
                <w:lang w:eastAsia="en-US"/>
              </w:rPr>
            </w:pPr>
            <w:r w:rsidRPr="00EB1471">
              <w:rPr>
                <w:rFonts w:eastAsia="Times New Roman"/>
                <w:snapToGrid w:val="0"/>
                <w:lang w:eastAsia="en-US"/>
              </w:rPr>
              <w:t>16 weeks</w:t>
            </w:r>
          </w:p>
        </w:tc>
        <w:tc>
          <w:tcPr>
            <w:tcW w:w="1261" w:type="pct"/>
          </w:tcPr>
          <w:p w:rsidR="001D0FDA" w:rsidRPr="00EB1471" w:rsidRDefault="001D0FDA" w:rsidP="001D0FDA">
            <w:pPr>
              <w:pStyle w:val="Tabletext"/>
              <w:ind w:right="-28"/>
              <w:rPr>
                <w:rFonts w:eastAsia="Times New Roman"/>
                <w:snapToGrid w:val="0"/>
                <w:lang w:eastAsia="en-US"/>
              </w:rPr>
            </w:pPr>
            <w:r>
              <w:rPr>
                <w:rFonts w:eastAsia="Times New Roman"/>
                <w:snapToGrid w:val="0"/>
                <w:lang w:eastAsia="en-US"/>
              </w:rPr>
              <w:t>N=234</w:t>
            </w:r>
          </w:p>
          <w:p w:rsidR="001D0FDA" w:rsidRPr="00EB1471" w:rsidRDefault="001D0FDA" w:rsidP="001D0FDA">
            <w:pPr>
              <w:pStyle w:val="Tabletext"/>
              <w:ind w:right="-28"/>
              <w:rPr>
                <w:rFonts w:eastAsia="Times New Roman"/>
                <w:snapToGrid w:val="0"/>
                <w:lang w:eastAsia="en-US"/>
              </w:rPr>
            </w:pPr>
            <w:r w:rsidRPr="00EB1471">
              <w:rPr>
                <w:rFonts w:eastAsia="Times New Roman"/>
                <w:snapToGrid w:val="0"/>
                <w:lang w:eastAsia="en-US"/>
              </w:rPr>
              <w:t>WHO FC I-IV</w:t>
            </w:r>
          </w:p>
          <w:p w:rsidR="001D0FDA" w:rsidRPr="00EB1471" w:rsidRDefault="001D0FDA" w:rsidP="001D0FDA">
            <w:pPr>
              <w:pStyle w:val="Tabletext"/>
              <w:ind w:right="-28"/>
              <w:rPr>
                <w:rFonts w:eastAsia="Times New Roman"/>
                <w:snapToGrid w:val="0"/>
                <w:lang w:eastAsia="en-US"/>
              </w:rPr>
            </w:pPr>
            <w:r w:rsidRPr="00EB1471">
              <w:rPr>
                <w:rFonts w:eastAsia="Times New Roman"/>
                <w:snapToGrid w:val="0"/>
                <w:lang w:eastAsia="en-US"/>
              </w:rPr>
              <w:t>IPAH, HPAH or PAH-CHD</w:t>
            </w:r>
          </w:p>
        </w:tc>
        <w:tc>
          <w:tcPr>
            <w:tcW w:w="1394" w:type="pct"/>
          </w:tcPr>
          <w:p w:rsidR="001D0FDA" w:rsidRPr="00EB1471" w:rsidRDefault="001D0FDA" w:rsidP="001D0FDA">
            <w:pPr>
              <w:pStyle w:val="Tabletext"/>
              <w:rPr>
                <w:rFonts w:eastAsia="Times New Roman"/>
                <w:snapToGrid w:val="0"/>
                <w:vertAlign w:val="superscript"/>
                <w:lang w:eastAsia="en-US"/>
              </w:rPr>
            </w:pPr>
            <w:r w:rsidRPr="00EB1471">
              <w:rPr>
                <w:rFonts w:eastAsia="Times New Roman"/>
                <w:snapToGrid w:val="0"/>
                <w:lang w:eastAsia="en-US"/>
              </w:rPr>
              <w:t>SIL at weight-based low, median or higher doses</w:t>
            </w:r>
            <w:r w:rsidRPr="00EB1471">
              <w:rPr>
                <w:rFonts w:eastAsia="Times New Roman"/>
                <w:snapToGrid w:val="0"/>
                <w:vertAlign w:val="superscript"/>
                <w:lang w:eastAsia="en-US"/>
              </w:rPr>
              <w:t>d</w:t>
            </w:r>
          </w:p>
          <w:p w:rsidR="001D0FDA" w:rsidRPr="00EB1471" w:rsidRDefault="001D0FDA" w:rsidP="001D0FDA">
            <w:pPr>
              <w:pStyle w:val="Tabletext"/>
              <w:rPr>
                <w:rFonts w:eastAsia="Times New Roman"/>
                <w:lang w:eastAsia="en-US"/>
              </w:rPr>
            </w:pPr>
            <w:r w:rsidRPr="00EB1471">
              <w:rPr>
                <w:rFonts w:eastAsia="Times New Roman"/>
                <w:snapToGrid w:val="0"/>
                <w:lang w:eastAsia="en-US"/>
              </w:rPr>
              <w:t>PBO</w:t>
            </w:r>
          </w:p>
        </w:tc>
      </w:tr>
      <w:tr w:rsidR="001D0FDA" w:rsidRPr="00EB1471" w:rsidTr="001D0FDA">
        <w:tc>
          <w:tcPr>
            <w:tcW w:w="1324" w:type="pct"/>
            <w:gridSpan w:val="2"/>
            <w:tcBorders>
              <w:bottom w:val="single" w:sz="4" w:space="0" w:color="auto"/>
            </w:tcBorders>
            <w:shd w:val="clear" w:color="auto" w:fill="auto"/>
            <w:tcMar>
              <w:left w:w="108" w:type="dxa"/>
              <w:right w:w="108" w:type="dxa"/>
            </w:tcMar>
          </w:tcPr>
          <w:p w:rsidR="001D0FDA" w:rsidRPr="00EB1471" w:rsidRDefault="001D0FDA" w:rsidP="001D0FDA">
            <w:pPr>
              <w:pStyle w:val="Tabletext"/>
              <w:ind w:right="-28"/>
              <w:rPr>
                <w:rFonts w:eastAsia="Times New Roman"/>
                <w:lang w:eastAsia="en-US"/>
              </w:rPr>
            </w:pPr>
            <w:r w:rsidRPr="00EB1471">
              <w:rPr>
                <w:rFonts w:eastAsia="Times New Roman"/>
                <w:lang w:eastAsia="en-US"/>
              </w:rPr>
              <w:t>SUPER-1</w:t>
            </w:r>
            <w:r w:rsidR="001D34EE" w:rsidRPr="001A1C44">
              <w:rPr>
                <w:rFonts w:eastAsia="Times New Roman"/>
                <w:noProof/>
                <w:vertAlign w:val="superscript"/>
                <w:lang w:eastAsia="en-US"/>
              </w:rPr>
              <w:t>53</w:t>
            </w:r>
          </w:p>
          <w:p w:rsidR="001D0FDA" w:rsidRPr="00EB1471" w:rsidRDefault="001D0FDA" w:rsidP="001D0FDA">
            <w:pPr>
              <w:pStyle w:val="Tabletext"/>
              <w:ind w:right="-28"/>
              <w:rPr>
                <w:rFonts w:eastAsia="Times New Roman"/>
              </w:rPr>
            </w:pPr>
            <w:r w:rsidRPr="00EB1471">
              <w:rPr>
                <w:rFonts w:eastAsia="Times New Roman"/>
                <w:lang w:eastAsia="en-US"/>
              </w:rPr>
              <w:t>2002-2003</w:t>
            </w:r>
          </w:p>
          <w:p w:rsidR="001D0FDA" w:rsidRPr="00EB1471" w:rsidRDefault="001D0FDA" w:rsidP="001D0FDA">
            <w:pPr>
              <w:pStyle w:val="Tabletext"/>
              <w:ind w:right="-28"/>
              <w:rPr>
                <w:rFonts w:eastAsia="Times New Roman"/>
                <w:lang w:eastAsia="en-US"/>
              </w:rPr>
            </w:pPr>
            <w:r w:rsidRPr="00EB1471">
              <w:rPr>
                <w:rFonts w:eastAsia="Times New Roman"/>
                <w:lang w:eastAsia="en-US"/>
              </w:rPr>
              <w:t>US, Mexico, South America, Europe, Asia, South Africa, Australia</w:t>
            </w:r>
          </w:p>
        </w:tc>
        <w:tc>
          <w:tcPr>
            <w:tcW w:w="1021" w:type="pct"/>
            <w:tcBorders>
              <w:bottom w:val="single" w:sz="4" w:space="0" w:color="auto"/>
            </w:tcBorders>
          </w:tcPr>
          <w:p w:rsidR="001D0FDA" w:rsidRPr="00EB1471" w:rsidRDefault="001D0FDA" w:rsidP="001D0FDA">
            <w:pPr>
              <w:pStyle w:val="Tabletext"/>
              <w:ind w:right="-28"/>
              <w:rPr>
                <w:rFonts w:eastAsia="Times New Roman"/>
                <w:lang w:eastAsia="en-US"/>
              </w:rPr>
            </w:pPr>
            <w:r w:rsidRPr="00EB1471">
              <w:rPr>
                <w:rFonts w:eastAsia="Times New Roman"/>
                <w:lang w:eastAsia="en-US"/>
              </w:rPr>
              <w:t>RCT, DB</w:t>
            </w:r>
          </w:p>
          <w:p w:rsidR="001D0FDA" w:rsidRPr="00EB1471" w:rsidRDefault="001D0FDA" w:rsidP="001D0FDA">
            <w:pPr>
              <w:pStyle w:val="Tabletext"/>
              <w:ind w:right="-28"/>
              <w:rPr>
                <w:rFonts w:eastAsia="Times New Roman"/>
                <w:snapToGrid w:val="0"/>
                <w:lang w:eastAsia="en-US"/>
              </w:rPr>
            </w:pPr>
            <w:r w:rsidRPr="00EB1471">
              <w:rPr>
                <w:rFonts w:eastAsia="Times New Roman"/>
                <w:lang w:eastAsia="en-US"/>
              </w:rPr>
              <w:t>12 weeks</w:t>
            </w:r>
          </w:p>
        </w:tc>
        <w:tc>
          <w:tcPr>
            <w:tcW w:w="1261" w:type="pct"/>
            <w:tcBorders>
              <w:bottom w:val="single" w:sz="4" w:space="0" w:color="auto"/>
            </w:tcBorders>
          </w:tcPr>
          <w:p w:rsidR="001D0FDA" w:rsidRPr="00EB1471" w:rsidRDefault="001D0FDA" w:rsidP="001D0FDA">
            <w:pPr>
              <w:pStyle w:val="Tabletext"/>
              <w:ind w:right="-28"/>
              <w:rPr>
                <w:rFonts w:eastAsia="Times New Roman"/>
                <w:lang w:eastAsia="en-US"/>
              </w:rPr>
            </w:pPr>
            <w:r w:rsidRPr="00EB1471">
              <w:rPr>
                <w:rFonts w:eastAsia="Times New Roman"/>
                <w:lang w:eastAsia="en-US"/>
              </w:rPr>
              <w:t>N=139</w:t>
            </w:r>
          </w:p>
          <w:p w:rsidR="001D0FDA" w:rsidRPr="00EB1471" w:rsidRDefault="001D0FDA" w:rsidP="001D0FDA">
            <w:pPr>
              <w:pStyle w:val="Tabletext"/>
              <w:ind w:right="-28"/>
              <w:rPr>
                <w:rFonts w:cs="Tahoma"/>
              </w:rPr>
            </w:pPr>
            <w:r w:rsidRPr="00EB1471">
              <w:rPr>
                <w:rFonts w:cs="Tahoma"/>
              </w:rPr>
              <w:t xml:space="preserve">WHO FC I-IV </w:t>
            </w:r>
          </w:p>
          <w:p w:rsidR="001D0FDA" w:rsidRPr="00EB1471" w:rsidRDefault="001D0FDA" w:rsidP="001D0FDA">
            <w:pPr>
              <w:pStyle w:val="Tabletext"/>
              <w:ind w:right="-28"/>
              <w:rPr>
                <w:rFonts w:eastAsia="Times New Roman"/>
                <w:snapToGrid w:val="0"/>
                <w:lang w:eastAsia="en-US"/>
              </w:rPr>
            </w:pPr>
            <w:r w:rsidRPr="00EB1471">
              <w:rPr>
                <w:rFonts w:cs="Tahoma"/>
              </w:rPr>
              <w:t>IPAH, PAH-CTD or PAH-CHD</w:t>
            </w:r>
          </w:p>
        </w:tc>
        <w:tc>
          <w:tcPr>
            <w:tcW w:w="1394" w:type="pct"/>
            <w:tcBorders>
              <w:bottom w:val="single" w:sz="4" w:space="0" w:color="auto"/>
            </w:tcBorders>
          </w:tcPr>
          <w:p w:rsidR="001D0FDA" w:rsidRPr="00EB1471" w:rsidRDefault="001D0FDA" w:rsidP="001D0FDA">
            <w:pPr>
              <w:pStyle w:val="Tabletext"/>
              <w:rPr>
                <w:rFonts w:eastAsia="Times New Roman"/>
                <w:lang w:eastAsia="en-US"/>
              </w:rPr>
            </w:pPr>
            <w:r w:rsidRPr="00EB1471">
              <w:rPr>
                <w:rFonts w:eastAsia="Times New Roman"/>
                <w:lang w:eastAsia="en-US"/>
              </w:rPr>
              <w:t>SIL 20</w:t>
            </w:r>
            <w:r w:rsidR="00570FC8">
              <w:rPr>
                <w:rFonts w:eastAsia="Times New Roman"/>
                <w:lang w:eastAsia="en-US"/>
              </w:rPr>
              <w:t> mg</w:t>
            </w:r>
            <w:r w:rsidRPr="00EB1471">
              <w:rPr>
                <w:rFonts w:eastAsia="Times New Roman"/>
                <w:lang w:eastAsia="en-US"/>
              </w:rPr>
              <w:t xml:space="preserve"> tid</w:t>
            </w:r>
          </w:p>
          <w:p w:rsidR="001D0FDA" w:rsidRPr="00EB1471" w:rsidRDefault="001D0FDA" w:rsidP="001D0FDA">
            <w:pPr>
              <w:pStyle w:val="Tabletext"/>
              <w:rPr>
                <w:rFonts w:eastAsia="Times New Roman"/>
                <w:lang w:eastAsia="en-US"/>
              </w:rPr>
            </w:pPr>
            <w:r w:rsidRPr="00EB1471">
              <w:rPr>
                <w:rFonts w:eastAsia="Times New Roman"/>
                <w:lang w:eastAsia="en-US"/>
              </w:rPr>
              <w:t>PBO</w:t>
            </w:r>
          </w:p>
        </w:tc>
      </w:tr>
      <w:tr w:rsidR="001D0FDA" w:rsidRPr="006A1709" w:rsidTr="001D0FDA">
        <w:tc>
          <w:tcPr>
            <w:tcW w:w="2345" w:type="pct"/>
            <w:gridSpan w:val="3"/>
            <w:tcBorders>
              <w:right w:val="nil"/>
            </w:tcBorders>
            <w:shd w:val="clear" w:color="auto" w:fill="000000" w:themeFill="text1"/>
            <w:tcMar>
              <w:left w:w="108" w:type="dxa"/>
              <w:right w:w="108" w:type="dxa"/>
            </w:tcMar>
          </w:tcPr>
          <w:p w:rsidR="001D0FDA" w:rsidRPr="006A1709" w:rsidRDefault="001D0FDA" w:rsidP="001D0FDA">
            <w:pPr>
              <w:pStyle w:val="Tabletext"/>
              <w:ind w:right="-28"/>
              <w:rPr>
                <w:rFonts w:eastAsia="Times New Roman"/>
                <w:color w:val="FFFFFF" w:themeColor="background1"/>
                <w:lang w:eastAsia="en-US"/>
              </w:rPr>
            </w:pPr>
            <w:r w:rsidRPr="006A1709">
              <w:rPr>
                <w:rFonts w:eastAsia="Times New Roman"/>
                <w:b/>
                <w:color w:val="FFFFFF" w:themeColor="background1"/>
                <w:lang w:eastAsia="en-US"/>
              </w:rPr>
              <w:t>Observational studies</w:t>
            </w:r>
          </w:p>
        </w:tc>
        <w:tc>
          <w:tcPr>
            <w:tcW w:w="1261" w:type="pct"/>
            <w:tcBorders>
              <w:left w:val="nil"/>
              <w:right w:val="nil"/>
            </w:tcBorders>
            <w:shd w:val="clear" w:color="auto" w:fill="000000" w:themeFill="text1"/>
          </w:tcPr>
          <w:p w:rsidR="001D0FDA" w:rsidRPr="006A1709" w:rsidRDefault="001D0FDA" w:rsidP="001D0FDA">
            <w:pPr>
              <w:pStyle w:val="Tabletext"/>
              <w:ind w:right="-28"/>
              <w:rPr>
                <w:rFonts w:eastAsia="Times New Roman"/>
                <w:color w:val="FFFFFF" w:themeColor="background1"/>
                <w:lang w:eastAsia="en-US"/>
              </w:rPr>
            </w:pPr>
          </w:p>
        </w:tc>
        <w:tc>
          <w:tcPr>
            <w:tcW w:w="1394" w:type="pct"/>
            <w:tcBorders>
              <w:left w:val="nil"/>
            </w:tcBorders>
            <w:shd w:val="clear" w:color="auto" w:fill="000000" w:themeFill="text1"/>
          </w:tcPr>
          <w:p w:rsidR="001D0FDA" w:rsidRPr="006A1709" w:rsidRDefault="001D0FDA" w:rsidP="001D0FDA">
            <w:pPr>
              <w:pStyle w:val="Tabletext"/>
              <w:rPr>
                <w:rFonts w:eastAsia="Times New Roman"/>
                <w:color w:val="FFFFFF" w:themeColor="background1"/>
                <w:lang w:eastAsia="en-US"/>
              </w:rPr>
            </w:pP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ARIES extension study</w:t>
            </w:r>
            <w:r w:rsidR="001D34EE" w:rsidRPr="001A1C44">
              <w:rPr>
                <w:rFonts w:eastAsia="Times New Roman"/>
                <w:noProof/>
                <w:vertAlign w:val="superscript"/>
                <w:lang w:eastAsia="en-US"/>
              </w:rPr>
              <w:t>55</w:t>
            </w:r>
          </w:p>
          <w:p w:rsidR="001D0FDA" w:rsidRPr="008D73C9" w:rsidRDefault="001D0FDA" w:rsidP="001D0FDA">
            <w:pPr>
              <w:pStyle w:val="Tabletext"/>
              <w:ind w:right="-28"/>
              <w:rPr>
                <w:rFonts w:eastAsia="Times New Roman"/>
                <w:lang w:eastAsia="en-US"/>
              </w:rPr>
            </w:pPr>
            <w:r w:rsidRPr="008D73C9">
              <w:rPr>
                <w:rFonts w:eastAsia="Times New Roman"/>
                <w:lang w:eastAsia="en-US"/>
              </w:rPr>
              <w:t>No later than 2009</w:t>
            </w:r>
            <w:r w:rsidRPr="008D73C9">
              <w:rPr>
                <w:rFonts w:eastAsia="Times New Roman"/>
                <w:vertAlign w:val="superscript"/>
                <w:lang w:eastAsia="en-US"/>
              </w:rPr>
              <w:t>c</w:t>
            </w:r>
          </w:p>
          <w:p w:rsidR="001D0FDA" w:rsidRPr="008D73C9" w:rsidRDefault="001D0FDA" w:rsidP="001D0FDA">
            <w:pPr>
              <w:pStyle w:val="Tabletext"/>
              <w:ind w:right="-28"/>
              <w:rPr>
                <w:rFonts w:eastAsia="Times New Roman"/>
                <w:lang w:eastAsia="en-US"/>
              </w:rPr>
            </w:pPr>
            <w:r w:rsidRPr="008D73C9">
              <w:rPr>
                <w:rFonts w:eastAsia="Times New Roman"/>
                <w:lang w:eastAsia="en-US"/>
              </w:rPr>
              <w:t>US, Mexico, South America, Australia, Europe, Israel</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Prospective case series </w:t>
            </w:r>
          </w:p>
          <w:p w:rsidR="001D0FDA" w:rsidRPr="008D73C9" w:rsidRDefault="001D0FDA" w:rsidP="001D0FDA">
            <w:pPr>
              <w:pStyle w:val="Tabletext"/>
              <w:ind w:right="-28"/>
              <w:rPr>
                <w:rFonts w:eastAsia="Times New Roman"/>
                <w:lang w:eastAsia="en-US"/>
              </w:rPr>
            </w:pPr>
            <w:r w:rsidRPr="008D73C9">
              <w:rPr>
                <w:rFonts w:eastAsia="Times New Roman"/>
                <w:lang w:eastAsia="en-US"/>
              </w:rPr>
              <w:t>2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N=383</w:t>
            </w:r>
          </w:p>
          <w:p w:rsidR="001D0FDA" w:rsidRPr="008D73C9" w:rsidRDefault="001D0FDA" w:rsidP="001D0FDA">
            <w:pPr>
              <w:pStyle w:val="Tabletext"/>
              <w:ind w:right="-28"/>
              <w:rPr>
                <w:rFonts w:eastAsia="Times New Roman"/>
                <w:lang w:eastAsia="en-US"/>
              </w:rPr>
            </w:pPr>
            <w:r w:rsidRPr="008D73C9">
              <w:rPr>
                <w:rFonts w:eastAsia="Times New Roman"/>
                <w:lang w:eastAsia="en-US"/>
              </w:rPr>
              <w:t>WHO 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PAH-CTD, PAH-HIV or PAH-DT</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AMB 2.5</w:t>
            </w:r>
            <w:r w:rsidR="00570FC8">
              <w:rPr>
                <w:rFonts w:eastAsia="Times New Roman"/>
                <w:lang w:eastAsia="en-US"/>
              </w:rPr>
              <w:t> mg</w:t>
            </w:r>
            <w:r w:rsidRPr="008D73C9">
              <w:rPr>
                <w:rFonts w:eastAsia="Times New Roman"/>
                <w:lang w:eastAsia="en-US"/>
              </w:rPr>
              <w:t>, 5</w:t>
            </w:r>
            <w:r w:rsidR="00570FC8">
              <w:rPr>
                <w:rFonts w:eastAsia="Times New Roman"/>
                <w:lang w:eastAsia="en-US"/>
              </w:rPr>
              <w:t> mg</w:t>
            </w:r>
            <w:r w:rsidRPr="008D73C9">
              <w:rPr>
                <w:rFonts w:eastAsia="Times New Roman"/>
                <w:lang w:eastAsia="en-US"/>
              </w:rPr>
              <w:t xml:space="preserve"> or 10</w:t>
            </w:r>
            <w:r w:rsidR="00570FC8">
              <w:rPr>
                <w:rFonts w:eastAsia="Times New Roman"/>
                <w:lang w:eastAsia="en-US"/>
              </w:rPr>
              <w:t> mg</w:t>
            </w:r>
            <w:r w:rsidRPr="008D73C9">
              <w:rPr>
                <w:rFonts w:eastAsia="Times New Roman"/>
                <w:lang w:eastAsia="en-US"/>
              </w:rPr>
              <w:t xml:space="preserve"> od</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Combination with SIL and/or PRO (18%)</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Dickinson 2009</w:t>
            </w:r>
            <w:r w:rsidR="001D34EE" w:rsidRPr="001A1C44">
              <w:rPr>
                <w:rFonts w:eastAsia="Times New Roman"/>
                <w:noProof/>
                <w:vertAlign w:val="superscript"/>
                <w:lang w:eastAsia="en-US"/>
              </w:rPr>
              <w:t>56</w:t>
            </w:r>
          </w:p>
          <w:p w:rsidR="001D0FDA" w:rsidRPr="008D73C9" w:rsidRDefault="001D0FDA" w:rsidP="001D0FDA">
            <w:pPr>
              <w:pStyle w:val="Tabletext"/>
              <w:ind w:right="-28"/>
              <w:rPr>
                <w:rFonts w:eastAsia="Times New Roman"/>
                <w:lang w:eastAsia="en-US"/>
              </w:rPr>
            </w:pPr>
            <w:r w:rsidRPr="008D73C9">
              <w:rPr>
                <w:rFonts w:eastAsia="Times New Roman"/>
                <w:lang w:eastAsia="en-US"/>
              </w:rPr>
              <w:t>1998-2006</w:t>
            </w:r>
          </w:p>
          <w:p w:rsidR="001D0FDA" w:rsidRPr="008D73C9" w:rsidRDefault="001D0FDA" w:rsidP="001D0FDA">
            <w:pPr>
              <w:pStyle w:val="Tabletext"/>
              <w:ind w:right="-28"/>
              <w:rPr>
                <w:rFonts w:eastAsia="Times New Roman"/>
                <w:lang w:eastAsia="en-US"/>
              </w:rPr>
            </w:pPr>
            <w:r w:rsidRPr="008D73C9">
              <w:rPr>
                <w:rFonts w:eastAsia="Times New Roman"/>
                <w:lang w:eastAsia="en-US"/>
              </w:rPr>
              <w:t>Netherlands</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2.6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N=111</w:t>
            </w:r>
          </w:p>
          <w:p w:rsidR="001D0FDA" w:rsidRPr="008D73C9" w:rsidRDefault="001D0FDA" w:rsidP="001D0FDA">
            <w:pPr>
              <w:pStyle w:val="Tabletext"/>
              <w:ind w:right="-28"/>
              <w:rPr>
                <w:rFonts w:eastAsia="Times New Roman"/>
                <w:lang w:eastAsia="en-US"/>
              </w:rPr>
            </w:pPr>
            <w:r w:rsidRPr="008D73C9">
              <w:rPr>
                <w:rFonts w:eastAsia="Times New Roman"/>
                <w:lang w:eastAsia="en-US"/>
              </w:rPr>
              <w:t>WHO II-IV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HPAH, PAH-CTD, PAH-CHD, PAH-PH, PAH-HIV, PAH-DT or PAH associated with Gaucher disease Type 1</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EPO</w:t>
            </w:r>
            <w:r>
              <w:rPr>
                <w:rFonts w:eastAsia="Times New Roman"/>
                <w:lang w:eastAsia="en-US"/>
              </w:rPr>
              <w:t xml:space="preserve"> (dose not stated)</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EARLY extension study</w:t>
            </w:r>
            <w:r w:rsidR="001D34EE" w:rsidRPr="001A1C44">
              <w:rPr>
                <w:rFonts w:eastAsia="Times New Roman"/>
                <w:noProof/>
                <w:vertAlign w:val="superscript"/>
                <w:lang w:eastAsia="en-US"/>
              </w:rPr>
              <w:t>57</w:t>
            </w:r>
          </w:p>
          <w:p w:rsidR="001D0FDA" w:rsidRPr="008D73C9" w:rsidRDefault="001D0FDA" w:rsidP="001D0FDA">
            <w:pPr>
              <w:pStyle w:val="Tabletext"/>
              <w:ind w:right="-28"/>
              <w:rPr>
                <w:rFonts w:eastAsia="Times New Roman"/>
                <w:lang w:eastAsia="en-US"/>
              </w:rPr>
            </w:pPr>
            <w:r w:rsidRPr="008D73C9">
              <w:rPr>
                <w:rFonts w:eastAsia="Times New Roman"/>
                <w:lang w:eastAsia="en-US"/>
              </w:rPr>
              <w:t>2004-2011</w:t>
            </w:r>
          </w:p>
          <w:p w:rsidR="001D0FDA" w:rsidRPr="008D73C9" w:rsidRDefault="001D0FDA" w:rsidP="001D0FDA">
            <w:pPr>
              <w:pStyle w:val="Tabletext"/>
              <w:ind w:right="-28"/>
              <w:rPr>
                <w:rFonts w:eastAsia="Times New Roman"/>
                <w:lang w:eastAsia="en-US"/>
              </w:rPr>
            </w:pPr>
            <w:r w:rsidRPr="008D73C9">
              <w:rPr>
                <w:rFonts w:eastAsia="Times New Roman"/>
                <w:lang w:eastAsia="en-US"/>
              </w:rPr>
              <w:t>US, Europe, Brazil</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4.3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N=173</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I-III</w:t>
            </w:r>
          </w:p>
          <w:p w:rsidR="001D0FDA" w:rsidRDefault="001D0FDA" w:rsidP="001D0FDA">
            <w:pPr>
              <w:pStyle w:val="Tabletext"/>
              <w:ind w:right="-28"/>
              <w:rPr>
                <w:rFonts w:eastAsia="Times New Roman"/>
                <w:lang w:eastAsia="en-US"/>
              </w:rPr>
            </w:pPr>
            <w:r w:rsidRPr="008D73C9">
              <w:rPr>
                <w:rFonts w:eastAsia="Times New Roman"/>
                <w:lang w:eastAsia="en-US"/>
              </w:rPr>
              <w:t>IPAH, PAH-CTD, PAH-CHD or PAH-HIV</w:t>
            </w:r>
          </w:p>
          <w:p w:rsidR="00D60D8E" w:rsidRPr="008D73C9" w:rsidRDefault="00D60D8E" w:rsidP="001D0FDA">
            <w:pPr>
              <w:pStyle w:val="Tabletext"/>
              <w:ind w:right="-28"/>
              <w:rPr>
                <w:rFonts w:eastAsia="Times New Roman"/>
                <w:lang w:eastAsia="en-US"/>
              </w:rPr>
            </w:pP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BOS 125</w:t>
            </w:r>
            <w:r w:rsidR="00570FC8">
              <w:rPr>
                <w:rFonts w:eastAsia="Times New Roman"/>
                <w:lang w:eastAsia="en-US"/>
              </w:rPr>
              <w:t> mg</w:t>
            </w:r>
            <w:r w:rsidRPr="008D73C9">
              <w:rPr>
                <w:rFonts w:eastAsia="Times New Roman"/>
                <w:lang w:eastAsia="en-US"/>
              </w:rPr>
              <w:t xml:space="preserve"> bid</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Combination with SIL and/or PRO (17%-46%)</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Hislop 2011</w:t>
            </w:r>
            <w:r w:rsidR="001D34EE" w:rsidRPr="001A1C44">
              <w:rPr>
                <w:rFonts w:eastAsia="Times New Roman"/>
                <w:noProof/>
                <w:vertAlign w:val="superscript"/>
                <w:lang w:eastAsia="en-US"/>
              </w:rPr>
              <w:t>58</w:t>
            </w:r>
          </w:p>
          <w:p w:rsidR="001D0FDA" w:rsidRPr="008D73C9" w:rsidRDefault="001D0FDA" w:rsidP="001D0FDA">
            <w:pPr>
              <w:pStyle w:val="Tabletext"/>
              <w:ind w:right="-28"/>
              <w:rPr>
                <w:rFonts w:eastAsia="Times New Roman"/>
                <w:lang w:eastAsia="en-US"/>
              </w:rPr>
            </w:pPr>
            <w:r w:rsidRPr="008D73C9">
              <w:rPr>
                <w:rFonts w:eastAsia="Times New Roman"/>
                <w:lang w:eastAsia="en-US"/>
              </w:rPr>
              <w:t>2002-2008</w:t>
            </w:r>
          </w:p>
          <w:p w:rsidR="001D0FDA" w:rsidRPr="008D73C9" w:rsidRDefault="001D0FDA" w:rsidP="001D0FDA">
            <w:pPr>
              <w:pStyle w:val="Tabletext"/>
              <w:ind w:right="-28"/>
              <w:rPr>
                <w:rFonts w:eastAsia="Times New Roman"/>
                <w:lang w:eastAsia="en-US"/>
              </w:rPr>
            </w:pPr>
            <w:r w:rsidRPr="008D73C9">
              <w:rPr>
                <w:rFonts w:eastAsia="Times New Roman"/>
                <w:lang w:eastAsia="en-US"/>
              </w:rPr>
              <w:t>UK</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2.6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N=101</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unknown</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or PAH-CHD</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BOS 15-125</w:t>
            </w:r>
            <w:r w:rsidR="00570FC8">
              <w:rPr>
                <w:rFonts w:eastAsia="Times New Roman"/>
                <w:lang w:eastAsia="en-US"/>
              </w:rPr>
              <w:t> mg</w:t>
            </w:r>
            <w:r w:rsidRPr="008D73C9">
              <w:rPr>
                <w:rFonts w:eastAsia="Times New Roman"/>
                <w:lang w:eastAsia="en-US"/>
              </w:rPr>
              <w:t xml:space="preserve"> bid, according to body weight</w:t>
            </w:r>
            <w:r w:rsidRPr="008D73C9">
              <w:rPr>
                <w:rFonts w:eastAsia="Times New Roman"/>
                <w:vertAlign w:val="superscript"/>
                <w:lang w:eastAsia="en-US"/>
              </w:rPr>
              <w:t>e</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Combination with SIL and/or EPO (34%-63%)</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Kallen 2008</w:t>
            </w:r>
            <w:r w:rsidR="001D34EE" w:rsidRPr="001A1C44">
              <w:rPr>
                <w:rFonts w:eastAsia="Times New Roman"/>
                <w:noProof/>
                <w:vertAlign w:val="superscript"/>
                <w:lang w:eastAsia="en-US"/>
              </w:rPr>
              <w:t>59</w:t>
            </w:r>
          </w:p>
          <w:p w:rsidR="001D0FDA" w:rsidRPr="008D73C9" w:rsidRDefault="001D0FDA" w:rsidP="001D0FDA">
            <w:pPr>
              <w:pStyle w:val="Tabletext"/>
              <w:ind w:right="-28"/>
              <w:rPr>
                <w:rFonts w:eastAsia="Times New Roman"/>
                <w:lang w:eastAsia="en-US"/>
              </w:rPr>
            </w:pPr>
            <w:r w:rsidRPr="008D73C9">
              <w:rPr>
                <w:rFonts w:eastAsia="Times New Roman"/>
                <w:lang w:eastAsia="en-US"/>
              </w:rPr>
              <w:t>2004-2006</w:t>
            </w:r>
          </w:p>
          <w:p w:rsidR="001D0FDA" w:rsidRPr="008D73C9" w:rsidRDefault="001D0FDA" w:rsidP="001D0FDA">
            <w:pPr>
              <w:pStyle w:val="Tabletext"/>
              <w:ind w:right="-28"/>
              <w:rPr>
                <w:rFonts w:eastAsia="Times New Roman"/>
                <w:lang w:eastAsia="en-US"/>
              </w:rPr>
            </w:pPr>
            <w:r w:rsidRPr="008D73C9">
              <w:rPr>
                <w:rFonts w:eastAsia="Times New Roman"/>
                <w:lang w:eastAsia="en-US"/>
              </w:rPr>
              <w:t>US</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4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N=195</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unknown</w:t>
            </w:r>
          </w:p>
          <w:p w:rsidR="001D0FDA" w:rsidRPr="008D73C9" w:rsidRDefault="001D0FDA" w:rsidP="001D0FDA">
            <w:pPr>
              <w:pStyle w:val="Tabletext"/>
              <w:ind w:right="-28"/>
              <w:rPr>
                <w:rFonts w:eastAsia="Times New Roman"/>
                <w:lang w:eastAsia="en-US"/>
              </w:rPr>
            </w:pPr>
            <w:r w:rsidRPr="008D73C9">
              <w:rPr>
                <w:rFonts w:eastAsia="Times New Roman"/>
                <w:lang w:eastAsia="en-US"/>
              </w:rPr>
              <w:t>PAH aetiology not specified</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EPO</w:t>
            </w:r>
            <w:r>
              <w:rPr>
                <w:rFonts w:eastAsia="Times New Roman"/>
                <w:lang w:eastAsia="en-US"/>
              </w:rPr>
              <w:t xml:space="preserve"> (dose not stated)</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Keogh 2011</w:t>
            </w:r>
            <w:r w:rsidR="001D34EE" w:rsidRPr="001A1C44">
              <w:rPr>
                <w:rFonts w:eastAsia="Times New Roman"/>
                <w:noProof/>
                <w:vertAlign w:val="superscript"/>
                <w:lang w:eastAsia="en-US"/>
              </w:rPr>
              <w:t>60</w:t>
            </w:r>
          </w:p>
          <w:p w:rsidR="001D0FDA" w:rsidRPr="008D73C9" w:rsidRDefault="001D0FDA" w:rsidP="001D0FDA">
            <w:pPr>
              <w:pStyle w:val="Tabletext"/>
              <w:ind w:right="-28"/>
              <w:rPr>
                <w:rFonts w:eastAsia="Times New Roman"/>
                <w:lang w:eastAsia="en-US"/>
              </w:rPr>
            </w:pPr>
            <w:r w:rsidRPr="008D73C9">
              <w:rPr>
                <w:rFonts w:eastAsia="Times New Roman"/>
                <w:lang w:eastAsia="en-US"/>
              </w:rPr>
              <w:t>2004-2007</w:t>
            </w:r>
          </w:p>
          <w:p w:rsidR="001D0FDA" w:rsidRPr="008D73C9" w:rsidRDefault="001D0FDA" w:rsidP="001D0FDA">
            <w:pPr>
              <w:pStyle w:val="Tabletext"/>
              <w:ind w:right="-28"/>
              <w:rPr>
                <w:rFonts w:eastAsia="Times New Roman"/>
                <w:lang w:eastAsia="en-US"/>
              </w:rPr>
            </w:pPr>
            <w:r w:rsidRPr="008D73C9">
              <w:rPr>
                <w:rFonts w:eastAsia="Times New Roman"/>
                <w:lang w:eastAsia="en-US"/>
              </w:rPr>
              <w:t>Australia</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Prospective case series </w:t>
            </w:r>
          </w:p>
          <w:p w:rsidR="001D0FDA" w:rsidRPr="008D73C9" w:rsidRDefault="001D0FDA" w:rsidP="001D0FDA">
            <w:pPr>
              <w:pStyle w:val="Tabletext"/>
              <w:ind w:right="-28"/>
              <w:rPr>
                <w:rFonts w:eastAsia="Times New Roman"/>
                <w:lang w:eastAsia="en-US"/>
              </w:rPr>
            </w:pPr>
            <w:r w:rsidRPr="008D73C9">
              <w:rPr>
                <w:rFonts w:eastAsia="Times New Roman"/>
                <w:lang w:eastAsia="en-US"/>
              </w:rPr>
              <w:t>2.1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N=528</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or PAH-CTD</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BOS</w:t>
            </w:r>
            <w:r>
              <w:rPr>
                <w:rFonts w:eastAsia="Times New Roman"/>
                <w:lang w:eastAsia="en-US"/>
              </w:rPr>
              <w:t xml:space="preserve"> (dose not stated)</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Combination with SIL or PRO (11%)</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Kitterman 2012</w:t>
            </w:r>
            <w:r w:rsidR="001D34EE" w:rsidRPr="001A1C44">
              <w:rPr>
                <w:rFonts w:eastAsia="Times New Roman"/>
                <w:noProof/>
                <w:vertAlign w:val="superscript"/>
                <w:lang w:eastAsia="en-US"/>
              </w:rPr>
              <w:t>61</w:t>
            </w:r>
          </w:p>
          <w:p w:rsidR="001D0FDA" w:rsidRPr="008D73C9" w:rsidRDefault="001D0FDA" w:rsidP="001D0FDA">
            <w:pPr>
              <w:pStyle w:val="Tabletext"/>
              <w:ind w:right="-28"/>
              <w:rPr>
                <w:rFonts w:eastAsia="Times New Roman"/>
                <w:lang w:eastAsia="en-US"/>
              </w:rPr>
            </w:pPr>
            <w:r w:rsidRPr="008D73C9">
              <w:rPr>
                <w:rFonts w:eastAsia="Times New Roman"/>
                <w:lang w:eastAsia="en-US"/>
              </w:rPr>
              <w:t>2006-2010</w:t>
            </w:r>
          </w:p>
          <w:p w:rsidR="001D0FDA" w:rsidRPr="008D73C9" w:rsidRDefault="001D0FDA" w:rsidP="001D0FDA">
            <w:pPr>
              <w:pStyle w:val="Tabletext"/>
              <w:ind w:right="-28"/>
              <w:rPr>
                <w:rFonts w:eastAsia="Times New Roman"/>
                <w:lang w:eastAsia="en-US"/>
              </w:rPr>
            </w:pPr>
            <w:r w:rsidRPr="008D73C9">
              <w:rPr>
                <w:rFonts w:eastAsia="Times New Roman"/>
                <w:lang w:eastAsia="en-US"/>
              </w:rPr>
              <w:t>US</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2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N=1,146</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HPAH, PAH-CTD, PAH-CHD, PAH-PH, PAH-DT, PAH-HIV, other associated PAH or PVOD</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EPO or TRE</w:t>
            </w:r>
            <w:r>
              <w:rPr>
                <w:rFonts w:eastAsia="Times New Roman"/>
                <w:lang w:eastAsia="en-US"/>
              </w:rPr>
              <w:t xml:space="preserve"> (dose not stated)</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McLaughlin 2002</w:t>
            </w:r>
            <w:r w:rsidR="001D34EE" w:rsidRPr="001A1C44">
              <w:rPr>
                <w:rFonts w:eastAsia="Times New Roman"/>
                <w:noProof/>
                <w:vertAlign w:val="superscript"/>
                <w:lang w:eastAsia="en-US"/>
              </w:rPr>
              <w:t>62</w:t>
            </w:r>
          </w:p>
          <w:p w:rsidR="001D0FDA" w:rsidRPr="008D73C9" w:rsidRDefault="001D0FDA" w:rsidP="001D0FDA">
            <w:pPr>
              <w:pStyle w:val="Tabletext"/>
              <w:ind w:right="-28"/>
              <w:rPr>
                <w:rFonts w:eastAsia="Times New Roman"/>
                <w:lang w:eastAsia="en-US"/>
              </w:rPr>
            </w:pPr>
            <w:r w:rsidRPr="008D73C9">
              <w:rPr>
                <w:rFonts w:eastAsia="Times New Roman"/>
                <w:lang w:eastAsia="en-US"/>
              </w:rPr>
              <w:t>1991-2001</w:t>
            </w:r>
          </w:p>
          <w:p w:rsidR="001D0FDA" w:rsidRPr="008D73C9" w:rsidRDefault="001D0FDA" w:rsidP="001D0FDA">
            <w:pPr>
              <w:pStyle w:val="Tabletext"/>
              <w:ind w:right="-28"/>
              <w:rPr>
                <w:rFonts w:eastAsia="Times New Roman"/>
                <w:lang w:eastAsia="en-US"/>
              </w:rPr>
            </w:pPr>
            <w:r w:rsidRPr="008D73C9">
              <w:rPr>
                <w:rFonts w:eastAsia="Times New Roman"/>
                <w:lang w:eastAsia="en-US"/>
              </w:rPr>
              <w:t>US</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Case series (unclear if retrospective or prospective)</w:t>
            </w:r>
          </w:p>
          <w:p w:rsidR="001D0FDA" w:rsidRPr="008D73C9" w:rsidRDefault="001D0FDA" w:rsidP="001D0FDA">
            <w:pPr>
              <w:pStyle w:val="Tabletext"/>
              <w:ind w:right="-28"/>
              <w:rPr>
                <w:rFonts w:eastAsia="Times New Roman"/>
                <w:lang w:eastAsia="en-US"/>
              </w:rPr>
            </w:pPr>
            <w:r w:rsidRPr="008D73C9">
              <w:rPr>
                <w:rFonts w:eastAsia="Times New Roman"/>
                <w:lang w:eastAsia="en-US"/>
              </w:rPr>
              <w:t>2.6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N=162</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HPAH or PAH-DT</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EPO</w:t>
            </w:r>
            <w:r>
              <w:rPr>
                <w:rFonts w:eastAsia="Times New Roman"/>
                <w:lang w:eastAsia="en-US"/>
              </w:rPr>
              <w:t xml:space="preserve"> dose titrated to </w:t>
            </w:r>
            <w:r w:rsidRPr="00E9288F">
              <w:rPr>
                <w:rFonts w:eastAsia="Times New Roman"/>
                <w:lang w:eastAsia="en-US"/>
              </w:rPr>
              <w:t>a maximum tolerated dose</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Oudiz 2004</w:t>
            </w:r>
            <w:r w:rsidR="001D34EE" w:rsidRPr="001A1C44">
              <w:rPr>
                <w:rFonts w:eastAsia="Times New Roman"/>
                <w:noProof/>
                <w:vertAlign w:val="superscript"/>
                <w:lang w:eastAsia="en-US"/>
              </w:rPr>
              <w:t>63</w:t>
            </w:r>
          </w:p>
          <w:p w:rsidR="001D0FDA" w:rsidRPr="008D73C9" w:rsidRDefault="001D0FDA" w:rsidP="001D0FDA">
            <w:pPr>
              <w:pStyle w:val="Tabletext"/>
              <w:ind w:right="-28"/>
              <w:rPr>
                <w:rFonts w:eastAsia="Times New Roman"/>
                <w:lang w:eastAsia="en-US"/>
              </w:rPr>
            </w:pPr>
            <w:r w:rsidRPr="008D73C9">
              <w:rPr>
                <w:rFonts w:eastAsia="Times New Roman"/>
                <w:lang w:eastAsia="en-US"/>
              </w:rPr>
              <w:t>1987-2000</w:t>
            </w:r>
          </w:p>
          <w:p w:rsidR="001D0FDA" w:rsidRPr="008D73C9" w:rsidRDefault="001D0FDA" w:rsidP="001D0FDA">
            <w:pPr>
              <w:pStyle w:val="Tabletext"/>
              <w:ind w:right="-28"/>
              <w:rPr>
                <w:rFonts w:eastAsia="Times New Roman"/>
                <w:lang w:eastAsia="en-US"/>
              </w:rPr>
            </w:pPr>
            <w:r w:rsidRPr="008D73C9">
              <w:rPr>
                <w:rFonts w:eastAsia="Times New Roman"/>
                <w:lang w:eastAsia="en-US"/>
              </w:rPr>
              <w:t>US</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Retrospective and prospective case series </w:t>
            </w:r>
          </w:p>
          <w:p w:rsidR="001D0FDA" w:rsidRPr="008D73C9" w:rsidRDefault="001D0FDA" w:rsidP="001D0FDA">
            <w:pPr>
              <w:pStyle w:val="Tabletext"/>
              <w:ind w:right="-28"/>
              <w:rPr>
                <w:rFonts w:eastAsia="Times New Roman"/>
                <w:lang w:eastAsia="en-US"/>
              </w:rPr>
            </w:pPr>
            <w:r w:rsidRPr="008D73C9">
              <w:rPr>
                <w:rFonts w:eastAsia="Times New Roman"/>
                <w:lang w:eastAsia="en-US"/>
              </w:rPr>
              <w:t>3.6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N=192</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unknown</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PAH-CTD, PAH-CHD, PAH-PH or PAH-HIV</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EPO</w:t>
            </w:r>
            <w:r>
              <w:rPr>
                <w:rFonts w:eastAsia="Times New Roman"/>
                <w:lang w:eastAsia="en-US"/>
              </w:rPr>
              <w:t xml:space="preserve"> (dose not stated)</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PACES extension study</w:t>
            </w:r>
            <w:r w:rsidR="001D34EE" w:rsidRPr="001A1C44">
              <w:rPr>
                <w:rFonts w:eastAsia="Times New Roman"/>
                <w:noProof/>
                <w:vertAlign w:val="superscript"/>
                <w:lang w:eastAsia="en-US"/>
              </w:rPr>
              <w:t>64</w:t>
            </w:r>
          </w:p>
          <w:p w:rsidR="001D0FDA" w:rsidRPr="008D73C9" w:rsidRDefault="001D0FDA" w:rsidP="001D0FDA">
            <w:pPr>
              <w:pStyle w:val="Tabletext"/>
              <w:ind w:right="-28"/>
              <w:rPr>
                <w:rFonts w:eastAsia="Times New Roman"/>
                <w:lang w:eastAsia="en-US"/>
              </w:rPr>
            </w:pPr>
            <w:r w:rsidRPr="008D73C9">
              <w:rPr>
                <w:rFonts w:eastAsia="Times New Roman"/>
                <w:lang w:eastAsia="en-US"/>
              </w:rPr>
              <w:t>2003-2009</w:t>
            </w:r>
          </w:p>
          <w:p w:rsidR="001D0FDA" w:rsidRPr="008D73C9" w:rsidRDefault="001D0FDA" w:rsidP="001D0FDA">
            <w:pPr>
              <w:pStyle w:val="Tabletext"/>
              <w:ind w:right="-28"/>
              <w:rPr>
                <w:rFonts w:eastAsia="Times New Roman"/>
                <w:lang w:eastAsia="en-US"/>
              </w:rPr>
            </w:pPr>
            <w:r w:rsidRPr="008D73C9">
              <w:rPr>
                <w:rFonts w:eastAsia="Times New Roman"/>
                <w:lang w:eastAsia="en-US"/>
              </w:rPr>
              <w:t>US, Canada, Europe, Israel</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3.2 years </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N=265</w:t>
            </w:r>
          </w:p>
          <w:p w:rsidR="001D0FDA" w:rsidRPr="008D73C9" w:rsidRDefault="001D0FDA" w:rsidP="001D0FDA">
            <w:pPr>
              <w:pStyle w:val="Tabletext"/>
              <w:ind w:right="-28"/>
              <w:rPr>
                <w:rFonts w:eastAsia="Times New Roman"/>
                <w:lang w:eastAsia="en-US"/>
              </w:rPr>
            </w:pPr>
            <w:r w:rsidRPr="008D73C9">
              <w:rPr>
                <w:rFonts w:eastAsia="Times New Roman"/>
                <w:lang w:eastAsia="en-US"/>
              </w:rPr>
              <w:t>WHO 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or PAH-CTD</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SIL</w:t>
            </w:r>
            <w:r>
              <w:rPr>
                <w:rFonts w:eastAsia="Times New Roman"/>
                <w:lang w:eastAsia="en-US"/>
              </w:rPr>
              <w:t xml:space="preserve"> </w:t>
            </w:r>
            <w:r w:rsidRPr="008D73C9">
              <w:rPr>
                <w:rFonts w:eastAsia="Times New Roman"/>
                <w:lang w:eastAsia="en-US"/>
              </w:rPr>
              <w:t>20-80</w:t>
            </w:r>
            <w:r w:rsidR="00570FC8">
              <w:rPr>
                <w:rFonts w:eastAsia="Times New Roman"/>
                <w:lang w:eastAsia="en-US"/>
              </w:rPr>
              <w:t> mg</w:t>
            </w:r>
            <w:r w:rsidRPr="008D73C9">
              <w:rPr>
                <w:rFonts w:eastAsia="Times New Roman"/>
                <w:lang w:eastAsia="en-US"/>
              </w:rPr>
              <w:t xml:space="preserve"> tid +EPO</w:t>
            </w:r>
            <w:r>
              <w:rPr>
                <w:rFonts w:eastAsia="Times New Roman"/>
                <w:lang w:eastAsia="en-US"/>
              </w:rPr>
              <w:t xml:space="preserve"> (dose not stated)</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PATENT extension study</w:t>
            </w:r>
            <w:r w:rsidR="001D34EE" w:rsidRPr="001A1C44">
              <w:rPr>
                <w:rFonts w:eastAsia="Times New Roman"/>
                <w:noProof/>
                <w:vertAlign w:val="superscript"/>
                <w:lang w:eastAsia="en-US"/>
              </w:rPr>
              <w:t>65</w:t>
            </w:r>
          </w:p>
          <w:p w:rsidR="001D0FDA" w:rsidRPr="008D73C9" w:rsidRDefault="001D0FDA" w:rsidP="001D0FDA">
            <w:pPr>
              <w:pStyle w:val="Tabletext"/>
              <w:ind w:right="-28"/>
              <w:rPr>
                <w:rFonts w:eastAsia="Times New Roman"/>
                <w:lang w:eastAsia="en-US"/>
              </w:rPr>
            </w:pPr>
            <w:r w:rsidRPr="008D73C9">
              <w:rPr>
                <w:rFonts w:eastAsia="Times New Roman"/>
                <w:lang w:eastAsia="en-US"/>
              </w:rPr>
              <w:t>2009-2014</w:t>
            </w:r>
          </w:p>
          <w:p w:rsidR="001D0FDA" w:rsidRPr="008D73C9" w:rsidRDefault="001D0FDA" w:rsidP="001D0FDA">
            <w:pPr>
              <w:pStyle w:val="Tabletext"/>
              <w:ind w:right="-28"/>
              <w:rPr>
                <w:rFonts w:eastAsia="Times New Roman"/>
                <w:lang w:eastAsia="en-US"/>
              </w:rPr>
            </w:pPr>
            <w:r w:rsidRPr="008D73C9">
              <w:rPr>
                <w:rFonts w:eastAsia="Times New Roman"/>
                <w:lang w:eastAsia="en-US"/>
              </w:rPr>
              <w:t>North America,</w:t>
            </w:r>
            <w:r w:rsidR="002449DC">
              <w:rPr>
                <w:rFonts w:eastAsia="Times New Roman"/>
                <w:lang w:eastAsia="en-US"/>
              </w:rPr>
              <w:t xml:space="preserve"> </w:t>
            </w:r>
            <w:r w:rsidRPr="008D73C9">
              <w:rPr>
                <w:rFonts w:eastAsia="Times New Roman"/>
                <w:lang w:eastAsia="en-US"/>
              </w:rPr>
              <w:t>South America, Asia, Europe, Australia</w:t>
            </w:r>
            <w:r w:rsidRPr="008D73C9">
              <w:rPr>
                <w:rFonts w:eastAsia="Times New Roman"/>
                <w:lang w:eastAsia="en-US"/>
              </w:rPr>
              <w:tab/>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2.7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N=396</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HPAH, PAH-CTD, PAH-CHD, PAH-PH, PAH-DT</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RIO up to 2.5</w:t>
            </w:r>
            <w:r w:rsidR="00570FC8">
              <w:rPr>
                <w:rFonts w:eastAsia="Times New Roman"/>
                <w:lang w:eastAsia="en-US"/>
              </w:rPr>
              <w:t> mg</w:t>
            </w:r>
            <w:r w:rsidRPr="008D73C9">
              <w:rPr>
                <w:rFonts w:eastAsia="Times New Roman"/>
                <w:lang w:eastAsia="en-US"/>
              </w:rPr>
              <w:t xml:space="preserve"> tid</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Combination with ERA and/or PRO (50%-55%)</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Provencher 2006</w:t>
            </w:r>
            <w:r w:rsidR="001D34EE" w:rsidRPr="001A1C44">
              <w:rPr>
                <w:rFonts w:eastAsia="Times New Roman"/>
                <w:noProof/>
                <w:vertAlign w:val="superscript"/>
                <w:lang w:eastAsia="en-US"/>
              </w:rPr>
              <w:t>66</w:t>
            </w:r>
          </w:p>
          <w:p w:rsidR="001D0FDA" w:rsidRPr="008D73C9" w:rsidRDefault="001D0FDA" w:rsidP="001D0FDA">
            <w:pPr>
              <w:pStyle w:val="Tabletext"/>
              <w:ind w:right="-28"/>
              <w:rPr>
                <w:rFonts w:eastAsia="Times New Roman"/>
                <w:lang w:eastAsia="en-US"/>
              </w:rPr>
            </w:pPr>
            <w:r w:rsidRPr="008D73C9">
              <w:rPr>
                <w:rFonts w:eastAsia="Times New Roman"/>
                <w:lang w:eastAsia="en-US"/>
              </w:rPr>
              <w:t>1999-2004</w:t>
            </w:r>
          </w:p>
          <w:p w:rsidR="001D0FDA" w:rsidRPr="008D73C9" w:rsidRDefault="001D0FDA" w:rsidP="001D0FDA">
            <w:pPr>
              <w:pStyle w:val="Tabletext"/>
              <w:ind w:right="-28"/>
              <w:rPr>
                <w:rFonts w:eastAsia="Times New Roman"/>
                <w:lang w:eastAsia="en-US"/>
              </w:rPr>
            </w:pPr>
            <w:r w:rsidRPr="008D73C9">
              <w:rPr>
                <w:rFonts w:eastAsia="Times New Roman"/>
                <w:lang w:eastAsia="en-US"/>
              </w:rPr>
              <w:t>France</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2.0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N=103</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BOS 125</w:t>
            </w:r>
            <w:r w:rsidR="00570FC8">
              <w:rPr>
                <w:rFonts w:eastAsia="Times New Roman"/>
                <w:lang w:eastAsia="en-US"/>
              </w:rPr>
              <w:t> mg</w:t>
            </w:r>
            <w:r w:rsidRPr="008D73C9">
              <w:rPr>
                <w:rFonts w:eastAsia="Times New Roman"/>
                <w:lang w:eastAsia="en-US"/>
              </w:rPr>
              <w:t xml:space="preserve"> bid </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Combination with PRO (44%)</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Sastry 2007</w:t>
            </w:r>
            <w:r w:rsidR="001D34EE" w:rsidRPr="001A1C44">
              <w:rPr>
                <w:rFonts w:eastAsia="Times New Roman"/>
                <w:noProof/>
                <w:vertAlign w:val="superscript"/>
                <w:lang w:eastAsia="en-US"/>
              </w:rPr>
              <w:t>52</w:t>
            </w:r>
          </w:p>
          <w:p w:rsidR="001D0FDA" w:rsidRPr="008D73C9" w:rsidRDefault="001D0FDA" w:rsidP="001D0FDA">
            <w:pPr>
              <w:pStyle w:val="Tabletext"/>
              <w:ind w:right="-28"/>
              <w:rPr>
                <w:rFonts w:eastAsia="Times New Roman"/>
                <w:lang w:eastAsia="en-US"/>
              </w:rPr>
            </w:pPr>
            <w:r w:rsidRPr="008D73C9">
              <w:rPr>
                <w:rFonts w:eastAsia="Times New Roman"/>
                <w:lang w:eastAsia="en-US"/>
              </w:rPr>
              <w:t>1999-2006</w:t>
            </w:r>
          </w:p>
          <w:p w:rsidR="001D0FDA" w:rsidRPr="008D73C9" w:rsidRDefault="001D0FDA" w:rsidP="001D0FDA">
            <w:pPr>
              <w:pStyle w:val="Tabletext"/>
              <w:ind w:right="-28"/>
              <w:rPr>
                <w:rFonts w:eastAsia="Times New Roman"/>
                <w:lang w:eastAsia="en-US"/>
              </w:rPr>
            </w:pPr>
            <w:r w:rsidRPr="008D73C9">
              <w:rPr>
                <w:rFonts w:eastAsia="Times New Roman"/>
                <w:lang w:eastAsia="en-US"/>
              </w:rPr>
              <w:t>India</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Historical control study</w:t>
            </w:r>
          </w:p>
          <w:p w:rsidR="001D0FDA" w:rsidRPr="008D73C9" w:rsidRDefault="001D0FDA" w:rsidP="001D0FDA">
            <w:pPr>
              <w:pStyle w:val="Tabletext"/>
              <w:ind w:right="-28"/>
              <w:rPr>
                <w:rFonts w:eastAsia="Times New Roman"/>
                <w:lang w:eastAsia="en-US"/>
              </w:rPr>
            </w:pPr>
            <w:r w:rsidRPr="008D73C9">
              <w:rPr>
                <w:rFonts w:eastAsia="Times New Roman"/>
                <w:lang w:eastAsia="en-US"/>
              </w:rPr>
              <w:t>Up to 5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N=178</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SIL 25-50</w:t>
            </w:r>
            <w:r w:rsidR="00570FC8">
              <w:rPr>
                <w:rFonts w:eastAsia="Times New Roman"/>
                <w:lang w:eastAsia="en-US"/>
              </w:rPr>
              <w:t> mg</w:t>
            </w:r>
            <w:r>
              <w:rPr>
                <w:rFonts w:eastAsia="Times New Roman"/>
                <w:lang w:eastAsia="en-US"/>
              </w:rPr>
              <w:t xml:space="preserve"> tid</w:t>
            </w:r>
          </w:p>
          <w:p w:rsidR="001D0FDA" w:rsidRPr="008D73C9" w:rsidRDefault="001D0FDA" w:rsidP="001D0FDA">
            <w:pPr>
              <w:pStyle w:val="Tabletext"/>
              <w:rPr>
                <w:rFonts w:eastAsia="Times New Roman"/>
                <w:lang w:eastAsia="en-US"/>
              </w:rPr>
            </w:pPr>
            <w:r w:rsidRPr="008D73C9">
              <w:rPr>
                <w:rFonts w:eastAsia="Times New Roman"/>
                <w:lang w:eastAsia="en-US"/>
              </w:rPr>
              <w:t>Conventional therapy</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Sitbon 2002</w:t>
            </w:r>
            <w:r w:rsidR="001D34EE" w:rsidRPr="001A1C44">
              <w:rPr>
                <w:rFonts w:eastAsia="Times New Roman"/>
                <w:noProof/>
                <w:vertAlign w:val="superscript"/>
                <w:lang w:eastAsia="en-US"/>
              </w:rPr>
              <w:t>67</w:t>
            </w:r>
          </w:p>
          <w:p w:rsidR="001D0FDA" w:rsidRPr="008D73C9" w:rsidRDefault="001D0FDA" w:rsidP="001D0FDA">
            <w:pPr>
              <w:pStyle w:val="Tabletext"/>
              <w:ind w:right="-28"/>
              <w:rPr>
                <w:rFonts w:eastAsia="Times New Roman"/>
                <w:lang w:eastAsia="en-US"/>
              </w:rPr>
            </w:pPr>
            <w:r w:rsidRPr="008D73C9">
              <w:rPr>
                <w:rFonts w:eastAsia="Times New Roman"/>
                <w:lang w:eastAsia="en-US"/>
              </w:rPr>
              <w:t>1992-2001</w:t>
            </w:r>
          </w:p>
          <w:p w:rsidR="001D0FDA" w:rsidRPr="008D73C9" w:rsidRDefault="001D0FDA" w:rsidP="001D0FDA">
            <w:pPr>
              <w:pStyle w:val="Tabletext"/>
              <w:ind w:right="-28"/>
              <w:rPr>
                <w:rFonts w:eastAsia="Times New Roman"/>
                <w:lang w:eastAsia="en-US"/>
              </w:rPr>
            </w:pPr>
            <w:r w:rsidRPr="008D73C9">
              <w:rPr>
                <w:rFonts w:eastAsia="Times New Roman"/>
                <w:lang w:eastAsia="en-US"/>
              </w:rPr>
              <w:t>France</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2.2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N=178</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HPAH or PPAH-DT</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EPO</w:t>
            </w:r>
            <w:r>
              <w:rPr>
                <w:rFonts w:eastAsia="Times New Roman"/>
                <w:lang w:eastAsia="en-US"/>
              </w:rPr>
              <w:t xml:space="preserve"> dose adjusted </w:t>
            </w:r>
            <w:r w:rsidRPr="00E9288F">
              <w:rPr>
                <w:rFonts w:eastAsia="Times New Roman"/>
                <w:lang w:eastAsia="en-US"/>
              </w:rPr>
              <w:t xml:space="preserve">based on clinical symptoms, </w:t>
            </w:r>
            <w:r>
              <w:rPr>
                <w:rFonts w:eastAsia="Times New Roman"/>
                <w:lang w:eastAsia="en-US"/>
              </w:rPr>
              <w:t>exercise capability, and hae</w:t>
            </w:r>
            <w:r w:rsidRPr="00E9288F">
              <w:rPr>
                <w:rFonts w:eastAsia="Times New Roman"/>
                <w:lang w:eastAsia="en-US"/>
              </w:rPr>
              <w:t>modynamic measurements</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Sitbon 2016</w:t>
            </w:r>
            <w:r w:rsidR="001D34EE" w:rsidRPr="001A1C44">
              <w:rPr>
                <w:rFonts w:eastAsia="Times New Roman"/>
                <w:noProof/>
                <w:vertAlign w:val="superscript"/>
                <w:lang w:eastAsia="en-US"/>
              </w:rPr>
              <w:t>68</w:t>
            </w:r>
          </w:p>
          <w:p w:rsidR="001D0FDA" w:rsidRPr="008D73C9" w:rsidRDefault="001D0FDA" w:rsidP="001D0FDA">
            <w:pPr>
              <w:pStyle w:val="Tabletext"/>
              <w:ind w:right="-28"/>
              <w:rPr>
                <w:rFonts w:eastAsia="Times New Roman"/>
                <w:lang w:eastAsia="en-US"/>
              </w:rPr>
            </w:pPr>
            <w:r w:rsidRPr="008D73C9">
              <w:rPr>
                <w:rFonts w:eastAsia="Times New Roman"/>
                <w:lang w:eastAsia="en-US"/>
              </w:rPr>
              <w:t>2007-2013</w:t>
            </w:r>
          </w:p>
          <w:p w:rsidR="001D0FDA" w:rsidRPr="008D73C9" w:rsidRDefault="001D0FDA" w:rsidP="001D0FDA">
            <w:pPr>
              <w:pStyle w:val="Tabletext"/>
              <w:ind w:right="-28"/>
              <w:rPr>
                <w:rFonts w:eastAsia="Times New Roman"/>
                <w:lang w:eastAsia="en-US"/>
              </w:rPr>
            </w:pPr>
            <w:r w:rsidRPr="008D73C9">
              <w:rPr>
                <w:rFonts w:eastAsia="Times New Roman"/>
                <w:lang w:eastAsia="en-US"/>
              </w:rPr>
              <w:t>France</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2.5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N=97</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HPAH, PAH-CTD, PAH-CHD, PAH-DT, PAH-PH or PAH-HIV</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BOS/AMB+SIL/TAD</w:t>
            </w:r>
          </w:p>
          <w:p w:rsidR="001D0FDA" w:rsidRPr="008D73C9" w:rsidRDefault="001D0FDA" w:rsidP="001D0FDA">
            <w:pPr>
              <w:pStyle w:val="Tabletext"/>
              <w:rPr>
                <w:rFonts w:eastAsia="Times New Roman"/>
                <w:lang w:eastAsia="en-US"/>
              </w:rPr>
            </w:pPr>
            <w:r w:rsidRPr="008D73C9">
              <w:rPr>
                <w:rFonts w:eastAsia="Times New Roman"/>
                <w:lang w:eastAsia="en-US"/>
              </w:rPr>
              <w:t>BOS 125</w:t>
            </w:r>
            <w:r w:rsidR="00570FC8">
              <w:rPr>
                <w:rFonts w:eastAsia="Times New Roman"/>
                <w:lang w:eastAsia="en-US"/>
              </w:rPr>
              <w:t> mg</w:t>
            </w:r>
            <w:r w:rsidRPr="008D73C9">
              <w:rPr>
                <w:rFonts w:eastAsia="Times New Roman"/>
                <w:lang w:eastAsia="en-US"/>
              </w:rPr>
              <w:t xml:space="preserve"> bid</w:t>
            </w:r>
          </w:p>
          <w:p w:rsidR="001D0FDA" w:rsidRPr="008D73C9" w:rsidRDefault="001D0FDA" w:rsidP="001D0FDA">
            <w:pPr>
              <w:pStyle w:val="Tabletext"/>
              <w:rPr>
                <w:rFonts w:eastAsia="Times New Roman"/>
                <w:lang w:eastAsia="en-US"/>
              </w:rPr>
            </w:pPr>
            <w:r w:rsidRPr="008D73C9">
              <w:rPr>
                <w:rFonts w:eastAsia="Times New Roman"/>
                <w:lang w:eastAsia="en-US"/>
              </w:rPr>
              <w:t>AMB 5</w:t>
            </w:r>
            <w:r w:rsidR="00570FC8">
              <w:rPr>
                <w:rFonts w:eastAsia="Times New Roman"/>
                <w:lang w:eastAsia="en-US"/>
              </w:rPr>
              <w:t> mg</w:t>
            </w:r>
            <w:r w:rsidRPr="008D73C9">
              <w:rPr>
                <w:rFonts w:eastAsia="Times New Roman"/>
                <w:lang w:eastAsia="en-US"/>
              </w:rPr>
              <w:t xml:space="preserve"> or 10</w:t>
            </w:r>
            <w:r w:rsidR="00570FC8">
              <w:rPr>
                <w:rFonts w:eastAsia="Times New Roman"/>
                <w:lang w:eastAsia="en-US"/>
              </w:rPr>
              <w:t> mg</w:t>
            </w:r>
            <w:r w:rsidRPr="008D73C9">
              <w:rPr>
                <w:rFonts w:eastAsia="Times New Roman"/>
                <w:lang w:eastAsia="en-US"/>
              </w:rPr>
              <w:t xml:space="preserve"> od</w:t>
            </w:r>
          </w:p>
          <w:p w:rsidR="001D0FDA" w:rsidRPr="008D73C9" w:rsidRDefault="001D0FDA" w:rsidP="001D0FDA">
            <w:pPr>
              <w:pStyle w:val="Tabletext"/>
              <w:rPr>
                <w:rFonts w:eastAsia="Times New Roman"/>
                <w:lang w:eastAsia="en-US"/>
              </w:rPr>
            </w:pPr>
            <w:r w:rsidRPr="008D73C9">
              <w:rPr>
                <w:rFonts w:eastAsia="Times New Roman"/>
                <w:lang w:eastAsia="en-US"/>
              </w:rPr>
              <w:t>SIL 20 or 40</w:t>
            </w:r>
            <w:r w:rsidR="00570FC8">
              <w:rPr>
                <w:rFonts w:eastAsia="Times New Roman"/>
                <w:lang w:eastAsia="en-US"/>
              </w:rPr>
              <w:t> mg</w:t>
            </w:r>
            <w:r w:rsidRPr="008D73C9">
              <w:rPr>
                <w:rFonts w:eastAsia="Times New Roman"/>
                <w:lang w:eastAsia="en-US"/>
              </w:rPr>
              <w:t xml:space="preserve"> tid</w:t>
            </w:r>
          </w:p>
          <w:p w:rsidR="001D0FDA" w:rsidRPr="008D73C9" w:rsidRDefault="001D0FDA" w:rsidP="001D0FDA">
            <w:pPr>
              <w:pStyle w:val="Tabletext"/>
              <w:rPr>
                <w:rFonts w:eastAsia="Times New Roman"/>
                <w:lang w:eastAsia="en-US"/>
              </w:rPr>
            </w:pPr>
            <w:r w:rsidRPr="008D73C9">
              <w:rPr>
                <w:rFonts w:eastAsia="Times New Roman"/>
                <w:lang w:eastAsia="en-US"/>
              </w:rPr>
              <w:t>TAD 20 or 40</w:t>
            </w:r>
            <w:r w:rsidR="00570FC8">
              <w:rPr>
                <w:rFonts w:eastAsia="Times New Roman"/>
                <w:lang w:eastAsia="en-US"/>
              </w:rPr>
              <w:t> mg</w:t>
            </w:r>
            <w:r w:rsidRPr="008D73C9">
              <w:rPr>
                <w:rFonts w:eastAsia="Times New Roman"/>
                <w:lang w:eastAsia="en-US"/>
              </w:rPr>
              <w:t xml:space="preserve"> od</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Combination with PRO or SEL (29%)</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STARTS extension study </w:t>
            </w:r>
            <w:r w:rsidR="001D34EE" w:rsidRPr="001A1C44">
              <w:rPr>
                <w:rFonts w:eastAsia="Times New Roman"/>
                <w:noProof/>
                <w:vertAlign w:val="superscript"/>
                <w:lang w:eastAsia="en-US"/>
              </w:rPr>
              <w:t>69</w:t>
            </w:r>
          </w:p>
          <w:p w:rsidR="001D0FDA" w:rsidRPr="008D73C9" w:rsidRDefault="001D0FDA" w:rsidP="001D0FDA">
            <w:pPr>
              <w:pStyle w:val="Tabletext"/>
              <w:ind w:right="-28"/>
              <w:rPr>
                <w:rFonts w:eastAsia="Times New Roman"/>
                <w:lang w:eastAsia="en-US"/>
              </w:rPr>
            </w:pPr>
            <w:r w:rsidRPr="008D73C9">
              <w:rPr>
                <w:rFonts w:eastAsia="Times New Roman"/>
                <w:lang w:eastAsia="en-US"/>
              </w:rPr>
              <w:t>2004-2011</w:t>
            </w:r>
          </w:p>
          <w:p w:rsidR="001D0FDA" w:rsidRPr="008D73C9" w:rsidRDefault="001D0FDA" w:rsidP="001D0FDA">
            <w:pPr>
              <w:pStyle w:val="Tabletext"/>
              <w:ind w:right="-28"/>
              <w:rPr>
                <w:rFonts w:eastAsia="Times New Roman"/>
                <w:lang w:eastAsia="en-US"/>
              </w:rPr>
            </w:pPr>
            <w:r w:rsidRPr="008D73C9">
              <w:rPr>
                <w:rFonts w:eastAsia="Times New Roman"/>
                <w:lang w:eastAsia="en-US"/>
              </w:rPr>
              <w:t>North, South, and Central America, Asia and Europe</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4.1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N=329</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HPAH or PAH-CHD</w:t>
            </w:r>
          </w:p>
        </w:tc>
        <w:tc>
          <w:tcPr>
            <w:tcW w:w="1394" w:type="pct"/>
          </w:tcPr>
          <w:p w:rsidR="001D0FDA" w:rsidRPr="008D73C9" w:rsidRDefault="001D0FDA" w:rsidP="001D0FDA">
            <w:pPr>
              <w:pStyle w:val="Tabletext"/>
              <w:rPr>
                <w:rFonts w:eastAsia="Times New Roman"/>
                <w:lang w:eastAsia="en-US"/>
              </w:rPr>
            </w:pPr>
            <w:r w:rsidRPr="008D73C9">
              <w:rPr>
                <w:rFonts w:eastAsia="Times New Roman"/>
                <w:snapToGrid w:val="0"/>
                <w:lang w:eastAsia="en-US"/>
              </w:rPr>
              <w:t xml:space="preserve">SIL </w:t>
            </w:r>
            <w:r>
              <w:rPr>
                <w:rFonts w:eastAsia="Times New Roman"/>
                <w:snapToGrid w:val="0"/>
                <w:lang w:eastAsia="en-US"/>
              </w:rPr>
              <w:t>dose adjusted according to clinical response and tolerability</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Vachiéry 2017 </w:t>
            </w:r>
            <w:r w:rsidR="001D34EE" w:rsidRPr="001A1C44">
              <w:rPr>
                <w:rFonts w:eastAsia="Times New Roman"/>
                <w:noProof/>
                <w:vertAlign w:val="superscript"/>
                <w:lang w:eastAsia="en-US"/>
              </w:rPr>
              <w:t>70</w:t>
            </w:r>
          </w:p>
          <w:p w:rsidR="001D0FDA" w:rsidRPr="008D73C9" w:rsidRDefault="001D0FDA" w:rsidP="001D0FDA">
            <w:pPr>
              <w:pStyle w:val="Tabletext"/>
              <w:ind w:right="-28"/>
              <w:rPr>
                <w:rFonts w:eastAsia="Times New Roman"/>
                <w:lang w:eastAsia="en-US"/>
              </w:rPr>
            </w:pPr>
            <w:r w:rsidRPr="008D73C9">
              <w:rPr>
                <w:rFonts w:eastAsia="Times New Roman"/>
                <w:lang w:eastAsia="en-US"/>
              </w:rPr>
              <w:t>2008-2013</w:t>
            </w:r>
          </w:p>
          <w:p w:rsidR="001D0FDA" w:rsidRPr="008D73C9" w:rsidRDefault="001D0FDA" w:rsidP="001D0FDA">
            <w:pPr>
              <w:pStyle w:val="Tabletext"/>
              <w:ind w:right="-28"/>
              <w:rPr>
                <w:rFonts w:eastAsia="Times New Roman"/>
                <w:lang w:eastAsia="en-US"/>
              </w:rPr>
            </w:pPr>
            <w:r w:rsidRPr="008D73C9">
              <w:rPr>
                <w:rFonts w:eastAsia="Times New Roman"/>
                <w:lang w:eastAsia="en-US"/>
              </w:rPr>
              <w:t>Europe, Canada, Australia</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2.2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N=998 </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I-IV</w:t>
            </w:r>
          </w:p>
          <w:p w:rsidR="001D0FDA" w:rsidRPr="008D73C9" w:rsidRDefault="001D0FDA" w:rsidP="001D0FDA">
            <w:pPr>
              <w:pStyle w:val="Tabletext"/>
              <w:ind w:right="-28"/>
              <w:rPr>
                <w:rFonts w:eastAsia="Times New Roman"/>
                <w:lang w:eastAsia="en-US"/>
              </w:rPr>
            </w:pPr>
            <w:r w:rsidRPr="008D73C9">
              <w:rPr>
                <w:rFonts w:eastAsia="Times New Roman"/>
                <w:lang w:eastAsia="en-US"/>
              </w:rPr>
              <w:t>IPAH, HPAH or associated PAH</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AMB 5</w:t>
            </w:r>
            <w:r w:rsidR="00570FC8">
              <w:rPr>
                <w:rFonts w:eastAsia="Times New Roman"/>
                <w:lang w:eastAsia="en-US"/>
              </w:rPr>
              <w:t> mg</w:t>
            </w:r>
            <w:r w:rsidRPr="008D73C9">
              <w:rPr>
                <w:rFonts w:eastAsia="Times New Roman"/>
                <w:lang w:eastAsia="en-US"/>
              </w:rPr>
              <w:t xml:space="preserve"> or 10</w:t>
            </w:r>
            <w:r w:rsidR="00570FC8">
              <w:rPr>
                <w:rFonts w:eastAsia="Times New Roman"/>
                <w:lang w:eastAsia="en-US"/>
              </w:rPr>
              <w:t> mg</w:t>
            </w:r>
            <w:r w:rsidRPr="008D73C9">
              <w:rPr>
                <w:rFonts w:eastAsia="Times New Roman"/>
                <w:lang w:eastAsia="en-US"/>
              </w:rPr>
              <w:t xml:space="preserve"> od</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 xml:space="preserve">Combination with </w:t>
            </w:r>
            <w:r>
              <w:rPr>
                <w:rFonts w:eastAsia="Times New Roman"/>
                <w:lang w:eastAsia="en-US"/>
              </w:rPr>
              <w:t>other PAH medicine</w:t>
            </w:r>
            <w:r w:rsidRPr="008D73C9">
              <w:rPr>
                <w:rFonts w:eastAsia="Times New Roman"/>
                <w:lang w:eastAsia="en-US"/>
              </w:rPr>
              <w:t xml:space="preserve">s (32% at baseline) </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VA1A4001 extension study</w:t>
            </w:r>
            <w:r w:rsidR="001D34EE" w:rsidRPr="001A1C44">
              <w:rPr>
                <w:rFonts w:eastAsia="Times New Roman"/>
                <w:noProof/>
                <w:vertAlign w:val="superscript"/>
                <w:lang w:eastAsia="en-US"/>
              </w:rPr>
              <w:t>71</w:t>
            </w:r>
          </w:p>
          <w:p w:rsidR="001D0FDA" w:rsidRPr="008D73C9" w:rsidRDefault="001D0FDA" w:rsidP="001D0FDA">
            <w:pPr>
              <w:pStyle w:val="Tabletext"/>
              <w:ind w:right="-28"/>
              <w:rPr>
                <w:rFonts w:eastAsia="Times New Roman"/>
                <w:lang w:eastAsia="en-US"/>
              </w:rPr>
            </w:pPr>
            <w:r w:rsidRPr="008D73C9">
              <w:rPr>
                <w:rFonts w:eastAsia="Times New Roman"/>
                <w:lang w:eastAsia="en-US"/>
              </w:rPr>
              <w:t>No later than 2009</w:t>
            </w:r>
            <w:r w:rsidRPr="008D73C9">
              <w:rPr>
                <w:rFonts w:eastAsia="Times New Roman"/>
                <w:vertAlign w:val="superscript"/>
                <w:lang w:eastAsia="en-US"/>
              </w:rPr>
              <w:t>c</w:t>
            </w:r>
          </w:p>
          <w:p w:rsidR="001D0FDA" w:rsidRPr="008D73C9" w:rsidRDefault="001D0FDA" w:rsidP="001D0FDA">
            <w:pPr>
              <w:pStyle w:val="Tabletext"/>
              <w:ind w:right="-28"/>
              <w:rPr>
                <w:rFonts w:eastAsia="Times New Roman"/>
                <w:lang w:eastAsia="en-US"/>
              </w:rPr>
            </w:pPr>
            <w:r w:rsidRPr="008D73C9">
              <w:rPr>
                <w:rFonts w:eastAsia="Times New Roman"/>
                <w:lang w:eastAsia="en-US"/>
              </w:rPr>
              <w:t>North America</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Up to 3 year </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N=97</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II-IV</w:t>
            </w:r>
          </w:p>
          <w:p w:rsidR="001D0FDA" w:rsidRPr="008D73C9" w:rsidRDefault="001D0FDA" w:rsidP="001D0FDA">
            <w:pPr>
              <w:pStyle w:val="Tabletext"/>
              <w:ind w:right="-28"/>
              <w:rPr>
                <w:rFonts w:eastAsia="Times New Roman"/>
                <w:lang w:eastAsia="en-US"/>
              </w:rPr>
            </w:pPr>
            <w:r w:rsidRPr="008D73C9">
              <w:rPr>
                <w:rFonts w:eastAsia="Times New Roman"/>
                <w:lang w:eastAsia="en-US"/>
              </w:rPr>
              <w:t>PAH-CTD</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EPO</w:t>
            </w:r>
            <w:r>
              <w:rPr>
                <w:rFonts w:eastAsia="Times New Roman"/>
                <w:lang w:eastAsia="en-US"/>
              </w:rPr>
              <w:t xml:space="preserve"> dose up-titrated from 2</w:t>
            </w:r>
            <w:r w:rsidR="00570FC8">
              <w:rPr>
                <w:rFonts w:eastAsia="Times New Roman"/>
                <w:lang w:eastAsia="en-US"/>
              </w:rPr>
              <w:t> mg</w:t>
            </w:r>
            <w:r>
              <w:rPr>
                <w:rFonts w:eastAsia="Times New Roman"/>
                <w:lang w:eastAsia="en-US"/>
              </w:rPr>
              <w:t>/kg/min based on tolerability</w:t>
            </w:r>
          </w:p>
        </w:tc>
      </w:tr>
      <w:tr w:rsidR="001D0FDA" w:rsidRPr="008D73C9" w:rsidTr="00771186">
        <w:tc>
          <w:tcPr>
            <w:tcW w:w="1288" w:type="pct"/>
            <w:shd w:val="clear" w:color="auto" w:fill="auto"/>
            <w:tcMar>
              <w:left w:w="108" w:type="dxa"/>
              <w:right w:w="108" w:type="dxa"/>
            </w:tcMar>
          </w:tcPr>
          <w:p w:rsidR="001D0FDA" w:rsidRPr="008D73C9" w:rsidRDefault="001D0FDA" w:rsidP="001D0FDA">
            <w:pPr>
              <w:pStyle w:val="Tabletext"/>
              <w:ind w:right="-28"/>
              <w:rPr>
                <w:rFonts w:eastAsia="Times New Roman"/>
                <w:lang w:eastAsia="en-US"/>
              </w:rPr>
            </w:pPr>
            <w:r w:rsidRPr="008D73C9">
              <w:rPr>
                <w:rFonts w:eastAsia="Times New Roman"/>
                <w:lang w:eastAsia="en-US"/>
              </w:rPr>
              <w:t>Vis 2013</w:t>
            </w:r>
            <w:r w:rsidR="001D34EE" w:rsidRPr="001A1C44">
              <w:rPr>
                <w:rFonts w:eastAsia="Times New Roman"/>
                <w:noProof/>
                <w:vertAlign w:val="superscript"/>
                <w:lang w:eastAsia="en-US"/>
              </w:rPr>
              <w:t>72</w:t>
            </w:r>
          </w:p>
          <w:p w:rsidR="001D0FDA" w:rsidRPr="008D73C9" w:rsidRDefault="001D0FDA" w:rsidP="001D0FDA">
            <w:pPr>
              <w:pStyle w:val="Tabletext"/>
              <w:ind w:right="-28"/>
              <w:rPr>
                <w:rFonts w:eastAsia="Times New Roman"/>
                <w:lang w:eastAsia="en-US"/>
              </w:rPr>
            </w:pPr>
            <w:r w:rsidRPr="008D73C9">
              <w:rPr>
                <w:rFonts w:eastAsia="Times New Roman"/>
                <w:lang w:eastAsia="en-US"/>
              </w:rPr>
              <w:t>2005-2010</w:t>
            </w:r>
          </w:p>
          <w:p w:rsidR="001D0FDA" w:rsidRPr="008D73C9" w:rsidRDefault="001D0FDA" w:rsidP="001D0FDA">
            <w:pPr>
              <w:pStyle w:val="Tabletext"/>
              <w:ind w:right="-28"/>
              <w:rPr>
                <w:rFonts w:eastAsia="Times New Roman"/>
                <w:lang w:eastAsia="en-US"/>
              </w:rPr>
            </w:pPr>
            <w:r w:rsidRPr="008D73C9">
              <w:rPr>
                <w:rFonts w:eastAsia="Times New Roman"/>
                <w:lang w:eastAsia="en-US"/>
              </w:rPr>
              <w:t>Netherlands</w:t>
            </w:r>
          </w:p>
        </w:tc>
        <w:tc>
          <w:tcPr>
            <w:tcW w:w="1057" w:type="pct"/>
            <w:gridSpan w:val="2"/>
          </w:tcPr>
          <w:p w:rsidR="001D0FDA" w:rsidRPr="008D73C9" w:rsidRDefault="001D0FDA" w:rsidP="001D0FDA">
            <w:pPr>
              <w:pStyle w:val="Tabletext"/>
              <w:ind w:right="-28"/>
              <w:rPr>
                <w:rFonts w:eastAsia="Times New Roman"/>
                <w:lang w:eastAsia="en-US"/>
              </w:rPr>
            </w:pPr>
            <w:r w:rsidRPr="008D73C9">
              <w:rPr>
                <w:rFonts w:eastAsia="Times New Roman"/>
                <w:lang w:eastAsia="en-US"/>
              </w:rPr>
              <w:t>Case series (unclear if retrospective or prospective)</w:t>
            </w:r>
          </w:p>
          <w:p w:rsidR="001D0FDA" w:rsidRPr="008D73C9" w:rsidRDefault="001D0FDA" w:rsidP="001D0FDA">
            <w:pPr>
              <w:pStyle w:val="Tabletext"/>
              <w:ind w:right="-28"/>
              <w:rPr>
                <w:rFonts w:eastAsia="Times New Roman"/>
                <w:lang w:eastAsia="en-US"/>
              </w:rPr>
            </w:pPr>
            <w:r w:rsidRPr="008D73C9">
              <w:rPr>
                <w:rFonts w:eastAsia="Times New Roman"/>
                <w:lang w:eastAsia="en-US"/>
              </w:rPr>
              <w:t>3.9-4 years</w:t>
            </w:r>
          </w:p>
        </w:tc>
        <w:tc>
          <w:tcPr>
            <w:tcW w:w="1261"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N=64</w:t>
            </w:r>
          </w:p>
          <w:p w:rsidR="001D0FDA" w:rsidRPr="008D73C9" w:rsidRDefault="001D0FDA" w:rsidP="001D0FDA">
            <w:pPr>
              <w:pStyle w:val="Tabletext"/>
              <w:ind w:right="-28"/>
              <w:rPr>
                <w:rFonts w:eastAsia="Times New Roman"/>
                <w:lang w:eastAsia="en-US"/>
              </w:rPr>
            </w:pPr>
            <w:r w:rsidRPr="008D73C9">
              <w:rPr>
                <w:rFonts w:eastAsia="Times New Roman"/>
                <w:lang w:eastAsia="en-US"/>
              </w:rPr>
              <w:t>WHO FC II-IV</w:t>
            </w:r>
          </w:p>
          <w:p w:rsidR="001D0FDA" w:rsidRPr="008D73C9" w:rsidRDefault="001D0FDA" w:rsidP="001D0FDA">
            <w:pPr>
              <w:pStyle w:val="Tabletext"/>
              <w:ind w:right="-28"/>
              <w:rPr>
                <w:rFonts w:eastAsia="Times New Roman"/>
                <w:lang w:eastAsia="en-US"/>
              </w:rPr>
            </w:pPr>
            <w:r w:rsidRPr="008D73C9">
              <w:rPr>
                <w:rFonts w:eastAsia="Times New Roman"/>
                <w:lang w:eastAsia="en-US"/>
              </w:rPr>
              <w:t>PAH-CHD</w:t>
            </w:r>
          </w:p>
        </w:tc>
        <w:tc>
          <w:tcPr>
            <w:tcW w:w="1394" w:type="pct"/>
          </w:tcPr>
          <w:p w:rsidR="001D0FDA" w:rsidRPr="008D73C9" w:rsidRDefault="001D0FDA" w:rsidP="001D0FDA">
            <w:pPr>
              <w:pStyle w:val="Tabletext"/>
              <w:rPr>
                <w:rFonts w:eastAsia="Times New Roman"/>
                <w:lang w:eastAsia="en-US"/>
              </w:rPr>
            </w:pPr>
            <w:r w:rsidRPr="008D73C9">
              <w:rPr>
                <w:rFonts w:eastAsia="Times New Roman"/>
                <w:lang w:eastAsia="en-US"/>
              </w:rPr>
              <w:t>BOS 125</w:t>
            </w:r>
            <w:r w:rsidR="00570FC8">
              <w:rPr>
                <w:rFonts w:eastAsia="Times New Roman"/>
                <w:lang w:eastAsia="en-US"/>
              </w:rPr>
              <w:t> mg</w:t>
            </w:r>
            <w:r w:rsidRPr="008D73C9">
              <w:rPr>
                <w:rFonts w:eastAsia="Times New Roman"/>
                <w:lang w:eastAsia="en-US"/>
              </w:rPr>
              <w:t xml:space="preserve"> bid</w:t>
            </w:r>
          </w:p>
          <w:p w:rsidR="001D0FDA" w:rsidRPr="008D73C9" w:rsidRDefault="001D0FDA" w:rsidP="001D0FDA">
            <w:pPr>
              <w:pStyle w:val="Tabletext"/>
              <w:rPr>
                <w:rFonts w:eastAsia="Times New Roman"/>
                <w:lang w:eastAsia="en-US"/>
              </w:rPr>
            </w:pPr>
          </w:p>
          <w:p w:rsidR="001D0FDA" w:rsidRPr="008D73C9" w:rsidRDefault="001D0FDA" w:rsidP="001D0FDA">
            <w:pPr>
              <w:pStyle w:val="Tabletext"/>
              <w:rPr>
                <w:rFonts w:eastAsia="Times New Roman"/>
                <w:lang w:eastAsia="en-US"/>
              </w:rPr>
            </w:pPr>
            <w:r w:rsidRPr="008D73C9">
              <w:rPr>
                <w:rFonts w:eastAsia="Times New Roman"/>
                <w:lang w:eastAsia="en-US"/>
              </w:rPr>
              <w:t>Combination with sildenafil (2%)</w:t>
            </w:r>
          </w:p>
        </w:tc>
      </w:tr>
    </w:tbl>
    <w:p w:rsidR="006D01E8" w:rsidRPr="008D73C9" w:rsidRDefault="006D01E8" w:rsidP="006D01E8">
      <w:pPr>
        <w:pStyle w:val="Tablenote"/>
      </w:pPr>
      <w:proofErr w:type="gramStart"/>
      <w:r w:rsidRPr="008D73C9">
        <w:rPr>
          <w:vertAlign w:val="superscript"/>
        </w:rPr>
        <w:t>a</w:t>
      </w:r>
      <w:proofErr w:type="gramEnd"/>
      <w:r w:rsidRPr="008D73C9">
        <w:t xml:space="preserve"> Number of patients in the control arm and those in the active treatment arm where a </w:t>
      </w:r>
      <w:r>
        <w:t>PAH medicine</w:t>
      </w:r>
      <w:r w:rsidRPr="008D73C9">
        <w:t xml:space="preserve"> was given at the recommended dose regimen. </w:t>
      </w:r>
    </w:p>
    <w:p w:rsidR="006D01E8" w:rsidRPr="008D73C9" w:rsidRDefault="006D01E8" w:rsidP="006D01E8">
      <w:pPr>
        <w:pStyle w:val="Tablenote"/>
      </w:pPr>
      <w:proofErr w:type="gramStart"/>
      <w:r w:rsidRPr="008D73C9">
        <w:rPr>
          <w:vertAlign w:val="superscript"/>
        </w:rPr>
        <w:t>a</w:t>
      </w:r>
      <w:proofErr w:type="gramEnd"/>
      <w:r w:rsidRPr="008D73C9">
        <w:t xml:space="preserve"> Only including the active treatment arm where a </w:t>
      </w:r>
      <w:r>
        <w:t>PAH medicine</w:t>
      </w:r>
      <w:r w:rsidRPr="008D73C9">
        <w:t xml:space="preserve"> was given at the recommended dose regimen. The dose presented was the target dose. Patients could have received a </w:t>
      </w:r>
      <w:r>
        <w:t>PAH medicine</w:t>
      </w:r>
      <w:r w:rsidRPr="008D73C9">
        <w:t xml:space="preserve"> at a lower initial dose. </w:t>
      </w:r>
    </w:p>
    <w:p w:rsidR="006D01E8" w:rsidRPr="008D73C9" w:rsidRDefault="006D01E8" w:rsidP="006D01E8">
      <w:pPr>
        <w:pStyle w:val="Tablenote"/>
      </w:pPr>
      <w:proofErr w:type="gramStart"/>
      <w:r w:rsidRPr="008D73C9">
        <w:rPr>
          <w:vertAlign w:val="superscript"/>
        </w:rPr>
        <w:t>c</w:t>
      </w:r>
      <w:proofErr w:type="gramEnd"/>
      <w:r w:rsidRPr="008D73C9">
        <w:t xml:space="preserve"> Subgroup of patients with no background therapy</w:t>
      </w:r>
    </w:p>
    <w:p w:rsidR="006D01E8" w:rsidRPr="008D73C9" w:rsidRDefault="006D01E8" w:rsidP="006D01E8">
      <w:pPr>
        <w:pStyle w:val="Tablenote"/>
      </w:pPr>
      <w:proofErr w:type="gramStart"/>
      <w:r w:rsidRPr="008D73C9">
        <w:rPr>
          <w:vertAlign w:val="superscript"/>
        </w:rPr>
        <w:t>d</w:t>
      </w:r>
      <w:proofErr w:type="gramEnd"/>
      <w:r w:rsidRPr="008D73C9">
        <w:t xml:space="preserve"> Low dose: 10</w:t>
      </w:r>
      <w:r w:rsidR="00570FC8">
        <w:t> mg</w:t>
      </w:r>
      <w:r w:rsidRPr="008D73C9">
        <w:t xml:space="preserve"> in patients &gt;20</w:t>
      </w:r>
      <w:r w:rsidR="00570FC8">
        <w:t xml:space="preserve"> </w:t>
      </w:r>
      <w:r w:rsidRPr="008D73C9">
        <w:t>kg (no patients ≤ 20 kg received the low dose). Median dose: 10</w:t>
      </w:r>
      <w:r w:rsidR="00570FC8">
        <w:t> mg</w:t>
      </w:r>
      <w:r w:rsidRPr="008D73C9">
        <w:t xml:space="preserve"> in patients 8-20</w:t>
      </w:r>
      <w:r w:rsidR="00F449B1">
        <w:t> kg</w:t>
      </w:r>
      <w:r w:rsidRPr="008D73C9">
        <w:t>; 20</w:t>
      </w:r>
      <w:r w:rsidR="00570FC8">
        <w:t> mg</w:t>
      </w:r>
      <w:r w:rsidRPr="008D73C9">
        <w:t xml:space="preserve"> in patients 20-45</w:t>
      </w:r>
      <w:r w:rsidR="00570FC8">
        <w:t xml:space="preserve"> </w:t>
      </w:r>
      <w:r w:rsidRPr="008D73C9">
        <w:t>kg; 40</w:t>
      </w:r>
      <w:r w:rsidR="00570FC8">
        <w:t> mg</w:t>
      </w:r>
      <w:r w:rsidRPr="008D73C9">
        <w:t xml:space="preserve"> in patients &gt;45</w:t>
      </w:r>
      <w:r w:rsidR="00570FC8">
        <w:t xml:space="preserve"> </w:t>
      </w:r>
      <w:r w:rsidRPr="008D73C9">
        <w:t>kg. High dose: 20</w:t>
      </w:r>
      <w:r w:rsidR="00570FC8">
        <w:t> mg</w:t>
      </w:r>
      <w:r w:rsidRPr="008D73C9">
        <w:t xml:space="preserve"> in patients 8-20</w:t>
      </w:r>
      <w:r w:rsidR="00570FC8">
        <w:t xml:space="preserve"> </w:t>
      </w:r>
      <w:r w:rsidRPr="008D73C9">
        <w:t>kg; 40</w:t>
      </w:r>
      <w:r w:rsidR="00570FC8">
        <w:t> mg</w:t>
      </w:r>
      <w:r w:rsidRPr="008D73C9">
        <w:t xml:space="preserve"> in patients 20-45</w:t>
      </w:r>
      <w:r w:rsidR="00570FC8">
        <w:t> </w:t>
      </w:r>
      <w:r w:rsidRPr="008D73C9">
        <w:t>kg; 80</w:t>
      </w:r>
      <w:r w:rsidR="00570FC8">
        <w:t> mg</w:t>
      </w:r>
      <w:r w:rsidRPr="008D73C9">
        <w:t xml:space="preserve"> in patients &gt;45</w:t>
      </w:r>
      <w:r w:rsidR="00570FC8">
        <w:t xml:space="preserve"> </w:t>
      </w:r>
      <w:r w:rsidRPr="008D73C9">
        <w:t>kg</w:t>
      </w:r>
    </w:p>
    <w:p w:rsidR="006D01E8" w:rsidRDefault="006D01E8" w:rsidP="006D01E8">
      <w:pPr>
        <w:pStyle w:val="Tablenote"/>
      </w:pPr>
      <w:r w:rsidRPr="008D73C9">
        <w:rPr>
          <w:vertAlign w:val="superscript"/>
        </w:rPr>
        <w:t>e</w:t>
      </w:r>
      <w:r w:rsidRPr="008D73C9">
        <w:t xml:space="preserve"> 15</w:t>
      </w:r>
      <w:r w:rsidR="00570FC8">
        <w:t> mg</w:t>
      </w:r>
      <w:r w:rsidRPr="008D73C9">
        <w:t xml:space="preserve"> bid for a body weight of &lt;10</w:t>
      </w:r>
      <w:r w:rsidR="00570FC8">
        <w:t xml:space="preserve"> </w:t>
      </w:r>
      <w:r w:rsidRPr="008D73C9">
        <w:t>kg; 31.5</w:t>
      </w:r>
      <w:r w:rsidR="00570FC8">
        <w:t> mg</w:t>
      </w:r>
      <w:r w:rsidRPr="008D73C9">
        <w:t xml:space="preserve"> bid for weight of 10-20</w:t>
      </w:r>
      <w:r w:rsidR="00570FC8">
        <w:t xml:space="preserve"> </w:t>
      </w:r>
      <w:r w:rsidRPr="008D73C9">
        <w:t>kg; 62.5</w:t>
      </w:r>
      <w:r w:rsidR="00570FC8">
        <w:t> mg</w:t>
      </w:r>
      <w:r w:rsidRPr="008D73C9">
        <w:t xml:space="preserve"> bid for weight of 20-40</w:t>
      </w:r>
      <w:r w:rsidR="00570FC8">
        <w:t> </w:t>
      </w:r>
      <w:r w:rsidRPr="008D73C9">
        <w:t>kg; 125</w:t>
      </w:r>
      <w:r w:rsidR="00570FC8">
        <w:t> mg</w:t>
      </w:r>
      <w:r w:rsidRPr="008D73C9">
        <w:t xml:space="preserve"> bid for weight of &gt;40</w:t>
      </w:r>
      <w:r w:rsidR="00570FC8">
        <w:t xml:space="preserve"> </w:t>
      </w:r>
      <w:r w:rsidRPr="008D73C9">
        <w:t>kg</w:t>
      </w:r>
    </w:p>
    <w:p w:rsidR="001D0FDA" w:rsidRPr="008D73C9" w:rsidRDefault="001D0FDA" w:rsidP="001D0FDA">
      <w:pPr>
        <w:pStyle w:val="Tablenote"/>
      </w:pPr>
      <w:proofErr w:type="gramStart"/>
      <w:r w:rsidRPr="008D73C9">
        <w:t>AMB = ambrisentan; bid = twice daily; BOS = bosentan; DB = double-blinded; EPO = epoprostenol; FC = functional class; HPAH = heritable pulmonary arterial hypertension; IPAH = idiopathic pulmonary arterial hypertension; od = once daily; PAH = pulmonary arterial hypertension; PAH-CHD = pulmonary arterial hypertension associated with congenital heart disease; PAH-CTD = pulmonary arterial hypertension associated with connective tissue disease; PAH-DT = drug/toxin-induced pulmonary arterial hypertension; PAH-HIV = pulmonary arterial hypertension associated with human immunodeficiency virus infection; PAH-PH = pulmonary arterial hypertension associated with portal hypertension; PBO = placebo; PRO = prostanoid; PVOD = pulmonary veno-occlusive disease; RCT = randomised controlled trial; SEL = selexipag; SIL = sildenafil; TAD = tadalafil; tid = three times a day; TRE = treprostinil; WHO = World Health Organization</w:t>
      </w:r>
      <w:proofErr w:type="gramEnd"/>
    </w:p>
    <w:p w:rsidR="001D0FDA" w:rsidRPr="00EB1471" w:rsidRDefault="001D0FDA" w:rsidP="00480FDF">
      <w:pPr>
        <w:pStyle w:val="Heading4"/>
        <w:numPr>
          <w:ilvl w:val="3"/>
          <w:numId w:val="45"/>
        </w:numPr>
      </w:pPr>
      <w:r>
        <w:t>4.2.4.3</w:t>
      </w:r>
      <w:r>
        <w:tab/>
        <w:t>Information from regulatory agencies</w:t>
      </w:r>
      <w:r w:rsidRPr="00EB1471">
        <w:t xml:space="preserve"> </w:t>
      </w:r>
      <w:r w:rsidRPr="00EF46AC">
        <w:t>included</w:t>
      </w:r>
      <w:r w:rsidRPr="00EB1471">
        <w:t xml:space="preserve"> for the extended assessment of safety</w:t>
      </w:r>
    </w:p>
    <w:p w:rsidR="001D0FDA" w:rsidRPr="00771186" w:rsidRDefault="001D0FDA" w:rsidP="00771186">
      <w:r>
        <w:t xml:space="preserve">The TGA’s Database of Adverse Event Notifications includes details of reports for each </w:t>
      </w:r>
      <w:r w:rsidRPr="00771186">
        <w:t xml:space="preserve">medicine, but not of any reviews or revisions to the PI or </w:t>
      </w:r>
      <w:r w:rsidR="00A5388E">
        <w:t>consumer medicines information (</w:t>
      </w:r>
      <w:r w:rsidRPr="00771186">
        <w:t>CMI</w:t>
      </w:r>
      <w:r w:rsidR="00A5388E">
        <w:t>)</w:t>
      </w:r>
      <w:r w:rsidRPr="00771186">
        <w:t xml:space="preserve"> that may have arisen out of such reports. The TGA’s Medicines Safety Update announcements (also published in Australian Prescriber) do not cover minor changes to product safety warnings and other information. Other than information in the current PI and CMI, no information pertaining to updated safety of PAH medicines </w:t>
      </w:r>
      <w:proofErr w:type="gramStart"/>
      <w:r w:rsidRPr="00771186">
        <w:t>has been published</w:t>
      </w:r>
      <w:proofErr w:type="gramEnd"/>
      <w:r w:rsidRPr="00771186">
        <w:t xml:space="preserve"> by the TGA that could be reviewed for this extended assessment.</w:t>
      </w:r>
    </w:p>
    <w:p w:rsidR="001D0FDA" w:rsidRPr="00771186" w:rsidRDefault="001D0FDA" w:rsidP="00771186">
      <w:r w:rsidRPr="00771186">
        <w:t xml:space="preserve">A new FDA database of Drug Safety Labeling Changes is available and searchable information starts from January 2016. This database replaces the Medwatch system of alerts. A search for sildenafil (as Revatio) returned results relating to the FDA’s warnings in 2012 and 2014 about paediatric use. No other results </w:t>
      </w:r>
      <w:proofErr w:type="gramStart"/>
      <w:r w:rsidRPr="00771186">
        <w:t>were returned</w:t>
      </w:r>
      <w:proofErr w:type="gramEnd"/>
      <w:r w:rsidRPr="00771186">
        <w:t xml:space="preserve"> for PAH medicines within the scope of this post-market review. A search of the FDA’s Medwatch drug safety alerts indicates that information prior to 2016 is no longer searchable - an archived version of the site exists, but the search function did not return the pages containing changes to safety information that were found through a manual search of the archived Medwatch drug safety monthly reports. Time did not permit comprehensive handsearching of these reports. In the absence of systematic information for changes to FDA-approved information, current PI </w:t>
      </w:r>
      <w:proofErr w:type="gramStart"/>
      <w:r w:rsidRPr="00771186">
        <w:t>was checked</w:t>
      </w:r>
      <w:proofErr w:type="gramEnd"/>
      <w:r w:rsidRPr="00771186">
        <w:t xml:space="preserve"> for statements concerning the </w:t>
      </w:r>
      <w:r w:rsidR="006B2A7D" w:rsidRPr="00771186">
        <w:t>AE</w:t>
      </w:r>
      <w:r w:rsidRPr="00771186">
        <w:t>s.</w:t>
      </w:r>
    </w:p>
    <w:p w:rsidR="001D0FDA" w:rsidRPr="00771186" w:rsidRDefault="001D0FDA" w:rsidP="00771186">
      <w:r w:rsidRPr="00771186">
        <w:t xml:space="preserve">The </w:t>
      </w:r>
      <w:r w:rsidR="00A5388E">
        <w:t xml:space="preserve">EMA </w:t>
      </w:r>
      <w:r w:rsidRPr="00771186">
        <w:t>publishes variations and updates to PI on its website, for products that are centrally authorised. The EMA website includes a history of all changes (‘variations’) made since authorisation for each product. The variation history was reviewed for each listed PAH medicine (except epoprostenol which is not centrally authorised) to determine what amendments have been made to safety information, focusing on</w:t>
      </w:r>
      <w:r w:rsidR="00B603BC">
        <w:t xml:space="preserve"> the last 10 years (2008-2018).</w:t>
      </w:r>
    </w:p>
    <w:p w:rsidR="001D0FDA" w:rsidRPr="00EB1471" w:rsidRDefault="001D0FDA" w:rsidP="00480FDF">
      <w:pPr>
        <w:pStyle w:val="Heading3"/>
        <w:numPr>
          <w:ilvl w:val="2"/>
          <w:numId w:val="45"/>
        </w:numPr>
        <w:tabs>
          <w:tab w:val="clear" w:pos="2695"/>
        </w:tabs>
        <w:ind w:left="0"/>
      </w:pPr>
      <w:bookmarkStart w:id="96" w:name="_Toc506464134"/>
      <w:bookmarkStart w:id="97" w:name="_Toc38360278"/>
      <w:r>
        <w:t>Outcome measures</w:t>
      </w:r>
      <w:bookmarkEnd w:id="96"/>
      <w:bookmarkEnd w:id="97"/>
      <w:r w:rsidRPr="00EB1471">
        <w:t xml:space="preserve"> </w:t>
      </w:r>
    </w:p>
    <w:p w:rsidR="001D0FDA" w:rsidRPr="00EB1471" w:rsidRDefault="001D0FDA" w:rsidP="001D0FDA">
      <w:r w:rsidRPr="00EB1471">
        <w:t xml:space="preserve">Clinical worsening events and mortality were two important patient-relevant outcomes for the assessment of PAH medicines. </w:t>
      </w:r>
      <w:r w:rsidRPr="00F4042C">
        <w:t xml:space="preserve">They </w:t>
      </w:r>
      <w:proofErr w:type="gramStart"/>
      <w:r w:rsidRPr="00F4042C">
        <w:t>were both rated</w:t>
      </w:r>
      <w:proofErr w:type="gramEnd"/>
      <w:r w:rsidRPr="00F4042C">
        <w:t xml:space="preserve"> as critical outcomes according to the GRADE Working Group grades of evidence</w:t>
      </w:r>
      <w:r w:rsidR="001D34EE" w:rsidRPr="001D34EE">
        <w:rPr>
          <w:noProof/>
          <w:vertAlign w:val="superscript"/>
        </w:rPr>
        <w:t>1</w:t>
      </w:r>
      <w:r>
        <w:t>.</w:t>
      </w:r>
    </w:p>
    <w:p w:rsidR="001D0FDA" w:rsidRPr="00EB1471" w:rsidRDefault="001D0FDA" w:rsidP="00607CD3">
      <w:proofErr w:type="gramStart"/>
      <w:r w:rsidRPr="00EB1471">
        <w:t>A total of 13</w:t>
      </w:r>
      <w:proofErr w:type="gramEnd"/>
      <w:r w:rsidRPr="00EB1471">
        <w:t xml:space="preserve"> RCTs reported results of clinical worsening in the relevant population of interest. The inclusion of clinical worsening as an outcome in these RCTs followed the Dana Point 2008 Task Force guidelines</w:t>
      </w:r>
      <w:r w:rsidR="001D34EE" w:rsidRPr="00A5388E">
        <w:rPr>
          <w:vertAlign w:val="superscript"/>
        </w:rPr>
        <w:t>73</w:t>
      </w:r>
      <w:r w:rsidRPr="00EB1471">
        <w:t xml:space="preserve"> which recommend a composite primary endpoint is used for future RCTs in PAH, including mortality as well as measurable “hard” morbidity events related to PAH progression. The </w:t>
      </w:r>
      <w:r>
        <w:t>EMA</w:t>
      </w:r>
      <w:r w:rsidR="001D34EE" w:rsidRPr="00A5388E">
        <w:rPr>
          <w:vertAlign w:val="superscript"/>
        </w:rPr>
        <w:t>74</w:t>
      </w:r>
      <w:r w:rsidRPr="00EB1471">
        <w:t xml:space="preserve"> also suggested the use of all-cause mortality and time to PAH-related morbidity “provided that clear, non-equivocal and prospective definitions are provided”. The definitions of clinical worsening across the trials included in this review are summarised in </w:t>
      </w:r>
      <w:r w:rsidR="006D5751">
        <w:t>Table 4.28</w:t>
      </w:r>
      <w:r>
        <w:t>. Although</w:t>
      </w:r>
      <w:r w:rsidRPr="00EB1471">
        <w:t xml:space="preserve"> in most of the included RCTs clinical worsening usually represented a combination of death, PAH-related hospitalisation, lung transplant, atrial septostomy</w:t>
      </w:r>
      <w:r>
        <w:t xml:space="preserve">, initiation of new PAH medicine(s), </w:t>
      </w:r>
      <w:r w:rsidRPr="00EB1471">
        <w:t xml:space="preserve">deterioration of WHO CF or worsening of </w:t>
      </w:r>
      <w:r w:rsidRPr="00A26FBC">
        <w:t xml:space="preserve">6-minute </w:t>
      </w:r>
      <w:r w:rsidR="0082368E">
        <w:t>walk distance</w:t>
      </w:r>
      <w:r w:rsidRPr="00A26FBC">
        <w:t xml:space="preserve"> </w:t>
      </w:r>
      <w:r>
        <w:t>(</w:t>
      </w:r>
      <w:r w:rsidRPr="00EB1471">
        <w:t>6MWD</w:t>
      </w:r>
      <w:r>
        <w:t>)</w:t>
      </w:r>
      <w:r w:rsidRPr="00EB1471">
        <w:t xml:space="preserve">, this composite outcome was heterogeneously defined across the trials. The inconsistent definition of clinical worsening, as well as the varying trial duration, hinders a meaningful comparison of the efficacy of </w:t>
      </w:r>
      <w:r>
        <w:t>PAH medicine</w:t>
      </w:r>
      <w:r w:rsidRPr="00EB1471">
        <w:t>s in terms of preventing combined mortality/morbidity</w:t>
      </w:r>
      <w:r w:rsidR="00B603BC">
        <w:t xml:space="preserve"> events across clinical trials.</w:t>
      </w:r>
    </w:p>
    <w:p w:rsidR="005035F1" w:rsidRDefault="005035F1">
      <w:pPr>
        <w:spacing w:before="0" w:line="240" w:lineRule="auto"/>
        <w:rPr>
          <w:b/>
          <w:iCs/>
          <w:szCs w:val="18"/>
        </w:rPr>
      </w:pPr>
      <w:bookmarkStart w:id="98" w:name="_Ref505948950"/>
      <w:r>
        <w:br w:type="page"/>
      </w:r>
    </w:p>
    <w:p w:rsidR="001D0FDA" w:rsidRPr="00EB1471" w:rsidRDefault="001D0FDA" w:rsidP="001D0FDA">
      <w:pPr>
        <w:pStyle w:val="Caption"/>
      </w:pPr>
      <w:bookmarkStart w:id="99" w:name="_Toc38360325"/>
      <w:r>
        <w:t>Table 4.</w:t>
      </w:r>
      <w:r w:rsidR="003951FA">
        <w:rPr>
          <w:noProof/>
        </w:rPr>
        <w:t>28</w:t>
      </w:r>
      <w:bookmarkEnd w:id="98"/>
      <w:r>
        <w:tab/>
      </w:r>
      <w:r w:rsidRPr="00EB1471">
        <w:t>Definition of clinical worsening</w:t>
      </w:r>
      <w:bookmarkEnd w:id="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Definition of clinical worsening"/>
      </w:tblPr>
      <w:tblGrid>
        <w:gridCol w:w="1207"/>
        <w:gridCol w:w="632"/>
        <w:gridCol w:w="705"/>
        <w:gridCol w:w="707"/>
        <w:gridCol w:w="909"/>
        <w:gridCol w:w="974"/>
        <w:gridCol w:w="4494"/>
      </w:tblGrid>
      <w:tr w:rsidR="001D0FDA" w:rsidRPr="00EB1471" w:rsidTr="005A0C83">
        <w:trPr>
          <w:tblHeader/>
        </w:trPr>
        <w:tc>
          <w:tcPr>
            <w:tcW w:w="627" w:type="pct"/>
            <w:vMerge w:val="restart"/>
            <w:shd w:val="clear" w:color="auto" w:fill="BFBFBF" w:themeFill="background1" w:themeFillShade="BF"/>
            <w:tcMar>
              <w:left w:w="108" w:type="dxa"/>
              <w:right w:w="108" w:type="dxa"/>
            </w:tcMar>
          </w:tcPr>
          <w:p w:rsidR="001D0FDA" w:rsidRPr="00EB1471" w:rsidRDefault="001D0FDA" w:rsidP="001D0FDA">
            <w:pPr>
              <w:pStyle w:val="Tabletext"/>
              <w:ind w:left="-28" w:right="-28"/>
              <w:rPr>
                <w:rFonts w:eastAsia="Times New Roman"/>
                <w:b/>
                <w:snapToGrid w:val="0"/>
                <w:lang w:eastAsia="en-US"/>
              </w:rPr>
            </w:pPr>
            <w:r w:rsidRPr="00EB1471">
              <w:rPr>
                <w:rFonts w:eastAsia="Times New Roman"/>
                <w:b/>
                <w:snapToGrid w:val="0"/>
                <w:lang w:eastAsia="en-US"/>
              </w:rPr>
              <w:t>Study ID</w:t>
            </w:r>
          </w:p>
        </w:tc>
        <w:tc>
          <w:tcPr>
            <w:tcW w:w="328" w:type="pct"/>
            <w:vMerge w:val="restart"/>
            <w:shd w:val="clear" w:color="auto" w:fill="BFBFBF" w:themeFill="background1" w:themeFillShade="BF"/>
          </w:tcPr>
          <w:p w:rsidR="001D0FDA" w:rsidRPr="00EB1471" w:rsidRDefault="001D0FDA" w:rsidP="001D0FDA">
            <w:pPr>
              <w:pStyle w:val="Tabletext"/>
              <w:rPr>
                <w:rFonts w:eastAsia="Times New Roman"/>
                <w:b/>
                <w:snapToGrid w:val="0"/>
                <w:lang w:eastAsia="en-US"/>
              </w:rPr>
            </w:pPr>
            <w:r w:rsidRPr="00EB1471">
              <w:rPr>
                <w:rFonts w:eastAsia="Times New Roman"/>
                <w:b/>
                <w:snapToGrid w:val="0"/>
                <w:lang w:eastAsia="en-US"/>
              </w:rPr>
              <w:t>Any death</w:t>
            </w:r>
          </w:p>
        </w:tc>
        <w:tc>
          <w:tcPr>
            <w:tcW w:w="4045" w:type="pct"/>
            <w:gridSpan w:val="5"/>
            <w:shd w:val="clear" w:color="auto" w:fill="BFBFBF" w:themeFill="background1" w:themeFillShade="BF"/>
          </w:tcPr>
          <w:p w:rsidR="001D0FDA" w:rsidRPr="00EB1471" w:rsidRDefault="001D0FDA" w:rsidP="001D0FDA">
            <w:pPr>
              <w:pStyle w:val="Tabletext"/>
              <w:tabs>
                <w:tab w:val="left" w:pos="2076"/>
              </w:tabs>
              <w:jc w:val="center"/>
              <w:rPr>
                <w:rFonts w:eastAsia="Times New Roman"/>
                <w:b/>
                <w:snapToGrid w:val="0"/>
                <w:lang w:eastAsia="en-US"/>
              </w:rPr>
            </w:pPr>
            <w:r w:rsidRPr="00EB1471">
              <w:rPr>
                <w:rFonts w:eastAsia="Times New Roman"/>
                <w:b/>
                <w:snapToGrid w:val="0"/>
                <w:lang w:eastAsia="en-US"/>
              </w:rPr>
              <w:t>Disease progress</w:t>
            </w:r>
          </w:p>
        </w:tc>
      </w:tr>
      <w:tr w:rsidR="001D0FDA" w:rsidRPr="00EB1471" w:rsidTr="005A0C83">
        <w:trPr>
          <w:tblHeader/>
        </w:trPr>
        <w:tc>
          <w:tcPr>
            <w:tcW w:w="627" w:type="pct"/>
            <w:vMerge/>
            <w:shd w:val="clear" w:color="auto" w:fill="BFBFBF" w:themeFill="background1" w:themeFillShade="BF"/>
            <w:tcMar>
              <w:left w:w="108" w:type="dxa"/>
              <w:right w:w="108" w:type="dxa"/>
            </w:tcMar>
          </w:tcPr>
          <w:p w:rsidR="001D0FDA" w:rsidRPr="00EB1471" w:rsidRDefault="001D0FDA" w:rsidP="001D0FDA">
            <w:pPr>
              <w:pStyle w:val="Tabletext"/>
              <w:ind w:left="-28" w:right="-28"/>
              <w:rPr>
                <w:rFonts w:eastAsia="Times New Roman"/>
                <w:b/>
                <w:snapToGrid w:val="0"/>
                <w:lang w:eastAsia="en-US"/>
              </w:rPr>
            </w:pPr>
          </w:p>
        </w:tc>
        <w:tc>
          <w:tcPr>
            <w:tcW w:w="328" w:type="pct"/>
            <w:vMerge/>
            <w:shd w:val="clear" w:color="auto" w:fill="BFBFBF" w:themeFill="background1" w:themeFillShade="BF"/>
          </w:tcPr>
          <w:p w:rsidR="001D0FDA" w:rsidRPr="00EB1471" w:rsidRDefault="001D0FDA" w:rsidP="001D0FDA">
            <w:pPr>
              <w:pStyle w:val="Tabletext"/>
              <w:rPr>
                <w:rFonts w:eastAsia="Times New Roman"/>
                <w:b/>
                <w:snapToGrid w:val="0"/>
                <w:lang w:eastAsia="en-US"/>
              </w:rPr>
            </w:pPr>
          </w:p>
        </w:tc>
        <w:tc>
          <w:tcPr>
            <w:tcW w:w="366" w:type="pct"/>
            <w:shd w:val="clear" w:color="auto" w:fill="BFBFBF" w:themeFill="background1" w:themeFillShade="BF"/>
          </w:tcPr>
          <w:p w:rsidR="001D0FDA" w:rsidRPr="00EB1471" w:rsidRDefault="001D0FDA" w:rsidP="001D0FDA">
            <w:pPr>
              <w:pStyle w:val="Tabletext"/>
              <w:rPr>
                <w:rFonts w:eastAsia="Times New Roman"/>
                <w:b/>
                <w:snapToGrid w:val="0"/>
                <w:lang w:eastAsia="en-US"/>
              </w:rPr>
            </w:pPr>
            <w:r w:rsidRPr="00EB1471">
              <w:rPr>
                <w:rFonts w:eastAsia="Times New Roman"/>
                <w:b/>
                <w:snapToGrid w:val="0"/>
                <w:lang w:eastAsia="en-US"/>
              </w:rPr>
              <w:t>LT</w:t>
            </w:r>
          </w:p>
        </w:tc>
        <w:tc>
          <w:tcPr>
            <w:tcW w:w="367" w:type="pct"/>
            <w:shd w:val="clear" w:color="auto" w:fill="BFBFBF" w:themeFill="background1" w:themeFillShade="BF"/>
          </w:tcPr>
          <w:p w:rsidR="001D0FDA" w:rsidRPr="00EB1471" w:rsidRDefault="001D0FDA" w:rsidP="001D0FDA">
            <w:pPr>
              <w:pStyle w:val="Tabletext"/>
              <w:rPr>
                <w:rFonts w:eastAsia="Times New Roman"/>
                <w:b/>
                <w:snapToGrid w:val="0"/>
                <w:lang w:eastAsia="en-US"/>
              </w:rPr>
            </w:pPr>
            <w:r w:rsidRPr="00EB1471">
              <w:rPr>
                <w:rFonts w:eastAsia="Times New Roman"/>
                <w:b/>
                <w:snapToGrid w:val="0"/>
                <w:lang w:eastAsia="en-US"/>
              </w:rPr>
              <w:t>AS</w:t>
            </w:r>
          </w:p>
        </w:tc>
        <w:tc>
          <w:tcPr>
            <w:tcW w:w="472" w:type="pct"/>
            <w:shd w:val="clear" w:color="auto" w:fill="BFBFBF" w:themeFill="background1" w:themeFillShade="BF"/>
          </w:tcPr>
          <w:p w:rsidR="001D0FDA" w:rsidRPr="00EB1471" w:rsidRDefault="001D0FDA" w:rsidP="001D0FDA">
            <w:pPr>
              <w:pStyle w:val="Tabletext"/>
              <w:rPr>
                <w:rFonts w:eastAsia="Times New Roman"/>
                <w:b/>
                <w:snapToGrid w:val="0"/>
                <w:lang w:eastAsia="en-US"/>
              </w:rPr>
            </w:pPr>
            <w:r w:rsidRPr="00EB1471">
              <w:rPr>
                <w:rFonts w:eastAsia="Times New Roman"/>
                <w:b/>
                <w:snapToGrid w:val="0"/>
                <w:lang w:eastAsia="en-US"/>
              </w:rPr>
              <w:t>PAH-hospital-isation</w:t>
            </w:r>
          </w:p>
        </w:tc>
        <w:tc>
          <w:tcPr>
            <w:tcW w:w="506" w:type="pct"/>
            <w:shd w:val="clear" w:color="auto" w:fill="BFBFBF" w:themeFill="background1" w:themeFillShade="BF"/>
          </w:tcPr>
          <w:p w:rsidR="001D0FDA" w:rsidRPr="00EB1471" w:rsidRDefault="001D0FDA" w:rsidP="001D0FDA">
            <w:pPr>
              <w:pStyle w:val="Tabletext"/>
              <w:rPr>
                <w:rFonts w:eastAsia="Times New Roman"/>
                <w:b/>
                <w:snapToGrid w:val="0"/>
                <w:lang w:eastAsia="en-US"/>
              </w:rPr>
            </w:pPr>
            <w:r w:rsidRPr="00EB1471">
              <w:rPr>
                <w:rFonts w:eastAsia="Times New Roman"/>
                <w:b/>
                <w:snapToGrid w:val="0"/>
                <w:lang w:eastAsia="en-US"/>
              </w:rPr>
              <w:t>Start of new therapy</w:t>
            </w:r>
          </w:p>
        </w:tc>
        <w:tc>
          <w:tcPr>
            <w:tcW w:w="2334" w:type="pct"/>
            <w:shd w:val="clear" w:color="auto" w:fill="BFBFBF" w:themeFill="background1" w:themeFillShade="BF"/>
          </w:tcPr>
          <w:p w:rsidR="001D0FDA" w:rsidRPr="00EB1471" w:rsidRDefault="001D0FDA" w:rsidP="001D0FDA">
            <w:pPr>
              <w:pStyle w:val="Tabletext"/>
              <w:tabs>
                <w:tab w:val="left" w:pos="2076"/>
              </w:tabs>
              <w:rPr>
                <w:rFonts w:eastAsia="Times New Roman"/>
                <w:b/>
                <w:snapToGrid w:val="0"/>
                <w:lang w:eastAsia="en-US"/>
              </w:rPr>
            </w:pPr>
            <w:r w:rsidRPr="00EB1471">
              <w:rPr>
                <w:rFonts w:eastAsia="Times New Roman"/>
                <w:b/>
                <w:snapToGrid w:val="0"/>
                <w:lang w:eastAsia="en-US"/>
              </w:rPr>
              <w:t>Others</w:t>
            </w:r>
          </w:p>
        </w:tc>
      </w:tr>
      <w:tr w:rsidR="001D0FDA" w:rsidRPr="00EB1471" w:rsidTr="005A0C83">
        <w:tc>
          <w:tcPr>
            <w:tcW w:w="627" w:type="pct"/>
            <w:shd w:val="clear" w:color="auto" w:fill="auto"/>
            <w:tcMar>
              <w:left w:w="108" w:type="dxa"/>
              <w:right w:w="108" w:type="dxa"/>
            </w:tcMar>
            <w:vAlign w:val="center"/>
          </w:tcPr>
          <w:p w:rsidR="001D0FDA" w:rsidRPr="00EB1471" w:rsidRDefault="001D0FDA" w:rsidP="001D0FDA">
            <w:pPr>
              <w:pStyle w:val="Tabletext"/>
              <w:ind w:left="-28" w:right="-57"/>
              <w:rPr>
                <w:rFonts w:eastAsia="Times New Roman"/>
                <w:lang w:eastAsia="en-US"/>
              </w:rPr>
            </w:pPr>
            <w:r w:rsidRPr="00EB1471">
              <w:rPr>
                <w:rFonts w:eastAsia="Times New Roman"/>
                <w:lang w:eastAsia="en-US"/>
              </w:rPr>
              <w:t>AMBITION</w:t>
            </w:r>
          </w:p>
        </w:tc>
        <w:tc>
          <w:tcPr>
            <w:tcW w:w="328"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472"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506" w:type="pct"/>
            <w:vAlign w:val="center"/>
          </w:tcPr>
          <w:p w:rsidR="001D0FDA" w:rsidRPr="00EB1471" w:rsidRDefault="001D0FDA" w:rsidP="001D0FDA">
            <w:pPr>
              <w:pStyle w:val="Tabletext"/>
              <w:ind w:left="-57" w:right="-57"/>
              <w:jc w:val="center"/>
              <w:rPr>
                <w:rFonts w:eastAsia="Times New Roman"/>
                <w:snapToGrid w:val="0"/>
                <w:lang w:eastAsia="en-US"/>
              </w:rPr>
            </w:pPr>
            <w:r w:rsidRPr="00EB1471">
              <w:rPr>
                <w:rFonts w:eastAsia="Times New Roman"/>
                <w:snapToGrid w:val="0"/>
                <w:lang w:eastAsia="en-US"/>
              </w:rPr>
              <w:t>Parenteral prostanoid</w:t>
            </w:r>
          </w:p>
        </w:tc>
        <w:tc>
          <w:tcPr>
            <w:tcW w:w="2334" w:type="pct"/>
          </w:tcPr>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&gt;15% decrease in 6MWD from baseline and WHO FC III or IV symptoms at 2 consecutive visits; or</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 xml:space="preserve">Any decrease in 6MWD from baseline and WHO FC III symptoms assessed at 2 clinic visits </w:t>
            </w:r>
          </w:p>
        </w:tc>
      </w:tr>
      <w:tr w:rsidR="001D0FDA" w:rsidRPr="00EB1471" w:rsidTr="005A0C83">
        <w:trPr>
          <w:trHeight w:val="1157"/>
        </w:trPr>
        <w:tc>
          <w:tcPr>
            <w:tcW w:w="627" w:type="pct"/>
            <w:tcMar>
              <w:left w:w="108" w:type="dxa"/>
              <w:right w:w="108" w:type="dxa"/>
            </w:tcMar>
            <w:vAlign w:val="center"/>
          </w:tcPr>
          <w:p w:rsidR="001D0FDA" w:rsidRPr="00EB1471" w:rsidRDefault="001D0FDA" w:rsidP="001D0FDA">
            <w:pPr>
              <w:pStyle w:val="Tabletext"/>
              <w:ind w:left="-28" w:right="-28"/>
              <w:rPr>
                <w:rFonts w:eastAsia="Times New Roman"/>
              </w:rPr>
            </w:pPr>
            <w:r w:rsidRPr="00EB1471">
              <w:rPr>
                <w:rFonts w:eastAsia="Times New Roman"/>
              </w:rPr>
              <w:t>ARIES-1</w:t>
            </w:r>
          </w:p>
        </w:tc>
        <w:tc>
          <w:tcPr>
            <w:tcW w:w="328"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472"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506"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2334" w:type="pct"/>
            <w:vMerge w:val="restart"/>
          </w:tcPr>
          <w:p w:rsidR="001D0FDA" w:rsidRPr="00EB1471" w:rsidRDefault="001D0FDA" w:rsidP="001D0FDA">
            <w:pPr>
              <w:pStyle w:val="Tabletext"/>
              <w:rPr>
                <w:rFonts w:eastAsia="Times New Roman"/>
                <w:lang w:eastAsia="en-US"/>
              </w:rPr>
            </w:pPr>
            <w:r w:rsidRPr="00EB1471">
              <w:rPr>
                <w:rFonts w:eastAsia="Times New Roman"/>
                <w:lang w:eastAsia="en-US"/>
              </w:rPr>
              <w:t xml:space="preserve">Study discontinuation due to ≥ 2 early escape criteria: </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≥20% decrease in 6MWD;</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 xml:space="preserve">increase in WHO FC; </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worsening right ventricular failure;</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 xml:space="preserve">progressing hepatic or renal failure; </w:t>
            </w:r>
          </w:p>
          <w:p w:rsidR="001D0FDA" w:rsidRPr="00EB1471" w:rsidRDefault="001D0FDA" w:rsidP="00480FDF">
            <w:pPr>
              <w:pStyle w:val="Tabletext"/>
              <w:numPr>
                <w:ilvl w:val="0"/>
                <w:numId w:val="47"/>
              </w:numPr>
              <w:ind w:left="141" w:hanging="142"/>
              <w:rPr>
                <w:rFonts w:eastAsia="Times New Roman"/>
                <w:lang w:eastAsia="en-US"/>
              </w:rPr>
            </w:pPr>
            <w:r w:rsidRPr="00EB1471">
              <w:rPr>
                <w:rFonts w:eastAsia="Times New Roman"/>
                <w:snapToGrid w:val="0"/>
                <w:lang w:eastAsia="en-US"/>
              </w:rPr>
              <w:t>systolic blood pressure &lt;85 mmHg</w:t>
            </w:r>
          </w:p>
        </w:tc>
      </w:tr>
      <w:tr w:rsidR="001D0FDA" w:rsidRPr="00EB1471" w:rsidTr="005A0C83">
        <w:tc>
          <w:tcPr>
            <w:tcW w:w="627" w:type="pct"/>
            <w:tcMar>
              <w:left w:w="108" w:type="dxa"/>
              <w:right w:w="108" w:type="dxa"/>
            </w:tcMar>
            <w:vAlign w:val="center"/>
          </w:tcPr>
          <w:p w:rsidR="001D0FDA" w:rsidRPr="00EB1471" w:rsidRDefault="001D0FDA" w:rsidP="001D0FDA">
            <w:pPr>
              <w:pStyle w:val="Tabletext"/>
              <w:ind w:left="-28" w:right="-28"/>
              <w:rPr>
                <w:rFonts w:eastAsia="Times New Roman"/>
              </w:rPr>
            </w:pPr>
            <w:r w:rsidRPr="00EB1471">
              <w:rPr>
                <w:rFonts w:eastAsia="Times New Roman"/>
              </w:rPr>
              <w:t>ARIES-2</w:t>
            </w:r>
          </w:p>
        </w:tc>
        <w:tc>
          <w:tcPr>
            <w:tcW w:w="328"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472"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506"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2334" w:type="pct"/>
            <w:vMerge/>
          </w:tcPr>
          <w:p w:rsidR="001D0FDA" w:rsidRPr="00EB1471" w:rsidRDefault="001D0FDA" w:rsidP="001D0FDA">
            <w:pPr>
              <w:pStyle w:val="Tabletext"/>
              <w:rPr>
                <w:rFonts w:eastAsia="Times New Roman"/>
                <w:lang w:eastAsia="en-US"/>
              </w:rPr>
            </w:pPr>
          </w:p>
        </w:tc>
      </w:tr>
      <w:tr w:rsidR="001D0FDA" w:rsidRPr="00EB1471" w:rsidTr="005A0C83">
        <w:tc>
          <w:tcPr>
            <w:tcW w:w="627"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1D0FDA" w:rsidRPr="00EB1471" w:rsidRDefault="001D0FDA" w:rsidP="001D0FDA">
            <w:pPr>
              <w:pStyle w:val="Tabletext"/>
              <w:ind w:left="-28" w:right="-28"/>
              <w:rPr>
                <w:rFonts w:eastAsia="Times New Roman"/>
                <w:lang w:eastAsia="en-US"/>
              </w:rPr>
            </w:pPr>
            <w:r w:rsidRPr="00EB1471">
              <w:rPr>
                <w:rFonts w:eastAsia="Times New Roman"/>
                <w:lang w:eastAsia="en-US"/>
              </w:rPr>
              <w:t>COMBI</w:t>
            </w:r>
          </w:p>
        </w:tc>
        <w:tc>
          <w:tcPr>
            <w:tcW w:w="328"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6"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t>–</w:t>
            </w:r>
          </w:p>
        </w:tc>
        <w:tc>
          <w:tcPr>
            <w:tcW w:w="367"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t>–</w:t>
            </w:r>
          </w:p>
        </w:tc>
        <w:tc>
          <w:tcPr>
            <w:tcW w:w="472"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t>Right-heart failure</w:t>
            </w:r>
          </w:p>
        </w:tc>
        <w:tc>
          <w:tcPr>
            <w:tcW w:w="506"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t>–</w:t>
            </w:r>
          </w:p>
        </w:tc>
        <w:tc>
          <w:tcPr>
            <w:tcW w:w="2334" w:type="pct"/>
            <w:tcBorders>
              <w:top w:val="single" w:sz="4" w:space="0" w:color="auto"/>
              <w:left w:val="single" w:sz="4" w:space="0" w:color="auto"/>
              <w:bottom w:val="single" w:sz="4" w:space="0" w:color="auto"/>
              <w:right w:val="single" w:sz="4" w:space="0" w:color="auto"/>
            </w:tcBorders>
          </w:tcPr>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Deterioration in WHO FC; or</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Decrease in 6MWD by ≥20% or &lt;150 metres</w:t>
            </w:r>
          </w:p>
        </w:tc>
      </w:tr>
      <w:tr w:rsidR="001D0FDA" w:rsidRPr="00EB1471" w:rsidTr="005A0C83">
        <w:tc>
          <w:tcPr>
            <w:tcW w:w="627" w:type="pct"/>
            <w:tcMar>
              <w:left w:w="108" w:type="dxa"/>
              <w:right w:w="108" w:type="dxa"/>
            </w:tcMar>
            <w:vAlign w:val="center"/>
          </w:tcPr>
          <w:p w:rsidR="001D0FDA" w:rsidRPr="00EB1471" w:rsidRDefault="001D0FDA" w:rsidP="001D0FDA">
            <w:pPr>
              <w:pStyle w:val="Tabletext"/>
              <w:ind w:left="-28" w:right="-28"/>
              <w:rPr>
                <w:rFonts w:eastAsia="Times New Roman"/>
              </w:rPr>
            </w:pPr>
            <w:r w:rsidRPr="00EB1471">
              <w:rPr>
                <w:rFonts w:eastAsia="Times New Roman"/>
              </w:rPr>
              <w:t>COMPASS-2</w:t>
            </w:r>
          </w:p>
        </w:tc>
        <w:tc>
          <w:tcPr>
            <w:tcW w:w="328"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472"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506" w:type="pct"/>
            <w:vAlign w:val="center"/>
          </w:tcPr>
          <w:p w:rsidR="001D0FDA" w:rsidRPr="00EB1471" w:rsidRDefault="001D0FDA" w:rsidP="001D0FDA">
            <w:pPr>
              <w:pStyle w:val="Tabletext"/>
              <w:ind w:left="-57" w:right="-57"/>
              <w:jc w:val="center"/>
              <w:rPr>
                <w:rFonts w:eastAsia="Times New Roman"/>
                <w:lang w:eastAsia="en-US"/>
              </w:rPr>
            </w:pPr>
            <w:r w:rsidRPr="00EB1471">
              <w:rPr>
                <w:rFonts w:eastAsia="Times New Roman"/>
                <w:lang w:eastAsia="en-US"/>
              </w:rPr>
              <w:t>IV prostanoid</w:t>
            </w:r>
          </w:p>
        </w:tc>
        <w:tc>
          <w:tcPr>
            <w:tcW w:w="2334" w:type="pct"/>
          </w:tcPr>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Moderate or marked worsening of PAH symptoms and the initiation of SC or inhaled prostanoid or use of bosentan; or</w:t>
            </w:r>
          </w:p>
          <w:p w:rsidR="001D0FDA" w:rsidRPr="00EB1471" w:rsidRDefault="001D0FDA" w:rsidP="00480FDF">
            <w:pPr>
              <w:pStyle w:val="Tabletext"/>
              <w:numPr>
                <w:ilvl w:val="0"/>
                <w:numId w:val="47"/>
              </w:numPr>
              <w:ind w:left="141" w:hanging="142"/>
              <w:rPr>
                <w:rFonts w:eastAsia="Times New Roman"/>
                <w:lang w:eastAsia="en-US"/>
              </w:rPr>
            </w:pPr>
            <w:r w:rsidRPr="00EB1471">
              <w:rPr>
                <w:rFonts w:eastAsia="Times New Roman"/>
                <w:snapToGrid w:val="0"/>
                <w:lang w:eastAsia="en-US"/>
              </w:rPr>
              <w:t>No change or mild worsening of PAH symptoms, accompanied by decrease in 6MWD of &gt; 20% from the previous visit or &gt;30% from baseline and by the initiation of SC or inhaled prostanoid or use of bosentan</w:t>
            </w:r>
          </w:p>
        </w:tc>
      </w:tr>
      <w:tr w:rsidR="001D0FDA" w:rsidRPr="00EB1471" w:rsidTr="005A0C83">
        <w:tc>
          <w:tcPr>
            <w:tcW w:w="627" w:type="pct"/>
            <w:tcMar>
              <w:left w:w="108" w:type="dxa"/>
              <w:right w:w="108" w:type="dxa"/>
            </w:tcMar>
            <w:vAlign w:val="center"/>
          </w:tcPr>
          <w:p w:rsidR="001D0FDA" w:rsidRPr="00EB1471" w:rsidRDefault="001D0FDA" w:rsidP="001D0FDA">
            <w:pPr>
              <w:pStyle w:val="Tabletext"/>
              <w:ind w:left="-28" w:right="-28"/>
              <w:rPr>
                <w:rFonts w:eastAsia="Times New Roman"/>
              </w:rPr>
            </w:pPr>
            <w:r w:rsidRPr="00EB1471">
              <w:rPr>
                <w:rFonts w:eastAsia="Times New Roman"/>
              </w:rPr>
              <w:t>EARLY</w:t>
            </w:r>
          </w:p>
        </w:tc>
        <w:tc>
          <w:tcPr>
            <w:tcW w:w="328"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t>–</w:t>
            </w:r>
          </w:p>
        </w:tc>
        <w:tc>
          <w:tcPr>
            <w:tcW w:w="367"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t>–</w:t>
            </w:r>
          </w:p>
        </w:tc>
        <w:tc>
          <w:tcPr>
            <w:tcW w:w="472"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506" w:type="pct"/>
            <w:vAlign w:val="center"/>
          </w:tcPr>
          <w:p w:rsidR="001D0FDA" w:rsidRPr="00EB1471" w:rsidRDefault="001D0FDA" w:rsidP="001D0FDA">
            <w:pPr>
              <w:pStyle w:val="Tabletext"/>
              <w:ind w:left="-57" w:right="-57"/>
              <w:jc w:val="center"/>
              <w:rPr>
                <w:rFonts w:eastAsia="Times New Roman"/>
                <w:lang w:eastAsia="en-US"/>
              </w:rPr>
            </w:pPr>
            <w:r w:rsidRPr="00EB1471">
              <w:rPr>
                <w:rFonts w:eastAsia="Times New Roman"/>
                <w:snapToGrid w:val="0"/>
                <w:lang w:eastAsia="en-US"/>
              </w:rPr>
              <w:t>–</w:t>
            </w:r>
          </w:p>
        </w:tc>
        <w:tc>
          <w:tcPr>
            <w:tcW w:w="2334" w:type="pct"/>
          </w:tcPr>
          <w:p w:rsidR="001D0FDA" w:rsidRPr="00EB1471" w:rsidRDefault="001D0FDA" w:rsidP="001D0FDA">
            <w:pPr>
              <w:pStyle w:val="Tabletext"/>
              <w:rPr>
                <w:rFonts w:eastAsia="Times New Roman"/>
                <w:lang w:eastAsia="en-US"/>
              </w:rPr>
            </w:pPr>
            <w:r w:rsidRPr="00EB1471">
              <w:rPr>
                <w:rFonts w:eastAsia="Times New Roman"/>
                <w:lang w:eastAsia="en-US"/>
              </w:rPr>
              <w:t>One of the following:</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 xml:space="preserve">Appearance or worsening of right-heart failure; </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Decrease of ≥10% from baseline in 6MWD</w:t>
            </w:r>
            <w:r w:rsidR="001F432E">
              <w:rPr>
                <w:rFonts w:eastAsia="Times New Roman"/>
                <w:snapToGrid w:val="0"/>
                <w:lang w:eastAsia="en-US"/>
              </w:rPr>
              <w:t>; or</w:t>
            </w:r>
            <w:r w:rsidRPr="00EB1471">
              <w:rPr>
                <w:rFonts w:eastAsia="Times New Roman"/>
                <w:snapToGrid w:val="0"/>
                <w:lang w:eastAsia="en-US"/>
              </w:rPr>
              <w:t xml:space="preserve"> </w:t>
            </w:r>
          </w:p>
          <w:p w:rsidR="001D0FDA" w:rsidRPr="00EB1471" w:rsidRDefault="001D0FDA" w:rsidP="00480FDF">
            <w:pPr>
              <w:pStyle w:val="Tabletext"/>
              <w:numPr>
                <w:ilvl w:val="0"/>
                <w:numId w:val="47"/>
              </w:numPr>
              <w:ind w:left="141" w:hanging="142"/>
              <w:rPr>
                <w:rFonts w:eastAsia="Times New Roman"/>
                <w:lang w:eastAsia="en-US"/>
              </w:rPr>
            </w:pPr>
            <w:r w:rsidRPr="00EB1471">
              <w:rPr>
                <w:rFonts w:eastAsia="Times New Roman"/>
                <w:snapToGrid w:val="0"/>
                <w:lang w:eastAsia="en-US"/>
              </w:rPr>
              <w:t>Decrease of ≥5% from baseline in 6MWD and ≥ 2 points increase in Borg dyspnoea index</w:t>
            </w:r>
          </w:p>
        </w:tc>
      </w:tr>
      <w:tr w:rsidR="001D0FDA" w:rsidRPr="00EB1471" w:rsidTr="005A0C83">
        <w:tc>
          <w:tcPr>
            <w:tcW w:w="627" w:type="pct"/>
            <w:shd w:val="clear" w:color="auto" w:fill="auto"/>
            <w:tcMar>
              <w:left w:w="108" w:type="dxa"/>
              <w:right w:w="108" w:type="dxa"/>
            </w:tcMar>
            <w:vAlign w:val="center"/>
          </w:tcPr>
          <w:p w:rsidR="001D0FDA" w:rsidRPr="00EB1471" w:rsidRDefault="001D0FDA" w:rsidP="001D0FDA">
            <w:pPr>
              <w:pStyle w:val="Tabletext"/>
              <w:ind w:left="-28" w:right="-28"/>
              <w:rPr>
                <w:rFonts w:eastAsia="Times New Roman"/>
                <w:lang w:eastAsia="en-US"/>
              </w:rPr>
            </w:pPr>
            <w:r w:rsidRPr="00EB1471">
              <w:rPr>
                <w:rFonts w:eastAsia="Times New Roman"/>
                <w:lang w:eastAsia="en-US"/>
              </w:rPr>
              <w:t>PACES-1</w:t>
            </w:r>
          </w:p>
        </w:tc>
        <w:tc>
          <w:tcPr>
            <w:tcW w:w="328"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t>–</w:t>
            </w:r>
          </w:p>
        </w:tc>
        <w:tc>
          <w:tcPr>
            <w:tcW w:w="472"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506" w:type="pct"/>
            <w:vAlign w:val="center"/>
          </w:tcPr>
          <w:p w:rsidR="001D0FDA" w:rsidRPr="00EB1471" w:rsidRDefault="001D0FDA" w:rsidP="001D0FDA">
            <w:pPr>
              <w:pStyle w:val="Tabletext"/>
              <w:ind w:left="-57" w:right="-57"/>
              <w:jc w:val="center"/>
              <w:rPr>
                <w:rFonts w:eastAsia="Times New Roman"/>
                <w:snapToGrid w:val="0"/>
                <w:lang w:eastAsia="en-US"/>
              </w:rPr>
            </w:pPr>
            <w:r w:rsidRPr="00EB1471">
              <w:rPr>
                <w:rFonts w:eastAsia="Times New Roman"/>
                <w:snapToGrid w:val="0"/>
                <w:lang w:eastAsia="en-US"/>
              </w:rPr>
              <w:t>Bosentan</w:t>
            </w:r>
          </w:p>
        </w:tc>
        <w:tc>
          <w:tcPr>
            <w:tcW w:w="2334" w:type="pct"/>
          </w:tcPr>
          <w:p w:rsidR="001D0FDA" w:rsidRPr="00EB1471" w:rsidRDefault="001D0FDA" w:rsidP="001D0FDA">
            <w:pPr>
              <w:pStyle w:val="Tabletext"/>
              <w:rPr>
                <w:rFonts w:eastAsia="Times New Roman"/>
                <w:snapToGrid w:val="0"/>
                <w:lang w:eastAsia="en-US"/>
              </w:rPr>
            </w:pPr>
            <w:r w:rsidRPr="00EB1471">
              <w:rPr>
                <w:rFonts w:eastAsia="Times New Roman"/>
                <w:snapToGrid w:val="0"/>
                <w:lang w:eastAsia="en-US"/>
              </w:rPr>
              <w:t>Change in epoprostenol dose of ≥10% due to clinical deterioration</w:t>
            </w:r>
          </w:p>
        </w:tc>
      </w:tr>
      <w:tr w:rsidR="001D0FDA" w:rsidRPr="00EB1471" w:rsidTr="005A0C83">
        <w:tc>
          <w:tcPr>
            <w:tcW w:w="627" w:type="pct"/>
            <w:shd w:val="clear" w:color="auto" w:fill="auto"/>
            <w:tcMar>
              <w:left w:w="108" w:type="dxa"/>
              <w:right w:w="108" w:type="dxa"/>
            </w:tcMar>
            <w:vAlign w:val="center"/>
          </w:tcPr>
          <w:p w:rsidR="001D0FDA" w:rsidRPr="00EB1471" w:rsidRDefault="001D0FDA" w:rsidP="001D0FDA">
            <w:pPr>
              <w:pStyle w:val="Tabletext"/>
              <w:ind w:left="-28" w:right="-28"/>
              <w:rPr>
                <w:rFonts w:eastAsia="Times New Roman"/>
              </w:rPr>
            </w:pPr>
            <w:r w:rsidRPr="00EB1471">
              <w:rPr>
                <w:rFonts w:eastAsia="Times New Roman"/>
              </w:rPr>
              <w:t>PATENT-1</w:t>
            </w:r>
          </w:p>
        </w:tc>
        <w:tc>
          <w:tcPr>
            <w:tcW w:w="328"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472"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506" w:type="pct"/>
            <w:vAlign w:val="center"/>
          </w:tcPr>
          <w:p w:rsidR="001D0FDA" w:rsidRPr="00EB1471" w:rsidRDefault="001D0FDA" w:rsidP="001D0FDA">
            <w:pPr>
              <w:pStyle w:val="Tabletext"/>
              <w:ind w:left="-57" w:right="-57"/>
              <w:jc w:val="center"/>
              <w:rPr>
                <w:rFonts w:eastAsia="Times New Roman"/>
                <w:snapToGrid w:val="0"/>
                <w:lang w:eastAsia="en-US"/>
              </w:rPr>
            </w:pPr>
            <w:r w:rsidRPr="00EB1471">
              <w:rPr>
                <w:rFonts w:eastAsia="Times New Roman"/>
                <w:snapToGrid w:val="0"/>
                <w:lang w:eastAsia="en-US"/>
              </w:rPr>
              <w:sym w:font="Wingdings" w:char="F0FC"/>
            </w:r>
          </w:p>
        </w:tc>
        <w:tc>
          <w:tcPr>
            <w:tcW w:w="2334" w:type="pct"/>
          </w:tcPr>
          <w:p w:rsidR="001F432E"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Decrease in 6MWD of &gt;15% from baseline or &gt;30% from the last measurement</w:t>
            </w:r>
          </w:p>
          <w:p w:rsidR="001D0FDA" w:rsidRPr="00EB1471" w:rsidRDefault="001F432E" w:rsidP="00480FDF">
            <w:pPr>
              <w:pStyle w:val="Tabletext"/>
              <w:numPr>
                <w:ilvl w:val="0"/>
                <w:numId w:val="47"/>
              </w:numPr>
              <w:ind w:left="141" w:hanging="142"/>
              <w:rPr>
                <w:rFonts w:eastAsia="Times New Roman"/>
                <w:snapToGrid w:val="0"/>
                <w:lang w:eastAsia="en-US"/>
              </w:rPr>
            </w:pPr>
            <w:r>
              <w:rPr>
                <w:rFonts w:eastAsia="Times New Roman"/>
                <w:snapToGrid w:val="0"/>
                <w:lang w:eastAsia="en-US"/>
              </w:rPr>
              <w:t>Persistent worsening of WHO FC</w:t>
            </w:r>
            <w:r w:rsidR="001D0FDA" w:rsidRPr="00EB1471">
              <w:rPr>
                <w:rFonts w:eastAsia="Times New Roman"/>
                <w:snapToGrid w:val="0"/>
                <w:lang w:eastAsia="en-US"/>
              </w:rPr>
              <w:t>; or</w:t>
            </w:r>
          </w:p>
          <w:p w:rsidR="001D0FDA" w:rsidRPr="00EB1471" w:rsidRDefault="001D0FDA" w:rsidP="00480FDF">
            <w:pPr>
              <w:pStyle w:val="Tabletext"/>
              <w:numPr>
                <w:ilvl w:val="0"/>
                <w:numId w:val="47"/>
              </w:numPr>
              <w:ind w:left="141" w:hanging="142"/>
              <w:rPr>
                <w:rFonts w:eastAsia="Times New Roman"/>
                <w:lang w:eastAsia="en-US"/>
              </w:rPr>
            </w:pPr>
            <w:r w:rsidRPr="00EB1471">
              <w:rPr>
                <w:rFonts w:eastAsia="Times New Roman"/>
                <w:snapToGrid w:val="0"/>
                <w:lang w:eastAsia="en-US"/>
              </w:rPr>
              <w:t>Modification of a pre-existing prostanoid treatment due to worsening PAH</w:t>
            </w:r>
          </w:p>
        </w:tc>
      </w:tr>
      <w:tr w:rsidR="001D0FDA" w:rsidRPr="00EB1471" w:rsidTr="005A0C83">
        <w:tc>
          <w:tcPr>
            <w:tcW w:w="627" w:type="pct"/>
            <w:shd w:val="clear" w:color="auto" w:fill="auto"/>
            <w:tcMar>
              <w:left w:w="108" w:type="dxa"/>
              <w:right w:w="108" w:type="dxa"/>
            </w:tcMar>
            <w:vAlign w:val="center"/>
          </w:tcPr>
          <w:p w:rsidR="001D0FDA" w:rsidRPr="00EB1471" w:rsidRDefault="001D0FDA" w:rsidP="001D0FDA">
            <w:pPr>
              <w:pStyle w:val="Tabletext"/>
              <w:ind w:left="-28" w:right="-28"/>
              <w:rPr>
                <w:rFonts w:eastAsia="Times New Roman"/>
              </w:rPr>
            </w:pPr>
            <w:r w:rsidRPr="00EB1471">
              <w:rPr>
                <w:rFonts w:eastAsia="Times New Roman"/>
              </w:rPr>
              <w:t>PHIRST</w:t>
            </w:r>
          </w:p>
        </w:tc>
        <w:tc>
          <w:tcPr>
            <w:tcW w:w="328"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472"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506" w:type="pct"/>
            <w:vAlign w:val="center"/>
          </w:tcPr>
          <w:p w:rsidR="001D0FDA" w:rsidRPr="00EB1471" w:rsidRDefault="001D0FDA" w:rsidP="001D0FDA">
            <w:pPr>
              <w:pStyle w:val="Tabletext"/>
              <w:ind w:left="-57" w:right="-57"/>
              <w:jc w:val="center"/>
              <w:rPr>
                <w:rFonts w:eastAsia="Times New Roman"/>
                <w:lang w:eastAsia="en-US"/>
              </w:rPr>
            </w:pPr>
            <w:r w:rsidRPr="00EB1471">
              <w:rPr>
                <w:rFonts w:eastAsia="Times New Roman"/>
                <w:snapToGrid w:val="0"/>
                <w:lang w:eastAsia="en-US"/>
              </w:rPr>
              <w:sym w:font="Wingdings" w:char="F0FC"/>
            </w:r>
          </w:p>
        </w:tc>
        <w:tc>
          <w:tcPr>
            <w:tcW w:w="2334" w:type="pct"/>
          </w:tcPr>
          <w:p w:rsidR="001D0FDA" w:rsidRPr="00EB1471" w:rsidRDefault="001D0FDA" w:rsidP="001D0FDA">
            <w:pPr>
              <w:pStyle w:val="Tabletext"/>
              <w:rPr>
                <w:rFonts w:eastAsia="Times New Roman"/>
                <w:lang w:eastAsia="en-US"/>
              </w:rPr>
            </w:pPr>
            <w:r w:rsidRPr="00EB1471">
              <w:rPr>
                <w:rFonts w:eastAsia="Times New Roman"/>
                <w:lang w:eastAsia="en-US"/>
              </w:rPr>
              <w:t>Worsening of WHO FC</w:t>
            </w:r>
          </w:p>
        </w:tc>
      </w:tr>
      <w:tr w:rsidR="001D0FDA" w:rsidRPr="00EB1471" w:rsidTr="005A0C83">
        <w:tc>
          <w:tcPr>
            <w:tcW w:w="627" w:type="pct"/>
            <w:shd w:val="clear" w:color="auto" w:fill="auto"/>
            <w:tcMar>
              <w:left w:w="108" w:type="dxa"/>
              <w:right w:w="108" w:type="dxa"/>
            </w:tcMar>
            <w:vAlign w:val="center"/>
          </w:tcPr>
          <w:p w:rsidR="001D0FDA" w:rsidRPr="00EB1471" w:rsidRDefault="001D0FDA" w:rsidP="001D0FDA">
            <w:pPr>
              <w:pStyle w:val="Tabletext"/>
              <w:ind w:left="-28" w:right="-28"/>
              <w:rPr>
                <w:rFonts w:eastAsia="Times New Roman"/>
              </w:rPr>
            </w:pPr>
            <w:r w:rsidRPr="00EB1471">
              <w:rPr>
                <w:rFonts w:eastAsia="Times New Roman"/>
              </w:rPr>
              <w:t>SERAPHIN</w:t>
            </w:r>
          </w:p>
        </w:tc>
        <w:tc>
          <w:tcPr>
            <w:tcW w:w="328"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6"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lang w:eastAsia="en-US"/>
              </w:rPr>
            </w:pPr>
            <w:r w:rsidRPr="00EB1471">
              <w:rPr>
                <w:rFonts w:eastAsia="Times New Roman"/>
                <w:snapToGrid w:val="0"/>
                <w:lang w:eastAsia="en-US"/>
              </w:rPr>
              <w:sym w:font="Wingdings" w:char="F0FC"/>
            </w:r>
          </w:p>
        </w:tc>
        <w:tc>
          <w:tcPr>
            <w:tcW w:w="472"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t>–</w:t>
            </w:r>
          </w:p>
        </w:tc>
        <w:tc>
          <w:tcPr>
            <w:tcW w:w="506" w:type="pct"/>
            <w:vAlign w:val="center"/>
          </w:tcPr>
          <w:p w:rsidR="001D0FDA" w:rsidRPr="00EB1471" w:rsidRDefault="001D0FDA" w:rsidP="001D0FDA">
            <w:pPr>
              <w:pStyle w:val="Tabletext"/>
              <w:ind w:left="-57" w:right="-57"/>
              <w:jc w:val="center"/>
              <w:rPr>
                <w:rFonts w:eastAsia="Times New Roman"/>
                <w:snapToGrid w:val="0"/>
                <w:lang w:eastAsia="en-US"/>
              </w:rPr>
            </w:pPr>
            <w:r w:rsidRPr="00EB1471">
              <w:rPr>
                <w:rFonts w:eastAsia="Times New Roman"/>
                <w:snapToGrid w:val="0"/>
                <w:lang w:eastAsia="en-US"/>
              </w:rPr>
              <w:t>SC or IV prostanoid</w:t>
            </w:r>
          </w:p>
        </w:tc>
        <w:tc>
          <w:tcPr>
            <w:tcW w:w="2334" w:type="pct"/>
          </w:tcPr>
          <w:p w:rsidR="001D0FDA" w:rsidRPr="00EB1471" w:rsidRDefault="001D0FDA" w:rsidP="001D0FDA">
            <w:pPr>
              <w:pStyle w:val="Tabletext"/>
              <w:rPr>
                <w:rFonts w:eastAsia="Times New Roman"/>
                <w:lang w:eastAsia="en-US"/>
              </w:rPr>
            </w:pPr>
            <w:r w:rsidRPr="00EB1471">
              <w:rPr>
                <w:rFonts w:eastAsia="Times New Roman"/>
                <w:lang w:eastAsia="en-US"/>
              </w:rPr>
              <w:t>All of the following:</w:t>
            </w:r>
          </w:p>
          <w:p w:rsidR="001D0FDA" w:rsidRPr="00EB1471" w:rsidRDefault="001D0FDA" w:rsidP="00480FDF">
            <w:pPr>
              <w:pStyle w:val="Tabletext"/>
              <w:numPr>
                <w:ilvl w:val="0"/>
                <w:numId w:val="47"/>
              </w:numPr>
              <w:ind w:left="141" w:hanging="142"/>
              <w:rPr>
                <w:rFonts w:eastAsia="Times New Roman"/>
                <w:snapToGrid w:val="0"/>
                <w:lang w:eastAsia="en-US"/>
              </w:rPr>
            </w:pPr>
            <w:r w:rsidRPr="00EB1471">
              <w:rPr>
                <w:rFonts w:eastAsia="Times New Roman"/>
                <w:snapToGrid w:val="0"/>
                <w:lang w:eastAsia="en-US"/>
              </w:rPr>
              <w:t>≥15% decrease in 6MWD from baseline</w:t>
            </w:r>
            <w:r w:rsidR="001F432E">
              <w:rPr>
                <w:rFonts w:eastAsia="Times New Roman"/>
                <w:snapToGrid w:val="0"/>
                <w:lang w:eastAsia="en-US"/>
              </w:rPr>
              <w:t>;</w:t>
            </w:r>
          </w:p>
          <w:p w:rsidR="001D0FDA" w:rsidRPr="00EB1471" w:rsidRDefault="001F432E" w:rsidP="00480FDF">
            <w:pPr>
              <w:pStyle w:val="Tabletext"/>
              <w:numPr>
                <w:ilvl w:val="0"/>
                <w:numId w:val="47"/>
              </w:numPr>
              <w:ind w:left="141" w:hanging="142"/>
              <w:rPr>
                <w:rFonts w:eastAsia="Times New Roman"/>
                <w:snapToGrid w:val="0"/>
                <w:lang w:eastAsia="en-US"/>
              </w:rPr>
            </w:pPr>
            <w:r>
              <w:rPr>
                <w:rFonts w:eastAsia="Times New Roman"/>
                <w:snapToGrid w:val="0"/>
                <w:lang w:eastAsia="en-US"/>
              </w:rPr>
              <w:t>N</w:t>
            </w:r>
            <w:r w:rsidR="001D0FDA" w:rsidRPr="00EB1471">
              <w:rPr>
                <w:rFonts w:eastAsia="Times New Roman"/>
                <w:snapToGrid w:val="0"/>
                <w:lang w:eastAsia="en-US"/>
              </w:rPr>
              <w:t>eed for additional treatment for PAH; and</w:t>
            </w:r>
          </w:p>
          <w:p w:rsidR="001D0FDA" w:rsidRPr="00EB1471" w:rsidRDefault="001F432E" w:rsidP="00480FDF">
            <w:pPr>
              <w:pStyle w:val="Tabletext"/>
              <w:numPr>
                <w:ilvl w:val="0"/>
                <w:numId w:val="47"/>
              </w:numPr>
              <w:ind w:left="141" w:hanging="142"/>
              <w:rPr>
                <w:rFonts w:eastAsia="Times New Roman"/>
                <w:lang w:eastAsia="en-US"/>
              </w:rPr>
            </w:pPr>
            <w:r>
              <w:rPr>
                <w:rFonts w:eastAsia="Times New Roman"/>
                <w:snapToGrid w:val="0"/>
                <w:lang w:eastAsia="en-US"/>
              </w:rPr>
              <w:t>W</w:t>
            </w:r>
            <w:r w:rsidR="001D0FDA" w:rsidRPr="00EB1471">
              <w:rPr>
                <w:rFonts w:eastAsia="Times New Roman"/>
                <w:snapToGrid w:val="0"/>
                <w:lang w:eastAsia="en-US"/>
              </w:rPr>
              <w:t>orsening of symptoms of PAH</w:t>
            </w:r>
            <w:r>
              <w:rPr>
                <w:rFonts w:eastAsia="Times New Roman"/>
                <w:snapToGrid w:val="0"/>
                <w:lang w:eastAsia="en-US"/>
              </w:rPr>
              <w:t>.</w:t>
            </w:r>
          </w:p>
        </w:tc>
      </w:tr>
      <w:tr w:rsidR="001D0FDA" w:rsidRPr="00EB1471" w:rsidTr="005A0C83">
        <w:tc>
          <w:tcPr>
            <w:tcW w:w="627" w:type="pct"/>
            <w:shd w:val="clear" w:color="auto" w:fill="auto"/>
            <w:tcMar>
              <w:left w:w="108" w:type="dxa"/>
              <w:right w:w="108" w:type="dxa"/>
            </w:tcMar>
            <w:vAlign w:val="center"/>
          </w:tcPr>
          <w:p w:rsidR="001D0FDA" w:rsidRPr="00EB1471" w:rsidRDefault="001D0FDA" w:rsidP="001D0FDA">
            <w:pPr>
              <w:pStyle w:val="Tabletext"/>
              <w:ind w:left="-28" w:right="-28"/>
              <w:rPr>
                <w:rFonts w:eastAsia="Times New Roman"/>
              </w:rPr>
            </w:pPr>
            <w:r w:rsidRPr="00EB1471">
              <w:rPr>
                <w:rFonts w:eastAsia="Times New Roman"/>
                <w:lang w:eastAsia="en-US"/>
              </w:rPr>
              <w:t>STEP</w:t>
            </w:r>
          </w:p>
        </w:tc>
        <w:tc>
          <w:tcPr>
            <w:tcW w:w="328" w:type="pct"/>
            <w:vAlign w:val="center"/>
          </w:tcPr>
          <w:p w:rsidR="001D0FDA" w:rsidRPr="00EB1471" w:rsidRDefault="001D0FDA" w:rsidP="001D0FDA">
            <w:pPr>
              <w:pStyle w:val="Tabletext"/>
              <w:ind w:left="-57" w:right="-57"/>
              <w:jc w:val="center"/>
              <w:rPr>
                <w:rFonts w:eastAsia="Times New Roman"/>
                <w:snapToGrid w:val="0"/>
                <w:lang w:eastAsia="en-US"/>
              </w:rPr>
            </w:pPr>
            <w:r w:rsidRPr="00EB1471">
              <w:rPr>
                <w:rFonts w:eastAsia="Times New Roman"/>
                <w:snapToGrid w:val="0"/>
                <w:lang w:eastAsia="en-US"/>
              </w:rPr>
              <w:t>PAH-related</w:t>
            </w:r>
          </w:p>
        </w:tc>
        <w:tc>
          <w:tcPr>
            <w:tcW w:w="366"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7"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472"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t>Any</w:t>
            </w:r>
          </w:p>
        </w:tc>
        <w:tc>
          <w:tcPr>
            <w:tcW w:w="506" w:type="pct"/>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2334" w:type="pct"/>
          </w:tcPr>
          <w:p w:rsidR="001D0FDA" w:rsidRPr="00EB1471" w:rsidRDefault="001D0FDA" w:rsidP="001D0FDA">
            <w:pPr>
              <w:pStyle w:val="Tabletext"/>
              <w:rPr>
                <w:rFonts w:eastAsia="Times New Roman"/>
                <w:snapToGrid w:val="0"/>
                <w:lang w:eastAsia="en-US"/>
              </w:rPr>
            </w:pPr>
            <w:r w:rsidRPr="00EB1471">
              <w:rPr>
                <w:rFonts w:eastAsia="Times New Roman"/>
                <w:snapToGrid w:val="0"/>
                <w:lang w:eastAsia="en-US"/>
              </w:rPr>
              <w:t>Early study discontinuation due to worsening PAH</w:t>
            </w:r>
          </w:p>
        </w:tc>
      </w:tr>
      <w:tr w:rsidR="001D0FDA" w:rsidRPr="00EB1471" w:rsidTr="005A0C83">
        <w:tc>
          <w:tcPr>
            <w:tcW w:w="627"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1D0FDA" w:rsidRPr="00EB1471" w:rsidRDefault="001D0FDA" w:rsidP="001D0FDA">
            <w:pPr>
              <w:pStyle w:val="Tabletext"/>
              <w:ind w:left="-28" w:right="-28"/>
              <w:rPr>
                <w:rFonts w:eastAsia="Times New Roman"/>
                <w:lang w:eastAsia="en-US"/>
              </w:rPr>
            </w:pPr>
            <w:r w:rsidRPr="00EB1471">
              <w:rPr>
                <w:rFonts w:eastAsia="Times New Roman"/>
                <w:lang w:eastAsia="en-US"/>
              </w:rPr>
              <w:t>Vizza 2017</w:t>
            </w:r>
          </w:p>
        </w:tc>
        <w:tc>
          <w:tcPr>
            <w:tcW w:w="328"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6"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7"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t>–</w:t>
            </w:r>
          </w:p>
        </w:tc>
        <w:tc>
          <w:tcPr>
            <w:tcW w:w="472"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506"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2334" w:type="pct"/>
            <w:tcBorders>
              <w:top w:val="single" w:sz="4" w:space="0" w:color="auto"/>
              <w:left w:val="single" w:sz="4" w:space="0" w:color="auto"/>
              <w:bottom w:val="single" w:sz="4" w:space="0" w:color="auto"/>
              <w:right w:val="single" w:sz="4" w:space="0" w:color="auto"/>
            </w:tcBorders>
          </w:tcPr>
          <w:p w:rsidR="001D0FDA" w:rsidRPr="00EB1471" w:rsidRDefault="001D0FDA" w:rsidP="001D0FDA">
            <w:pPr>
              <w:pStyle w:val="Tabletext"/>
              <w:rPr>
                <w:rFonts w:eastAsia="Times New Roman"/>
                <w:snapToGrid w:val="0"/>
                <w:lang w:eastAsia="en-US"/>
              </w:rPr>
            </w:pPr>
            <w:r w:rsidRPr="00EB1471">
              <w:rPr>
                <w:rFonts w:eastAsia="Times New Roman"/>
                <w:snapToGrid w:val="0"/>
                <w:lang w:eastAsia="en-US"/>
              </w:rPr>
              <w:t>–</w:t>
            </w:r>
          </w:p>
        </w:tc>
      </w:tr>
      <w:tr w:rsidR="001D0FDA" w:rsidRPr="00EB1471" w:rsidTr="005A0C83">
        <w:tc>
          <w:tcPr>
            <w:tcW w:w="627"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1D0FDA" w:rsidRPr="00EB1471" w:rsidRDefault="001D0FDA" w:rsidP="001D0FDA">
            <w:pPr>
              <w:pStyle w:val="Tabletext"/>
              <w:ind w:left="-28" w:right="-28"/>
              <w:rPr>
                <w:rFonts w:eastAsia="Times New Roman"/>
                <w:lang w:eastAsia="en-US"/>
              </w:rPr>
            </w:pPr>
            <w:r w:rsidRPr="00EB1471">
              <w:rPr>
                <w:rFonts w:eastAsia="Times New Roman"/>
                <w:lang w:eastAsia="en-US"/>
              </w:rPr>
              <w:t>Zhuang 2014</w:t>
            </w:r>
          </w:p>
        </w:tc>
        <w:tc>
          <w:tcPr>
            <w:tcW w:w="328"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6"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367"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472"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506" w:type="pct"/>
            <w:tcBorders>
              <w:top w:val="single" w:sz="4" w:space="0" w:color="auto"/>
              <w:left w:val="single" w:sz="4" w:space="0" w:color="auto"/>
              <w:bottom w:val="single" w:sz="4" w:space="0" w:color="auto"/>
              <w:right w:val="single" w:sz="4" w:space="0" w:color="auto"/>
            </w:tcBorders>
            <w:vAlign w:val="center"/>
          </w:tcPr>
          <w:p w:rsidR="001D0FDA" w:rsidRPr="00EB1471" w:rsidRDefault="001D0FDA" w:rsidP="001D0FDA">
            <w:pPr>
              <w:pStyle w:val="Tabletext"/>
              <w:jc w:val="center"/>
              <w:rPr>
                <w:rFonts w:eastAsia="Times New Roman"/>
                <w:snapToGrid w:val="0"/>
                <w:lang w:eastAsia="en-US"/>
              </w:rPr>
            </w:pPr>
            <w:r w:rsidRPr="00EB1471">
              <w:rPr>
                <w:rFonts w:eastAsia="Times New Roman"/>
                <w:snapToGrid w:val="0"/>
                <w:lang w:eastAsia="en-US"/>
              </w:rPr>
              <w:sym w:font="Wingdings" w:char="F0FC"/>
            </w:r>
          </w:p>
        </w:tc>
        <w:tc>
          <w:tcPr>
            <w:tcW w:w="2334" w:type="pct"/>
            <w:tcBorders>
              <w:top w:val="single" w:sz="4" w:space="0" w:color="auto"/>
              <w:left w:val="single" w:sz="4" w:space="0" w:color="auto"/>
              <w:bottom w:val="single" w:sz="4" w:space="0" w:color="auto"/>
              <w:right w:val="single" w:sz="4" w:space="0" w:color="auto"/>
            </w:tcBorders>
          </w:tcPr>
          <w:p w:rsidR="001D0FDA" w:rsidRPr="00EB1471" w:rsidRDefault="001F432E" w:rsidP="001D0FDA">
            <w:pPr>
              <w:pStyle w:val="Tabletext"/>
              <w:rPr>
                <w:rFonts w:eastAsia="Times New Roman"/>
                <w:snapToGrid w:val="0"/>
                <w:lang w:eastAsia="en-US"/>
              </w:rPr>
            </w:pPr>
            <w:r>
              <w:rPr>
                <w:rFonts w:eastAsia="Times New Roman"/>
                <w:snapToGrid w:val="0"/>
                <w:lang w:eastAsia="en-US"/>
              </w:rPr>
              <w:t>Worsening of WHO FC</w:t>
            </w:r>
          </w:p>
        </w:tc>
      </w:tr>
    </w:tbl>
    <w:p w:rsidR="001D0FDA" w:rsidRPr="00EB1471" w:rsidRDefault="001D0FDA" w:rsidP="001D0FDA">
      <w:pPr>
        <w:pStyle w:val="Tablenote"/>
      </w:pPr>
      <w:r w:rsidRPr="00EB1471">
        <w:t xml:space="preserve">6-MWD = 6-minute </w:t>
      </w:r>
      <w:r w:rsidR="0082368E">
        <w:t>walk distance</w:t>
      </w:r>
      <w:r w:rsidRPr="00EB1471">
        <w:t>; AS = atrial septostomy; FC = functional class; IV = intravenous; LT = lung transplant; PAH = pulmonary arterial hypertension; SC = subcutaneous; WHO = World Health Organization</w:t>
      </w:r>
    </w:p>
    <w:p w:rsidR="001D0FDA" w:rsidRPr="00EB1471" w:rsidRDefault="001D0FDA" w:rsidP="001D0FDA">
      <w:r w:rsidRPr="00EB1471">
        <w:t xml:space="preserve">Mortality is the other clinically important endpoint. However the generally short duration of study follow-up of the included RCTs was insufficient for a reliable assessment of </w:t>
      </w:r>
      <w:r w:rsidR="00B603BC">
        <w:t>this endpoint in PAH patients.</w:t>
      </w:r>
    </w:p>
    <w:p w:rsidR="001D0FDA" w:rsidRPr="00EB1471" w:rsidRDefault="001D0FDA" w:rsidP="005A0C83">
      <w:r>
        <w:t xml:space="preserve">The </w:t>
      </w:r>
      <w:r w:rsidRPr="00EB1471">
        <w:t xml:space="preserve">6MWD, which assesses the treatment effect of </w:t>
      </w:r>
      <w:r>
        <w:t>PAH medicine</w:t>
      </w:r>
      <w:r w:rsidRPr="00EB1471">
        <w:t xml:space="preserve">s on exercise capacity, is measured in almost all PAH studies. Change in 6MWD </w:t>
      </w:r>
      <w:proofErr w:type="gramStart"/>
      <w:r w:rsidRPr="00EB1471">
        <w:t>has been previously accepted</w:t>
      </w:r>
      <w:proofErr w:type="gramEnd"/>
      <w:r w:rsidRPr="00EB1471">
        <w:t xml:space="preserve"> by the PBAC as an appropriate surrogate outcome. Nevertheless, the validity of the 6MWD, as a surrogate for survival, remains a subject of debate in the literature</w:t>
      </w:r>
      <w:r w:rsidR="001D34EE" w:rsidRPr="001A1C44">
        <w:rPr>
          <w:noProof/>
          <w:vertAlign w:val="superscript"/>
        </w:rPr>
        <w:t>75</w:t>
      </w:r>
      <w:r w:rsidRPr="00EB1471">
        <w:t>. The EMA guidelines on PAH</w:t>
      </w:r>
      <w:r w:rsidR="001D34EE" w:rsidRPr="001A1C44">
        <w:rPr>
          <w:noProof/>
          <w:vertAlign w:val="superscript"/>
        </w:rPr>
        <w:t>74</w:t>
      </w:r>
      <w:r w:rsidRPr="00EB1471">
        <w:t xml:space="preserve"> point out that there is uncertainty regarding the suitability of 6MWD as a primary endpoint given that </w:t>
      </w:r>
      <w:r>
        <w:t>it</w:t>
      </w:r>
      <w:r w:rsidRPr="00EB1471">
        <w:t xml:space="preserve"> is influenced by age, gender, height, weight and degree of motivation and that improvement in performance has been shown not to correlate with survival. The EMA accepts </w:t>
      </w:r>
      <w:r>
        <w:t xml:space="preserve">the </w:t>
      </w:r>
      <w:r w:rsidRPr="00EB1471">
        <w:t xml:space="preserve">6MWD as a primary endpoint for PAH trials </w:t>
      </w:r>
      <w:r w:rsidRPr="00A26FBC">
        <w:rPr>
          <w:i/>
        </w:rPr>
        <w:t>only</w:t>
      </w:r>
      <w:r w:rsidRPr="00EB1471">
        <w:t xml:space="preserve"> if the proposed indication is restricted to improvement in exercise capacity and states that </w:t>
      </w:r>
      <w:r>
        <w:t xml:space="preserve">the </w:t>
      </w:r>
      <w:r w:rsidRPr="00EB1471">
        <w:t xml:space="preserve">6MWD </w:t>
      </w:r>
      <w:proofErr w:type="gramStart"/>
      <w:r w:rsidRPr="00EB1471">
        <w:t>should be used</w:t>
      </w:r>
      <w:proofErr w:type="gramEnd"/>
      <w:r w:rsidRPr="00EB1471">
        <w:t xml:space="preserve"> in conjunction with other efficacy endpoints when the indication claims an effect on clinical worsening. </w:t>
      </w:r>
      <w:proofErr w:type="gramStart"/>
      <w:r w:rsidRPr="00EB1471">
        <w:t>There are numerous references that</w:t>
      </w:r>
      <w:proofErr w:type="gramEnd"/>
      <w:r w:rsidRPr="00EB1471">
        <w:t xml:space="preserve"> propose a minimum clinical</w:t>
      </w:r>
      <w:r>
        <w:t>ly</w:t>
      </w:r>
      <w:r w:rsidRPr="00EB1471">
        <w:t xml:space="preserve"> important difference in 6MWD of between 35 m and 50 m</w:t>
      </w:r>
      <w:r w:rsidR="001D34EE" w:rsidRPr="001A1C44">
        <w:rPr>
          <w:noProof/>
          <w:vertAlign w:val="superscript"/>
        </w:rPr>
        <w:t>76-80</w:t>
      </w:r>
      <w:r w:rsidRPr="00EB1471">
        <w:t xml:space="preserve">. Non-inferiority thresholds of </w:t>
      </w:r>
      <w:proofErr w:type="gramStart"/>
      <w:r w:rsidRPr="00EB1471">
        <w:t>-35</w:t>
      </w:r>
      <w:r w:rsidR="00697712">
        <w:t> </w:t>
      </w:r>
      <w:r w:rsidRPr="00EB1471">
        <w:t>m</w:t>
      </w:r>
      <w:proofErr w:type="gramEnd"/>
      <w:r w:rsidRPr="00EB1471">
        <w:t xml:space="preserve"> and -50</w:t>
      </w:r>
      <w:r w:rsidR="00697712">
        <w:t> </w:t>
      </w:r>
      <w:r w:rsidRPr="00EB1471">
        <w:t xml:space="preserve">m in 6MWD were used previously in the context of PBS reimbursement applications and have been accepted by the PBAC (ambrisentan </w:t>
      </w:r>
      <w:r w:rsidR="00304BCB">
        <w:t>Public Summary Document (</w:t>
      </w:r>
      <w:r w:rsidRPr="00EB1471">
        <w:t>PSD</w:t>
      </w:r>
      <w:r w:rsidR="00304BCB">
        <w:t>)</w:t>
      </w:r>
      <w:r w:rsidRPr="00EB1471">
        <w:t xml:space="preserve">, July 2009 PBAC meeting; epoprostenol PSD, November 2011 PBAC meeting). </w:t>
      </w:r>
      <w:r w:rsidRPr="00F4042C">
        <w:t xml:space="preserve">The </w:t>
      </w:r>
      <w:r w:rsidR="00B32D89">
        <w:t>Six Minute Walk Test (</w:t>
      </w:r>
      <w:r w:rsidRPr="00F4042C">
        <w:t>6MWT</w:t>
      </w:r>
      <w:r w:rsidR="00B32D89">
        <w:t>)</w:t>
      </w:r>
      <w:r w:rsidRPr="00F4042C">
        <w:t xml:space="preserve"> </w:t>
      </w:r>
      <w:proofErr w:type="gramStart"/>
      <w:r w:rsidRPr="00F4042C">
        <w:t>was rated</w:t>
      </w:r>
      <w:proofErr w:type="gramEnd"/>
      <w:r w:rsidRPr="00F4042C">
        <w:t xml:space="preserve"> as a</w:t>
      </w:r>
      <w:r>
        <w:t>n</w:t>
      </w:r>
      <w:r w:rsidRPr="00F4042C">
        <w:t xml:space="preserve"> important outcome according to the GRADE Working Group grades of evidence</w:t>
      </w:r>
      <w:r w:rsidR="001D34EE" w:rsidRPr="001D34EE">
        <w:rPr>
          <w:noProof/>
          <w:vertAlign w:val="superscript"/>
        </w:rPr>
        <w:t>1</w:t>
      </w:r>
      <w:r>
        <w:t>.</w:t>
      </w:r>
    </w:p>
    <w:p w:rsidR="001D0FDA" w:rsidRPr="00EB1471" w:rsidRDefault="001D0FDA" w:rsidP="005A0C83">
      <w:r w:rsidRPr="008D73C9">
        <w:t xml:space="preserve">The diagnosis of PAH needs to be confirmed by right cardiac catheterisation with appropriate haemodynamic measurements. Haemodynamic measures, including </w:t>
      </w:r>
      <w:r>
        <w:t>p</w:t>
      </w:r>
      <w:r w:rsidRPr="00992103">
        <w:t xml:space="preserve">ulmonary </w:t>
      </w:r>
      <w:r>
        <w:t>a</w:t>
      </w:r>
      <w:r w:rsidRPr="00992103">
        <w:t xml:space="preserve">rtery </w:t>
      </w:r>
      <w:r>
        <w:t>p</w:t>
      </w:r>
      <w:r w:rsidRPr="00992103">
        <w:t xml:space="preserve">ressure </w:t>
      </w:r>
      <w:r>
        <w:t>(</w:t>
      </w:r>
      <w:r w:rsidRPr="008D73C9">
        <w:t>PAP</w:t>
      </w:r>
      <w:r>
        <w:t>)</w:t>
      </w:r>
      <w:r w:rsidRPr="008D73C9">
        <w:t xml:space="preserve">, </w:t>
      </w:r>
      <w:r>
        <w:t>pulmonary vascular resistance (</w:t>
      </w:r>
      <w:r w:rsidRPr="008D73C9">
        <w:t>PVR</w:t>
      </w:r>
      <w:r>
        <w:t>)</w:t>
      </w:r>
      <w:r w:rsidRPr="008D73C9">
        <w:t xml:space="preserve">, cardiac index, </w:t>
      </w:r>
      <w:r>
        <w:t xml:space="preserve">pulmonary </w:t>
      </w:r>
      <w:r w:rsidRPr="00992103">
        <w:t>capillary wedge pressure</w:t>
      </w:r>
      <w:r>
        <w:t xml:space="preserve"> (</w:t>
      </w:r>
      <w:r w:rsidRPr="008D73C9">
        <w:t>PCWP</w:t>
      </w:r>
      <w:r>
        <w:t>)</w:t>
      </w:r>
      <w:r w:rsidRPr="008D73C9">
        <w:t xml:space="preserve">, </w:t>
      </w:r>
      <w:r>
        <w:t>right atrial pressure (</w:t>
      </w:r>
      <w:r w:rsidRPr="008D73C9">
        <w:t>RAP</w:t>
      </w:r>
      <w:r>
        <w:t>)</w:t>
      </w:r>
      <w:r w:rsidRPr="008D73C9">
        <w:t xml:space="preserve"> etc, may play an important role during the early development of the drug to elucidate the mechanism of action or to define the dose-response relationship</w:t>
      </w:r>
      <w:r w:rsidR="001D34EE" w:rsidRPr="001A1C44">
        <w:rPr>
          <w:noProof/>
          <w:vertAlign w:val="superscript"/>
        </w:rPr>
        <w:t>74</w:t>
      </w:r>
      <w:r w:rsidRPr="008D73C9">
        <w:t xml:space="preserve">. These parameters have been included in some clinical trials, usually as secondary or tertiary outcomes, for assessment of the treatment effect of </w:t>
      </w:r>
      <w:r>
        <w:t>PAH medicine</w:t>
      </w:r>
      <w:r w:rsidRPr="008D73C9">
        <w:t>s.</w:t>
      </w:r>
      <w:r w:rsidRPr="00EB1471">
        <w:t xml:space="preserve"> </w:t>
      </w:r>
      <w:r w:rsidRPr="00D600B3">
        <w:t xml:space="preserve">The </w:t>
      </w:r>
      <w:r>
        <w:t xml:space="preserve">haemodynamic parameters are less patient-relevant, and, therefore, </w:t>
      </w:r>
      <w:proofErr w:type="gramStart"/>
      <w:r>
        <w:t xml:space="preserve">were </w:t>
      </w:r>
      <w:r w:rsidRPr="00D600B3">
        <w:t>rated</w:t>
      </w:r>
      <w:proofErr w:type="gramEnd"/>
      <w:r w:rsidRPr="00D600B3">
        <w:t xml:space="preserve"> as not important outcomes according to the GRADE Working Group grades of evidence</w:t>
      </w:r>
      <w:r w:rsidR="001D34EE" w:rsidRPr="001D34EE">
        <w:rPr>
          <w:noProof/>
          <w:vertAlign w:val="superscript"/>
        </w:rPr>
        <w:t>1</w:t>
      </w:r>
      <w:r w:rsidRPr="00D600B3">
        <w:t>.</w:t>
      </w:r>
    </w:p>
    <w:p w:rsidR="001D0FDA" w:rsidRPr="00EB1471" w:rsidRDefault="001D0FDA" w:rsidP="005A0C83">
      <w:r w:rsidRPr="00EB1471">
        <w:t xml:space="preserve">Other effectiveness outcomes of </w:t>
      </w:r>
      <w:proofErr w:type="gramStart"/>
      <w:r w:rsidRPr="00EB1471">
        <w:t>interest included</w:t>
      </w:r>
      <w:proofErr w:type="gramEnd"/>
      <w:r w:rsidRPr="00EB1471">
        <w:t xml:space="preserve"> hospitalisation, </w:t>
      </w:r>
      <w:r>
        <w:t xml:space="preserve">change in </w:t>
      </w:r>
      <w:r w:rsidRPr="00EB1471">
        <w:t xml:space="preserve">WHO FC, </w:t>
      </w:r>
      <w:r>
        <w:t>quality of life (</w:t>
      </w:r>
      <w:r w:rsidRPr="00EB1471">
        <w:t>QoL</w:t>
      </w:r>
      <w:r>
        <w:t xml:space="preserve">), lung transplant, atrial septostomy and initiation of other PAH medicine(s). </w:t>
      </w:r>
      <w:proofErr w:type="gramStart"/>
      <w:r>
        <w:t>Sa</w:t>
      </w:r>
      <w:r w:rsidRPr="00EB1471">
        <w:t xml:space="preserve">fety was assessed by the reporting of </w:t>
      </w:r>
      <w:r w:rsidR="006B2A7D">
        <w:t>AE</w:t>
      </w:r>
      <w:r w:rsidRPr="00EB1471">
        <w:t>s</w:t>
      </w:r>
      <w:proofErr w:type="gramEnd"/>
      <w:r>
        <w:t xml:space="preserve">. All the above outcomes </w:t>
      </w:r>
      <w:proofErr w:type="gramStart"/>
      <w:r>
        <w:t xml:space="preserve">were </w:t>
      </w:r>
      <w:r w:rsidRPr="00F4042C">
        <w:t>rated</w:t>
      </w:r>
      <w:proofErr w:type="gramEnd"/>
      <w:r w:rsidRPr="00F4042C">
        <w:t xml:space="preserve"> as important outcome</w:t>
      </w:r>
      <w:r>
        <w:t>s</w:t>
      </w:r>
      <w:r w:rsidRPr="00F4042C">
        <w:t xml:space="preserve"> according to the GRADE Working Group grades of evidence</w:t>
      </w:r>
      <w:r w:rsidR="001D34EE" w:rsidRPr="001D34EE">
        <w:rPr>
          <w:noProof/>
          <w:vertAlign w:val="superscript"/>
        </w:rPr>
        <w:t>1</w:t>
      </w:r>
      <w:r w:rsidRPr="00EB1471">
        <w:t>.</w:t>
      </w:r>
    </w:p>
    <w:p w:rsidR="001D0FDA" w:rsidRPr="00EB1471" w:rsidRDefault="001D0FDA" w:rsidP="005A0C83">
      <w:pPr>
        <w:pStyle w:val="Heading3"/>
        <w:numPr>
          <w:ilvl w:val="2"/>
          <w:numId w:val="45"/>
        </w:numPr>
        <w:tabs>
          <w:tab w:val="clear" w:pos="2695"/>
        </w:tabs>
        <w:ind w:left="0"/>
        <w:jc w:val="left"/>
      </w:pPr>
      <w:bookmarkStart w:id="100" w:name="_Toc506464135"/>
      <w:bookmarkStart w:id="101" w:name="_Toc38360279"/>
      <w:r>
        <w:t>Synthesis of evidence</w:t>
      </w:r>
      <w:bookmarkEnd w:id="100"/>
      <w:bookmarkEnd w:id="101"/>
    </w:p>
    <w:p w:rsidR="001D0FDA" w:rsidRPr="00EB1471" w:rsidRDefault="001D0FDA" w:rsidP="005A0C83">
      <w:r w:rsidRPr="00EB1471">
        <w:t xml:space="preserve">Effectiveness and safety results </w:t>
      </w:r>
      <w:proofErr w:type="gramStart"/>
      <w:r w:rsidRPr="00EB1471">
        <w:t>were extracted</w:t>
      </w:r>
      <w:proofErr w:type="gramEnd"/>
      <w:r w:rsidRPr="00EB1471">
        <w:t xml:space="preserve"> for </w:t>
      </w:r>
      <w:r>
        <w:t xml:space="preserve">the </w:t>
      </w:r>
      <w:r w:rsidRPr="00EB1471">
        <w:t>appropriate population</w:t>
      </w:r>
      <w:r>
        <w:t>s</w:t>
      </w:r>
      <w:r w:rsidRPr="00EB1471">
        <w:t>, intervention</w:t>
      </w:r>
      <w:r>
        <w:t>s</w:t>
      </w:r>
      <w:r w:rsidRPr="00EB1471">
        <w:t xml:space="preserve"> and comparator</w:t>
      </w:r>
      <w:r>
        <w:t>s</w:t>
      </w:r>
      <w:r w:rsidRPr="00EB1471">
        <w:t xml:space="preserve"> as specified for each research question (</w:t>
      </w:r>
      <w:r w:rsidR="006D5751">
        <w:t>Table 4.19 to Table 4.22</w:t>
      </w:r>
      <w:r w:rsidRPr="00EB1471">
        <w:t xml:space="preserve">). Where the studies included a mixed population and the published papers did not provide data for the subgroup of interest, the PBAC dossier </w:t>
      </w:r>
      <w:proofErr w:type="gramStart"/>
      <w:r w:rsidRPr="00EB1471">
        <w:t>was searched</w:t>
      </w:r>
      <w:proofErr w:type="gramEnd"/>
      <w:r w:rsidRPr="00EB1471">
        <w:t xml:space="preserve"> for relevant previous submissions, commentaries and/or PBAC minutes. Data sourced from confidential PBAC documents </w:t>
      </w:r>
      <w:proofErr w:type="gramStart"/>
      <w:r w:rsidRPr="00EB1471">
        <w:t>were highlighted</w:t>
      </w:r>
      <w:proofErr w:type="gramEnd"/>
      <w:r w:rsidRPr="00EB1471">
        <w:t xml:space="preserve"> throughout the literature review in different colours according to distinct sponsors for redaction when the report is sent to pharmace</w:t>
      </w:r>
      <w:r w:rsidR="00B603BC">
        <w:t>utical companies for feedback.</w:t>
      </w:r>
    </w:p>
    <w:p w:rsidR="001D0FDA" w:rsidRPr="00EB1471" w:rsidRDefault="001D0FDA" w:rsidP="005A0C83">
      <w:r w:rsidRPr="00EB1471">
        <w:t xml:space="preserve">Descriptive statistics </w:t>
      </w:r>
      <w:proofErr w:type="gramStart"/>
      <w:r w:rsidRPr="00EB1471">
        <w:t>were extracted or calculated for all relevant outcomes in the individual studies – including numerator and denominator information, means and standard deviations, med</w:t>
      </w:r>
      <w:r w:rsidR="00B603BC">
        <w:t>ians and inter-quartile ranges</w:t>
      </w:r>
      <w:proofErr w:type="gramEnd"/>
      <w:r w:rsidR="00B603BC">
        <w:t>.</w:t>
      </w:r>
    </w:p>
    <w:p w:rsidR="001D0FDA" w:rsidRPr="00EB1471" w:rsidRDefault="001D0FDA" w:rsidP="005A0C83">
      <w:r w:rsidRPr="00EB1471">
        <w:t xml:space="preserve">Relative effect measures (relative risks (RRs) or hazard ratios (HRs)), absolute risk </w:t>
      </w:r>
      <w:r w:rsidR="00E00863">
        <w:t>difference</w:t>
      </w:r>
      <w:r w:rsidRPr="00EB1471">
        <w:t>s</w:t>
      </w:r>
      <w:r w:rsidR="00E00863">
        <w:t xml:space="preserve"> (AR</w:t>
      </w:r>
      <w:r w:rsidR="00B21201">
        <w:t>D</w:t>
      </w:r>
      <w:r w:rsidR="00E00863">
        <w:t>s)</w:t>
      </w:r>
      <w:r w:rsidRPr="00EB1471">
        <w:t xml:space="preserve">, and associated 95% confidence intervals (CIs) </w:t>
      </w:r>
      <w:proofErr w:type="gramStart"/>
      <w:r w:rsidRPr="00EB1471">
        <w:t>were calculated</w:t>
      </w:r>
      <w:proofErr w:type="gramEnd"/>
      <w:r w:rsidRPr="00EB1471">
        <w:t xml:space="preserve"> from individual comparative studies containing count data. Mean differences and 95% CIs </w:t>
      </w:r>
      <w:proofErr w:type="gramStart"/>
      <w:r w:rsidRPr="00EB1471">
        <w:t>were extracted or calculated for normally distributed continuous outcomes in individual studies</w:t>
      </w:r>
      <w:proofErr w:type="gramEnd"/>
      <w:r w:rsidRPr="00EB1471">
        <w:t>.</w:t>
      </w:r>
    </w:p>
    <w:p w:rsidR="001D0FDA" w:rsidRPr="00EB1471" w:rsidRDefault="001D0FDA" w:rsidP="005A0C83">
      <w:r w:rsidRPr="00EB1471">
        <w:t xml:space="preserve">Meta-analyses </w:t>
      </w:r>
      <w:proofErr w:type="gramStart"/>
      <w:r w:rsidRPr="00EB1471">
        <w:t>were conducted, where appropriate, and tested for heterogeneity</w:t>
      </w:r>
      <w:proofErr w:type="gramEnd"/>
      <w:r w:rsidRPr="00EB1471">
        <w:t xml:space="preserve">. The DerSimonian and Laird random-effects model </w:t>
      </w:r>
      <w:proofErr w:type="gramStart"/>
      <w:r w:rsidRPr="00EB1471">
        <w:t>was used</w:t>
      </w:r>
      <w:proofErr w:type="gramEnd"/>
      <w:r w:rsidRPr="00EB1471">
        <w:t xml:space="preserve"> to estimate pooled risk ratios with their 95% </w:t>
      </w:r>
      <w:r w:rsidR="00EC19E0">
        <w:t>CIs</w:t>
      </w:r>
      <w:r w:rsidRPr="00EB1471">
        <w:t xml:space="preserve"> for event data. Forest plots </w:t>
      </w:r>
      <w:proofErr w:type="gramStart"/>
      <w:r w:rsidRPr="00EB1471">
        <w:t>were created</w:t>
      </w:r>
      <w:proofErr w:type="gramEnd"/>
      <w:r w:rsidRPr="00EB1471">
        <w:t xml:space="preserve">. When there were no events in one treatment group, we used a 0.5 continuity correction. Trials with no events in either arm </w:t>
      </w:r>
      <w:proofErr w:type="gramStart"/>
      <w:r w:rsidRPr="00EB1471">
        <w:t>were excluded</w:t>
      </w:r>
      <w:proofErr w:type="gramEnd"/>
      <w:r w:rsidRPr="00EB1471">
        <w:t xml:space="preserve">. Pooled effects on continuous variables </w:t>
      </w:r>
      <w:proofErr w:type="gramStart"/>
      <w:r w:rsidRPr="00EB1471">
        <w:t>were presented</w:t>
      </w:r>
      <w:proofErr w:type="gramEnd"/>
      <w:r w:rsidRPr="00EB1471">
        <w:t xml:space="preserve"> as weighted mean differe</w:t>
      </w:r>
      <w:r w:rsidR="00B603BC">
        <w:t>nces with corresponding 95% CI.</w:t>
      </w:r>
    </w:p>
    <w:p w:rsidR="001F432E" w:rsidRPr="00EB1471" w:rsidRDefault="001F432E" w:rsidP="005A0C83">
      <w:r w:rsidRPr="00EB1471">
        <w:t xml:space="preserve">For research question 1, only direct evidence </w:t>
      </w:r>
      <w:proofErr w:type="gramStart"/>
      <w:r w:rsidRPr="00EB1471">
        <w:t>was presented</w:t>
      </w:r>
      <w:proofErr w:type="gramEnd"/>
      <w:r w:rsidRPr="00EB1471">
        <w:t xml:space="preserve">. </w:t>
      </w:r>
      <w:r>
        <w:t>N</w:t>
      </w:r>
      <w:r w:rsidRPr="00FD4542">
        <w:t xml:space="preserve">o RCTs </w:t>
      </w:r>
      <w:proofErr w:type="gramStart"/>
      <w:r>
        <w:t xml:space="preserve">were </w:t>
      </w:r>
      <w:r w:rsidRPr="00FD4542">
        <w:t>identified</w:t>
      </w:r>
      <w:proofErr w:type="gramEnd"/>
      <w:r w:rsidRPr="00FD4542">
        <w:t xml:space="preserve"> </w:t>
      </w:r>
      <w:r>
        <w:t>to address r</w:t>
      </w:r>
      <w:r w:rsidRPr="00FD4542">
        <w:t>esearch question</w:t>
      </w:r>
      <w:r>
        <w:t>s</w:t>
      </w:r>
      <w:r w:rsidRPr="00FD4542">
        <w:t xml:space="preserve"> 2 </w:t>
      </w:r>
      <w:r>
        <w:t xml:space="preserve">and 4. </w:t>
      </w:r>
      <w:r w:rsidRPr="00EB1471">
        <w:t>For research question</w:t>
      </w:r>
      <w:r>
        <w:t xml:space="preserve"> 3</w:t>
      </w:r>
      <w:r w:rsidRPr="00EB1471">
        <w:t xml:space="preserve">, if direct studies which compare combination therapy with PBS-listed PAH medicines against </w:t>
      </w:r>
      <w:r>
        <w:t xml:space="preserve">PAH monotherapy </w:t>
      </w:r>
      <w:r w:rsidRPr="00EB1471">
        <w:t xml:space="preserve">as specified in </w:t>
      </w:r>
      <w:r w:rsidR="003951FA">
        <w:t>Table 4.21</w:t>
      </w:r>
      <w:r w:rsidRPr="00EB1471">
        <w:t xml:space="preserve"> were not available, pairwise indirect comparisons </w:t>
      </w:r>
      <w:r>
        <w:t>using Bucher method</w:t>
      </w:r>
      <w:r w:rsidR="001D34EE" w:rsidRPr="001D34EE">
        <w:rPr>
          <w:noProof/>
          <w:vertAlign w:val="superscript"/>
        </w:rPr>
        <w:t>81</w:t>
      </w:r>
      <w:r>
        <w:t xml:space="preserve"> </w:t>
      </w:r>
      <w:r w:rsidR="00A03E34">
        <w:t>had been</w:t>
      </w:r>
      <w:r w:rsidRPr="00EB1471">
        <w:t xml:space="preserve"> considered</w:t>
      </w:r>
      <w:r>
        <w:t xml:space="preserve">. </w:t>
      </w:r>
      <w:proofErr w:type="gramStart"/>
      <w:r>
        <w:t xml:space="preserve">However, no meaningful indirect comparison could be performed, given the lack of transitivity across included trials </w:t>
      </w:r>
      <w:r w:rsidRPr="00EB1471">
        <w:t xml:space="preserve">according to the guidance given in version 5 of the </w:t>
      </w:r>
      <w:r w:rsidRPr="00EB1471">
        <w:rPr>
          <w:i/>
        </w:rPr>
        <w:t>PBAC Guidelines</w:t>
      </w:r>
      <w:r w:rsidRPr="00EB1471">
        <w:rPr>
          <w:rStyle w:val="FootnoteReference"/>
          <w:i/>
        </w:rPr>
        <w:footnoteReference w:id="3"/>
      </w:r>
      <w:r w:rsidRPr="00560B15">
        <w:t xml:space="preserve"> </w:t>
      </w:r>
      <w:r>
        <w:t>(eg heterogeneities in WHO FC, PAH aetiology, history of previous PAH therapy, outcome measure, length of follow-up and study period) and the limited direct evidence on the comparative treatment effect of two PAH medicines</w:t>
      </w:r>
      <w:r w:rsidR="00D60D8E">
        <w:t>.</w:t>
      </w:r>
      <w:proofErr w:type="gramEnd"/>
    </w:p>
    <w:p w:rsidR="001D0FDA" w:rsidRPr="00EB1471" w:rsidRDefault="001D0FDA" w:rsidP="005A0C83">
      <w:r w:rsidRPr="00EB1471">
        <w:t>Statistical analysis were undertaken using the biostatistical computer package, Stata version 14.</w:t>
      </w:r>
    </w:p>
    <w:p w:rsidR="001D0FDA" w:rsidRPr="00EB1471" w:rsidRDefault="001D0FDA" w:rsidP="005A0C83">
      <w:r w:rsidRPr="00EB1471">
        <w:t xml:space="preserve">When a quantitative synthesis was not possible, </w:t>
      </w:r>
      <w:r>
        <w:t>eg</w:t>
      </w:r>
      <w:r w:rsidRPr="00EB1471">
        <w:rPr>
          <w:i/>
        </w:rPr>
        <w:t xml:space="preserve"> </w:t>
      </w:r>
      <w:r w:rsidRPr="00EB1471">
        <w:t>summarised using inconsistent statistics (</w:t>
      </w:r>
      <w:r>
        <w:t>eg</w:t>
      </w:r>
      <w:r w:rsidRPr="00EB1471">
        <w:rPr>
          <w:i/>
        </w:rPr>
        <w:t xml:space="preserve"> </w:t>
      </w:r>
      <w:r w:rsidRPr="00EB1471">
        <w:t>mean and median), the review findings were synthesised into an overall narrative that addresse</w:t>
      </w:r>
      <w:r w:rsidR="00B603BC">
        <w:t>s each of the review questions.</w:t>
      </w:r>
    </w:p>
    <w:p w:rsidR="000D6945" w:rsidRDefault="001D0FDA" w:rsidP="005A0C83">
      <w:r w:rsidRPr="00EB1471">
        <w:t>For comparative studies, the overall quality of the evidence per individual health outcome was rated, across the studies, based on the study limitations (risk of bias), imprecision, inconsistency of results, indirectness of evidence, and the likelihood of publication bias using Grading of Recommendations Assessment, Development, and Evaluation (GRADE)</w:t>
      </w:r>
      <w:r w:rsidR="001D34EE" w:rsidRPr="001D34EE">
        <w:rPr>
          <w:noProof/>
          <w:vertAlign w:val="superscript"/>
        </w:rPr>
        <w:t>1</w:t>
      </w:r>
      <w:r w:rsidRPr="00EB1471">
        <w:t xml:space="preserve">. This </w:t>
      </w:r>
      <w:proofErr w:type="gramStart"/>
      <w:r w:rsidRPr="00EB1471">
        <w:t>was done</w:t>
      </w:r>
      <w:proofErr w:type="gramEnd"/>
      <w:r w:rsidRPr="00EB1471">
        <w:t xml:space="preserve"> to provide an indication of the confidence in the estimate of the effect in the context of Australian clinical practice (see Section 4.</w:t>
      </w:r>
      <w:r>
        <w:t>5</w:t>
      </w:r>
      <w:r w:rsidRPr="00EB1471">
        <w:t>).</w:t>
      </w:r>
    </w:p>
    <w:p w:rsidR="000D6945" w:rsidRDefault="000D6945">
      <w:pPr>
        <w:spacing w:before="0" w:line="240" w:lineRule="auto"/>
      </w:pPr>
      <w:r>
        <w:br w:type="page"/>
      </w:r>
    </w:p>
    <w:p w:rsidR="00ED0695" w:rsidRPr="00EB1471" w:rsidRDefault="00FD7448" w:rsidP="005A0C83">
      <w:pPr>
        <w:pStyle w:val="Heading2"/>
        <w:jc w:val="left"/>
      </w:pPr>
      <w:bookmarkStart w:id="102" w:name="_Toc38360280"/>
      <w:r>
        <w:t>Results of the literature review</w:t>
      </w:r>
      <w:bookmarkEnd w:id="102"/>
    </w:p>
    <w:p w:rsidR="00675E77" w:rsidRDefault="008060FB" w:rsidP="005A0C83">
      <w:pPr>
        <w:pStyle w:val="Heading3"/>
        <w:jc w:val="left"/>
      </w:pPr>
      <w:bookmarkStart w:id="103" w:name="_Toc38360281"/>
      <w:r w:rsidRPr="00EB1471">
        <w:t>Research question 1</w:t>
      </w:r>
      <w:bookmarkEnd w:id="103"/>
    </w:p>
    <w:p w:rsidR="00FB5052" w:rsidRPr="007A2266" w:rsidRDefault="00FB5052" w:rsidP="005A0C83">
      <w:pPr>
        <w:rPr>
          <w:i/>
        </w:rPr>
      </w:pPr>
      <w:r w:rsidRPr="007A2266">
        <w:rPr>
          <w:i/>
        </w:rPr>
        <w:t>What is the effectiveness and safety of monotherapy with a PAH medicine, compared to placebo/no treatment or another PAH medicine listed on the PBS, in patients with WHO FC I or II PAH?</w:t>
      </w:r>
    </w:p>
    <w:p w:rsidR="00FB5052" w:rsidRDefault="00E45512" w:rsidP="005A0C83">
      <w:pPr>
        <w:pStyle w:val="Heading4"/>
        <w:tabs>
          <w:tab w:val="left" w:pos="1134"/>
        </w:tabs>
        <w:jc w:val="left"/>
      </w:pPr>
      <w:r>
        <w:t>4.4.1.1</w:t>
      </w:r>
      <w:r>
        <w:tab/>
      </w:r>
      <w:r w:rsidR="00FB5052" w:rsidRPr="00150BDE">
        <w:t>ERA versus placebo</w:t>
      </w:r>
    </w:p>
    <w:p w:rsidR="00FB5052" w:rsidRDefault="00FB5052" w:rsidP="005A0C83">
      <w:r w:rsidRPr="006316DF">
        <w:t xml:space="preserve">Four RCTs reported on the effectiveness of an ERA in treating PAH compared with placebo in </w:t>
      </w:r>
      <w:r w:rsidR="007836C5">
        <w:t>patients with WHO FC I/II PAH: t</w:t>
      </w:r>
      <w:r w:rsidRPr="006316DF">
        <w:t>wo trials for ambrisentan and one each for bosentan and macitentan.</w:t>
      </w:r>
      <w:r>
        <w:t xml:space="preserve"> There were no significant differences in </w:t>
      </w:r>
      <w:r w:rsidR="00DD704F">
        <w:t xml:space="preserve">the </w:t>
      </w:r>
      <w:r>
        <w:t xml:space="preserve">effectiveness of the different ERA </w:t>
      </w:r>
      <w:r w:rsidR="00E45512">
        <w:t>medicines</w:t>
      </w:r>
      <w:r>
        <w:t xml:space="preserve"> for any outcome.</w:t>
      </w:r>
    </w:p>
    <w:p w:rsidR="00FB5052" w:rsidRPr="006316DF" w:rsidRDefault="00FB5052" w:rsidP="005A0C83">
      <w:r w:rsidRPr="006316DF">
        <w:t>The EARLY</w:t>
      </w:r>
      <w:r w:rsidR="001D34EE" w:rsidRPr="001D34EE">
        <w:rPr>
          <w:noProof/>
          <w:vertAlign w:val="superscript"/>
        </w:rPr>
        <w:t>9</w:t>
      </w:r>
      <w:r w:rsidRPr="006316DF">
        <w:t xml:space="preserve"> double-blind trial randomised WHO FC II PAH patients with and without background sildenafil therapy to receive bosentan or placebo for 6 months. The PAH aetiology and haemodynamic factors were evenly distributed between the two randomised groups. As randomisation </w:t>
      </w:r>
      <w:proofErr w:type="gramStart"/>
      <w:r w:rsidRPr="006316DF">
        <w:t>was stratified</w:t>
      </w:r>
      <w:proofErr w:type="gramEnd"/>
      <w:r w:rsidRPr="006316DF">
        <w:t xml:space="preserve"> according to background therapy, and only a small proportion of patients received sildenafil as background therapy (15% in the bosentan group and 16% in the placebo group), the risk of incomparable baseline parameters for the treatment-naïve subgroup is low. </w:t>
      </w:r>
      <w:r w:rsidR="00E45512">
        <w:t>A p</w:t>
      </w:r>
      <w:r w:rsidRPr="006316DF">
        <w:t xml:space="preserve">re-specified subgroup analysis of </w:t>
      </w:r>
      <w:r>
        <w:t xml:space="preserve">treatment-naïve </w:t>
      </w:r>
      <w:r w:rsidRPr="006316DF">
        <w:t>patients was available from the</w:t>
      </w:r>
      <w:r>
        <w:t xml:space="preserve"> clinical study report (</w:t>
      </w:r>
      <w:r w:rsidRPr="006316DF">
        <w:t>CSR</w:t>
      </w:r>
      <w:r>
        <w:t>)</w:t>
      </w:r>
      <w:r w:rsidRPr="006316DF">
        <w:t xml:space="preserve"> (highlighted</w:t>
      </w:r>
      <w:r>
        <w:t xml:space="preserve"> in blue below</w:t>
      </w:r>
      <w:r w:rsidRPr="006316DF">
        <w:t>).</w:t>
      </w:r>
    </w:p>
    <w:p w:rsidR="00FB5052" w:rsidRPr="006316DF" w:rsidRDefault="00FB5052" w:rsidP="005A0C83">
      <w:r w:rsidRPr="006316DF">
        <w:t>Two double-blind trials (ARIES-1 and ARIES-2</w:t>
      </w:r>
      <w:r w:rsidR="001D34EE" w:rsidRPr="001D34EE">
        <w:rPr>
          <w:noProof/>
          <w:vertAlign w:val="superscript"/>
        </w:rPr>
        <w:t>6</w:t>
      </w:r>
      <w:r w:rsidRPr="006316DF">
        <w:t xml:space="preserve">) randomised PAH patients of </w:t>
      </w:r>
      <w:r w:rsidRPr="007A2266">
        <w:rPr>
          <w:u w:val="single"/>
        </w:rPr>
        <w:t>any</w:t>
      </w:r>
      <w:r w:rsidRPr="006316DF">
        <w:t xml:space="preserve"> WHO FC to receive ambrisentan or placebo for 12 weeks. The baseline characteristics of the randomised groups were similar. However, as </w:t>
      </w:r>
      <w:proofErr w:type="gramStart"/>
      <w:r w:rsidRPr="006316DF">
        <w:t>randomisation was not stratified by WHO FC</w:t>
      </w:r>
      <w:proofErr w:type="gramEnd"/>
      <w:r w:rsidRPr="006316DF">
        <w:t xml:space="preserve">, patients with WHO FC I/II PAH may have </w:t>
      </w:r>
      <w:r>
        <w:t xml:space="preserve">a </w:t>
      </w:r>
      <w:r w:rsidRPr="006316DF">
        <w:t xml:space="preserve">different distribution of baseline characteristics </w:t>
      </w:r>
      <w:r>
        <w:t xml:space="preserve">between trial arms, </w:t>
      </w:r>
      <w:r w:rsidRPr="006316DF">
        <w:t xml:space="preserve">resulting in imbalances in disease severity markers between the two treatment arms. A </w:t>
      </w:r>
      <w:r>
        <w:t xml:space="preserve">post </w:t>
      </w:r>
      <w:r w:rsidRPr="00FD18C8">
        <w:t>hoc</w:t>
      </w:r>
      <w:r w:rsidRPr="006316DF">
        <w:t xml:space="preserve"> subgroup analysis for patients with WHO FC I/II PAH was conducted by Chin et al (2014)</w:t>
      </w:r>
      <w:r w:rsidR="001D34EE" w:rsidRPr="001A1C44">
        <w:rPr>
          <w:noProof/>
          <w:vertAlign w:val="superscript"/>
        </w:rPr>
        <w:t>33</w:t>
      </w:r>
      <w:r w:rsidRPr="006316DF">
        <w:t>.</w:t>
      </w:r>
    </w:p>
    <w:p w:rsidR="00FB5052" w:rsidRPr="006316DF" w:rsidRDefault="00FB5052" w:rsidP="005A0C83">
      <w:r w:rsidRPr="006316DF">
        <w:t>The SERAPHIN</w:t>
      </w:r>
      <w:r w:rsidR="001D34EE" w:rsidRPr="001D34EE">
        <w:rPr>
          <w:noProof/>
          <w:vertAlign w:val="superscript"/>
        </w:rPr>
        <w:t>7</w:t>
      </w:r>
      <w:r w:rsidRPr="006316DF">
        <w:t xml:space="preserve"> double-blind long-term trial randomised PAH patients of </w:t>
      </w:r>
      <w:r w:rsidRPr="007A2266">
        <w:rPr>
          <w:u w:val="single"/>
        </w:rPr>
        <w:t>any</w:t>
      </w:r>
      <w:r w:rsidRPr="006316DF">
        <w:t xml:space="preserve"> WHO FC to receive macitentan or placebo for up to 54 months. Patients </w:t>
      </w:r>
      <w:proofErr w:type="gramStart"/>
      <w:r w:rsidRPr="006316DF">
        <w:t>were also permitted</w:t>
      </w:r>
      <w:proofErr w:type="gramEnd"/>
      <w:r w:rsidRPr="006316DF">
        <w:t xml:space="preserve"> to have background therapy with a </w:t>
      </w:r>
      <w:r>
        <w:t>PDE-5 inhibitor</w:t>
      </w:r>
      <w:r w:rsidRPr="006316DF">
        <w:t xml:space="preserve"> (61% of patients) or a prostanoid (4% of patients). Although the baseline characteristics of the randomised groups were similar, the lack of stratification based on WHO FC, may have resulted in imbalances in disease severity in the WHO FC I/II subgroup. The mean duration of study treatment was 85.3 weeks and 103.9 weeks for the patients receiving placebo and macitentan, </w:t>
      </w:r>
      <w:proofErr w:type="gramStart"/>
      <w:r w:rsidRPr="006316DF">
        <w:t>respectively.</w:t>
      </w:r>
      <w:proofErr w:type="gramEnd"/>
      <w:r w:rsidRPr="006316DF">
        <w:t xml:space="preserve"> </w:t>
      </w:r>
      <w:r w:rsidRPr="00FD18C8">
        <w:t>Post hoc</w:t>
      </w:r>
      <w:r w:rsidRPr="006316DF">
        <w:t xml:space="preserve"> subgroup analyses of patients with WHO FC I/II PAH for several relevant outcomes </w:t>
      </w:r>
      <w:proofErr w:type="gramStart"/>
      <w:r w:rsidRPr="006316DF">
        <w:t>were reported</w:t>
      </w:r>
      <w:proofErr w:type="gramEnd"/>
      <w:r w:rsidRPr="006316DF">
        <w:t xml:space="preserve"> in the CSR (highlighted</w:t>
      </w:r>
      <w:r>
        <w:t xml:space="preserve"> in blue below</w:t>
      </w:r>
      <w:r w:rsidRPr="006316DF">
        <w:t>).</w:t>
      </w:r>
    </w:p>
    <w:p w:rsidR="00FB5052" w:rsidRPr="006316DF" w:rsidRDefault="00FB5052" w:rsidP="005A0C83">
      <w:r w:rsidRPr="006316DF">
        <w:t xml:space="preserve">The EARLY trial had a low risk of bias, whereas the ARIES and SERAPHIN trials had a low-to-moderate risk of bias. The increased </w:t>
      </w:r>
      <w:r>
        <w:t xml:space="preserve">bias </w:t>
      </w:r>
      <w:r w:rsidRPr="006316DF">
        <w:t>risk was mainly due to the lack of stratification for WHO FC. There was also a large variation in the duration of the trials; varying from 12 weeks to 115 weeks, as described above.</w:t>
      </w:r>
    </w:p>
    <w:p w:rsidR="00FB5052" w:rsidRPr="00150BDE" w:rsidRDefault="00A920AB" w:rsidP="005A0C83">
      <w:pPr>
        <w:pStyle w:val="Heading5"/>
        <w:jc w:val="left"/>
      </w:pPr>
      <w:r>
        <w:t>a.</w:t>
      </w:r>
      <w:r>
        <w:tab/>
      </w:r>
      <w:r w:rsidR="00FB5052" w:rsidRPr="00150BDE">
        <w:t>Study-defined clinical worsening</w:t>
      </w:r>
    </w:p>
    <w:p w:rsidR="00FB5052" w:rsidRPr="006316DF" w:rsidRDefault="00FB5052" w:rsidP="005A0C83">
      <w:r>
        <w:t>EARLY, SERAPHIN and the post hoc subgroup analysis of the ARIES1/ARIES2 trials</w:t>
      </w:r>
      <w:r w:rsidRPr="006316DF">
        <w:t xml:space="preserve"> reported on the proportion of patients who had clinical worsening during the study period. The definition</w:t>
      </w:r>
      <w:r w:rsidR="00293822">
        <w:t>s</w:t>
      </w:r>
      <w:r w:rsidRPr="006316DF">
        <w:t xml:space="preserve"> of clinical worsening </w:t>
      </w:r>
      <w:r w:rsidR="00293822">
        <w:t xml:space="preserve">in the three trials varied but all included </w:t>
      </w:r>
      <w:r w:rsidRPr="006316DF">
        <w:t>death</w:t>
      </w:r>
      <w:r w:rsidR="00293822">
        <w:t xml:space="preserve"> and</w:t>
      </w:r>
      <w:r w:rsidRPr="006316DF">
        <w:t xml:space="preserve"> progression of PAH (see Section 4.</w:t>
      </w:r>
      <w:r w:rsidR="00857DBE">
        <w:t>3.5</w:t>
      </w:r>
      <w:r w:rsidRPr="006316DF">
        <w:t xml:space="preserve"> for further details).</w:t>
      </w:r>
    </w:p>
    <w:p w:rsidR="00FB5052" w:rsidRPr="00F05153" w:rsidRDefault="00FB5052" w:rsidP="005A0C83">
      <w:r w:rsidRPr="006316DF">
        <w:t xml:space="preserve">Two </w:t>
      </w:r>
      <w:r>
        <w:t>of the trials</w:t>
      </w:r>
      <w:r w:rsidRPr="006316DF">
        <w:t xml:space="preserve"> reported the HR for patients with WHO FC I/II experiencing clinical worsening while taking an ERA drug compared with placebo (</w:t>
      </w:r>
      <w:r w:rsidR="00EC19E0" w:rsidRPr="00F05153">
        <w:t>Table 4.</w:t>
      </w:r>
      <w:r w:rsidR="00EC19E0">
        <w:t>29</w:t>
      </w:r>
      <w:r w:rsidRPr="006316DF">
        <w:t xml:space="preserve">). In the EARLY trial, patients receiving </w:t>
      </w:r>
      <w:r w:rsidRPr="00F05153">
        <w:t xml:space="preserve">bosentan were </w:t>
      </w:r>
      <w:r w:rsidR="002046A0">
        <w:rPr>
          <w:noProof/>
          <w:color w:val="000000"/>
          <w:highlight w:val="black"/>
        </w:rPr>
        <w:t>''''''''''''' ''''''' '''''''''</w:t>
      </w:r>
      <w:r w:rsidRPr="00F05153">
        <w:t xml:space="preserve"> to have clinical worsening than patients who received a placebo over the 26-week study period. Over a longer time-period (median 115 weeks), patients treated with macitentan in the SERAPHIN trial were </w:t>
      </w:r>
      <w:r w:rsidR="002046A0">
        <w:rPr>
          <w:noProof/>
          <w:color w:val="000000"/>
          <w:highlight w:val="black"/>
        </w:rPr>
        <w:t>''''''''''''''' ''''''' ''''''''''</w:t>
      </w:r>
      <w:r w:rsidRPr="00F05153">
        <w:t xml:space="preserve"> to have clinical worsening tha</w:t>
      </w:r>
      <w:r w:rsidR="00C02361" w:rsidRPr="00F05153">
        <w:t>n patients receiving a placebo.</w:t>
      </w:r>
    </w:p>
    <w:p w:rsidR="00FB5052" w:rsidRPr="00F05153" w:rsidRDefault="00B40240" w:rsidP="00BC5A2B">
      <w:pPr>
        <w:pStyle w:val="Caption"/>
      </w:pPr>
      <w:bookmarkStart w:id="104" w:name="_Ref505960995"/>
      <w:bookmarkStart w:id="105" w:name="_Toc38360326"/>
      <w:r w:rsidRPr="00F05153">
        <w:t>Table 4.</w:t>
      </w:r>
      <w:r w:rsidR="003951FA">
        <w:rPr>
          <w:noProof/>
        </w:rPr>
        <w:t>29</w:t>
      </w:r>
      <w:bookmarkEnd w:id="104"/>
      <w:r w:rsidRPr="00F05153">
        <w:tab/>
      </w:r>
      <w:r w:rsidR="00FB5052" w:rsidRPr="00F05153">
        <w:t>The effectiveness of an ERA compared with placebo in preventing clinical worsening in patients with WHO FC I/II PAH</w:t>
      </w:r>
      <w:bookmarkEnd w:id="105"/>
    </w:p>
    <w:tbl>
      <w:tblPr>
        <w:tblStyle w:val="TableGrid7"/>
        <w:tblW w:w="9634" w:type="dxa"/>
        <w:tblLayout w:type="fixed"/>
        <w:tblLook w:val="04A0" w:firstRow="1" w:lastRow="0" w:firstColumn="1" w:lastColumn="0" w:noHBand="0" w:noVBand="1"/>
        <w:tblCaption w:val="The effectiveness of an ERA compared with placebo in preventing clinical worsening in patients with WHO FC I/II PAH"/>
      </w:tblPr>
      <w:tblGrid>
        <w:gridCol w:w="1980"/>
        <w:gridCol w:w="2268"/>
        <w:gridCol w:w="1701"/>
        <w:gridCol w:w="1701"/>
        <w:gridCol w:w="1984"/>
      </w:tblGrid>
      <w:tr w:rsidR="00FB5052" w:rsidRPr="00F05153" w:rsidTr="00B40240">
        <w:trPr>
          <w:trHeight w:val="149"/>
          <w:tblHeader/>
        </w:trPr>
        <w:tc>
          <w:tcPr>
            <w:tcW w:w="1980" w:type="dxa"/>
            <w:vMerge w:val="restart"/>
            <w:shd w:val="clear" w:color="auto" w:fill="BFBFBF" w:themeFill="background1" w:themeFillShade="BF"/>
          </w:tcPr>
          <w:p w:rsidR="00FB5052" w:rsidRPr="00F05153" w:rsidRDefault="00FB5052" w:rsidP="00B40240">
            <w:pPr>
              <w:pStyle w:val="Tabletext"/>
              <w:rPr>
                <w:b/>
              </w:rPr>
            </w:pPr>
            <w:r w:rsidRPr="00F05153">
              <w:rPr>
                <w:b/>
              </w:rPr>
              <w:t>Study ID</w:t>
            </w:r>
          </w:p>
        </w:tc>
        <w:tc>
          <w:tcPr>
            <w:tcW w:w="2268" w:type="dxa"/>
            <w:vMerge w:val="restart"/>
            <w:shd w:val="clear" w:color="auto" w:fill="BFBFBF" w:themeFill="background1" w:themeFillShade="BF"/>
          </w:tcPr>
          <w:p w:rsidR="00FB5052" w:rsidRPr="00F05153" w:rsidRDefault="00FB5052" w:rsidP="00B40240">
            <w:pPr>
              <w:pStyle w:val="Tabletext"/>
              <w:rPr>
                <w:b/>
              </w:rPr>
            </w:pPr>
            <w:r w:rsidRPr="00F05153">
              <w:rPr>
                <w:b/>
              </w:rPr>
              <w:t>ERA</w:t>
            </w:r>
          </w:p>
          <w:p w:rsidR="00FB5052" w:rsidRPr="00F05153" w:rsidRDefault="00FB5052" w:rsidP="00B40240">
            <w:pPr>
              <w:pStyle w:val="Tabletext"/>
              <w:rPr>
                <w:b/>
              </w:rPr>
            </w:pPr>
            <w:r w:rsidRPr="00F05153">
              <w:rPr>
                <w:b/>
              </w:rPr>
              <w:t>Follow-up period</w:t>
            </w:r>
          </w:p>
        </w:tc>
        <w:tc>
          <w:tcPr>
            <w:tcW w:w="3402" w:type="dxa"/>
            <w:gridSpan w:val="2"/>
            <w:shd w:val="clear" w:color="auto" w:fill="BFBFBF" w:themeFill="background1" w:themeFillShade="BF"/>
          </w:tcPr>
          <w:p w:rsidR="00FB5052" w:rsidRPr="00F05153" w:rsidRDefault="00FB5052" w:rsidP="00B40240">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FB5052" w:rsidRPr="00F05153" w:rsidRDefault="00FB5052" w:rsidP="00B40240">
            <w:pPr>
              <w:pStyle w:val="Tabletext"/>
              <w:jc w:val="center"/>
              <w:rPr>
                <w:b/>
              </w:rPr>
            </w:pPr>
            <w:r w:rsidRPr="00F05153">
              <w:rPr>
                <w:b/>
              </w:rPr>
              <w:t>HR (95%CI)</w:t>
            </w:r>
          </w:p>
        </w:tc>
      </w:tr>
      <w:tr w:rsidR="00FB5052" w:rsidRPr="00F05153" w:rsidTr="00B40240">
        <w:trPr>
          <w:trHeight w:val="202"/>
          <w:tblHeader/>
        </w:trPr>
        <w:tc>
          <w:tcPr>
            <w:tcW w:w="1980" w:type="dxa"/>
            <w:vMerge/>
            <w:shd w:val="clear" w:color="auto" w:fill="BFBFBF" w:themeFill="background1" w:themeFillShade="BF"/>
          </w:tcPr>
          <w:p w:rsidR="00FB5052" w:rsidRPr="00F05153" w:rsidRDefault="00FB5052" w:rsidP="00B40240">
            <w:pPr>
              <w:pStyle w:val="Tabletext"/>
            </w:pPr>
          </w:p>
        </w:tc>
        <w:tc>
          <w:tcPr>
            <w:tcW w:w="2268" w:type="dxa"/>
            <w:vMerge/>
            <w:shd w:val="clear" w:color="auto" w:fill="BFBFBF" w:themeFill="background1" w:themeFillShade="BF"/>
          </w:tcPr>
          <w:p w:rsidR="00FB5052" w:rsidRPr="00F05153" w:rsidRDefault="00FB5052" w:rsidP="00B40240">
            <w:pPr>
              <w:pStyle w:val="Tabletext"/>
            </w:pPr>
          </w:p>
        </w:tc>
        <w:tc>
          <w:tcPr>
            <w:tcW w:w="1701" w:type="dxa"/>
            <w:shd w:val="clear" w:color="auto" w:fill="BFBFBF" w:themeFill="background1" w:themeFillShade="BF"/>
          </w:tcPr>
          <w:p w:rsidR="00FB5052" w:rsidRPr="00F05153" w:rsidRDefault="00FB5052" w:rsidP="00B40240">
            <w:pPr>
              <w:pStyle w:val="Tabletext"/>
              <w:jc w:val="center"/>
              <w:rPr>
                <w:b/>
              </w:rPr>
            </w:pPr>
            <w:r w:rsidRPr="00F05153">
              <w:rPr>
                <w:b/>
              </w:rPr>
              <w:t>ERA</w:t>
            </w:r>
          </w:p>
        </w:tc>
        <w:tc>
          <w:tcPr>
            <w:tcW w:w="1701" w:type="dxa"/>
            <w:shd w:val="clear" w:color="auto" w:fill="BFBFBF" w:themeFill="background1" w:themeFillShade="BF"/>
          </w:tcPr>
          <w:p w:rsidR="00FB5052" w:rsidRPr="00F05153" w:rsidRDefault="00FB5052" w:rsidP="00B40240">
            <w:pPr>
              <w:pStyle w:val="Tabletext"/>
              <w:jc w:val="center"/>
              <w:rPr>
                <w:b/>
              </w:rPr>
            </w:pPr>
            <w:r w:rsidRPr="00F05153">
              <w:rPr>
                <w:b/>
              </w:rPr>
              <w:t>Placebo</w:t>
            </w:r>
          </w:p>
        </w:tc>
        <w:tc>
          <w:tcPr>
            <w:tcW w:w="1984" w:type="dxa"/>
            <w:vMerge/>
            <w:shd w:val="clear" w:color="auto" w:fill="BFBFBF" w:themeFill="background1" w:themeFillShade="BF"/>
          </w:tcPr>
          <w:p w:rsidR="00FB5052" w:rsidRPr="00F05153" w:rsidRDefault="00FB5052" w:rsidP="00B40240">
            <w:pPr>
              <w:pStyle w:val="Tabletext"/>
            </w:pPr>
          </w:p>
        </w:tc>
      </w:tr>
      <w:tr w:rsidR="00FB5052" w:rsidRPr="00F05153" w:rsidTr="00B40240">
        <w:trPr>
          <w:trHeight w:val="70"/>
        </w:trPr>
        <w:tc>
          <w:tcPr>
            <w:tcW w:w="1980" w:type="dxa"/>
          </w:tcPr>
          <w:p w:rsidR="00FB5052" w:rsidRPr="00F05153" w:rsidRDefault="00FB5052" w:rsidP="00B40240">
            <w:pPr>
              <w:pStyle w:val="Tabletext"/>
            </w:pPr>
            <w:r w:rsidRPr="00F05153">
              <w:t>EARLY, CSR</w:t>
            </w:r>
          </w:p>
        </w:tc>
        <w:tc>
          <w:tcPr>
            <w:tcW w:w="2268" w:type="dxa"/>
          </w:tcPr>
          <w:p w:rsidR="00FB5052" w:rsidRPr="00F05153" w:rsidRDefault="00FB5052" w:rsidP="00B40240">
            <w:pPr>
              <w:pStyle w:val="Tabletext"/>
            </w:pPr>
            <w:r w:rsidRPr="00F05153">
              <w:t>Bosentan</w:t>
            </w:r>
          </w:p>
          <w:p w:rsidR="00FB5052" w:rsidRPr="00F05153" w:rsidRDefault="00FB5052" w:rsidP="00B40240">
            <w:pPr>
              <w:pStyle w:val="Tabletext"/>
            </w:pPr>
            <w:r w:rsidRPr="00F05153">
              <w:t>26 weeks</w:t>
            </w:r>
          </w:p>
        </w:tc>
        <w:tc>
          <w:tcPr>
            <w:tcW w:w="1701" w:type="dxa"/>
          </w:tcPr>
          <w:p w:rsidR="00FB5052" w:rsidRPr="002046A0" w:rsidRDefault="002046A0" w:rsidP="00B40240">
            <w:pPr>
              <w:pStyle w:val="Tabletext"/>
              <w:jc w:val="center"/>
              <w:rPr>
                <w:highlight w:val="black"/>
              </w:rPr>
            </w:pPr>
            <w:r>
              <w:rPr>
                <w:noProof/>
                <w:color w:val="000000"/>
                <w:highlight w:val="black"/>
              </w:rPr>
              <w:t>''''''''' '''''''''''</w:t>
            </w:r>
          </w:p>
        </w:tc>
        <w:tc>
          <w:tcPr>
            <w:tcW w:w="1701" w:type="dxa"/>
          </w:tcPr>
          <w:p w:rsidR="00FB5052" w:rsidRPr="002046A0" w:rsidRDefault="002046A0" w:rsidP="00B40240">
            <w:pPr>
              <w:pStyle w:val="Tabletext"/>
              <w:jc w:val="center"/>
              <w:rPr>
                <w:highlight w:val="black"/>
              </w:rPr>
            </w:pPr>
            <w:r>
              <w:rPr>
                <w:noProof/>
                <w:color w:val="000000"/>
                <w:highlight w:val="black"/>
              </w:rPr>
              <w:t>'''''''''''''' ''''''''''''''</w:t>
            </w:r>
          </w:p>
        </w:tc>
        <w:tc>
          <w:tcPr>
            <w:tcW w:w="1984" w:type="dxa"/>
          </w:tcPr>
          <w:p w:rsidR="00FB5052" w:rsidRPr="002046A0" w:rsidRDefault="002046A0" w:rsidP="00B40240">
            <w:pPr>
              <w:pStyle w:val="Tabletext"/>
              <w:jc w:val="center"/>
              <w:rPr>
                <w:highlight w:val="black"/>
              </w:rPr>
            </w:pPr>
            <w:r>
              <w:rPr>
                <w:noProof/>
                <w:color w:val="000000"/>
                <w:highlight w:val="black"/>
              </w:rPr>
              <w:t>''''''''''' '''''''''''' '''''''''''</w:t>
            </w:r>
          </w:p>
        </w:tc>
      </w:tr>
      <w:tr w:rsidR="00FB5052" w:rsidRPr="00F05153" w:rsidTr="00B40240">
        <w:trPr>
          <w:trHeight w:val="70"/>
        </w:trPr>
        <w:tc>
          <w:tcPr>
            <w:tcW w:w="1980" w:type="dxa"/>
          </w:tcPr>
          <w:p w:rsidR="00FB5052" w:rsidRPr="00F05153" w:rsidRDefault="00FB5052" w:rsidP="001D34EE">
            <w:pPr>
              <w:pStyle w:val="Tabletext"/>
            </w:pPr>
            <w:r w:rsidRPr="00F05153">
              <w:t>ARIES-1&amp;2</w:t>
            </w:r>
            <w:r w:rsidR="001D34EE" w:rsidRPr="00F05153">
              <w:rPr>
                <w:noProof/>
                <w:vertAlign w:val="superscript"/>
              </w:rPr>
              <w:t>33</w:t>
            </w:r>
          </w:p>
        </w:tc>
        <w:tc>
          <w:tcPr>
            <w:tcW w:w="2268" w:type="dxa"/>
          </w:tcPr>
          <w:p w:rsidR="00FB5052" w:rsidRPr="00F05153" w:rsidRDefault="00FB5052" w:rsidP="00B40240">
            <w:pPr>
              <w:pStyle w:val="Tabletext"/>
            </w:pPr>
            <w:r w:rsidRPr="00F05153">
              <w:t>Ambrisentan (10 mg)</w:t>
            </w:r>
          </w:p>
          <w:p w:rsidR="00FB5052" w:rsidRPr="00F05153" w:rsidRDefault="00FB5052" w:rsidP="00B40240">
            <w:pPr>
              <w:pStyle w:val="Tabletext"/>
            </w:pPr>
            <w:r w:rsidRPr="00F05153">
              <w:t>12 weeks</w:t>
            </w:r>
          </w:p>
        </w:tc>
        <w:tc>
          <w:tcPr>
            <w:tcW w:w="1701" w:type="dxa"/>
          </w:tcPr>
          <w:p w:rsidR="00FB5052" w:rsidRPr="00F05153" w:rsidRDefault="00FB5052" w:rsidP="00B40240">
            <w:pPr>
              <w:pStyle w:val="Tabletext"/>
              <w:jc w:val="center"/>
            </w:pPr>
            <w:r w:rsidRPr="00F05153">
              <w:t>0/50 (0%)</w:t>
            </w:r>
          </w:p>
        </w:tc>
        <w:tc>
          <w:tcPr>
            <w:tcW w:w="1701" w:type="dxa"/>
          </w:tcPr>
          <w:p w:rsidR="00FB5052" w:rsidRPr="00F05153" w:rsidRDefault="00FB5052" w:rsidP="00B40240">
            <w:pPr>
              <w:pStyle w:val="Tabletext"/>
              <w:jc w:val="center"/>
            </w:pPr>
            <w:r w:rsidRPr="00F05153">
              <w:t>3/51 (6%)</w:t>
            </w:r>
          </w:p>
        </w:tc>
        <w:tc>
          <w:tcPr>
            <w:tcW w:w="1984" w:type="dxa"/>
          </w:tcPr>
          <w:p w:rsidR="00FB5052" w:rsidRPr="00F05153" w:rsidRDefault="00FB5052" w:rsidP="00B40240">
            <w:pPr>
              <w:pStyle w:val="Tabletext"/>
              <w:jc w:val="center"/>
            </w:pPr>
            <w:r w:rsidRPr="00F05153">
              <w:t>Not reported</w:t>
            </w:r>
          </w:p>
        </w:tc>
      </w:tr>
      <w:tr w:rsidR="00FB5052" w:rsidRPr="00F05153" w:rsidTr="00B40240">
        <w:trPr>
          <w:trHeight w:val="70"/>
        </w:trPr>
        <w:tc>
          <w:tcPr>
            <w:tcW w:w="1980" w:type="dxa"/>
          </w:tcPr>
          <w:p w:rsidR="00FB5052" w:rsidRPr="00F05153" w:rsidRDefault="00FB5052" w:rsidP="00B40240">
            <w:pPr>
              <w:pStyle w:val="Tabletext"/>
            </w:pPr>
            <w:r w:rsidRPr="00F05153">
              <w:t>SERAPHIN, March 2014 submission</w:t>
            </w:r>
          </w:p>
        </w:tc>
        <w:tc>
          <w:tcPr>
            <w:tcW w:w="2268" w:type="dxa"/>
          </w:tcPr>
          <w:p w:rsidR="00FB5052" w:rsidRPr="00F05153" w:rsidRDefault="00FB5052" w:rsidP="00B40240">
            <w:pPr>
              <w:pStyle w:val="Tabletext"/>
            </w:pPr>
            <w:r w:rsidRPr="00F05153">
              <w:t>Macitentan (10 mg)</w:t>
            </w:r>
          </w:p>
          <w:p w:rsidR="00FB5052" w:rsidRPr="00F05153" w:rsidRDefault="00FB5052" w:rsidP="00B40240">
            <w:pPr>
              <w:pStyle w:val="Tabletext"/>
            </w:pPr>
            <w:r w:rsidRPr="00F05153">
              <w:t>Median 115 weeks</w:t>
            </w:r>
          </w:p>
        </w:tc>
        <w:tc>
          <w:tcPr>
            <w:tcW w:w="1701" w:type="dxa"/>
          </w:tcPr>
          <w:p w:rsidR="00FB5052" w:rsidRPr="002046A0" w:rsidRDefault="002046A0" w:rsidP="00B40240">
            <w:pPr>
              <w:pStyle w:val="Tabletext"/>
              <w:jc w:val="center"/>
              <w:rPr>
                <w:highlight w:val="black"/>
              </w:rPr>
            </w:pPr>
            <w:r>
              <w:rPr>
                <w:noProof/>
                <w:color w:val="000000"/>
                <w:highlight w:val="black"/>
              </w:rPr>
              <w:t>''''''''''' ''''''''''''''''</w:t>
            </w:r>
          </w:p>
        </w:tc>
        <w:tc>
          <w:tcPr>
            <w:tcW w:w="1701" w:type="dxa"/>
          </w:tcPr>
          <w:p w:rsidR="00FB5052" w:rsidRPr="002046A0" w:rsidRDefault="002046A0" w:rsidP="00B40240">
            <w:pPr>
              <w:pStyle w:val="Tabletext"/>
              <w:jc w:val="center"/>
              <w:rPr>
                <w:highlight w:val="black"/>
              </w:rPr>
            </w:pPr>
            <w:r>
              <w:rPr>
                <w:noProof/>
                <w:color w:val="000000"/>
                <w:highlight w:val="black"/>
              </w:rPr>
              <w:t>''''''''''''' ''''''''''''''''</w:t>
            </w:r>
          </w:p>
        </w:tc>
        <w:tc>
          <w:tcPr>
            <w:tcW w:w="1984" w:type="dxa"/>
          </w:tcPr>
          <w:p w:rsidR="00FB5052" w:rsidRPr="002046A0" w:rsidRDefault="002046A0" w:rsidP="00B40240">
            <w:pPr>
              <w:pStyle w:val="Tabletext"/>
              <w:jc w:val="center"/>
              <w:rPr>
                <w:highlight w:val="black"/>
              </w:rPr>
            </w:pPr>
            <w:r>
              <w:rPr>
                <w:noProof/>
                <w:color w:val="000000"/>
                <w:highlight w:val="black"/>
              </w:rPr>
              <w:t>'''''''''' '''''''''''''' ''''''''''''</w:t>
            </w:r>
          </w:p>
        </w:tc>
      </w:tr>
    </w:tbl>
    <w:p w:rsidR="00BE3517" w:rsidRPr="00F05153" w:rsidRDefault="00BE3517" w:rsidP="00B40240">
      <w:pPr>
        <w:pStyle w:val="Tablenote"/>
      </w:pPr>
      <w:r w:rsidRPr="00F05153">
        <w:t xml:space="preserve">CI = confidence interval; </w:t>
      </w:r>
      <w:r w:rsidR="00FB5052" w:rsidRPr="00F05153">
        <w:t xml:space="preserve">CSR = clinical study report; ERA = endothelin-receptor antagonist; </w:t>
      </w:r>
      <w:r w:rsidRPr="00F05153">
        <w:t xml:space="preserve">FC = functional class; </w:t>
      </w:r>
      <w:r w:rsidR="00FB5052" w:rsidRPr="00F05153">
        <w:t xml:space="preserve">HR = hazard ratio; n = number of </w:t>
      </w:r>
      <w:r w:rsidR="006F774E" w:rsidRPr="00F05153">
        <w:t xml:space="preserve">patients with </w:t>
      </w:r>
      <w:r w:rsidR="00FB5052" w:rsidRPr="00F05153">
        <w:t>events; N = number of patients</w:t>
      </w:r>
      <w:r w:rsidR="006F774E" w:rsidRPr="00F05153">
        <w:t>; PAH = pulmonary arterial hypertension; WHO = World Health Organization</w:t>
      </w:r>
    </w:p>
    <w:p w:rsidR="00FB5052" w:rsidRPr="00F05153" w:rsidRDefault="00FB5052" w:rsidP="005A0C83">
      <w:r w:rsidRPr="00F05153">
        <w:t xml:space="preserve">A meta-analysis of the </w:t>
      </w:r>
      <w:r w:rsidR="009F2B23" w:rsidRPr="00F05153">
        <w:t>RR</w:t>
      </w:r>
      <w:r w:rsidRPr="00F05153">
        <w:t xml:space="preserve"> of having clinical worsening when </w:t>
      </w:r>
      <w:proofErr w:type="gramStart"/>
      <w:r w:rsidRPr="00F05153">
        <w:t>being treated</w:t>
      </w:r>
      <w:proofErr w:type="gramEnd"/>
      <w:r w:rsidRPr="00F05153">
        <w:t xml:space="preserve"> with an ERA compared with placebo was performed (</w:t>
      </w:r>
      <w:r w:rsidR="003951FA">
        <w:t>Figure 4.2</w:t>
      </w:r>
      <w:r w:rsidRPr="00F05153">
        <w:t>). Despite the disparity in the duration of treatment and follow-up between the four studies, there was no heterogeneity between studies</w:t>
      </w:r>
      <w:r w:rsidR="002046A0">
        <w:rPr>
          <w:noProof/>
          <w:color w:val="000000"/>
          <w:highlight w:val="black"/>
        </w:rPr>
        <w:t>'' ''''' '''''''''''''' '''''' ''' '''''''''''''''' ''''''''''''''''''' ''''''''''' '''''''''''''''''' ''''''''''''''''''' '''''''''''''''''' ''''''''' ''''' '''''''' '''''''' ''''''''''''''''' ''''''' '''''''' ''''''' '''''''''''''''' '''''''' '''''''''''''''''''' '''''''''''''' '''''''''''''' '''''''''''''''' ''''''''''''''''''''''' ''''''' '''''''''' '''''''''' ''''' '''''' ''''''''' '''' '''''''' '''''''''''' ''''''</w:t>
      </w:r>
      <w:r w:rsidRPr="00F05153">
        <w:t xml:space="preserve"> Overall, patients treated with an ERA had </w:t>
      </w:r>
      <w:r w:rsidR="002046A0">
        <w:rPr>
          <w:noProof/>
          <w:color w:val="000000"/>
          <w:highlight w:val="black"/>
        </w:rPr>
        <w:t>'' ''''''''''' ''''''''''' ''''''''</w:t>
      </w:r>
      <w:r w:rsidRPr="00F05153">
        <w:t xml:space="preserve"> of having a clinical worsening event compared with those taking a placebo.</w:t>
      </w:r>
    </w:p>
    <w:p w:rsidR="00FB5052" w:rsidRPr="00F05153" w:rsidRDefault="00FB5052" w:rsidP="00FB5052">
      <w:pPr>
        <w:tabs>
          <w:tab w:val="left" w:pos="1649"/>
          <w:tab w:val="left" w:pos="3066"/>
          <w:tab w:val="left" w:pos="4341"/>
        </w:tabs>
        <w:spacing w:after="40"/>
        <w:jc w:val="center"/>
        <w:rPr>
          <w:rFonts w:ascii="Arial Narrow" w:hAnsi="Arial Narrow" w:cs="Tahoma"/>
          <w:sz w:val="20"/>
        </w:rPr>
      </w:pPr>
      <w:r w:rsidRPr="00F05153">
        <w:rPr>
          <w:rFonts w:ascii="Arial Narrow" w:hAnsi="Arial Narrow" w:cs="Tahoma"/>
          <w:noProof/>
          <w:sz w:val="20"/>
          <w:lang w:eastAsia="en-AU"/>
        </w:rPr>
        <w:drawing>
          <wp:inline distT="0" distB="0" distL="0" distR="0" wp14:anchorId="0ED352DB" wp14:editId="5C1E5973">
            <wp:extent cx="6146056" cy="2429302"/>
            <wp:effectExtent l="0" t="0" r="7620" b="9525"/>
            <wp:docPr id="26" name="Picture 26" descr="The estimated RR from the meta-analysis was 0.32 (95% CI 0.16, 0.61)" title="Forest plot showing the RR of having a clinical worsening event while being treated with an ERA compared with placebo in patients with WHO FC I/II 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18" t="3005" r="1178" b="2078"/>
                    <a:stretch/>
                  </pic:blipFill>
                  <pic:spPr bwMode="auto">
                    <a:xfrm>
                      <a:off x="0" y="0"/>
                      <a:ext cx="6221219" cy="2459011"/>
                    </a:xfrm>
                    <a:prstGeom prst="rect">
                      <a:avLst/>
                    </a:prstGeom>
                    <a:noFill/>
                    <a:ln>
                      <a:noFill/>
                    </a:ln>
                    <a:extLst>
                      <a:ext uri="{53640926-AAD7-44D8-BBD7-CCE9431645EC}">
                        <a14:shadowObscured xmlns:a14="http://schemas.microsoft.com/office/drawing/2010/main"/>
                      </a:ext>
                    </a:extLst>
                  </pic:spPr>
                </pic:pic>
              </a:graphicData>
            </a:graphic>
          </wp:inline>
        </w:drawing>
      </w:r>
    </w:p>
    <w:p w:rsidR="00FB5052" w:rsidRPr="00795577" w:rsidRDefault="00B40240" w:rsidP="00BC5A2B">
      <w:pPr>
        <w:pStyle w:val="Caption"/>
        <w:rPr>
          <w:rFonts w:ascii="Arial Narrow" w:hAnsi="Arial Narrow" w:cs="Tahoma"/>
          <w:u w:val="single"/>
        </w:rPr>
      </w:pPr>
      <w:bookmarkStart w:id="106" w:name="_Ref505960752"/>
      <w:bookmarkStart w:id="107" w:name="_Toc38360468"/>
      <w:r>
        <w:t>Figure 4.</w:t>
      </w:r>
      <w:r w:rsidR="003951FA">
        <w:rPr>
          <w:noProof/>
        </w:rPr>
        <w:t>2</w:t>
      </w:r>
      <w:bookmarkEnd w:id="106"/>
      <w:r>
        <w:tab/>
      </w:r>
      <w:r w:rsidR="00FB5052" w:rsidRPr="00795577">
        <w:t>Forest plot showing the RR of having a clinical worsening event while being treated with an ERA compared with placebo in patients with WHO FC I/II PAH</w:t>
      </w:r>
      <w:bookmarkEnd w:id="107"/>
    </w:p>
    <w:p w:rsidR="006F774E" w:rsidRPr="006316DF" w:rsidRDefault="00FB5052" w:rsidP="00B40240">
      <w:pPr>
        <w:pStyle w:val="Tablenote"/>
      </w:pPr>
      <w:r w:rsidRPr="00795577">
        <w:t>CI = confidence interval; ERA =</w:t>
      </w:r>
      <w:r>
        <w:t xml:space="preserve"> </w:t>
      </w:r>
      <w:r w:rsidR="0006512A">
        <w:t>endothelin receptor</w:t>
      </w:r>
      <w:r>
        <w:t xml:space="preserve"> antagonist</w:t>
      </w:r>
      <w:r w:rsidRPr="00795577">
        <w:t xml:space="preserve">; </w:t>
      </w:r>
      <w:r w:rsidR="006F774E" w:rsidRPr="006F774E">
        <w:t xml:space="preserve">FC = functional class; </w:t>
      </w:r>
      <w:r w:rsidRPr="00795577">
        <w:t xml:space="preserve">N = number of patients; </w:t>
      </w:r>
      <w:r w:rsidR="006F774E" w:rsidRPr="009E3B52">
        <w:t xml:space="preserve">PAH = pulmonary arterial hypertension; </w:t>
      </w:r>
      <w:r w:rsidRPr="00795577">
        <w:t>RR = relative risk</w:t>
      </w:r>
      <w:r w:rsidR="006F774E" w:rsidRPr="00F20C66">
        <w:t xml:space="preserve">; </w:t>
      </w:r>
      <w:r w:rsidR="006F774E" w:rsidRPr="009E3B52">
        <w:t>WHO = World Health Organization</w:t>
      </w:r>
    </w:p>
    <w:p w:rsidR="00FB5052" w:rsidRPr="00F05153" w:rsidRDefault="0077344D" w:rsidP="00FB5052">
      <w:pPr>
        <w:pStyle w:val="Heading5"/>
      </w:pPr>
      <w:r w:rsidRPr="00F05153">
        <w:t>b.</w:t>
      </w:r>
      <w:r w:rsidR="00EE09B2" w:rsidRPr="00F05153">
        <w:tab/>
      </w:r>
      <w:r w:rsidR="00C828F9" w:rsidRPr="00F05153">
        <w:t>All-cause mortality</w:t>
      </w:r>
    </w:p>
    <w:p w:rsidR="00FB5052" w:rsidRPr="00F05153" w:rsidRDefault="00FB5052" w:rsidP="00FB5052">
      <w:r w:rsidRPr="00F05153">
        <w:t>Two RCTs reported on the proportion of patients who died from any cause during the study period (</w:t>
      </w:r>
      <w:r w:rsidR="00EC19E0" w:rsidRPr="00F05153">
        <w:t xml:space="preserve">Table </w:t>
      </w:r>
      <w:r w:rsidR="00EC19E0" w:rsidRPr="00F05153">
        <w:rPr>
          <w:noProof/>
        </w:rPr>
        <w:t>4.</w:t>
      </w:r>
      <w:r w:rsidR="00EC19E0">
        <w:rPr>
          <w:noProof/>
        </w:rPr>
        <w:t>30</w:t>
      </w:r>
      <w:r w:rsidRPr="00F05153">
        <w:t>). The EARLY trial did not report the HR (</w:t>
      </w:r>
      <w:r w:rsidR="00B21201" w:rsidRPr="00F05153">
        <w:t>ARD</w:t>
      </w:r>
      <w:r w:rsidR="00973227" w:rsidRPr="00F05153">
        <w:t> </w:t>
      </w:r>
      <w:r w:rsidRPr="00F05153">
        <w:t>=</w:t>
      </w:r>
      <w:r w:rsidR="00973227" w:rsidRPr="00F05153">
        <w:t> </w:t>
      </w:r>
      <w:r w:rsidR="002046A0">
        <w:rPr>
          <w:noProof/>
          <w:color w:val="000000"/>
          <w:highlight w:val="black"/>
        </w:rPr>
        <w:t>'''''''''''' '''''''''''' ''''''''' '''''''' ''''''''''''''</w:t>
      </w:r>
      <w:r w:rsidRPr="00F05153">
        <w:t xml:space="preserve">). In the SERAPHIN trial, over a median of 129 weeks of treatment, patients receiving macitentan were </w:t>
      </w:r>
      <w:r w:rsidR="002046A0">
        <w:rPr>
          <w:noProof/>
          <w:color w:val="000000"/>
          <w:highlight w:val="black"/>
        </w:rPr>
        <w:t>'''''''''''''' '''''''' '''''''''</w:t>
      </w:r>
      <w:r w:rsidRPr="00F05153">
        <w:t xml:space="preserve"> to die from any cause compared with patients in the placebo group (</w:t>
      </w:r>
      <w:r w:rsidR="00B21201" w:rsidRPr="00F05153">
        <w:t>ARD</w:t>
      </w:r>
      <w:r w:rsidR="00973227" w:rsidRPr="00F05153">
        <w:t> </w:t>
      </w:r>
      <w:r w:rsidR="002046A0">
        <w:rPr>
          <w:noProof/>
          <w:color w:val="000000"/>
          <w:highlight w:val="black"/>
        </w:rPr>
        <w:t>''''''''''''''''''' ''''''''' '''' ''''''''''' '''''''' '''''''''''''''</w:t>
      </w:r>
      <w:r w:rsidRPr="00F05153">
        <w:t xml:space="preserve">). The number needed to treat (NNT) is equivalent to the inverse of the </w:t>
      </w:r>
      <w:r w:rsidR="00B21201" w:rsidRPr="00F05153">
        <w:t>ARD</w:t>
      </w:r>
      <w:r w:rsidRPr="00F05153">
        <w:t xml:space="preserve"> (1/</w:t>
      </w:r>
      <w:r w:rsidR="00B21201" w:rsidRPr="00F05153">
        <w:t>ARD</w:t>
      </w:r>
      <w:r w:rsidRPr="00F05153">
        <w:t xml:space="preserve">). Thus, </w:t>
      </w:r>
      <w:r w:rsidR="002046A0">
        <w:rPr>
          <w:noProof/>
          <w:color w:val="000000"/>
          <w:highlight w:val="black"/>
        </w:rPr>
        <w:t>''''''</w:t>
      </w:r>
      <w:r w:rsidRPr="00F05153">
        <w:t xml:space="preserve"> people in the EARLY trial and </w:t>
      </w:r>
      <w:r w:rsidR="002046A0">
        <w:rPr>
          <w:noProof/>
          <w:color w:val="000000"/>
          <w:highlight w:val="black"/>
        </w:rPr>
        <w:t xml:space="preserve">''''''''' </w:t>
      </w:r>
      <w:r w:rsidRPr="00F05153">
        <w:t xml:space="preserve">people in the SERAPHIN trial needed to be treated by an ERA to prevent one additional death compared with </w:t>
      </w:r>
      <w:r w:rsidR="002046A0" w:rsidRPr="00713CA2">
        <w:rPr>
          <w:noProof/>
          <w:color w:val="000000"/>
          <w:sz w:val="16"/>
          <w:szCs w:val="16"/>
          <w:highlight w:val="black"/>
        </w:rPr>
        <w:t>'''''''''''''''''</w:t>
      </w:r>
    </w:p>
    <w:p w:rsidR="00FB5052" w:rsidRPr="00F05153" w:rsidRDefault="00FB5052" w:rsidP="00FB5052">
      <w:r w:rsidRPr="00F05153">
        <w:t>Of the patients who died in the SERAPHIN trial</w:t>
      </w:r>
      <w:r w:rsidR="002046A0">
        <w:rPr>
          <w:noProof/>
          <w:color w:val="000000"/>
          <w:highlight w:val="black"/>
        </w:rPr>
        <w:t>'' '''''''' ''''''''</w:t>
      </w:r>
      <w:r w:rsidRPr="00F05153">
        <w:t xml:space="preserve"> died due to PAH, with patients receiving the placebo </w:t>
      </w:r>
      <w:r w:rsidR="002046A0">
        <w:rPr>
          <w:noProof/>
          <w:color w:val="000000"/>
          <w:highlight w:val="black"/>
        </w:rPr>
        <w:t>'''''''''''''' ''''''''''' '''''''''</w:t>
      </w:r>
      <w:r w:rsidRPr="00F05153">
        <w:t xml:space="preserve"> to die from PAH than those receiving macitentan during the study period (</w:t>
      </w:r>
      <w:r w:rsidR="00B21201" w:rsidRPr="00F05153">
        <w:t>ARD</w:t>
      </w:r>
      <w:r w:rsidR="00973227" w:rsidRPr="00F05153">
        <w:t> </w:t>
      </w:r>
      <w:r w:rsidRPr="00F05153">
        <w:t>=</w:t>
      </w:r>
      <w:r w:rsidR="00973227" w:rsidRPr="00F05153">
        <w:t> </w:t>
      </w:r>
      <w:r w:rsidR="002046A0">
        <w:rPr>
          <w:noProof/>
          <w:color w:val="000000"/>
          <w:highlight w:val="black"/>
        </w:rPr>
        <w:t>'''''''''''' '''''''' '''' '''''''''' '''''''' ''''''''''''''''</w:t>
      </w:r>
      <w:r w:rsidRPr="00F05153">
        <w:t>).</w:t>
      </w:r>
    </w:p>
    <w:p w:rsidR="00FB5052" w:rsidRPr="00F05153" w:rsidRDefault="00B40240" w:rsidP="00BC5A2B">
      <w:pPr>
        <w:pStyle w:val="Caption"/>
      </w:pPr>
      <w:bookmarkStart w:id="108" w:name="_Ref500845037"/>
      <w:bookmarkStart w:id="109" w:name="_Toc38360327"/>
      <w:r w:rsidRPr="00F05153">
        <w:t>Table 4.</w:t>
      </w:r>
      <w:r w:rsidR="003951FA">
        <w:rPr>
          <w:noProof/>
        </w:rPr>
        <w:t>30</w:t>
      </w:r>
      <w:bookmarkEnd w:id="108"/>
      <w:r w:rsidRPr="00F05153">
        <w:tab/>
      </w:r>
      <w:r w:rsidR="00FB5052" w:rsidRPr="00F05153">
        <w:t>Mortality rates for an ERA compared with placebo in patients with WHO FC I/II PAH</w:t>
      </w:r>
      <w:bookmarkEnd w:id="109"/>
    </w:p>
    <w:tbl>
      <w:tblPr>
        <w:tblStyle w:val="TableGrid7"/>
        <w:tblW w:w="9634" w:type="dxa"/>
        <w:tblLayout w:type="fixed"/>
        <w:tblLook w:val="04A0" w:firstRow="1" w:lastRow="0" w:firstColumn="1" w:lastColumn="0" w:noHBand="0" w:noVBand="1"/>
        <w:tblCaption w:val="Mortality rates for an ERA compared with placebo in patients with WHO FC I/II PAH"/>
      </w:tblPr>
      <w:tblGrid>
        <w:gridCol w:w="2263"/>
        <w:gridCol w:w="2127"/>
        <w:gridCol w:w="1842"/>
        <w:gridCol w:w="1702"/>
        <w:gridCol w:w="1700"/>
      </w:tblGrid>
      <w:tr w:rsidR="00FB5052" w:rsidRPr="00F05153" w:rsidTr="00E1509D">
        <w:trPr>
          <w:trHeight w:val="178"/>
          <w:tblHeader/>
        </w:trPr>
        <w:tc>
          <w:tcPr>
            <w:tcW w:w="2263" w:type="dxa"/>
            <w:vMerge w:val="restart"/>
            <w:shd w:val="clear" w:color="auto" w:fill="BFBFBF" w:themeFill="background1" w:themeFillShade="BF"/>
          </w:tcPr>
          <w:p w:rsidR="00FB5052" w:rsidRPr="00F05153" w:rsidRDefault="00FB5052" w:rsidP="00B40240">
            <w:pPr>
              <w:pStyle w:val="Tabletext"/>
              <w:rPr>
                <w:b/>
              </w:rPr>
            </w:pPr>
            <w:r w:rsidRPr="00F05153">
              <w:rPr>
                <w:b/>
              </w:rPr>
              <w:t>Study ID</w:t>
            </w:r>
          </w:p>
        </w:tc>
        <w:tc>
          <w:tcPr>
            <w:tcW w:w="2127" w:type="dxa"/>
            <w:vMerge w:val="restart"/>
            <w:shd w:val="clear" w:color="auto" w:fill="BFBFBF" w:themeFill="background1" w:themeFillShade="BF"/>
          </w:tcPr>
          <w:p w:rsidR="00FB5052" w:rsidRPr="00F05153" w:rsidRDefault="00FB5052" w:rsidP="00B40240">
            <w:pPr>
              <w:pStyle w:val="Tabletext"/>
              <w:rPr>
                <w:b/>
              </w:rPr>
            </w:pPr>
            <w:r w:rsidRPr="00F05153">
              <w:rPr>
                <w:b/>
              </w:rPr>
              <w:t>ERA</w:t>
            </w:r>
          </w:p>
          <w:p w:rsidR="00FB5052" w:rsidRPr="00F05153" w:rsidRDefault="00FB5052" w:rsidP="00B40240">
            <w:pPr>
              <w:pStyle w:val="Tabletext"/>
              <w:rPr>
                <w:b/>
              </w:rPr>
            </w:pPr>
            <w:r w:rsidRPr="00F05153">
              <w:rPr>
                <w:b/>
              </w:rPr>
              <w:t>Study period</w:t>
            </w:r>
          </w:p>
        </w:tc>
        <w:tc>
          <w:tcPr>
            <w:tcW w:w="3544" w:type="dxa"/>
            <w:gridSpan w:val="2"/>
            <w:shd w:val="clear" w:color="auto" w:fill="BFBFBF" w:themeFill="background1" w:themeFillShade="BF"/>
          </w:tcPr>
          <w:p w:rsidR="00FB5052" w:rsidRPr="00F05153" w:rsidRDefault="00FB5052" w:rsidP="00B40240">
            <w:pPr>
              <w:pStyle w:val="Tabletext"/>
              <w:jc w:val="center"/>
              <w:rPr>
                <w:b/>
              </w:rPr>
            </w:pPr>
            <w:proofErr w:type="gramStart"/>
            <w:r w:rsidRPr="00F05153">
              <w:rPr>
                <w:b/>
              </w:rPr>
              <w:t>n/N</w:t>
            </w:r>
            <w:proofErr w:type="gramEnd"/>
            <w:r w:rsidRPr="00F05153">
              <w:rPr>
                <w:b/>
              </w:rPr>
              <w:t xml:space="preserve"> (%)</w:t>
            </w:r>
          </w:p>
        </w:tc>
        <w:tc>
          <w:tcPr>
            <w:tcW w:w="1700" w:type="dxa"/>
            <w:vMerge w:val="restart"/>
            <w:shd w:val="clear" w:color="auto" w:fill="BFBFBF" w:themeFill="background1" w:themeFillShade="BF"/>
          </w:tcPr>
          <w:p w:rsidR="00FB5052" w:rsidRPr="00F05153" w:rsidRDefault="00FB5052" w:rsidP="00B40240">
            <w:pPr>
              <w:pStyle w:val="Tabletext"/>
              <w:jc w:val="center"/>
              <w:rPr>
                <w:b/>
              </w:rPr>
            </w:pPr>
            <w:r w:rsidRPr="00F05153">
              <w:rPr>
                <w:b/>
              </w:rPr>
              <w:t>HR (95% CI)</w:t>
            </w:r>
          </w:p>
        </w:tc>
      </w:tr>
      <w:tr w:rsidR="00FB5052" w:rsidRPr="00F05153" w:rsidTr="00E1509D">
        <w:trPr>
          <w:trHeight w:val="202"/>
          <w:tblHeader/>
        </w:trPr>
        <w:tc>
          <w:tcPr>
            <w:tcW w:w="2263" w:type="dxa"/>
            <w:vMerge/>
            <w:shd w:val="clear" w:color="auto" w:fill="BFBFBF" w:themeFill="background1" w:themeFillShade="BF"/>
          </w:tcPr>
          <w:p w:rsidR="00FB5052" w:rsidRPr="00F05153" w:rsidRDefault="00FB5052" w:rsidP="00B40240">
            <w:pPr>
              <w:pStyle w:val="Tabletext"/>
            </w:pPr>
          </w:p>
        </w:tc>
        <w:tc>
          <w:tcPr>
            <w:tcW w:w="2127" w:type="dxa"/>
            <w:vMerge/>
            <w:shd w:val="clear" w:color="auto" w:fill="BFBFBF" w:themeFill="background1" w:themeFillShade="BF"/>
          </w:tcPr>
          <w:p w:rsidR="00FB5052" w:rsidRPr="00F05153" w:rsidRDefault="00FB5052" w:rsidP="00B40240">
            <w:pPr>
              <w:pStyle w:val="Tabletext"/>
            </w:pPr>
          </w:p>
        </w:tc>
        <w:tc>
          <w:tcPr>
            <w:tcW w:w="1842" w:type="dxa"/>
            <w:shd w:val="clear" w:color="auto" w:fill="BFBFBF" w:themeFill="background1" w:themeFillShade="BF"/>
          </w:tcPr>
          <w:p w:rsidR="00FB5052" w:rsidRPr="00F05153" w:rsidRDefault="00FB5052" w:rsidP="00B40240">
            <w:pPr>
              <w:pStyle w:val="Tabletext"/>
              <w:jc w:val="center"/>
              <w:rPr>
                <w:b/>
              </w:rPr>
            </w:pPr>
            <w:r w:rsidRPr="00F05153">
              <w:rPr>
                <w:b/>
              </w:rPr>
              <w:t>ERA</w:t>
            </w:r>
          </w:p>
        </w:tc>
        <w:tc>
          <w:tcPr>
            <w:tcW w:w="1702" w:type="dxa"/>
            <w:shd w:val="clear" w:color="auto" w:fill="BFBFBF" w:themeFill="background1" w:themeFillShade="BF"/>
          </w:tcPr>
          <w:p w:rsidR="00FB5052" w:rsidRPr="00F05153" w:rsidRDefault="00FB5052" w:rsidP="00B40240">
            <w:pPr>
              <w:pStyle w:val="Tabletext"/>
              <w:jc w:val="center"/>
              <w:rPr>
                <w:b/>
              </w:rPr>
            </w:pPr>
            <w:r w:rsidRPr="00F05153">
              <w:rPr>
                <w:b/>
              </w:rPr>
              <w:t>Placebo</w:t>
            </w:r>
          </w:p>
        </w:tc>
        <w:tc>
          <w:tcPr>
            <w:tcW w:w="1700" w:type="dxa"/>
            <w:vMerge/>
            <w:shd w:val="clear" w:color="auto" w:fill="BFBFBF" w:themeFill="background1" w:themeFillShade="BF"/>
          </w:tcPr>
          <w:p w:rsidR="00FB5052" w:rsidRPr="00F05153" w:rsidRDefault="00FB5052" w:rsidP="00B40240">
            <w:pPr>
              <w:pStyle w:val="Tabletext"/>
            </w:pPr>
          </w:p>
        </w:tc>
      </w:tr>
      <w:tr w:rsidR="00FB5052" w:rsidRPr="00F05153" w:rsidTr="00E1509D">
        <w:trPr>
          <w:trHeight w:val="70"/>
        </w:trPr>
        <w:tc>
          <w:tcPr>
            <w:tcW w:w="2263" w:type="dxa"/>
          </w:tcPr>
          <w:p w:rsidR="00FB5052" w:rsidRPr="00F05153" w:rsidRDefault="00FB5052" w:rsidP="00B40240">
            <w:pPr>
              <w:pStyle w:val="Tabletext"/>
            </w:pPr>
            <w:r w:rsidRPr="00F05153">
              <w:t>EARLY CSR</w:t>
            </w:r>
          </w:p>
        </w:tc>
        <w:tc>
          <w:tcPr>
            <w:tcW w:w="2127" w:type="dxa"/>
          </w:tcPr>
          <w:p w:rsidR="00FB5052" w:rsidRPr="00F05153" w:rsidRDefault="00FB5052" w:rsidP="00B40240">
            <w:pPr>
              <w:pStyle w:val="Tabletext"/>
            </w:pPr>
            <w:r w:rsidRPr="00F05153">
              <w:t>Bosentan</w:t>
            </w:r>
          </w:p>
          <w:p w:rsidR="00FB5052" w:rsidRPr="00F05153" w:rsidRDefault="00FB5052" w:rsidP="00B40240">
            <w:pPr>
              <w:pStyle w:val="Tabletext"/>
            </w:pPr>
            <w:r w:rsidRPr="00F05153">
              <w:t>6 months (all-cause)</w:t>
            </w:r>
          </w:p>
        </w:tc>
        <w:tc>
          <w:tcPr>
            <w:tcW w:w="1842" w:type="dxa"/>
          </w:tcPr>
          <w:p w:rsidR="00FB5052" w:rsidRPr="00F05153" w:rsidRDefault="00FB5052" w:rsidP="00B40240">
            <w:pPr>
              <w:pStyle w:val="Tabletext"/>
              <w:jc w:val="center"/>
            </w:pPr>
          </w:p>
          <w:p w:rsidR="00FB5052" w:rsidRPr="002046A0" w:rsidRDefault="002046A0" w:rsidP="00B40240">
            <w:pPr>
              <w:pStyle w:val="Tabletext"/>
              <w:jc w:val="center"/>
              <w:rPr>
                <w:highlight w:val="black"/>
              </w:rPr>
            </w:pPr>
            <w:r>
              <w:rPr>
                <w:noProof/>
                <w:color w:val="000000"/>
                <w:highlight w:val="black"/>
              </w:rPr>
              <w:t>'''''''''' '''''''''''</w:t>
            </w:r>
          </w:p>
        </w:tc>
        <w:tc>
          <w:tcPr>
            <w:tcW w:w="1702" w:type="dxa"/>
          </w:tcPr>
          <w:p w:rsidR="00FB5052" w:rsidRPr="00F05153" w:rsidRDefault="00FB5052" w:rsidP="00B40240">
            <w:pPr>
              <w:pStyle w:val="Tabletext"/>
              <w:jc w:val="center"/>
            </w:pPr>
          </w:p>
          <w:p w:rsidR="00FB5052" w:rsidRPr="002046A0" w:rsidRDefault="002046A0" w:rsidP="00B40240">
            <w:pPr>
              <w:pStyle w:val="Tabletext"/>
              <w:jc w:val="center"/>
              <w:rPr>
                <w:highlight w:val="black"/>
              </w:rPr>
            </w:pPr>
            <w:r>
              <w:rPr>
                <w:noProof/>
                <w:color w:val="000000"/>
                <w:highlight w:val="black"/>
              </w:rPr>
              <w:t>''''''''' '''''''''''</w:t>
            </w:r>
          </w:p>
        </w:tc>
        <w:tc>
          <w:tcPr>
            <w:tcW w:w="1700" w:type="dxa"/>
          </w:tcPr>
          <w:p w:rsidR="00FB5052" w:rsidRPr="00F05153" w:rsidRDefault="00FB5052" w:rsidP="00B40240">
            <w:pPr>
              <w:pStyle w:val="Tabletext"/>
              <w:jc w:val="center"/>
            </w:pPr>
          </w:p>
          <w:p w:rsidR="00FB5052" w:rsidRPr="00F05153" w:rsidRDefault="00FB5052" w:rsidP="00B40240">
            <w:pPr>
              <w:pStyle w:val="Tabletext"/>
              <w:jc w:val="center"/>
            </w:pPr>
            <w:r w:rsidRPr="00F05153">
              <w:t>NR</w:t>
            </w:r>
          </w:p>
        </w:tc>
      </w:tr>
      <w:tr w:rsidR="00FB5052" w:rsidRPr="006316DF" w:rsidTr="00E1509D">
        <w:trPr>
          <w:trHeight w:val="70"/>
        </w:trPr>
        <w:tc>
          <w:tcPr>
            <w:tcW w:w="2263" w:type="dxa"/>
          </w:tcPr>
          <w:p w:rsidR="00FB5052" w:rsidRPr="00F05153" w:rsidRDefault="00FB5052" w:rsidP="00B40240">
            <w:pPr>
              <w:pStyle w:val="Tabletext"/>
            </w:pPr>
            <w:r w:rsidRPr="00F05153">
              <w:t>SERAPHIN, March 2014 submission</w:t>
            </w:r>
          </w:p>
        </w:tc>
        <w:tc>
          <w:tcPr>
            <w:tcW w:w="2127" w:type="dxa"/>
          </w:tcPr>
          <w:p w:rsidR="00FB5052" w:rsidRPr="00F05153" w:rsidRDefault="00FB5052" w:rsidP="00B40240">
            <w:pPr>
              <w:pStyle w:val="Tabletext"/>
            </w:pPr>
            <w:r w:rsidRPr="00F05153">
              <w:t>Macitentan (10 mg)</w:t>
            </w:r>
          </w:p>
          <w:p w:rsidR="00FB5052" w:rsidRPr="00F05153" w:rsidRDefault="00FB5052" w:rsidP="00B40240">
            <w:pPr>
              <w:pStyle w:val="Tabletext"/>
            </w:pPr>
            <w:r w:rsidRPr="00F05153">
              <w:t>Median 129 weeks</w:t>
            </w:r>
          </w:p>
          <w:p w:rsidR="00FB5052" w:rsidRPr="00F05153" w:rsidRDefault="00FB5052" w:rsidP="00B40240">
            <w:pPr>
              <w:pStyle w:val="Tabletext"/>
            </w:pPr>
            <w:r w:rsidRPr="00F05153">
              <w:t>all-cause</w:t>
            </w:r>
          </w:p>
          <w:p w:rsidR="00FB5052" w:rsidRPr="00F05153" w:rsidRDefault="00FB5052" w:rsidP="00B40240">
            <w:pPr>
              <w:pStyle w:val="Tabletext"/>
            </w:pPr>
            <w:r w:rsidRPr="00F05153">
              <w:t>due to PAH</w:t>
            </w:r>
          </w:p>
        </w:tc>
        <w:tc>
          <w:tcPr>
            <w:tcW w:w="1842" w:type="dxa"/>
          </w:tcPr>
          <w:p w:rsidR="00FB5052" w:rsidRPr="00F05153" w:rsidRDefault="00FB5052" w:rsidP="00B40240">
            <w:pPr>
              <w:pStyle w:val="Tabletext"/>
              <w:jc w:val="center"/>
            </w:pPr>
          </w:p>
          <w:p w:rsidR="00FB5052" w:rsidRPr="00F05153" w:rsidRDefault="00FB5052" w:rsidP="00B40240">
            <w:pPr>
              <w:pStyle w:val="Tabletext"/>
              <w:jc w:val="center"/>
            </w:pPr>
          </w:p>
          <w:p w:rsidR="00FB5052" w:rsidRPr="002046A0" w:rsidRDefault="002046A0" w:rsidP="00B40240">
            <w:pPr>
              <w:pStyle w:val="Tabletext"/>
              <w:jc w:val="center"/>
              <w:rPr>
                <w:highlight w:val="black"/>
              </w:rPr>
            </w:pPr>
            <w:r>
              <w:rPr>
                <w:noProof/>
                <w:color w:val="000000"/>
                <w:highlight w:val="black"/>
              </w:rPr>
              <w:t>''''''''' ''''''''''''</w:t>
            </w:r>
          </w:p>
          <w:p w:rsidR="00FB5052" w:rsidRPr="002046A0" w:rsidRDefault="002046A0" w:rsidP="00B40240">
            <w:pPr>
              <w:pStyle w:val="Tabletext"/>
              <w:jc w:val="center"/>
              <w:rPr>
                <w:highlight w:val="black"/>
              </w:rPr>
            </w:pPr>
            <w:r>
              <w:rPr>
                <w:noProof/>
                <w:color w:val="000000"/>
                <w:highlight w:val="black"/>
              </w:rPr>
              <w:t>''''''''''' '''''''''''</w:t>
            </w:r>
          </w:p>
        </w:tc>
        <w:tc>
          <w:tcPr>
            <w:tcW w:w="1702" w:type="dxa"/>
          </w:tcPr>
          <w:p w:rsidR="00FB5052" w:rsidRPr="00F05153" w:rsidRDefault="00FB5052" w:rsidP="00B40240">
            <w:pPr>
              <w:pStyle w:val="Tabletext"/>
              <w:jc w:val="center"/>
            </w:pPr>
          </w:p>
          <w:p w:rsidR="00FB5052" w:rsidRPr="00F05153" w:rsidRDefault="00FB5052" w:rsidP="00B40240">
            <w:pPr>
              <w:pStyle w:val="Tabletext"/>
              <w:jc w:val="center"/>
            </w:pPr>
          </w:p>
          <w:p w:rsidR="00FB5052" w:rsidRPr="002046A0" w:rsidRDefault="002046A0" w:rsidP="00B40240">
            <w:pPr>
              <w:pStyle w:val="Tabletext"/>
              <w:jc w:val="center"/>
              <w:rPr>
                <w:highlight w:val="black"/>
              </w:rPr>
            </w:pPr>
            <w:r>
              <w:rPr>
                <w:noProof/>
                <w:color w:val="000000"/>
                <w:highlight w:val="black"/>
              </w:rPr>
              <w:t>''''''''''' ''''''''''''''''</w:t>
            </w:r>
          </w:p>
          <w:p w:rsidR="00FB5052" w:rsidRPr="002046A0" w:rsidRDefault="002046A0" w:rsidP="00B40240">
            <w:pPr>
              <w:pStyle w:val="Tabletext"/>
              <w:jc w:val="center"/>
              <w:rPr>
                <w:highlight w:val="black"/>
              </w:rPr>
            </w:pPr>
            <w:r>
              <w:rPr>
                <w:noProof/>
                <w:color w:val="000000"/>
                <w:highlight w:val="black"/>
              </w:rPr>
              <w:t>'''''''''' ''''''''''''</w:t>
            </w:r>
          </w:p>
        </w:tc>
        <w:tc>
          <w:tcPr>
            <w:tcW w:w="1700" w:type="dxa"/>
          </w:tcPr>
          <w:p w:rsidR="00FB5052" w:rsidRPr="00F05153" w:rsidRDefault="00FB5052" w:rsidP="00B40240">
            <w:pPr>
              <w:pStyle w:val="Tabletext"/>
              <w:jc w:val="center"/>
            </w:pPr>
          </w:p>
          <w:p w:rsidR="00FB5052" w:rsidRPr="00F05153" w:rsidRDefault="00FB5052" w:rsidP="00B40240">
            <w:pPr>
              <w:pStyle w:val="Tabletext"/>
              <w:jc w:val="center"/>
            </w:pPr>
          </w:p>
          <w:p w:rsidR="00FB5052" w:rsidRPr="00713CA2" w:rsidRDefault="002046A0" w:rsidP="00B40240">
            <w:pPr>
              <w:pStyle w:val="Tabletext"/>
              <w:jc w:val="center"/>
              <w:rPr>
                <w:sz w:val="16"/>
                <w:szCs w:val="16"/>
                <w:highlight w:val="black"/>
              </w:rPr>
            </w:pPr>
            <w:r w:rsidRPr="00713CA2">
              <w:rPr>
                <w:noProof/>
                <w:color w:val="000000"/>
                <w:sz w:val="16"/>
                <w:szCs w:val="16"/>
                <w:highlight w:val="black"/>
              </w:rPr>
              <w:t>'''''''''''' '''''''''''''' '''''''''''''</w:t>
            </w:r>
          </w:p>
          <w:p w:rsidR="00FB5052" w:rsidRPr="00B40240" w:rsidRDefault="002046A0" w:rsidP="00B40240">
            <w:pPr>
              <w:pStyle w:val="Tabletext"/>
              <w:jc w:val="center"/>
            </w:pPr>
            <w:r w:rsidRPr="00713CA2">
              <w:rPr>
                <w:noProof/>
                <w:color w:val="000000"/>
                <w:sz w:val="16"/>
                <w:szCs w:val="16"/>
                <w:highlight w:val="black"/>
              </w:rPr>
              <w:t>'''''''''''' '''''''''''''' '''''''''''</w:t>
            </w:r>
          </w:p>
        </w:tc>
      </w:tr>
    </w:tbl>
    <w:p w:rsidR="008A5D9B" w:rsidRPr="006316DF" w:rsidRDefault="0006512A" w:rsidP="00B40240">
      <w:pPr>
        <w:pStyle w:val="Tablenote"/>
      </w:pPr>
      <w:r>
        <w:t xml:space="preserve">CI = confidence interval; </w:t>
      </w:r>
      <w:r w:rsidR="00FB5052" w:rsidRPr="006316DF">
        <w:t>CSR = clinical study report; ERA =</w:t>
      </w:r>
      <w:r w:rsidR="00FB5052">
        <w:t xml:space="preserve"> </w:t>
      </w:r>
      <w:r>
        <w:t>endothelin receptor</w:t>
      </w:r>
      <w:r w:rsidR="00FB5052">
        <w:t xml:space="preserve"> antagonist</w:t>
      </w:r>
      <w:r w:rsidR="00FB5052" w:rsidRPr="006316DF">
        <w:t xml:space="preserve">; </w:t>
      </w:r>
      <w:r w:rsidR="008A5D9B" w:rsidRPr="006F774E">
        <w:t xml:space="preserve">FC = functional class; </w:t>
      </w:r>
      <w:r w:rsidR="00FB5052" w:rsidRPr="006316DF">
        <w:t xml:space="preserve">HR = hazard ratio; n = number of </w:t>
      </w:r>
      <w:r w:rsidR="008A5D9B">
        <w:t xml:space="preserve">patients with </w:t>
      </w:r>
      <w:r w:rsidR="00FB5052" w:rsidRPr="006316DF">
        <w:t xml:space="preserve">events; N = number of patients; </w:t>
      </w:r>
      <w:r w:rsidR="008A5D9B">
        <w:t xml:space="preserve">NR = not reported; </w:t>
      </w:r>
      <w:r w:rsidR="00FB5052" w:rsidRPr="006316DF">
        <w:t>PAH = pulmonary arterial hypertension</w:t>
      </w:r>
      <w:r w:rsidR="008A5D9B" w:rsidRPr="00F20C66">
        <w:t xml:space="preserve">; </w:t>
      </w:r>
      <w:r w:rsidR="008A5D9B" w:rsidRPr="009E3B52">
        <w:t>WHO = World Health Organization</w:t>
      </w:r>
    </w:p>
    <w:p w:rsidR="00FB5052" w:rsidRPr="00713CA2" w:rsidRDefault="002046A0" w:rsidP="00FB5052">
      <w:pPr>
        <w:rPr>
          <w:sz w:val="16"/>
          <w:szCs w:val="16"/>
          <w:highlight w:val="black"/>
        </w:rPr>
      </w:pPr>
      <w:r w:rsidRPr="00713CA2">
        <w:rPr>
          <w:noProof/>
          <w:color w:val="000000"/>
          <w:sz w:val="16"/>
          <w:szCs w:val="16"/>
          <w:highlight w:val="black"/>
        </w:rPr>
        <w:t>'''''''' '''''''''''' ''''''''' '''''''''''''''''' ''''' '''''' '''''' '''' '''''''''''''''' '''''''' ''''''' '''''''''''' ''''''''''' '''''''''''' '''''''''''''' ''''''''' ''''' ''''''' '''''''''''''''''' ''''''''' '''''''''''''''' '''''''' ''''''''''''''' ''''''''''''''''' ''''''''''''''''''' ''''''''''''''''''' ''''''''' ''''' ''''''' ''''''''' '''''''''''''' '''''''''''''' '''''''' ''''''' '''''''' '''''''''''''''''''''''''' '''' ''''''''''' '''''''''''''''' '''''''''''''''''''''' '''''''' '''''''''''' ''''''''' '''' ''''''' ''''''' ''''''''''' '''''</w:t>
      </w:r>
    </w:p>
    <w:p w:rsidR="00FB5052" w:rsidRPr="002046A0" w:rsidRDefault="002046A0" w:rsidP="008F58B5">
      <w:pPr>
        <w:spacing w:after="40"/>
        <w:jc w:val="center"/>
      </w:pPr>
      <w:r>
        <w:rPr>
          <w:noProof/>
          <w:lang w:eastAsia="en-AU"/>
        </w:rPr>
        <w:drawing>
          <wp:inline distT="0" distB="0" distL="0" distR="0" wp14:anchorId="135A6BF8" wp14:editId="0EECBEBF">
            <wp:extent cx="6127750" cy="2252345"/>
            <wp:effectExtent l="0" t="0" r="6350" b="0"/>
            <wp:docPr id="9" name="Picture 9" descr="image redacted" title="image redacted"/>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5"/>
                    <a:stretch>
                      <a:fillRect/>
                    </a:stretch>
                  </pic:blipFill>
                  <pic:spPr>
                    <a:xfrm>
                      <a:off x="0" y="0"/>
                      <a:ext cx="6127750" cy="2252345"/>
                    </a:xfrm>
                    <a:prstGeom prst="rect">
                      <a:avLst/>
                    </a:prstGeom>
                  </pic:spPr>
                </pic:pic>
              </a:graphicData>
            </a:graphic>
          </wp:inline>
        </w:drawing>
      </w:r>
    </w:p>
    <w:p w:rsidR="00FB5052" w:rsidRPr="00795577" w:rsidRDefault="00B40240" w:rsidP="00BC5A2B">
      <w:pPr>
        <w:pStyle w:val="Caption"/>
        <w:rPr>
          <w:rFonts w:ascii="Arial Narrow" w:hAnsi="Arial Narrow" w:cs="Tahoma"/>
          <w:u w:val="single"/>
        </w:rPr>
      </w:pPr>
      <w:bookmarkStart w:id="110" w:name="_Ref505960901"/>
      <w:bookmarkStart w:id="111" w:name="_Toc38360469"/>
      <w:r>
        <w:t>Figure 4.</w:t>
      </w:r>
      <w:r w:rsidR="003951FA">
        <w:rPr>
          <w:noProof/>
        </w:rPr>
        <w:t>3</w:t>
      </w:r>
      <w:bookmarkEnd w:id="110"/>
      <w:r>
        <w:tab/>
      </w:r>
      <w:r w:rsidR="00FB5052" w:rsidRPr="00795577">
        <w:t>Forest plot showing the RR of all-cause mortality for ERA compared with placebo in patients with WHO FC I/II PAH</w:t>
      </w:r>
      <w:bookmarkEnd w:id="111"/>
    </w:p>
    <w:p w:rsidR="008A5D9B" w:rsidRPr="006316DF" w:rsidRDefault="00FB5052" w:rsidP="00B40240">
      <w:pPr>
        <w:pStyle w:val="Tablenote"/>
      </w:pPr>
      <w:r w:rsidRPr="00795577">
        <w:t xml:space="preserve">CI = confidence interval; ERA = </w:t>
      </w:r>
      <w:r w:rsidR="0006512A">
        <w:t>endothelin receptor</w:t>
      </w:r>
      <w:r w:rsidRPr="00795577">
        <w:t xml:space="preserve"> antagonist; </w:t>
      </w:r>
      <w:r w:rsidR="008A5D9B" w:rsidRPr="006F774E">
        <w:t xml:space="preserve">FC = functional class; </w:t>
      </w:r>
      <w:r w:rsidRPr="00795577">
        <w:t xml:space="preserve">N = number of patients; </w:t>
      </w:r>
      <w:r w:rsidR="008A5D9B" w:rsidRPr="009E3B52">
        <w:t xml:space="preserve">PAH = pulmonary arterial hypertension; </w:t>
      </w:r>
      <w:r w:rsidRPr="00795577">
        <w:t>RR = relative risk</w:t>
      </w:r>
      <w:r w:rsidR="008A5D9B" w:rsidRPr="00F20C66">
        <w:t xml:space="preserve">; </w:t>
      </w:r>
      <w:r w:rsidR="008A5D9B" w:rsidRPr="009E3B52">
        <w:t>WHO = World Health Organization</w:t>
      </w:r>
    </w:p>
    <w:p w:rsidR="00FB5052" w:rsidRPr="006316DF" w:rsidRDefault="0077344D" w:rsidP="00FB5052">
      <w:pPr>
        <w:pStyle w:val="Heading5"/>
      </w:pPr>
      <w:r>
        <w:t>c.</w:t>
      </w:r>
      <w:r w:rsidR="00EE09B2">
        <w:tab/>
      </w:r>
      <w:r w:rsidR="00C828F9" w:rsidRPr="006316DF">
        <w:t>Hospitalisation</w:t>
      </w:r>
      <w:r w:rsidR="00C828F9" w:rsidRPr="0046652B">
        <w:t xml:space="preserve"> due to worsening PAH</w:t>
      </w:r>
    </w:p>
    <w:p w:rsidR="00FB5052" w:rsidRPr="006316DF" w:rsidRDefault="00FB5052" w:rsidP="00FB5052">
      <w:r w:rsidRPr="006316DF">
        <w:t>None of the three RCTs reported on the number of patients with WHO FC I/II PAH who were hospitalised.</w:t>
      </w:r>
    </w:p>
    <w:p w:rsidR="00FB5052" w:rsidRPr="006316DF" w:rsidRDefault="0077344D" w:rsidP="00FB5052">
      <w:pPr>
        <w:pStyle w:val="Heading5"/>
      </w:pPr>
      <w:r>
        <w:t>d.</w:t>
      </w:r>
      <w:r w:rsidR="00EE09B2">
        <w:tab/>
      </w:r>
      <w:r w:rsidR="00FB5052" w:rsidRPr="006316DF">
        <w:t xml:space="preserve">Change in WHO </w:t>
      </w:r>
      <w:r w:rsidR="00FB5052">
        <w:t>FC</w:t>
      </w:r>
      <w:r w:rsidR="007B6C7C">
        <w:t xml:space="preserve"> from baseline</w:t>
      </w:r>
    </w:p>
    <w:p w:rsidR="00FB5052" w:rsidRPr="006316DF" w:rsidRDefault="00FB5052" w:rsidP="00EB768B">
      <w:pPr>
        <w:tabs>
          <w:tab w:val="left" w:pos="7513"/>
        </w:tabs>
      </w:pPr>
      <w:r w:rsidRPr="006316DF">
        <w:t>The ARIES-1&amp;2 trials reported the number of patients with WHO FC I/II PAH who changed FC during treatment (</w:t>
      </w:r>
      <w:r w:rsidR="003951FA">
        <w:t xml:space="preserve">Table </w:t>
      </w:r>
      <w:r w:rsidR="003951FA">
        <w:rPr>
          <w:noProof/>
        </w:rPr>
        <w:t>4.31</w:t>
      </w:r>
      <w:r w:rsidRPr="006316DF">
        <w:t xml:space="preserve">). The </w:t>
      </w:r>
      <w:r>
        <w:t xml:space="preserve">patients treated with ambrisentan were more likely to improve their </w:t>
      </w:r>
      <w:r w:rsidRPr="006316DF">
        <w:t xml:space="preserve">WHO FC </w:t>
      </w:r>
      <w:r>
        <w:t>than those receiving a placebo (</w:t>
      </w:r>
      <w:r w:rsidR="00B21201">
        <w:t>ARD</w:t>
      </w:r>
      <w:r w:rsidR="00973227">
        <w:t> </w:t>
      </w:r>
      <w:r>
        <w:t>=</w:t>
      </w:r>
      <w:r w:rsidR="00973227">
        <w:t> </w:t>
      </w:r>
      <w:r>
        <w:t>14.0%; 95% CI 4.4, 23.6</w:t>
      </w:r>
      <w:r w:rsidR="008F58B5">
        <w:t>; p</w:t>
      </w:r>
      <w:r w:rsidR="00973227">
        <w:t> </w:t>
      </w:r>
      <w:r w:rsidR="008F58B5">
        <w:t>=</w:t>
      </w:r>
      <w:r w:rsidR="00973227">
        <w:t> </w:t>
      </w:r>
      <w:r w:rsidR="008F58B5">
        <w:t>0.0056</w:t>
      </w:r>
      <w:r>
        <w:t xml:space="preserve">) but the </w:t>
      </w:r>
      <w:r w:rsidRPr="006316DF">
        <w:t xml:space="preserve">RR </w:t>
      </w:r>
      <w:r>
        <w:t>was not calculable. Patients receiving ambrisentan were</w:t>
      </w:r>
      <w:r w:rsidRPr="006316DF">
        <w:t xml:space="preserve"> </w:t>
      </w:r>
      <w:r>
        <w:t xml:space="preserve">also </w:t>
      </w:r>
      <w:r w:rsidRPr="006316DF">
        <w:t xml:space="preserve">4-times less likely to </w:t>
      </w:r>
      <w:r w:rsidR="00EB768B">
        <w:t>experience a decrease</w:t>
      </w:r>
      <w:r w:rsidRPr="006316DF">
        <w:t xml:space="preserve"> in </w:t>
      </w:r>
      <w:r>
        <w:t xml:space="preserve">WHO </w:t>
      </w:r>
      <w:r w:rsidRPr="006316DF">
        <w:t>FC</w:t>
      </w:r>
      <w:r>
        <w:t xml:space="preserve"> than those receiving a placebo (</w:t>
      </w:r>
      <w:r w:rsidR="00B21201">
        <w:t>ARD</w:t>
      </w:r>
      <w:r w:rsidR="00973227">
        <w:t> </w:t>
      </w:r>
      <w:r>
        <w:t>=</w:t>
      </w:r>
      <w:r w:rsidR="00973227">
        <w:t> </w:t>
      </w:r>
      <w:r>
        <w:t>−</w:t>
      </w:r>
      <w:proofErr w:type="gramStart"/>
      <w:r>
        <w:t>5.8%</w:t>
      </w:r>
      <w:proofErr w:type="gramEnd"/>
      <w:r>
        <w:t>; 95% CI −14.2, 2.5</w:t>
      </w:r>
      <w:r w:rsidR="008F58B5">
        <w:t>; p</w:t>
      </w:r>
      <w:r w:rsidR="00973227">
        <w:t> </w:t>
      </w:r>
      <w:r w:rsidR="008F58B5">
        <w:t>=</w:t>
      </w:r>
      <w:r w:rsidR="00973227">
        <w:t> </w:t>
      </w:r>
      <w:r w:rsidR="00DE31E4">
        <w:t>0.</w:t>
      </w:r>
      <w:r w:rsidR="008F58B5">
        <w:t>1</w:t>
      </w:r>
      <w:r w:rsidR="00DE31E4">
        <w:t>69</w:t>
      </w:r>
      <w:r>
        <w:t>)</w:t>
      </w:r>
      <w:r w:rsidRPr="006316DF">
        <w:t xml:space="preserve">. </w:t>
      </w:r>
      <w:r>
        <w:t xml:space="preserve">Thus, </w:t>
      </w:r>
      <w:r w:rsidR="00866876">
        <w:t>eight</w:t>
      </w:r>
      <w:r>
        <w:t xml:space="preserve"> patients need to </w:t>
      </w:r>
      <w:proofErr w:type="gramStart"/>
      <w:r>
        <w:t>be treated</w:t>
      </w:r>
      <w:proofErr w:type="gramEnd"/>
      <w:r>
        <w:t xml:space="preserve"> with ambrisentan for one additional patient to improve in WHO FC, and 1</w:t>
      </w:r>
      <w:r w:rsidR="00E70D1D">
        <w:t>8</w:t>
      </w:r>
      <w:r>
        <w:t xml:space="preserve"> to prevent harm (worsening WHO FC) to one additional patient</w:t>
      </w:r>
      <w:r w:rsidRPr="009F2C6C">
        <w:t xml:space="preserve"> </w:t>
      </w:r>
      <w:r>
        <w:t xml:space="preserve">compared with placebo. </w:t>
      </w:r>
      <w:r w:rsidRPr="006316DF">
        <w:t>However, the</w:t>
      </w:r>
      <w:r>
        <w:t>se</w:t>
      </w:r>
      <w:r w:rsidRPr="006316DF">
        <w:t xml:space="preserve"> differences did not reach statistical significance.</w:t>
      </w:r>
    </w:p>
    <w:p w:rsidR="00FB5052" w:rsidRPr="006316DF" w:rsidRDefault="00B40240" w:rsidP="00BC5A2B">
      <w:pPr>
        <w:pStyle w:val="Caption"/>
      </w:pPr>
      <w:bookmarkStart w:id="112" w:name="_Ref501442336"/>
      <w:bookmarkStart w:id="113" w:name="_Toc38360328"/>
      <w:r>
        <w:t>Table 4.</w:t>
      </w:r>
      <w:r w:rsidR="003951FA">
        <w:rPr>
          <w:noProof/>
        </w:rPr>
        <w:t>31</w:t>
      </w:r>
      <w:bookmarkEnd w:id="112"/>
      <w:r w:rsidR="00ED0695">
        <w:rPr>
          <w:noProof/>
        </w:rPr>
        <w:tab/>
      </w:r>
      <w:r w:rsidR="00FB5052" w:rsidRPr="006316DF">
        <w:t xml:space="preserve">The effectiveness of </w:t>
      </w:r>
      <w:r w:rsidR="00FB5052">
        <w:t>an ERA</w:t>
      </w:r>
      <w:r w:rsidR="00FB5052" w:rsidRPr="006316DF">
        <w:t xml:space="preserve"> compared with placebo in improving WHO FC</w:t>
      </w:r>
      <w:r w:rsidR="00FB5052" w:rsidRPr="00B642BB">
        <w:t xml:space="preserve"> in patients with WHO FC I/II PAH</w:t>
      </w:r>
      <w:bookmarkEnd w:id="113"/>
    </w:p>
    <w:tbl>
      <w:tblPr>
        <w:tblStyle w:val="TableGrid7"/>
        <w:tblW w:w="9634" w:type="dxa"/>
        <w:tblLayout w:type="fixed"/>
        <w:tblLook w:val="04A0" w:firstRow="1" w:lastRow="0" w:firstColumn="1" w:lastColumn="0" w:noHBand="0" w:noVBand="1"/>
        <w:tblCaption w:val="The effectiveness of an ERA compared with placebo in improving WHO FC in patients with WHO FC I/II PAH"/>
      </w:tblPr>
      <w:tblGrid>
        <w:gridCol w:w="1838"/>
        <w:gridCol w:w="1843"/>
        <w:gridCol w:w="1984"/>
        <w:gridCol w:w="1843"/>
        <w:gridCol w:w="2126"/>
      </w:tblGrid>
      <w:tr w:rsidR="00FB5052" w:rsidRPr="006316DF" w:rsidTr="008F58B5">
        <w:trPr>
          <w:trHeight w:val="53"/>
          <w:tblHeader/>
        </w:trPr>
        <w:tc>
          <w:tcPr>
            <w:tcW w:w="1838" w:type="dxa"/>
            <w:vMerge w:val="restart"/>
            <w:shd w:val="clear" w:color="auto" w:fill="BFBFBF" w:themeFill="background1" w:themeFillShade="BF"/>
          </w:tcPr>
          <w:p w:rsidR="00FB5052" w:rsidRPr="00ED0695" w:rsidRDefault="00FB5052" w:rsidP="00ED0695">
            <w:pPr>
              <w:pStyle w:val="Tabletext"/>
              <w:rPr>
                <w:b/>
              </w:rPr>
            </w:pPr>
            <w:r w:rsidRPr="00ED0695">
              <w:rPr>
                <w:b/>
              </w:rPr>
              <w:t>Study ID</w:t>
            </w:r>
          </w:p>
          <w:p w:rsidR="00FB5052" w:rsidRPr="00ED0695" w:rsidRDefault="00FB5052" w:rsidP="00ED0695">
            <w:pPr>
              <w:pStyle w:val="Tabletext"/>
              <w:rPr>
                <w:b/>
              </w:rPr>
            </w:pPr>
            <w:r w:rsidRPr="00ED0695">
              <w:rPr>
                <w:b/>
              </w:rPr>
              <w:t>ERA</w:t>
            </w:r>
          </w:p>
        </w:tc>
        <w:tc>
          <w:tcPr>
            <w:tcW w:w="1843" w:type="dxa"/>
            <w:vMerge w:val="restart"/>
            <w:shd w:val="clear" w:color="auto" w:fill="BFBFBF" w:themeFill="background1" w:themeFillShade="BF"/>
          </w:tcPr>
          <w:p w:rsidR="00FB5052" w:rsidRPr="00ED0695" w:rsidRDefault="00FB5052" w:rsidP="00ED0695">
            <w:pPr>
              <w:pStyle w:val="Tabletext"/>
              <w:rPr>
                <w:b/>
              </w:rPr>
            </w:pPr>
            <w:r w:rsidRPr="00ED0695">
              <w:rPr>
                <w:b/>
              </w:rPr>
              <w:t>Change in WHO FC</w:t>
            </w:r>
          </w:p>
        </w:tc>
        <w:tc>
          <w:tcPr>
            <w:tcW w:w="3827" w:type="dxa"/>
            <w:gridSpan w:val="2"/>
            <w:shd w:val="clear" w:color="auto" w:fill="BFBFBF" w:themeFill="background1" w:themeFillShade="BF"/>
          </w:tcPr>
          <w:p w:rsidR="00FB5052" w:rsidRPr="00ED0695" w:rsidRDefault="00FB5052" w:rsidP="00ED0695">
            <w:pPr>
              <w:pStyle w:val="Tabletext"/>
              <w:jc w:val="center"/>
              <w:rPr>
                <w:b/>
              </w:rPr>
            </w:pPr>
            <w:proofErr w:type="gramStart"/>
            <w:r w:rsidRPr="00ED0695">
              <w:rPr>
                <w:b/>
              </w:rPr>
              <w:t>n/N</w:t>
            </w:r>
            <w:proofErr w:type="gramEnd"/>
            <w:r w:rsidRPr="00ED0695">
              <w:rPr>
                <w:b/>
              </w:rPr>
              <w:t xml:space="preserve"> (%)</w:t>
            </w:r>
          </w:p>
        </w:tc>
        <w:tc>
          <w:tcPr>
            <w:tcW w:w="2126" w:type="dxa"/>
            <w:vMerge w:val="restart"/>
            <w:shd w:val="clear" w:color="auto" w:fill="BFBFBF" w:themeFill="background1" w:themeFillShade="BF"/>
          </w:tcPr>
          <w:p w:rsidR="00FB5052" w:rsidRPr="00ED0695" w:rsidRDefault="00FB5052" w:rsidP="00ED0695">
            <w:pPr>
              <w:pStyle w:val="Tabletext"/>
              <w:jc w:val="center"/>
              <w:rPr>
                <w:b/>
              </w:rPr>
            </w:pPr>
            <w:r w:rsidRPr="00ED0695">
              <w:rPr>
                <w:b/>
              </w:rPr>
              <w:t>RR (95% CI)</w:t>
            </w:r>
          </w:p>
        </w:tc>
      </w:tr>
      <w:tr w:rsidR="00FB5052" w:rsidRPr="006316DF" w:rsidTr="00ED0695">
        <w:trPr>
          <w:trHeight w:val="202"/>
          <w:tblHeader/>
        </w:trPr>
        <w:tc>
          <w:tcPr>
            <w:tcW w:w="1838" w:type="dxa"/>
            <w:vMerge/>
            <w:shd w:val="clear" w:color="auto" w:fill="BFBFBF" w:themeFill="background1" w:themeFillShade="BF"/>
          </w:tcPr>
          <w:p w:rsidR="00FB5052" w:rsidRPr="00ED0695" w:rsidRDefault="00FB5052" w:rsidP="00ED0695">
            <w:pPr>
              <w:pStyle w:val="Tabletext"/>
            </w:pPr>
          </w:p>
        </w:tc>
        <w:tc>
          <w:tcPr>
            <w:tcW w:w="1843" w:type="dxa"/>
            <w:vMerge/>
            <w:shd w:val="clear" w:color="auto" w:fill="BFBFBF" w:themeFill="background1" w:themeFillShade="BF"/>
          </w:tcPr>
          <w:p w:rsidR="00FB5052" w:rsidRPr="00ED0695" w:rsidRDefault="00FB5052" w:rsidP="00ED0695">
            <w:pPr>
              <w:pStyle w:val="Tabletext"/>
            </w:pPr>
          </w:p>
        </w:tc>
        <w:tc>
          <w:tcPr>
            <w:tcW w:w="1984" w:type="dxa"/>
            <w:shd w:val="clear" w:color="auto" w:fill="BFBFBF" w:themeFill="background1" w:themeFillShade="BF"/>
          </w:tcPr>
          <w:p w:rsidR="00FB5052" w:rsidRPr="00ED0695" w:rsidRDefault="00237FAE" w:rsidP="00ED0695">
            <w:pPr>
              <w:pStyle w:val="Tabletext"/>
              <w:jc w:val="center"/>
              <w:rPr>
                <w:b/>
              </w:rPr>
            </w:pPr>
            <w:r>
              <w:rPr>
                <w:b/>
              </w:rPr>
              <w:t>ERA</w:t>
            </w:r>
          </w:p>
        </w:tc>
        <w:tc>
          <w:tcPr>
            <w:tcW w:w="1843" w:type="dxa"/>
            <w:shd w:val="clear" w:color="auto" w:fill="BFBFBF" w:themeFill="background1" w:themeFillShade="BF"/>
          </w:tcPr>
          <w:p w:rsidR="00FB5052" w:rsidRPr="00ED0695" w:rsidRDefault="00FB5052" w:rsidP="00ED0695">
            <w:pPr>
              <w:pStyle w:val="Tabletext"/>
              <w:jc w:val="center"/>
              <w:rPr>
                <w:b/>
              </w:rPr>
            </w:pPr>
            <w:r w:rsidRPr="00ED0695">
              <w:rPr>
                <w:b/>
              </w:rPr>
              <w:t>Placebo</w:t>
            </w:r>
          </w:p>
        </w:tc>
        <w:tc>
          <w:tcPr>
            <w:tcW w:w="2126" w:type="dxa"/>
            <w:vMerge/>
            <w:shd w:val="clear" w:color="auto" w:fill="BFBFBF" w:themeFill="background1" w:themeFillShade="BF"/>
          </w:tcPr>
          <w:p w:rsidR="00FB5052" w:rsidRPr="00ED0695" w:rsidRDefault="00FB5052" w:rsidP="00ED0695">
            <w:pPr>
              <w:pStyle w:val="Tabletext"/>
            </w:pPr>
          </w:p>
        </w:tc>
      </w:tr>
      <w:tr w:rsidR="00FB5052" w:rsidRPr="006316DF" w:rsidTr="00ED0695">
        <w:trPr>
          <w:trHeight w:val="70"/>
        </w:trPr>
        <w:tc>
          <w:tcPr>
            <w:tcW w:w="1838" w:type="dxa"/>
            <w:vMerge w:val="restart"/>
          </w:tcPr>
          <w:p w:rsidR="00FB5052" w:rsidRPr="00ED0695" w:rsidRDefault="00FB5052" w:rsidP="00ED0695">
            <w:pPr>
              <w:pStyle w:val="Tabletext"/>
            </w:pPr>
            <w:r w:rsidRPr="00ED0695">
              <w:t>ARIES-1&amp;2</w:t>
            </w:r>
            <w:r w:rsidR="001D34EE" w:rsidRPr="001A1C44">
              <w:rPr>
                <w:noProof/>
                <w:vertAlign w:val="superscript"/>
              </w:rPr>
              <w:t>33</w:t>
            </w:r>
          </w:p>
          <w:p w:rsidR="00FB5052" w:rsidRPr="00ED0695" w:rsidRDefault="00FB5052" w:rsidP="00ED0695">
            <w:pPr>
              <w:pStyle w:val="Tabletext"/>
            </w:pPr>
            <w:r w:rsidRPr="00ED0695">
              <w:t>Ambrisentan</w:t>
            </w:r>
          </w:p>
        </w:tc>
        <w:tc>
          <w:tcPr>
            <w:tcW w:w="1843" w:type="dxa"/>
          </w:tcPr>
          <w:p w:rsidR="00FB5052" w:rsidRPr="00ED0695" w:rsidRDefault="00FB5052" w:rsidP="00ED0695">
            <w:pPr>
              <w:pStyle w:val="Tabletext"/>
            </w:pPr>
            <w:r w:rsidRPr="00ED0695">
              <w:t>Improved</w:t>
            </w:r>
          </w:p>
        </w:tc>
        <w:tc>
          <w:tcPr>
            <w:tcW w:w="1984" w:type="dxa"/>
          </w:tcPr>
          <w:p w:rsidR="00FB5052" w:rsidRPr="00ED0695" w:rsidRDefault="00FB5052" w:rsidP="00ED0695">
            <w:pPr>
              <w:pStyle w:val="Tabletext"/>
              <w:jc w:val="center"/>
            </w:pPr>
            <w:r w:rsidRPr="00ED0695">
              <w:t>7/50 (14%)</w:t>
            </w:r>
          </w:p>
        </w:tc>
        <w:tc>
          <w:tcPr>
            <w:tcW w:w="1843" w:type="dxa"/>
          </w:tcPr>
          <w:p w:rsidR="00FB5052" w:rsidRPr="00ED0695" w:rsidRDefault="00FB5052" w:rsidP="00ED0695">
            <w:pPr>
              <w:pStyle w:val="Tabletext"/>
              <w:jc w:val="center"/>
            </w:pPr>
            <w:r w:rsidRPr="00ED0695">
              <w:t>0/51 (0%)</w:t>
            </w:r>
          </w:p>
        </w:tc>
        <w:tc>
          <w:tcPr>
            <w:tcW w:w="2126" w:type="dxa"/>
          </w:tcPr>
          <w:p w:rsidR="00FB5052" w:rsidRPr="00ED0695" w:rsidRDefault="00FB5052" w:rsidP="00ED0695">
            <w:pPr>
              <w:pStyle w:val="Tabletext"/>
              <w:jc w:val="center"/>
            </w:pPr>
            <w:r w:rsidRPr="00ED0695">
              <w:t>Not calculable</w:t>
            </w:r>
          </w:p>
        </w:tc>
      </w:tr>
      <w:tr w:rsidR="00FB5052" w:rsidRPr="006316DF" w:rsidTr="00ED0695">
        <w:trPr>
          <w:trHeight w:val="70"/>
        </w:trPr>
        <w:tc>
          <w:tcPr>
            <w:tcW w:w="1838" w:type="dxa"/>
            <w:vMerge/>
          </w:tcPr>
          <w:p w:rsidR="00FB5052" w:rsidRPr="00ED0695" w:rsidRDefault="00FB5052" w:rsidP="00ED0695">
            <w:pPr>
              <w:pStyle w:val="Tabletext"/>
            </w:pPr>
          </w:p>
        </w:tc>
        <w:tc>
          <w:tcPr>
            <w:tcW w:w="1843" w:type="dxa"/>
          </w:tcPr>
          <w:p w:rsidR="00FB5052" w:rsidRPr="00ED0695" w:rsidRDefault="00FB5052" w:rsidP="00ED0695">
            <w:pPr>
              <w:pStyle w:val="Tabletext"/>
            </w:pPr>
            <w:r w:rsidRPr="00ED0695">
              <w:t>Worsened</w:t>
            </w:r>
          </w:p>
        </w:tc>
        <w:tc>
          <w:tcPr>
            <w:tcW w:w="1984" w:type="dxa"/>
          </w:tcPr>
          <w:p w:rsidR="00FB5052" w:rsidRPr="00ED0695" w:rsidRDefault="00FB5052" w:rsidP="00ED0695">
            <w:pPr>
              <w:pStyle w:val="Tabletext"/>
              <w:jc w:val="center"/>
            </w:pPr>
            <w:r w:rsidRPr="00ED0695">
              <w:t>1/50 (2%)</w:t>
            </w:r>
          </w:p>
        </w:tc>
        <w:tc>
          <w:tcPr>
            <w:tcW w:w="1843" w:type="dxa"/>
          </w:tcPr>
          <w:p w:rsidR="00FB5052" w:rsidRPr="00ED0695" w:rsidRDefault="00FB5052" w:rsidP="00ED0695">
            <w:pPr>
              <w:pStyle w:val="Tabletext"/>
              <w:jc w:val="center"/>
            </w:pPr>
            <w:r w:rsidRPr="00ED0695">
              <w:t>4/51 (8%)</w:t>
            </w:r>
          </w:p>
        </w:tc>
        <w:tc>
          <w:tcPr>
            <w:tcW w:w="2126" w:type="dxa"/>
          </w:tcPr>
          <w:p w:rsidR="00FB5052" w:rsidRPr="00ED0695" w:rsidRDefault="00FB5052" w:rsidP="00ED0695">
            <w:pPr>
              <w:pStyle w:val="Tabletext"/>
              <w:jc w:val="center"/>
            </w:pPr>
            <w:r w:rsidRPr="00ED0695">
              <w:t>0.25 (0.03, 2.20)</w:t>
            </w:r>
          </w:p>
        </w:tc>
      </w:tr>
    </w:tbl>
    <w:p w:rsidR="00713CA2" w:rsidRDefault="00FB5052" w:rsidP="00ED0695">
      <w:pPr>
        <w:pStyle w:val="Tablenote"/>
      </w:pPr>
      <w:r w:rsidRPr="006316DF">
        <w:t xml:space="preserve">CI = confidence interval; </w:t>
      </w:r>
      <w:r w:rsidR="008A5D9B" w:rsidRPr="009E3B52">
        <w:t xml:space="preserve">ERA = endothelin receptor antagonist; </w:t>
      </w:r>
      <w:r w:rsidRPr="006316DF">
        <w:t xml:space="preserve">FC = functional class; n = number of events; N = number of patients; </w:t>
      </w:r>
      <w:r w:rsidR="008A5D9B" w:rsidRPr="009E3B52">
        <w:t xml:space="preserve">PAH = pulmonary arterial hypertension; </w:t>
      </w:r>
      <w:r w:rsidRPr="006316DF">
        <w:t xml:space="preserve">RR = relative risk; WHO = World Health </w:t>
      </w:r>
      <w:r>
        <w:t>Organization</w:t>
      </w:r>
    </w:p>
    <w:p w:rsidR="00713CA2" w:rsidRDefault="00713CA2">
      <w:pPr>
        <w:spacing w:before="0" w:line="240" w:lineRule="auto"/>
        <w:rPr>
          <w:rFonts w:ascii="Arial" w:eastAsiaTheme="minorEastAsia" w:hAnsi="Arial" w:cs="Baskerville"/>
          <w:sz w:val="18"/>
          <w:szCs w:val="20"/>
          <w:lang w:eastAsia="en-AU"/>
        </w:rPr>
      </w:pPr>
      <w:r>
        <w:br w:type="page"/>
      </w:r>
    </w:p>
    <w:p w:rsidR="00FB5052" w:rsidRPr="006316DF" w:rsidRDefault="00EE09B2" w:rsidP="00FB5052">
      <w:pPr>
        <w:pStyle w:val="Heading5"/>
      </w:pPr>
      <w:r>
        <w:t>e</w:t>
      </w:r>
      <w:r w:rsidR="0077344D">
        <w:t>.</w:t>
      </w:r>
      <w:r>
        <w:tab/>
      </w:r>
      <w:r w:rsidR="00FB5052" w:rsidRPr="006316DF">
        <w:t>Change in 6MWD from baseline</w:t>
      </w:r>
    </w:p>
    <w:p w:rsidR="00FB5052" w:rsidRPr="006316DF" w:rsidRDefault="00FB5052" w:rsidP="00FB5052">
      <w:r w:rsidRPr="006316DF">
        <w:t xml:space="preserve">The SERAPHIN trial did not report on the mean difference in 6MWD for the </w:t>
      </w:r>
      <w:r>
        <w:t xml:space="preserve">treatment-naïve </w:t>
      </w:r>
      <w:r w:rsidRPr="006316DF">
        <w:t>WHO FC I/II PAH subgroup. After 6 months of bosentan treatment, treatment-naïve patients in the EARLY study had a mean increase in 6MWD of 25.7 m (</w:t>
      </w:r>
      <w:r w:rsidR="003951FA">
        <w:t xml:space="preserve">Table </w:t>
      </w:r>
      <w:r w:rsidR="003951FA">
        <w:rPr>
          <w:noProof/>
        </w:rPr>
        <w:t>4.32</w:t>
      </w:r>
      <w:r w:rsidRPr="006316DF">
        <w:t>)</w:t>
      </w:r>
      <w:r>
        <w:t>, which is unlikely to be clinically meaningful (see Section 4.</w:t>
      </w:r>
      <w:r w:rsidR="00857DBE">
        <w:t>3.5</w:t>
      </w:r>
      <w:r>
        <w:t>)</w:t>
      </w:r>
      <w:r w:rsidRPr="006316DF">
        <w:t>. The ARIES trials depicted the data for this patient subgroup in a graph (</w:t>
      </w:r>
      <w:r w:rsidR="003951FA">
        <w:t>Figure 4.</w:t>
      </w:r>
      <w:r w:rsidR="003951FA">
        <w:rPr>
          <w:noProof/>
        </w:rPr>
        <w:t>4</w:t>
      </w:r>
      <w:r w:rsidRPr="006316DF">
        <w:t xml:space="preserve">), which shows that the 6MWD significantly improved in both ambrisentan-treated groups by more than 40 m </w:t>
      </w:r>
      <w:r>
        <w:t xml:space="preserve">(a clinically important distance) </w:t>
      </w:r>
      <w:r w:rsidRPr="006316DF">
        <w:t>compared with the placebo group over the 12-week treatment period.</w:t>
      </w:r>
    </w:p>
    <w:p w:rsidR="00FB5052" w:rsidRDefault="00B40240" w:rsidP="00BC5A2B">
      <w:pPr>
        <w:pStyle w:val="Caption"/>
      </w:pPr>
      <w:bookmarkStart w:id="114" w:name="_Ref500852108"/>
      <w:bookmarkStart w:id="115" w:name="_Toc38360329"/>
      <w:r>
        <w:t>Table 4.</w:t>
      </w:r>
      <w:r w:rsidR="003951FA">
        <w:rPr>
          <w:noProof/>
        </w:rPr>
        <w:t>32</w:t>
      </w:r>
      <w:bookmarkEnd w:id="114"/>
      <w:r w:rsidR="00ED0695">
        <w:tab/>
      </w:r>
      <w:r w:rsidR="00FB5052" w:rsidRPr="006316DF">
        <w:t xml:space="preserve">The effectiveness of </w:t>
      </w:r>
      <w:r w:rsidR="00FB5052">
        <w:t>an ERA</w:t>
      </w:r>
      <w:r w:rsidR="00FB5052" w:rsidRPr="006316DF">
        <w:t xml:space="preserve"> compared with placebo in improving 6MWD</w:t>
      </w:r>
      <w:r w:rsidR="00FB5052" w:rsidRPr="00B642BB">
        <w:t xml:space="preserve"> in patients with WHO FC I/II PAH</w:t>
      </w:r>
      <w:bookmarkEnd w:id="115"/>
    </w:p>
    <w:tbl>
      <w:tblPr>
        <w:tblStyle w:val="TableGrid"/>
        <w:tblW w:w="9654" w:type="dxa"/>
        <w:tblLayout w:type="fixed"/>
        <w:tblLook w:val="04A0" w:firstRow="1" w:lastRow="0" w:firstColumn="1" w:lastColumn="0" w:noHBand="0" w:noVBand="1"/>
        <w:tblCaption w:val="The effectiveness of an ERA compared with placebo in improving 6MWD in patients with WHO FC I/II PAH"/>
      </w:tblPr>
      <w:tblGrid>
        <w:gridCol w:w="1271"/>
        <w:gridCol w:w="1134"/>
        <w:gridCol w:w="1559"/>
        <w:gridCol w:w="1560"/>
        <w:gridCol w:w="1417"/>
        <w:gridCol w:w="1347"/>
        <w:gridCol w:w="1366"/>
      </w:tblGrid>
      <w:tr w:rsidR="00FB5052" w:rsidTr="00ED0695">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FB5052" w:rsidRPr="00ED0695" w:rsidRDefault="00FB5052" w:rsidP="00ED0695">
            <w:pPr>
              <w:pStyle w:val="Tabletext"/>
              <w:rPr>
                <w:b/>
              </w:rPr>
            </w:pPr>
            <w:r w:rsidRPr="00ED0695">
              <w:rPr>
                <w:b/>
              </w:rPr>
              <w:t>Study ID</w:t>
            </w:r>
          </w:p>
          <w:p w:rsidR="00FB5052" w:rsidRPr="00ED0695" w:rsidRDefault="00FB5052" w:rsidP="00ED0695">
            <w:pPr>
              <w:pStyle w:val="Tabletext"/>
              <w:rPr>
                <w:b/>
              </w:rPr>
            </w:pPr>
            <w:r w:rsidRPr="00ED0695">
              <w:rPr>
                <w:b/>
              </w:rPr>
              <w:t>ERA</w:t>
            </w:r>
          </w:p>
        </w:tc>
        <w:tc>
          <w:tcPr>
            <w:tcW w:w="1134" w:type="dxa"/>
            <w:vMerge w:val="restart"/>
            <w:shd w:val="clear" w:color="auto" w:fill="BFBFBF" w:themeFill="background1" w:themeFillShade="BF"/>
          </w:tcPr>
          <w:p w:rsidR="00FB5052" w:rsidRPr="00ED0695" w:rsidRDefault="00FB5052" w:rsidP="00ED0695">
            <w:pPr>
              <w:pStyle w:val="Tabletext"/>
              <w:rPr>
                <w:b/>
              </w:rPr>
            </w:pPr>
            <w:r w:rsidRPr="00ED0695">
              <w:rPr>
                <w:b/>
              </w:rPr>
              <w:t>N</w:t>
            </w:r>
          </w:p>
          <w:p w:rsidR="00FB5052" w:rsidRPr="00ED0695" w:rsidRDefault="00FB5052" w:rsidP="00ED0695">
            <w:pPr>
              <w:pStyle w:val="Tabletext"/>
              <w:rPr>
                <w:b/>
              </w:rPr>
            </w:pPr>
            <w:r w:rsidRPr="00ED0695">
              <w:rPr>
                <w:b/>
              </w:rPr>
              <w:t>Follow-up period</w:t>
            </w:r>
          </w:p>
        </w:tc>
        <w:tc>
          <w:tcPr>
            <w:tcW w:w="3119" w:type="dxa"/>
            <w:gridSpan w:val="2"/>
            <w:shd w:val="clear" w:color="auto" w:fill="BFBFBF" w:themeFill="background1" w:themeFillShade="BF"/>
          </w:tcPr>
          <w:p w:rsidR="00FB5052" w:rsidRPr="00ED0695" w:rsidRDefault="00FB5052" w:rsidP="00ED0695">
            <w:pPr>
              <w:pStyle w:val="Tabletext"/>
              <w:jc w:val="center"/>
              <w:rPr>
                <w:b/>
              </w:rPr>
            </w:pPr>
            <w:r w:rsidRPr="00ED0695">
              <w:rPr>
                <w:b/>
              </w:rPr>
              <w:t xml:space="preserve">Mean baseline 6MWD (95% CI), </w:t>
            </w:r>
            <w:r w:rsidR="00503643">
              <w:rPr>
                <w:b/>
              </w:rPr>
              <w:t>metres</w:t>
            </w:r>
          </w:p>
        </w:tc>
        <w:tc>
          <w:tcPr>
            <w:tcW w:w="2764" w:type="dxa"/>
            <w:gridSpan w:val="2"/>
            <w:shd w:val="clear" w:color="auto" w:fill="BFBFBF" w:themeFill="background1" w:themeFillShade="BF"/>
          </w:tcPr>
          <w:p w:rsidR="00FB5052" w:rsidRPr="00ED0695" w:rsidRDefault="00FB5052" w:rsidP="00ED0695">
            <w:pPr>
              <w:pStyle w:val="Tabletext"/>
              <w:jc w:val="center"/>
              <w:rPr>
                <w:b/>
              </w:rPr>
            </w:pPr>
            <w:r w:rsidRPr="00ED0695">
              <w:rPr>
                <w:b/>
              </w:rPr>
              <w:t>Mean c</w:t>
            </w:r>
            <w:r w:rsidRPr="00ED0695">
              <w:rPr>
                <w:rFonts w:asciiTheme="minorHAnsi" w:hAnsiTheme="minorHAnsi"/>
                <w:b/>
              </w:rPr>
              <w:t xml:space="preserve">hange from baseline </w:t>
            </w:r>
            <w:r w:rsidR="00AD3645">
              <w:rPr>
                <w:rFonts w:asciiTheme="minorHAnsi" w:hAnsiTheme="minorHAnsi"/>
                <w:b/>
              </w:rPr>
              <w:br/>
            </w:r>
            <w:r w:rsidRPr="00ED0695">
              <w:rPr>
                <w:b/>
              </w:rPr>
              <w:t xml:space="preserve">(95% CI), </w:t>
            </w:r>
            <w:r w:rsidR="00503643">
              <w:rPr>
                <w:b/>
              </w:rPr>
              <w:t>metres</w:t>
            </w:r>
          </w:p>
        </w:tc>
        <w:tc>
          <w:tcPr>
            <w:tcW w:w="1366" w:type="dxa"/>
            <w:vMerge w:val="restart"/>
            <w:shd w:val="clear" w:color="auto" w:fill="BFBFBF" w:themeFill="background1" w:themeFillShade="BF"/>
          </w:tcPr>
          <w:p w:rsidR="00FB5052" w:rsidRPr="00ED0695" w:rsidRDefault="00FB5052" w:rsidP="00595E34">
            <w:pPr>
              <w:pStyle w:val="Tabletext"/>
              <w:jc w:val="center"/>
              <w:rPr>
                <w:b/>
              </w:rPr>
            </w:pPr>
            <w:r w:rsidRPr="00ED0695">
              <w:rPr>
                <w:b/>
              </w:rPr>
              <w:t>Mean d</w:t>
            </w:r>
            <w:r w:rsidRPr="00ED0695">
              <w:rPr>
                <w:rFonts w:asciiTheme="minorHAnsi" w:hAnsiTheme="minorHAnsi"/>
                <w:b/>
              </w:rPr>
              <w:t xml:space="preserve">ifference </w:t>
            </w:r>
            <w:r w:rsidRPr="00ED0695">
              <w:rPr>
                <w:b/>
              </w:rPr>
              <w:t xml:space="preserve">(95% CI), </w:t>
            </w:r>
            <w:r w:rsidR="00595E34" w:rsidRPr="00AE77DC">
              <w:rPr>
                <w:b/>
              </w:rPr>
              <w:t>met</w:t>
            </w:r>
            <w:r w:rsidR="00595E34">
              <w:rPr>
                <w:b/>
              </w:rPr>
              <w:t>res</w:t>
            </w:r>
          </w:p>
        </w:tc>
      </w:tr>
      <w:tr w:rsidR="00FB5052" w:rsidTr="00ED0695">
        <w:tc>
          <w:tcPr>
            <w:tcW w:w="1271" w:type="dxa"/>
            <w:vMerge/>
          </w:tcPr>
          <w:p w:rsidR="00FB5052" w:rsidRDefault="00FB5052" w:rsidP="00ED0695">
            <w:pPr>
              <w:pStyle w:val="Tabletext"/>
            </w:pPr>
          </w:p>
        </w:tc>
        <w:tc>
          <w:tcPr>
            <w:tcW w:w="1134" w:type="dxa"/>
            <w:vMerge/>
          </w:tcPr>
          <w:p w:rsidR="00FB5052" w:rsidRDefault="00FB5052" w:rsidP="00ED0695">
            <w:pPr>
              <w:pStyle w:val="Tabletext"/>
            </w:pPr>
          </w:p>
        </w:tc>
        <w:tc>
          <w:tcPr>
            <w:tcW w:w="1559" w:type="dxa"/>
            <w:shd w:val="clear" w:color="auto" w:fill="BFBFBF" w:themeFill="background1" w:themeFillShade="BF"/>
          </w:tcPr>
          <w:p w:rsidR="00FB5052" w:rsidRPr="00ED0695" w:rsidRDefault="00237FAE" w:rsidP="00ED0695">
            <w:pPr>
              <w:pStyle w:val="Tabletext"/>
              <w:jc w:val="center"/>
              <w:rPr>
                <w:b/>
              </w:rPr>
            </w:pPr>
            <w:r>
              <w:rPr>
                <w:b/>
              </w:rPr>
              <w:t>ERA</w:t>
            </w:r>
          </w:p>
        </w:tc>
        <w:tc>
          <w:tcPr>
            <w:tcW w:w="1560" w:type="dxa"/>
            <w:shd w:val="clear" w:color="auto" w:fill="BFBFBF" w:themeFill="background1" w:themeFillShade="BF"/>
          </w:tcPr>
          <w:p w:rsidR="00FB5052" w:rsidRPr="00ED0695" w:rsidRDefault="00FB5052" w:rsidP="00ED0695">
            <w:pPr>
              <w:pStyle w:val="Tabletext"/>
              <w:jc w:val="center"/>
              <w:rPr>
                <w:b/>
              </w:rPr>
            </w:pPr>
            <w:r w:rsidRPr="00ED0695">
              <w:rPr>
                <w:rFonts w:asciiTheme="minorHAnsi" w:hAnsiTheme="minorHAnsi"/>
                <w:b/>
              </w:rPr>
              <w:t>Placebo</w:t>
            </w:r>
          </w:p>
        </w:tc>
        <w:tc>
          <w:tcPr>
            <w:tcW w:w="1417" w:type="dxa"/>
            <w:shd w:val="clear" w:color="auto" w:fill="BFBFBF" w:themeFill="background1" w:themeFillShade="BF"/>
          </w:tcPr>
          <w:p w:rsidR="00FB5052" w:rsidRPr="00ED0695" w:rsidRDefault="00237FAE" w:rsidP="00ED0695">
            <w:pPr>
              <w:pStyle w:val="Tabletext"/>
              <w:jc w:val="center"/>
              <w:rPr>
                <w:b/>
              </w:rPr>
            </w:pPr>
            <w:r>
              <w:rPr>
                <w:b/>
              </w:rPr>
              <w:t>ERA</w:t>
            </w:r>
          </w:p>
        </w:tc>
        <w:tc>
          <w:tcPr>
            <w:tcW w:w="1347" w:type="dxa"/>
            <w:shd w:val="clear" w:color="auto" w:fill="BFBFBF" w:themeFill="background1" w:themeFillShade="BF"/>
          </w:tcPr>
          <w:p w:rsidR="00FB5052" w:rsidRPr="00ED0695" w:rsidRDefault="00FB5052" w:rsidP="00ED0695">
            <w:pPr>
              <w:pStyle w:val="Tabletext"/>
              <w:jc w:val="center"/>
              <w:rPr>
                <w:b/>
              </w:rPr>
            </w:pPr>
            <w:r w:rsidRPr="00ED0695">
              <w:rPr>
                <w:rFonts w:asciiTheme="minorHAnsi" w:hAnsiTheme="minorHAnsi"/>
                <w:b/>
              </w:rPr>
              <w:t>Placebo</w:t>
            </w:r>
          </w:p>
        </w:tc>
        <w:tc>
          <w:tcPr>
            <w:tcW w:w="1366" w:type="dxa"/>
            <w:vMerge/>
          </w:tcPr>
          <w:p w:rsidR="00FB5052" w:rsidRDefault="00FB5052" w:rsidP="00ED0695">
            <w:pPr>
              <w:pStyle w:val="Tabletext"/>
            </w:pPr>
          </w:p>
        </w:tc>
      </w:tr>
      <w:tr w:rsidR="00FB5052" w:rsidTr="00ED0695">
        <w:tc>
          <w:tcPr>
            <w:tcW w:w="1271" w:type="dxa"/>
          </w:tcPr>
          <w:p w:rsidR="00FB5052" w:rsidRPr="00F05153" w:rsidRDefault="00FB5052" w:rsidP="00ED0695">
            <w:pPr>
              <w:pStyle w:val="Tabletext"/>
              <w:rPr>
                <w:rFonts w:cs="Tahoma"/>
              </w:rPr>
            </w:pPr>
            <w:r w:rsidRPr="00F05153">
              <w:rPr>
                <w:rFonts w:cs="Tahoma"/>
              </w:rPr>
              <w:t>EARLY CSR and</w:t>
            </w:r>
            <w:r w:rsidRPr="00F05153">
              <w:t xml:space="preserve"> </w:t>
            </w:r>
            <w:r w:rsidRPr="00F05153">
              <w:rPr>
                <w:rFonts w:cs="Tahoma"/>
              </w:rPr>
              <w:t>Galiè et al. 2008</w:t>
            </w:r>
            <w:r w:rsidR="001D34EE" w:rsidRPr="00F05153">
              <w:rPr>
                <w:rFonts w:cs="Tahoma"/>
                <w:noProof/>
                <w:vertAlign w:val="superscript"/>
              </w:rPr>
              <w:t>9</w:t>
            </w:r>
          </w:p>
          <w:p w:rsidR="00FB5052" w:rsidRPr="00F05153" w:rsidRDefault="00FB5052" w:rsidP="00ED0695">
            <w:pPr>
              <w:pStyle w:val="Tabletext"/>
            </w:pPr>
            <w:r w:rsidRPr="00F05153">
              <w:rPr>
                <w:rFonts w:cs="Tahoma"/>
              </w:rPr>
              <w:t>Bosentan</w:t>
            </w:r>
          </w:p>
        </w:tc>
        <w:tc>
          <w:tcPr>
            <w:tcW w:w="1134" w:type="dxa"/>
          </w:tcPr>
          <w:p w:rsidR="00FB5052" w:rsidRPr="00F05153" w:rsidRDefault="00FB5052" w:rsidP="00ED0695">
            <w:pPr>
              <w:pStyle w:val="Tabletext"/>
              <w:rPr>
                <w:rFonts w:cs="Tahoma"/>
              </w:rPr>
            </w:pPr>
            <w:r w:rsidRPr="00F05153">
              <w:rPr>
                <w:rFonts w:cs="Tahoma"/>
              </w:rPr>
              <w:t>N=149</w:t>
            </w:r>
          </w:p>
          <w:p w:rsidR="00FB5052" w:rsidRPr="00F05153" w:rsidRDefault="00FB5052" w:rsidP="00ED0695">
            <w:pPr>
              <w:pStyle w:val="Tabletext"/>
            </w:pPr>
            <w:r w:rsidRPr="00F05153">
              <w:rPr>
                <w:rFonts w:cs="Tahoma"/>
              </w:rPr>
              <w:t>6 months</w:t>
            </w:r>
          </w:p>
        </w:tc>
        <w:tc>
          <w:tcPr>
            <w:tcW w:w="1559" w:type="dxa"/>
          </w:tcPr>
          <w:p w:rsidR="00FB5052" w:rsidRPr="002046A0" w:rsidRDefault="002046A0" w:rsidP="00ED0695">
            <w:pPr>
              <w:pStyle w:val="Tabletext"/>
              <w:jc w:val="center"/>
              <w:rPr>
                <w:highlight w:val="black"/>
              </w:rPr>
            </w:pPr>
            <w:r>
              <w:rPr>
                <w:rFonts w:cs="Tahoma"/>
                <w:noProof/>
                <w:color w:val="000000"/>
                <w:highlight w:val="black"/>
              </w:rPr>
              <w:t>'''''''''''''' '''''''''''''''' ''''''''''''''''</w:t>
            </w:r>
          </w:p>
        </w:tc>
        <w:tc>
          <w:tcPr>
            <w:tcW w:w="1560" w:type="dxa"/>
          </w:tcPr>
          <w:p w:rsidR="00FB5052" w:rsidRPr="002046A0" w:rsidRDefault="002046A0" w:rsidP="00ED0695">
            <w:pPr>
              <w:pStyle w:val="Tabletext"/>
              <w:jc w:val="center"/>
              <w:rPr>
                <w:highlight w:val="black"/>
              </w:rPr>
            </w:pPr>
            <w:r>
              <w:rPr>
                <w:rFonts w:cs="Tahoma"/>
                <w:noProof/>
                <w:color w:val="000000"/>
                <w:highlight w:val="black"/>
              </w:rPr>
              <w:t>'''''''''''' '''''''''''''''' ''''''''''''''</w:t>
            </w:r>
          </w:p>
        </w:tc>
        <w:tc>
          <w:tcPr>
            <w:tcW w:w="1417" w:type="dxa"/>
          </w:tcPr>
          <w:p w:rsidR="00FB5052" w:rsidRPr="002046A0" w:rsidRDefault="002046A0" w:rsidP="00ED0695">
            <w:pPr>
              <w:pStyle w:val="Tabletext"/>
              <w:jc w:val="center"/>
              <w:rPr>
                <w:highlight w:val="black"/>
              </w:rPr>
            </w:pPr>
            <w:r>
              <w:rPr>
                <w:rFonts w:cs="Tahoma"/>
                <w:noProof/>
                <w:color w:val="000000"/>
                <w:highlight w:val="black"/>
              </w:rPr>
              <w:t>'''''''''''' ''''''''''' '''''''''''''</w:t>
            </w:r>
          </w:p>
        </w:tc>
        <w:tc>
          <w:tcPr>
            <w:tcW w:w="1347" w:type="dxa"/>
          </w:tcPr>
          <w:p w:rsidR="00FB5052" w:rsidRPr="002046A0" w:rsidRDefault="002046A0" w:rsidP="00ED0695">
            <w:pPr>
              <w:pStyle w:val="Tabletext"/>
              <w:jc w:val="center"/>
              <w:rPr>
                <w:highlight w:val="black"/>
              </w:rPr>
            </w:pPr>
            <w:r>
              <w:rPr>
                <w:rFonts w:cs="Tahoma"/>
                <w:noProof/>
                <w:color w:val="000000"/>
                <w:highlight w:val="black"/>
              </w:rPr>
              <w:t>'''''''''' '''''''''''''''' '''''''''''''</w:t>
            </w:r>
          </w:p>
        </w:tc>
        <w:tc>
          <w:tcPr>
            <w:tcW w:w="1366" w:type="dxa"/>
          </w:tcPr>
          <w:p w:rsidR="00FB5052" w:rsidRDefault="00FB5052" w:rsidP="00ED0695">
            <w:pPr>
              <w:pStyle w:val="Tabletext"/>
              <w:jc w:val="center"/>
            </w:pPr>
            <w:r w:rsidRPr="00F05153">
              <w:rPr>
                <w:rFonts w:cs="Tahoma"/>
              </w:rPr>
              <w:t>25.7 (3.8, 47.6)</w:t>
            </w:r>
          </w:p>
        </w:tc>
      </w:tr>
    </w:tbl>
    <w:p w:rsidR="008A5D9B" w:rsidRPr="006316DF" w:rsidRDefault="00FB5052" w:rsidP="00ED0695">
      <w:pPr>
        <w:pStyle w:val="Tablenote"/>
      </w:pPr>
      <w:r w:rsidRPr="006316DF">
        <w:t xml:space="preserve">6MWD = 6-minute </w:t>
      </w:r>
      <w:r w:rsidR="0082368E">
        <w:t>walk distance</w:t>
      </w:r>
      <w:r w:rsidRPr="006316DF">
        <w:t xml:space="preserve">; CI = confidence interval; CSR = clinical study report; </w:t>
      </w:r>
      <w:r w:rsidR="008A5D9B" w:rsidRPr="009E3B52">
        <w:t xml:space="preserve">ERA = endothelin receptor antagonist; </w:t>
      </w:r>
      <w:r w:rsidR="008A5D9B" w:rsidRPr="006F774E">
        <w:t xml:space="preserve">FC = functional class; </w:t>
      </w:r>
      <w:r w:rsidRPr="006316DF">
        <w:t>n = number of events; N = number of patients</w:t>
      </w:r>
      <w:r w:rsidR="008A5D9B" w:rsidRPr="00F20C66">
        <w:t xml:space="preserve">; </w:t>
      </w:r>
      <w:r w:rsidR="008A5D9B" w:rsidRPr="009E3B52">
        <w:t>WHO = World Health Organization</w:t>
      </w:r>
    </w:p>
    <w:p w:rsidR="00FB5052" w:rsidRPr="006316DF" w:rsidRDefault="00FB5052" w:rsidP="008F58B5">
      <w:pPr>
        <w:spacing w:after="40"/>
        <w:jc w:val="center"/>
      </w:pPr>
      <w:r>
        <w:rPr>
          <w:noProof/>
          <w:lang w:eastAsia="en-AU"/>
        </w:rPr>
        <w:drawing>
          <wp:inline distT="0" distB="0" distL="0" distR="0" wp14:anchorId="2B5E5AF6" wp14:editId="5DD46456">
            <wp:extent cx="2825086" cy="2017386"/>
            <wp:effectExtent l="0" t="0" r="0" b="2540"/>
            <wp:docPr id="41" name="Picture 41" descr="The result showed that the 6MWD significantly improved in both ambrisentan-treated groups by more than 40 m" title="The change in 6MWD from baseline to 12 weeks in patients with WHO FC I/II PAH by ambrisentan dose or placebo (ARIES-1&a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5518" cy="2031977"/>
                    </a:xfrm>
                    <a:prstGeom prst="rect">
                      <a:avLst/>
                    </a:prstGeom>
                    <a:noFill/>
                  </pic:spPr>
                </pic:pic>
              </a:graphicData>
            </a:graphic>
          </wp:inline>
        </w:drawing>
      </w:r>
    </w:p>
    <w:p w:rsidR="00FB5052" w:rsidRPr="006316DF" w:rsidRDefault="00ED0695" w:rsidP="00BC5A2B">
      <w:pPr>
        <w:pStyle w:val="Caption"/>
      </w:pPr>
      <w:bookmarkStart w:id="116" w:name="_Ref505961471"/>
      <w:bookmarkStart w:id="117" w:name="_Toc38360470"/>
      <w:r>
        <w:t>Figure 4.</w:t>
      </w:r>
      <w:r w:rsidR="003951FA">
        <w:rPr>
          <w:noProof/>
        </w:rPr>
        <w:t>4</w:t>
      </w:r>
      <w:bookmarkEnd w:id="116"/>
      <w:r>
        <w:tab/>
      </w:r>
      <w:r w:rsidR="00FB5052" w:rsidRPr="006316DF">
        <w:t xml:space="preserve">The change </w:t>
      </w:r>
      <w:proofErr w:type="gramStart"/>
      <w:r w:rsidR="00FB5052" w:rsidRPr="006316DF">
        <w:t xml:space="preserve">in 6MWD from baseline to 12 weeks </w:t>
      </w:r>
      <w:r w:rsidR="00FB5052">
        <w:t xml:space="preserve">in </w:t>
      </w:r>
      <w:r w:rsidR="00FB5052" w:rsidRPr="006316DF">
        <w:t>patients with WHO FC I/II PAH by ambrisentan dose or placebo</w:t>
      </w:r>
      <w:proofErr w:type="gramEnd"/>
      <w:r w:rsidR="00FB5052" w:rsidRPr="006316DF">
        <w:t xml:space="preserve"> (ARIES-1&amp;2)</w:t>
      </w:r>
      <w:bookmarkEnd w:id="117"/>
    </w:p>
    <w:p w:rsidR="00FB5052" w:rsidRDefault="00FB5052" w:rsidP="00ED0695">
      <w:pPr>
        <w:pStyle w:val="Tablenote"/>
      </w:pPr>
      <w:r w:rsidRPr="00CA61D0">
        <w:t>*</w:t>
      </w:r>
      <w:r>
        <w:t xml:space="preserve"> </w:t>
      </w:r>
      <w:proofErr w:type="gramStart"/>
      <w:r>
        <w:t>p</w:t>
      </w:r>
      <w:proofErr w:type="gramEnd"/>
      <w:r>
        <w:t xml:space="preserve"> &lt; 0.05; </w:t>
      </w:r>
      <w:r w:rsidRPr="008A5D9B">
        <w:rPr>
          <w:vertAlign w:val="superscript"/>
        </w:rPr>
        <w:t>§</w:t>
      </w:r>
      <w:r>
        <w:t xml:space="preserve"> </w:t>
      </w:r>
      <w:r w:rsidRPr="006316DF">
        <w:t>p &lt; 0.001</w:t>
      </w:r>
    </w:p>
    <w:p w:rsidR="00FB5052" w:rsidRPr="006316DF" w:rsidRDefault="00FB5052" w:rsidP="00ED0695">
      <w:pPr>
        <w:pStyle w:val="Tablenote"/>
      </w:pPr>
      <w:r>
        <w:t>Note: The 10 mg ambrisentan dose versus placebo is the relevant comparison for this review</w:t>
      </w:r>
    </w:p>
    <w:p w:rsidR="00AD3645" w:rsidRDefault="00AD3645" w:rsidP="00AD3645">
      <w:pPr>
        <w:pStyle w:val="Tablenote"/>
      </w:pPr>
      <w:r w:rsidRPr="009E3B52">
        <w:t xml:space="preserve">6MWD = 6-minute </w:t>
      </w:r>
      <w:r>
        <w:t>walk distance</w:t>
      </w:r>
      <w:r w:rsidRPr="009E3B52">
        <w:t>;</w:t>
      </w:r>
      <w:r w:rsidRPr="008A5D9B">
        <w:t xml:space="preserve"> </w:t>
      </w:r>
      <w:r w:rsidRPr="006F774E">
        <w:t>FC = functional class;</w:t>
      </w:r>
      <w:r w:rsidRPr="008A5D9B">
        <w:t xml:space="preserve"> </w:t>
      </w:r>
      <w:r w:rsidRPr="009E3B52">
        <w:t>PAH = pulmonary arterial hypertension</w:t>
      </w:r>
      <w:r w:rsidRPr="00F20C66">
        <w:t xml:space="preserve">; </w:t>
      </w:r>
      <w:r w:rsidRPr="009E3B52">
        <w:t>WHO = World Health Organization</w:t>
      </w:r>
    </w:p>
    <w:p w:rsidR="00FB5052" w:rsidRDefault="00FB5052" w:rsidP="00ED0695">
      <w:pPr>
        <w:pStyle w:val="Tablenote"/>
      </w:pPr>
      <w:r w:rsidRPr="006316DF">
        <w:t xml:space="preserve">Source: Chin </w:t>
      </w:r>
      <w:r>
        <w:t>et al. (2014)</w:t>
      </w:r>
      <w:r w:rsidR="001D34EE" w:rsidRPr="001A1C44">
        <w:rPr>
          <w:noProof/>
          <w:vertAlign w:val="superscript"/>
        </w:rPr>
        <w:t>33</w:t>
      </w:r>
    </w:p>
    <w:p w:rsidR="00FB5052" w:rsidRPr="006316DF" w:rsidRDefault="00EE09B2" w:rsidP="00FB5052">
      <w:pPr>
        <w:pStyle w:val="Heading5"/>
      </w:pPr>
      <w:r>
        <w:t>f</w:t>
      </w:r>
      <w:r w:rsidR="0077344D">
        <w:t>.</w:t>
      </w:r>
      <w:r>
        <w:tab/>
      </w:r>
      <w:r w:rsidR="00FB5052">
        <w:t>Change in QoL</w:t>
      </w:r>
      <w:r w:rsidR="007B6C7C">
        <w:t xml:space="preserve"> from baseline</w:t>
      </w:r>
    </w:p>
    <w:p w:rsidR="00FB5052" w:rsidRPr="006316DF" w:rsidRDefault="00FB5052" w:rsidP="00FB5052">
      <w:pPr>
        <w:spacing w:before="60" w:after="60"/>
      </w:pPr>
      <w:r w:rsidRPr="006316DF">
        <w:t xml:space="preserve">No </w:t>
      </w:r>
      <w:r>
        <w:t>QoL</w:t>
      </w:r>
      <w:r w:rsidRPr="006316DF">
        <w:t xml:space="preserve"> outcomes </w:t>
      </w:r>
      <w:proofErr w:type="gramStart"/>
      <w:r w:rsidRPr="006316DF">
        <w:t>were reported</w:t>
      </w:r>
      <w:proofErr w:type="gramEnd"/>
      <w:r w:rsidRPr="006316DF">
        <w:t xml:space="preserve"> for WHO FC I/II PAH patients.</w:t>
      </w:r>
    </w:p>
    <w:p w:rsidR="00EE09B2" w:rsidRPr="006316DF" w:rsidRDefault="00EE09B2" w:rsidP="00EE09B2">
      <w:pPr>
        <w:pStyle w:val="Heading5"/>
      </w:pPr>
      <w:r>
        <w:t>g.</w:t>
      </w:r>
      <w:r>
        <w:tab/>
      </w:r>
      <w:r w:rsidRPr="006316DF">
        <w:t xml:space="preserve">Change in </w:t>
      </w:r>
      <w:r>
        <w:t>haemodynamic parameters</w:t>
      </w:r>
      <w:r w:rsidRPr="006316DF">
        <w:t xml:space="preserve"> from baseline</w:t>
      </w:r>
    </w:p>
    <w:p w:rsidR="00EE09B2" w:rsidRPr="00F05153" w:rsidRDefault="00EE09B2" w:rsidP="00EE09B2">
      <w:r w:rsidRPr="00417074">
        <w:t xml:space="preserve">The ARIES-1&amp;2 </w:t>
      </w:r>
      <w:r w:rsidRPr="00DE3558">
        <w:t xml:space="preserve">and SERAPHIN </w:t>
      </w:r>
      <w:r w:rsidRPr="00417074">
        <w:t>trial</w:t>
      </w:r>
      <w:r>
        <w:t>s</w:t>
      </w:r>
      <w:r w:rsidRPr="00417074">
        <w:t xml:space="preserve"> did not report on the mean difference in haemodynamic parameters for treatment-naïve patients with WHO FC I/II PAH</w:t>
      </w:r>
      <w:r w:rsidRPr="006316DF">
        <w:t>. After 6 months of bosentan treatment</w:t>
      </w:r>
      <w:r w:rsidRPr="00544FB4">
        <w:t xml:space="preserve"> </w:t>
      </w:r>
      <w:r w:rsidRPr="006316DF">
        <w:t>in the EARLY study, treatment-naïve patients</w:t>
      </w:r>
      <w:r>
        <w:t xml:space="preserve"> with WHO FC I/II PAH</w:t>
      </w:r>
      <w:r w:rsidRPr="006316DF">
        <w:t xml:space="preserve"> had a </w:t>
      </w:r>
      <w:r w:rsidRPr="007E658F">
        <w:t xml:space="preserve">statistically </w:t>
      </w:r>
      <w:r w:rsidRPr="00F05153">
        <w:t>significant mean placebo-adjusted decrease in PVR of 23.1% (</w:t>
      </w:r>
      <w:r w:rsidR="00EC19E0" w:rsidRPr="00F05153">
        <w:t>Table 4.</w:t>
      </w:r>
      <w:r w:rsidR="00EC19E0">
        <w:t>33</w:t>
      </w:r>
      <w:r w:rsidRPr="00F05153">
        <w:t>). As the normal laboratory PVR in adults is &lt;250 dyn</w:t>
      </w:r>
      <w:r w:rsidR="004776AC" w:rsidRPr="00F05153">
        <w:t>*</w:t>
      </w:r>
      <w:r w:rsidRPr="00F05153">
        <w:t>sec</w:t>
      </w:r>
      <w:r w:rsidR="004776AC" w:rsidRPr="00F05153">
        <w:t>*</w:t>
      </w:r>
      <w:r w:rsidRPr="00F05153">
        <w:t>cm</w:t>
      </w:r>
      <w:r w:rsidR="004776AC" w:rsidRPr="00F05153">
        <w:rPr>
          <w:vertAlign w:val="superscript"/>
        </w:rPr>
        <w:t>-</w:t>
      </w:r>
      <w:r w:rsidRPr="00F05153">
        <w:rPr>
          <w:vertAlign w:val="superscript"/>
        </w:rPr>
        <w:t>5</w:t>
      </w:r>
      <w:r w:rsidRPr="00F05153">
        <w:t xml:space="preserve">, </w:t>
      </w:r>
      <w:r w:rsidR="002046A0">
        <w:rPr>
          <w:noProof/>
          <w:color w:val="000000"/>
          <w:highlight w:val="black"/>
        </w:rPr>
        <w:t>''''''' '''''''''''''''''' '''' '''''' '''''''''''''''''''''''''</w:t>
      </w:r>
      <w:r w:rsidRPr="00F05153">
        <w:t xml:space="preserve"> </w:t>
      </w:r>
      <w:r w:rsidR="007E658F" w:rsidRPr="00F05153">
        <w:t xml:space="preserve">seen in the ERA group </w:t>
      </w:r>
      <w:r w:rsidR="002046A0">
        <w:rPr>
          <w:noProof/>
          <w:color w:val="000000"/>
          <w:highlight w:val="black"/>
        </w:rPr>
        <w:t>''''''''</w:t>
      </w:r>
      <w:r w:rsidRPr="00F05153">
        <w:t xml:space="preserve"> </w:t>
      </w:r>
      <w:r w:rsidR="002046A0">
        <w:rPr>
          <w:noProof/>
          <w:color w:val="000000"/>
          <w:highlight w:val="black"/>
        </w:rPr>
        <w:t>'''''' ''''' ''''''''''''''''' '''''''''''''''''''</w:t>
      </w:r>
      <w:r w:rsidR="007E658F" w:rsidRPr="00F05153">
        <w:t xml:space="preserve">, but due to the </w:t>
      </w:r>
      <w:r w:rsidR="002046A0">
        <w:rPr>
          <w:noProof/>
          <w:color w:val="000000"/>
          <w:highlight w:val="black"/>
        </w:rPr>
        <w:t>'''''''''' '''''''''''''''' '''''''' ''' '''''' ''''''''''''''''</w:t>
      </w:r>
      <w:r w:rsidR="007E658F" w:rsidRPr="00F05153">
        <w:t xml:space="preserve"> group,</w:t>
      </w:r>
      <w:r w:rsidRPr="00F05153">
        <w:t xml:space="preserve"> the overall placebo-adjusted mean difference of 23.1% may be clinically important.</w:t>
      </w:r>
    </w:p>
    <w:p w:rsidR="00EE09B2" w:rsidRPr="00F05153" w:rsidRDefault="00EE09B2" w:rsidP="00BC5A2B">
      <w:pPr>
        <w:pStyle w:val="Caption"/>
      </w:pPr>
      <w:bookmarkStart w:id="118" w:name="_Ref505961144"/>
      <w:bookmarkStart w:id="119" w:name="_Toc38360330"/>
      <w:r w:rsidRPr="00F05153">
        <w:t>Table 4.</w:t>
      </w:r>
      <w:r w:rsidR="003951FA">
        <w:rPr>
          <w:noProof/>
        </w:rPr>
        <w:t>33</w:t>
      </w:r>
      <w:bookmarkEnd w:id="118"/>
      <w:r w:rsidRPr="00F05153">
        <w:tab/>
        <w:t>The effectiveness of an ERA compared with placebo in improving PVR in patients with WHO FC I/II PAH</w:t>
      </w:r>
      <w:bookmarkEnd w:id="119"/>
    </w:p>
    <w:tbl>
      <w:tblPr>
        <w:tblStyle w:val="TableGrid"/>
        <w:tblW w:w="0" w:type="auto"/>
        <w:tblLayout w:type="fixed"/>
        <w:tblLook w:val="04A0" w:firstRow="1" w:lastRow="0" w:firstColumn="1" w:lastColumn="0" w:noHBand="0" w:noVBand="1"/>
        <w:tblCaption w:val="The effectiveness of an ERA compared with placebo in improving PVR in patients with WHO FC I/II PAH"/>
      </w:tblPr>
      <w:tblGrid>
        <w:gridCol w:w="1271"/>
        <w:gridCol w:w="1134"/>
        <w:gridCol w:w="1346"/>
        <w:gridCol w:w="1347"/>
        <w:gridCol w:w="1560"/>
        <w:gridCol w:w="1559"/>
        <w:gridCol w:w="1366"/>
      </w:tblGrid>
      <w:tr w:rsidR="00EE09B2" w:rsidRPr="00F05153" w:rsidTr="00BC5A2B">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EE09B2" w:rsidRPr="00F05153" w:rsidRDefault="00EE09B2" w:rsidP="00BC5A2B">
            <w:pPr>
              <w:pStyle w:val="Tabletext"/>
              <w:rPr>
                <w:b/>
              </w:rPr>
            </w:pPr>
            <w:r w:rsidRPr="00F05153">
              <w:rPr>
                <w:b/>
              </w:rPr>
              <w:t>Study ID</w:t>
            </w:r>
          </w:p>
          <w:p w:rsidR="00EE09B2" w:rsidRPr="00F05153" w:rsidRDefault="00EE09B2" w:rsidP="00BC5A2B">
            <w:pPr>
              <w:pStyle w:val="Tabletext"/>
              <w:rPr>
                <w:b/>
              </w:rPr>
            </w:pPr>
            <w:r w:rsidRPr="00F05153">
              <w:rPr>
                <w:b/>
              </w:rPr>
              <w:t>ERA</w:t>
            </w:r>
          </w:p>
        </w:tc>
        <w:tc>
          <w:tcPr>
            <w:tcW w:w="1134" w:type="dxa"/>
            <w:vMerge w:val="restart"/>
            <w:shd w:val="clear" w:color="auto" w:fill="BFBFBF" w:themeFill="background1" w:themeFillShade="BF"/>
          </w:tcPr>
          <w:p w:rsidR="00EE09B2" w:rsidRPr="00F05153" w:rsidRDefault="00EE09B2" w:rsidP="00BC5A2B">
            <w:pPr>
              <w:pStyle w:val="Tabletext"/>
              <w:rPr>
                <w:b/>
              </w:rPr>
            </w:pPr>
            <w:r w:rsidRPr="00F05153">
              <w:rPr>
                <w:b/>
              </w:rPr>
              <w:t>N</w:t>
            </w:r>
          </w:p>
          <w:p w:rsidR="00EE09B2" w:rsidRPr="00F05153" w:rsidRDefault="00EE09B2" w:rsidP="00BC5A2B">
            <w:pPr>
              <w:pStyle w:val="Tabletext"/>
              <w:rPr>
                <w:b/>
              </w:rPr>
            </w:pPr>
            <w:r w:rsidRPr="00F05153">
              <w:rPr>
                <w:b/>
              </w:rPr>
              <w:t>Follow-up period</w:t>
            </w:r>
          </w:p>
        </w:tc>
        <w:tc>
          <w:tcPr>
            <w:tcW w:w="2693" w:type="dxa"/>
            <w:gridSpan w:val="2"/>
            <w:shd w:val="clear" w:color="auto" w:fill="BFBFBF" w:themeFill="background1" w:themeFillShade="BF"/>
          </w:tcPr>
          <w:p w:rsidR="00EE09B2" w:rsidRPr="00F05153" w:rsidRDefault="00EE09B2" w:rsidP="001424AA">
            <w:pPr>
              <w:pStyle w:val="Tabletext"/>
              <w:jc w:val="center"/>
              <w:rPr>
                <w:b/>
              </w:rPr>
            </w:pPr>
            <w:r w:rsidRPr="00F05153">
              <w:rPr>
                <w:b/>
              </w:rPr>
              <w:t>Mean baseline PVR</w:t>
            </w:r>
            <w:r w:rsidR="002B11BF" w:rsidRPr="00F05153">
              <w:rPr>
                <w:b/>
                <w:vertAlign w:val="superscript"/>
              </w:rPr>
              <w:t>a</w:t>
            </w:r>
            <w:r w:rsidRPr="00F05153">
              <w:rPr>
                <w:b/>
              </w:rPr>
              <w:t xml:space="preserve"> (95% CI), dyn</w:t>
            </w:r>
            <w:r w:rsidR="001424AA" w:rsidRPr="00F05153">
              <w:rPr>
                <w:b/>
              </w:rPr>
              <w:t>*</w:t>
            </w:r>
            <w:r w:rsidRPr="00F05153">
              <w:rPr>
                <w:b/>
              </w:rPr>
              <w:t>sec</w:t>
            </w:r>
            <w:r w:rsidR="001424AA" w:rsidRPr="00F05153">
              <w:rPr>
                <w:b/>
              </w:rPr>
              <w:t>*</w:t>
            </w:r>
            <w:r w:rsidRPr="00F05153">
              <w:rPr>
                <w:b/>
              </w:rPr>
              <w:t>cm</w:t>
            </w:r>
            <w:r w:rsidR="001424AA" w:rsidRPr="00F05153">
              <w:rPr>
                <w:b/>
                <w:vertAlign w:val="superscript"/>
              </w:rPr>
              <w:t>-</w:t>
            </w:r>
            <w:r w:rsidRPr="00F05153">
              <w:rPr>
                <w:b/>
                <w:vertAlign w:val="superscript"/>
              </w:rPr>
              <w:t>5</w:t>
            </w:r>
          </w:p>
        </w:tc>
        <w:tc>
          <w:tcPr>
            <w:tcW w:w="3119" w:type="dxa"/>
            <w:gridSpan w:val="2"/>
            <w:shd w:val="clear" w:color="auto" w:fill="BFBFBF" w:themeFill="background1" w:themeFillShade="BF"/>
          </w:tcPr>
          <w:p w:rsidR="00EE09B2" w:rsidRPr="00F05153" w:rsidRDefault="00EE09B2" w:rsidP="002B11BF">
            <w:pPr>
              <w:pStyle w:val="Tabletext"/>
              <w:jc w:val="center"/>
              <w:rPr>
                <w:b/>
              </w:rPr>
            </w:pPr>
            <w:r w:rsidRPr="00F05153">
              <w:rPr>
                <w:b/>
              </w:rPr>
              <w:t>Mean c</w:t>
            </w:r>
            <w:r w:rsidRPr="00F05153">
              <w:rPr>
                <w:rFonts w:asciiTheme="minorHAnsi" w:hAnsiTheme="minorHAnsi"/>
                <w:b/>
              </w:rPr>
              <w:t xml:space="preserve">hange from baseline </w:t>
            </w:r>
            <w:r w:rsidRPr="00F05153">
              <w:rPr>
                <w:b/>
              </w:rPr>
              <w:t xml:space="preserve">(95% CI), </w:t>
            </w:r>
            <w:r w:rsidR="00747709" w:rsidRPr="00F05153">
              <w:rPr>
                <w:b/>
              </w:rPr>
              <w:t>dyn*sec*cm</w:t>
            </w:r>
            <w:r w:rsidR="00747709" w:rsidRPr="00F05153">
              <w:rPr>
                <w:b/>
                <w:vertAlign w:val="superscript"/>
              </w:rPr>
              <w:t>-5</w:t>
            </w:r>
            <w:r w:rsidR="00747709" w:rsidRPr="00F05153">
              <w:rPr>
                <w:b/>
              </w:rPr>
              <w:t xml:space="preserve"> </w:t>
            </w:r>
            <w:r w:rsidR="00E6350D" w:rsidRPr="00F05153">
              <w:rPr>
                <w:b/>
              </w:rPr>
              <w:t>[</w:t>
            </w:r>
            <w:r w:rsidR="00237FAE" w:rsidRPr="00F05153">
              <w:rPr>
                <w:b/>
              </w:rPr>
              <w:t>%</w:t>
            </w:r>
            <w:r w:rsidR="00E6350D" w:rsidRPr="00F05153">
              <w:rPr>
                <w:b/>
              </w:rPr>
              <w:t xml:space="preserve"> change from baseline]</w:t>
            </w:r>
          </w:p>
        </w:tc>
        <w:tc>
          <w:tcPr>
            <w:tcW w:w="1366" w:type="dxa"/>
            <w:vMerge w:val="restart"/>
            <w:shd w:val="clear" w:color="auto" w:fill="BFBFBF" w:themeFill="background1" w:themeFillShade="BF"/>
          </w:tcPr>
          <w:p w:rsidR="00EE09B2" w:rsidRPr="00F05153" w:rsidRDefault="00EE09B2" w:rsidP="00BC5A2B">
            <w:pPr>
              <w:pStyle w:val="Tabletext"/>
              <w:jc w:val="center"/>
              <w:rPr>
                <w:b/>
              </w:rPr>
            </w:pPr>
            <w:r w:rsidRPr="00F05153">
              <w:rPr>
                <w:b/>
              </w:rPr>
              <w:t>Mean % d</w:t>
            </w:r>
            <w:r w:rsidRPr="00F05153">
              <w:rPr>
                <w:rFonts w:asciiTheme="minorHAnsi" w:hAnsiTheme="minorHAnsi"/>
                <w:b/>
              </w:rPr>
              <w:t xml:space="preserve">ifference </w:t>
            </w:r>
            <w:r w:rsidRPr="00F05153">
              <w:rPr>
                <w:b/>
              </w:rPr>
              <w:t>(95% CI)</w:t>
            </w:r>
          </w:p>
        </w:tc>
      </w:tr>
      <w:tr w:rsidR="00EE09B2" w:rsidRPr="00F05153" w:rsidTr="00BC5A2B">
        <w:tc>
          <w:tcPr>
            <w:tcW w:w="1271" w:type="dxa"/>
            <w:vMerge/>
          </w:tcPr>
          <w:p w:rsidR="00EE09B2" w:rsidRPr="00F05153" w:rsidRDefault="00EE09B2" w:rsidP="00BC5A2B">
            <w:pPr>
              <w:pStyle w:val="Tabletext"/>
            </w:pPr>
          </w:p>
        </w:tc>
        <w:tc>
          <w:tcPr>
            <w:tcW w:w="1134" w:type="dxa"/>
            <w:vMerge/>
          </w:tcPr>
          <w:p w:rsidR="00EE09B2" w:rsidRPr="00F05153" w:rsidRDefault="00EE09B2" w:rsidP="00BC5A2B">
            <w:pPr>
              <w:pStyle w:val="Tabletext"/>
            </w:pPr>
          </w:p>
        </w:tc>
        <w:tc>
          <w:tcPr>
            <w:tcW w:w="1346" w:type="dxa"/>
            <w:shd w:val="clear" w:color="auto" w:fill="BFBFBF" w:themeFill="background1" w:themeFillShade="BF"/>
          </w:tcPr>
          <w:p w:rsidR="00EE09B2" w:rsidRPr="00F05153" w:rsidRDefault="00237FAE" w:rsidP="00BC5A2B">
            <w:pPr>
              <w:pStyle w:val="Tabletext"/>
              <w:jc w:val="center"/>
              <w:rPr>
                <w:b/>
              </w:rPr>
            </w:pPr>
            <w:r w:rsidRPr="00F05153">
              <w:rPr>
                <w:b/>
              </w:rPr>
              <w:t>ERA</w:t>
            </w:r>
          </w:p>
        </w:tc>
        <w:tc>
          <w:tcPr>
            <w:tcW w:w="1347" w:type="dxa"/>
            <w:shd w:val="clear" w:color="auto" w:fill="BFBFBF" w:themeFill="background1" w:themeFillShade="BF"/>
          </w:tcPr>
          <w:p w:rsidR="00EE09B2" w:rsidRPr="00F05153" w:rsidRDefault="00EE09B2" w:rsidP="00BC5A2B">
            <w:pPr>
              <w:pStyle w:val="Tabletext"/>
              <w:jc w:val="center"/>
              <w:rPr>
                <w:b/>
              </w:rPr>
            </w:pPr>
            <w:r w:rsidRPr="00F05153">
              <w:rPr>
                <w:rFonts w:asciiTheme="minorHAnsi" w:hAnsiTheme="minorHAnsi"/>
                <w:b/>
              </w:rPr>
              <w:t>Placebo</w:t>
            </w:r>
          </w:p>
        </w:tc>
        <w:tc>
          <w:tcPr>
            <w:tcW w:w="1560" w:type="dxa"/>
            <w:shd w:val="clear" w:color="auto" w:fill="BFBFBF" w:themeFill="background1" w:themeFillShade="BF"/>
          </w:tcPr>
          <w:p w:rsidR="00EE09B2" w:rsidRPr="00F05153" w:rsidRDefault="00237FAE" w:rsidP="00BC5A2B">
            <w:pPr>
              <w:pStyle w:val="Tabletext"/>
              <w:jc w:val="center"/>
              <w:rPr>
                <w:b/>
              </w:rPr>
            </w:pPr>
            <w:r w:rsidRPr="00F05153">
              <w:rPr>
                <w:b/>
              </w:rPr>
              <w:t>ERA</w:t>
            </w:r>
          </w:p>
        </w:tc>
        <w:tc>
          <w:tcPr>
            <w:tcW w:w="1559" w:type="dxa"/>
            <w:shd w:val="clear" w:color="auto" w:fill="BFBFBF" w:themeFill="background1" w:themeFillShade="BF"/>
          </w:tcPr>
          <w:p w:rsidR="00EE09B2" w:rsidRPr="00F05153" w:rsidRDefault="00EE09B2" w:rsidP="00BC5A2B">
            <w:pPr>
              <w:pStyle w:val="Tabletext"/>
              <w:jc w:val="center"/>
              <w:rPr>
                <w:b/>
              </w:rPr>
            </w:pPr>
            <w:r w:rsidRPr="00F05153">
              <w:rPr>
                <w:rFonts w:asciiTheme="minorHAnsi" w:hAnsiTheme="minorHAnsi"/>
                <w:b/>
              </w:rPr>
              <w:t>Placebo</w:t>
            </w:r>
          </w:p>
        </w:tc>
        <w:tc>
          <w:tcPr>
            <w:tcW w:w="1366" w:type="dxa"/>
            <w:vMerge/>
          </w:tcPr>
          <w:p w:rsidR="00EE09B2" w:rsidRPr="00F05153" w:rsidRDefault="00EE09B2" w:rsidP="00BC5A2B">
            <w:pPr>
              <w:pStyle w:val="Tabletext"/>
            </w:pPr>
          </w:p>
        </w:tc>
      </w:tr>
      <w:tr w:rsidR="00EE09B2" w:rsidRPr="00F05153" w:rsidTr="00BC5A2B">
        <w:tc>
          <w:tcPr>
            <w:tcW w:w="1271" w:type="dxa"/>
          </w:tcPr>
          <w:p w:rsidR="00EE09B2" w:rsidRPr="00F05153" w:rsidRDefault="00EE09B2" w:rsidP="00BC5A2B">
            <w:pPr>
              <w:pStyle w:val="Tabletext"/>
              <w:rPr>
                <w:rFonts w:cs="Tahoma"/>
              </w:rPr>
            </w:pPr>
            <w:r w:rsidRPr="00F05153">
              <w:rPr>
                <w:rFonts w:cs="Tahoma"/>
              </w:rPr>
              <w:t>EARLY CSR and</w:t>
            </w:r>
            <w:r w:rsidRPr="00F05153">
              <w:t xml:space="preserve"> </w:t>
            </w:r>
            <w:r w:rsidRPr="00F05153">
              <w:rPr>
                <w:rFonts w:cs="Tahoma"/>
              </w:rPr>
              <w:t>Galiè et al. 2008</w:t>
            </w:r>
            <w:r w:rsidR="001D34EE" w:rsidRPr="00F05153">
              <w:rPr>
                <w:rFonts w:cs="Tahoma"/>
                <w:noProof/>
                <w:vertAlign w:val="superscript"/>
              </w:rPr>
              <w:t>9</w:t>
            </w:r>
          </w:p>
          <w:p w:rsidR="00EE09B2" w:rsidRPr="00F05153" w:rsidRDefault="00EE09B2" w:rsidP="00BC5A2B">
            <w:pPr>
              <w:pStyle w:val="Tabletext"/>
            </w:pPr>
            <w:r w:rsidRPr="00F05153">
              <w:rPr>
                <w:rFonts w:cs="Tahoma"/>
              </w:rPr>
              <w:t>Bosentan</w:t>
            </w:r>
          </w:p>
        </w:tc>
        <w:tc>
          <w:tcPr>
            <w:tcW w:w="1134" w:type="dxa"/>
          </w:tcPr>
          <w:p w:rsidR="00EE09B2" w:rsidRPr="00F05153" w:rsidRDefault="00EE09B2" w:rsidP="00BC5A2B">
            <w:pPr>
              <w:pStyle w:val="Tabletext"/>
              <w:rPr>
                <w:rFonts w:cs="Tahoma"/>
              </w:rPr>
            </w:pPr>
            <w:r w:rsidRPr="00F05153">
              <w:rPr>
                <w:rFonts w:cs="Tahoma"/>
              </w:rPr>
              <w:t>N=156</w:t>
            </w:r>
          </w:p>
          <w:p w:rsidR="00EE09B2" w:rsidRPr="00F05153" w:rsidRDefault="00EE09B2" w:rsidP="00BC5A2B">
            <w:pPr>
              <w:pStyle w:val="Tabletext"/>
            </w:pPr>
            <w:r w:rsidRPr="00F05153">
              <w:rPr>
                <w:rFonts w:cs="Tahoma"/>
              </w:rPr>
              <w:t>6 months</w:t>
            </w:r>
          </w:p>
        </w:tc>
        <w:tc>
          <w:tcPr>
            <w:tcW w:w="1346" w:type="dxa"/>
          </w:tcPr>
          <w:p w:rsidR="00EE09B2" w:rsidRPr="002046A0" w:rsidRDefault="002046A0" w:rsidP="00BC5A2B">
            <w:pPr>
              <w:pStyle w:val="Tabletext"/>
              <w:jc w:val="center"/>
              <w:rPr>
                <w:highlight w:val="black"/>
              </w:rPr>
            </w:pPr>
            <w:r>
              <w:rPr>
                <w:rFonts w:cs="Tahoma"/>
                <w:noProof/>
                <w:color w:val="000000"/>
                <w:highlight w:val="black"/>
              </w:rPr>
              <w:t>''''''''' ''''''''''''' ''''''''''</w:t>
            </w:r>
          </w:p>
        </w:tc>
        <w:tc>
          <w:tcPr>
            <w:tcW w:w="1347" w:type="dxa"/>
          </w:tcPr>
          <w:p w:rsidR="00EE09B2" w:rsidRPr="002046A0" w:rsidRDefault="002046A0" w:rsidP="00BC5A2B">
            <w:pPr>
              <w:pStyle w:val="Tabletext"/>
              <w:jc w:val="center"/>
              <w:rPr>
                <w:highlight w:val="black"/>
              </w:rPr>
            </w:pPr>
            <w:r>
              <w:rPr>
                <w:rFonts w:cs="Tahoma"/>
                <w:noProof/>
                <w:color w:val="000000"/>
                <w:highlight w:val="black"/>
              </w:rPr>
              <w:t>''''''''' ''''''''''' '''''''''''</w:t>
            </w:r>
          </w:p>
        </w:tc>
        <w:tc>
          <w:tcPr>
            <w:tcW w:w="1560" w:type="dxa"/>
          </w:tcPr>
          <w:p w:rsidR="00EE09B2" w:rsidRPr="002046A0" w:rsidRDefault="002046A0" w:rsidP="00BC5A2B">
            <w:pPr>
              <w:pStyle w:val="Tabletext"/>
              <w:jc w:val="center"/>
              <w:rPr>
                <w:rFonts w:cs="Tahoma"/>
                <w:highlight w:val="black"/>
              </w:rPr>
            </w:pPr>
            <w:r>
              <w:rPr>
                <w:rFonts w:cs="Tahoma"/>
                <w:noProof/>
                <w:color w:val="000000"/>
                <w:highlight w:val="black"/>
              </w:rPr>
              <w:t>''''''''' '''''''''''''' '''''''''</w:t>
            </w:r>
          </w:p>
          <w:p w:rsidR="00EE09B2" w:rsidRPr="002046A0" w:rsidRDefault="002046A0" w:rsidP="00BC5A2B">
            <w:pPr>
              <w:pStyle w:val="Tabletext"/>
              <w:jc w:val="center"/>
              <w:rPr>
                <w:highlight w:val="black"/>
              </w:rPr>
            </w:pPr>
            <w:r>
              <w:rPr>
                <w:rFonts w:cs="Tahoma"/>
                <w:noProof/>
                <w:color w:val="000000"/>
                <w:highlight w:val="black"/>
              </w:rPr>
              <w:t>''''''''''''''''''''</w:t>
            </w:r>
          </w:p>
        </w:tc>
        <w:tc>
          <w:tcPr>
            <w:tcW w:w="1559" w:type="dxa"/>
          </w:tcPr>
          <w:p w:rsidR="00EE09B2" w:rsidRPr="002046A0" w:rsidRDefault="002046A0" w:rsidP="00BC5A2B">
            <w:pPr>
              <w:pStyle w:val="Tabletext"/>
              <w:jc w:val="center"/>
              <w:rPr>
                <w:rFonts w:cs="Tahoma"/>
                <w:highlight w:val="black"/>
              </w:rPr>
            </w:pPr>
            <w:r>
              <w:rPr>
                <w:rFonts w:cs="Tahoma"/>
                <w:noProof/>
                <w:color w:val="000000"/>
                <w:highlight w:val="black"/>
              </w:rPr>
              <w:t>'''''''''' '''''''''' '''''''''''</w:t>
            </w:r>
          </w:p>
          <w:p w:rsidR="00EE09B2" w:rsidRPr="002046A0" w:rsidRDefault="002046A0" w:rsidP="00BC5A2B">
            <w:pPr>
              <w:pStyle w:val="Tabletext"/>
              <w:jc w:val="center"/>
              <w:rPr>
                <w:highlight w:val="black"/>
              </w:rPr>
            </w:pPr>
            <w:r>
              <w:rPr>
                <w:rFonts w:cs="Tahoma"/>
                <w:noProof/>
                <w:color w:val="000000"/>
                <w:highlight w:val="black"/>
              </w:rPr>
              <w:t>'''''''''''''''''</w:t>
            </w:r>
          </w:p>
        </w:tc>
        <w:tc>
          <w:tcPr>
            <w:tcW w:w="1366" w:type="dxa"/>
          </w:tcPr>
          <w:p w:rsidR="00EE09B2" w:rsidRPr="00F05153" w:rsidRDefault="00EE09B2" w:rsidP="00BC5A2B">
            <w:pPr>
              <w:pStyle w:val="Tabletext"/>
              <w:jc w:val="center"/>
              <w:rPr>
                <w:rFonts w:cs="Tahoma"/>
              </w:rPr>
            </w:pPr>
            <w:r w:rsidRPr="00F05153">
              <w:rPr>
                <w:rFonts w:cs="Tahoma"/>
              </w:rPr>
              <w:t>−23.1</w:t>
            </w:r>
            <w:r w:rsidR="00747709" w:rsidRPr="00F05153">
              <w:rPr>
                <w:rFonts w:cs="Tahoma"/>
              </w:rPr>
              <w:t>%</w:t>
            </w:r>
            <w:r w:rsidRPr="00F05153">
              <w:rPr>
                <w:rFonts w:cs="Tahoma"/>
              </w:rPr>
              <w:t xml:space="preserve"> </w:t>
            </w:r>
            <w:r w:rsidR="00747709" w:rsidRPr="00F05153">
              <w:rPr>
                <w:rFonts w:cs="Tahoma"/>
              </w:rPr>
              <w:br/>
            </w:r>
            <w:r w:rsidRPr="00F05153">
              <w:rPr>
                <w:rFonts w:cs="Tahoma"/>
              </w:rPr>
              <w:t>(−35.1, −8.9)</w:t>
            </w:r>
          </w:p>
          <w:p w:rsidR="00EE09B2" w:rsidRPr="00F05153" w:rsidRDefault="00EE09B2" w:rsidP="00BC5A2B">
            <w:pPr>
              <w:pStyle w:val="Tabletext"/>
              <w:jc w:val="center"/>
            </w:pPr>
            <w:r w:rsidRPr="00F05153">
              <w:rPr>
                <w:rFonts w:cs="Tahoma"/>
              </w:rPr>
              <w:t>p&lt;0.0001</w:t>
            </w:r>
          </w:p>
        </w:tc>
      </w:tr>
    </w:tbl>
    <w:p w:rsidR="006713D3" w:rsidRPr="00F05153" w:rsidRDefault="006713D3" w:rsidP="006713D3">
      <w:pPr>
        <w:pStyle w:val="Tablenote"/>
      </w:pPr>
      <w:proofErr w:type="gramStart"/>
      <w:r w:rsidRPr="00F05153">
        <w:rPr>
          <w:vertAlign w:val="superscript"/>
        </w:rPr>
        <w:t>a</w:t>
      </w:r>
      <w:proofErr w:type="gramEnd"/>
      <w:r w:rsidR="003A513F" w:rsidRPr="00F05153">
        <w:t xml:space="preserve"> A decrease</w:t>
      </w:r>
      <w:r w:rsidRPr="00F05153">
        <w:t xml:space="preserve"> in PVR indicates improvement in </w:t>
      </w:r>
      <w:r w:rsidR="007E658F" w:rsidRPr="00F05153">
        <w:t>haemodynamic parameters</w:t>
      </w:r>
    </w:p>
    <w:p w:rsidR="008A5D9B" w:rsidRDefault="00EE09B2" w:rsidP="00EE09B2">
      <w:pPr>
        <w:pStyle w:val="Tablenote"/>
      </w:pPr>
      <w:r w:rsidRPr="00F05153">
        <w:t xml:space="preserve">CI = confidence interval; CSR = clinical study report; </w:t>
      </w:r>
      <w:r w:rsidR="008A5D9B" w:rsidRPr="00F05153">
        <w:t xml:space="preserve">ERA = endothelin receptor antagonist; FC = functional class; </w:t>
      </w:r>
      <w:r w:rsidRPr="00F05153">
        <w:t>N =</w:t>
      </w:r>
      <w:r w:rsidRPr="006316DF">
        <w:t xml:space="preserve"> number of patients</w:t>
      </w:r>
      <w:r>
        <w:t xml:space="preserve">; </w:t>
      </w:r>
      <w:r w:rsidR="008A5D9B" w:rsidRPr="009E3B52">
        <w:t xml:space="preserve">PAH = pulmonary arterial hypertension; </w:t>
      </w:r>
      <w:r>
        <w:t xml:space="preserve">PVR = </w:t>
      </w:r>
      <w:r w:rsidRPr="007A4F5B">
        <w:t>pulmonary vascular resistance</w:t>
      </w:r>
      <w:r w:rsidR="008A5D9B" w:rsidRPr="00F20C66">
        <w:t xml:space="preserve">; </w:t>
      </w:r>
      <w:r w:rsidR="008A5D9B" w:rsidRPr="009E3B52">
        <w:t>WHO = World Health Organization</w:t>
      </w:r>
    </w:p>
    <w:p w:rsidR="00FB5052" w:rsidRDefault="0077344D" w:rsidP="00FB5052">
      <w:pPr>
        <w:pStyle w:val="Heading5"/>
      </w:pPr>
      <w:r>
        <w:t>h.</w:t>
      </w:r>
      <w:r w:rsidR="00EE09B2">
        <w:tab/>
      </w:r>
      <w:r w:rsidR="00FB5052" w:rsidRPr="00150BDE">
        <w:t>Comparative safety</w:t>
      </w:r>
    </w:p>
    <w:p w:rsidR="00FB5052" w:rsidRDefault="00FB5052" w:rsidP="00FB5052">
      <w:r w:rsidRPr="006316DF">
        <w:t xml:space="preserve">None of the four RCTs reported on the comparative safety of </w:t>
      </w:r>
      <w:r w:rsidR="0069215C">
        <w:t xml:space="preserve">monotherapy with </w:t>
      </w:r>
      <w:r w:rsidRPr="006316DF">
        <w:t>an ERA versus placebo in patients with WHO FC I/II PAH. Hence</w:t>
      </w:r>
      <w:r>
        <w:t>,</w:t>
      </w:r>
      <w:r w:rsidRPr="006316DF">
        <w:t xml:space="preserve"> the </w:t>
      </w:r>
      <w:r w:rsidR="006B2A7D">
        <w:t>AE</w:t>
      </w:r>
      <w:r w:rsidRPr="006316DF">
        <w:t xml:space="preserve">s that </w:t>
      </w:r>
      <w:proofErr w:type="gramStart"/>
      <w:r w:rsidRPr="006316DF">
        <w:t>were observed</w:t>
      </w:r>
      <w:proofErr w:type="gramEnd"/>
      <w:r w:rsidRPr="006316DF">
        <w:t xml:space="preserve"> in </w:t>
      </w:r>
      <w:r>
        <w:t xml:space="preserve">the </w:t>
      </w:r>
      <w:r w:rsidRPr="006316DF">
        <w:t>broader PAH populations are discussed in Section 4.</w:t>
      </w:r>
      <w:r w:rsidR="00857DBE">
        <w:t>4</w:t>
      </w:r>
      <w:r w:rsidRPr="006316DF">
        <w:t>.5.</w:t>
      </w:r>
    </w:p>
    <w:p w:rsidR="00FB5052" w:rsidRPr="006316DF" w:rsidRDefault="00EE09B2" w:rsidP="00FB5052">
      <w:pPr>
        <w:pStyle w:val="Heading4"/>
      </w:pPr>
      <w:r>
        <w:t>4.4.1.2</w:t>
      </w:r>
      <w:r>
        <w:tab/>
      </w:r>
      <w:r w:rsidR="00484F80">
        <w:tab/>
      </w:r>
      <w:r w:rsidR="00FB5052">
        <w:t>PDE-5 inhibitor</w:t>
      </w:r>
      <w:r w:rsidR="00FB5052" w:rsidRPr="006316DF">
        <w:t xml:space="preserve"> </w:t>
      </w:r>
      <w:r w:rsidR="00FB5052" w:rsidRPr="006316DF">
        <w:rPr>
          <w:i/>
        </w:rPr>
        <w:t>versus</w:t>
      </w:r>
      <w:r w:rsidR="00FB5052" w:rsidRPr="006316DF">
        <w:t xml:space="preserve"> placebo</w:t>
      </w:r>
    </w:p>
    <w:p w:rsidR="00FB5052" w:rsidRDefault="00FB5052" w:rsidP="00FB5052">
      <w:r w:rsidRPr="006316DF">
        <w:t xml:space="preserve">Three RCTs were identified that reported on the effectiveness of </w:t>
      </w:r>
      <w:r>
        <w:t>PDE-5 inhibitor</w:t>
      </w:r>
      <w:r w:rsidR="0069215C">
        <w:t>, as monotherapy,</w:t>
      </w:r>
      <w:r w:rsidRPr="006316DF">
        <w:t xml:space="preserve"> in treating PAH compared with placebo in patients with WHO FC I/II PAH. Tadalafil </w:t>
      </w:r>
      <w:proofErr w:type="gramStart"/>
      <w:r w:rsidRPr="006316DF">
        <w:t>was used</w:t>
      </w:r>
      <w:proofErr w:type="gramEnd"/>
      <w:r w:rsidRPr="006316DF">
        <w:t xml:space="preserve"> in the PHIRST</w:t>
      </w:r>
      <w:r w:rsidR="001D34EE" w:rsidRPr="001D34EE">
        <w:rPr>
          <w:noProof/>
          <w:vertAlign w:val="superscript"/>
        </w:rPr>
        <w:t>12</w:t>
      </w:r>
      <w:r w:rsidRPr="006316DF">
        <w:t xml:space="preserve"> and Mukhopadhyay 2011</w:t>
      </w:r>
      <w:r w:rsidR="001D34EE" w:rsidRPr="001A1C44">
        <w:rPr>
          <w:noProof/>
          <w:vertAlign w:val="superscript"/>
        </w:rPr>
        <w:t>40</w:t>
      </w:r>
      <w:r w:rsidRPr="006316DF">
        <w:t xml:space="preserve"> trials, and sildenafil in the SUPER-1 trial</w:t>
      </w:r>
      <w:r w:rsidR="001D34EE" w:rsidRPr="001D34EE">
        <w:rPr>
          <w:noProof/>
          <w:vertAlign w:val="superscript"/>
        </w:rPr>
        <w:t>11</w:t>
      </w:r>
      <w:r w:rsidR="00B603BC">
        <w:t>.</w:t>
      </w:r>
    </w:p>
    <w:p w:rsidR="00FB5052" w:rsidRPr="006316DF" w:rsidRDefault="00FB5052" w:rsidP="00FB5052">
      <w:r w:rsidRPr="006316DF">
        <w:t xml:space="preserve">The PHIRST double-blind trial randomised PAH patients of </w:t>
      </w:r>
      <w:r w:rsidRPr="008935E1">
        <w:rPr>
          <w:u w:val="single"/>
        </w:rPr>
        <w:t>any</w:t>
      </w:r>
      <w:r w:rsidRPr="006316DF">
        <w:t xml:space="preserve"> WHO FC to receive tadalafil or placebo for 16 weeks. Background use of bosentan </w:t>
      </w:r>
      <w:proofErr w:type="gramStart"/>
      <w:r w:rsidRPr="006316DF">
        <w:t>was permitted</w:t>
      </w:r>
      <w:proofErr w:type="gramEnd"/>
      <w:r w:rsidRPr="006316DF">
        <w:t xml:space="preserve"> for patients taking a stable dose for a minimum of 12 weeks before screening. The randomisation was stratified for baseline </w:t>
      </w:r>
      <w:r w:rsidR="0082368E">
        <w:t>walk distance</w:t>
      </w:r>
      <w:r w:rsidRPr="006316DF">
        <w:t xml:space="preserve"> (&lt;325 m or &gt;325 m), PAH aetiology (IPAH</w:t>
      </w:r>
      <w:r>
        <w:t>, HPAH</w:t>
      </w:r>
      <w:r w:rsidRPr="006316DF">
        <w:t xml:space="preserve"> and anorexigen use </w:t>
      </w:r>
      <w:r w:rsidRPr="00F61F37">
        <w:t>versus</w:t>
      </w:r>
      <w:r>
        <w:rPr>
          <w:i/>
        </w:rPr>
        <w:t xml:space="preserve"> </w:t>
      </w:r>
      <w:r w:rsidRPr="006316DF">
        <w:t>other types</w:t>
      </w:r>
      <w:r>
        <w:t xml:space="preserve"> of PAH</w:t>
      </w:r>
      <w:r w:rsidRPr="006316DF">
        <w:t>) and for bosentan use. As the baseline characteristics for the treatment-naïve WHO FC I/II tadalafil v</w:t>
      </w:r>
      <w:r w:rsidR="0095089E">
        <w:t>ersu</w:t>
      </w:r>
      <w:r w:rsidRPr="006316DF">
        <w:t xml:space="preserve">s placebo subgroups </w:t>
      </w:r>
      <w:proofErr w:type="gramStart"/>
      <w:r w:rsidRPr="006316DF">
        <w:t>were not reported</w:t>
      </w:r>
      <w:proofErr w:type="gramEnd"/>
      <w:r w:rsidRPr="006316DF">
        <w:t xml:space="preserve">, and patients were not stratified by WHO FC, there remains the possibility that these patients may have different distributions of baseline characteristics resulting in imbalances in disease severity markers. A </w:t>
      </w:r>
      <w:r w:rsidRPr="00FD18C8">
        <w:t>post hoc</w:t>
      </w:r>
      <w:r w:rsidRPr="006316DF">
        <w:t xml:space="preserve"> subgroup analysis for treatment-naïve patients with WHO FC I/II PAH was conducted by Barst </w:t>
      </w:r>
      <w:r w:rsidRPr="00CE7FEC">
        <w:t>et al</w:t>
      </w:r>
      <w:r w:rsidRPr="006316DF">
        <w:t>. (2011)</w:t>
      </w:r>
      <w:r w:rsidR="001D34EE" w:rsidRPr="001A1C44">
        <w:rPr>
          <w:noProof/>
          <w:vertAlign w:val="superscript"/>
        </w:rPr>
        <w:t>45</w:t>
      </w:r>
      <w:r w:rsidRPr="006316DF">
        <w:t>.</w:t>
      </w:r>
    </w:p>
    <w:p w:rsidR="00FB5052" w:rsidRPr="006316DF" w:rsidRDefault="00FB5052" w:rsidP="00FB5052">
      <w:r w:rsidRPr="006316DF">
        <w:t xml:space="preserve">The Mukhopadhyay 2011 </w:t>
      </w:r>
      <w:r>
        <w:t xml:space="preserve">trial </w:t>
      </w:r>
      <w:r w:rsidRPr="006316DF">
        <w:t xml:space="preserve">was a double-blind crossover RCT that enrolled patients with PAH-CTD and mostly WHO FC II (22/28). Patients </w:t>
      </w:r>
      <w:proofErr w:type="gramStart"/>
      <w:r w:rsidRPr="006316DF">
        <w:t>were randomised</w:t>
      </w:r>
      <w:proofErr w:type="gramEnd"/>
      <w:r w:rsidRPr="006316DF">
        <w:t xml:space="preserve"> to receive either tadalafil or a matching placebo for 6 weeks, followed by a 2-week washout period before crossing over to the other treatment for 6 weeks.</w:t>
      </w:r>
    </w:p>
    <w:p w:rsidR="00FB5052" w:rsidRPr="006316DF" w:rsidRDefault="00FB5052" w:rsidP="00FB5052">
      <w:r w:rsidRPr="006316DF">
        <w:t xml:space="preserve">The SUPER-1 double-blind trial randomly assigned patients with symptomatic IPAH, PAH-CTD or PAH-CHD of </w:t>
      </w:r>
      <w:r w:rsidRPr="003C2339">
        <w:rPr>
          <w:u w:val="single"/>
        </w:rPr>
        <w:t>any</w:t>
      </w:r>
      <w:r w:rsidRPr="006316DF">
        <w:t xml:space="preserve"> WHO FC to either placebo or sildenafil for 12 weeks. The randomisation was stratified with respect to the baseline </w:t>
      </w:r>
      <w:r>
        <w:t xml:space="preserve">6MWD </w:t>
      </w:r>
      <w:r w:rsidRPr="006316DF">
        <w:t xml:space="preserve">(&lt;325 m or ≥325 m) and PAH aetiology, but not by WHO FC. Thus, differences in the baseline characteristics of patients with WHO FC I/II PAH included in the </w:t>
      </w:r>
      <w:r w:rsidRPr="00FD18C8">
        <w:t>post hoc</w:t>
      </w:r>
      <w:r w:rsidRPr="006316DF">
        <w:t xml:space="preserve"> subgroup analysis </w:t>
      </w:r>
      <w:proofErr w:type="gramStart"/>
      <w:r w:rsidRPr="006316DF">
        <w:t>cannot be excluded</w:t>
      </w:r>
      <w:proofErr w:type="gramEnd"/>
      <w:r w:rsidRPr="006316DF">
        <w:t>.</w:t>
      </w:r>
      <w:r w:rsidRPr="0085028B">
        <w:t xml:space="preserve"> </w:t>
      </w:r>
      <w:r>
        <w:t xml:space="preserve">Data for the change in 6MWD for patients with WHO FC I/II PAH was reported in the </w:t>
      </w:r>
      <w:r w:rsidRPr="0085028B">
        <w:t xml:space="preserve">November 2016 </w:t>
      </w:r>
      <w:r>
        <w:t xml:space="preserve">PBAC </w:t>
      </w:r>
      <w:r w:rsidRPr="0085028B">
        <w:t>submission</w:t>
      </w:r>
      <w:r>
        <w:t xml:space="preserve"> (highlighted in purple below).</w:t>
      </w:r>
    </w:p>
    <w:p w:rsidR="00FB5052" w:rsidRDefault="00FB5052" w:rsidP="00FB5052">
      <w:r>
        <w:t xml:space="preserve">The PHIRST trial had a moderate risk of bias due to the </w:t>
      </w:r>
      <w:r w:rsidRPr="00081A87">
        <w:t xml:space="preserve">post hoc analysis </w:t>
      </w:r>
      <w:r>
        <w:t xml:space="preserve">for the WHO FC I/II subgroup. The remaining two trials </w:t>
      </w:r>
      <w:r w:rsidRPr="006316DF">
        <w:t>had a low-to-moderate risk of bias</w:t>
      </w:r>
      <w:r>
        <w:t>.</w:t>
      </w:r>
      <w:r w:rsidRPr="006316DF">
        <w:t xml:space="preserve"> </w:t>
      </w:r>
      <w:r>
        <w:t>T</w:t>
      </w:r>
      <w:r w:rsidRPr="006316DF">
        <w:t>he trials varied in duration from 6 weeks for the Mukhopadhyay 2011 crossover RCT to 12 and 16 weeks for the SUPER-1 and PHIRST trials, respectively.</w:t>
      </w:r>
    </w:p>
    <w:p w:rsidR="00FB5052" w:rsidRDefault="00FB5052" w:rsidP="00FB5052">
      <w:r>
        <w:t>N</w:t>
      </w:r>
      <w:r w:rsidRPr="006316DF">
        <w:t>one of these trials reported on all-cause mortality for the subgroup of patients with WHO FC I/II PAH</w:t>
      </w:r>
      <w:r>
        <w:t xml:space="preserve">. Two </w:t>
      </w:r>
      <w:r w:rsidRPr="006316DF">
        <w:t>cohort stud</w:t>
      </w:r>
      <w:r>
        <w:t>ies</w:t>
      </w:r>
      <w:r w:rsidRPr="006316DF">
        <w:t xml:space="preserve"> (Sun 2013</w:t>
      </w:r>
      <w:r w:rsidR="001D34EE" w:rsidRPr="001A1C44">
        <w:rPr>
          <w:noProof/>
          <w:vertAlign w:val="superscript"/>
        </w:rPr>
        <w:t>51</w:t>
      </w:r>
      <w:r>
        <w:t xml:space="preserve"> and Sastry 2007</w:t>
      </w:r>
      <w:r w:rsidR="001D34EE" w:rsidRPr="001A1C44">
        <w:rPr>
          <w:noProof/>
          <w:vertAlign w:val="superscript"/>
        </w:rPr>
        <w:t>52</w:t>
      </w:r>
      <w:r w:rsidRPr="006316DF">
        <w:t xml:space="preserve">) </w:t>
      </w:r>
      <w:r>
        <w:t xml:space="preserve">that </w:t>
      </w:r>
      <w:r w:rsidRPr="006316DF">
        <w:t xml:space="preserve">reported on the mortality </w:t>
      </w:r>
      <w:r>
        <w:t xml:space="preserve">of </w:t>
      </w:r>
      <w:r w:rsidRPr="006316DF">
        <w:t xml:space="preserve">patients with WHO FC I/II PAH who </w:t>
      </w:r>
      <w:proofErr w:type="gramStart"/>
      <w:r w:rsidRPr="006316DF">
        <w:t>were treated</w:t>
      </w:r>
      <w:proofErr w:type="gramEnd"/>
      <w:r w:rsidRPr="006316DF">
        <w:t xml:space="preserve"> with either sildenafil or conventional therapy w</w:t>
      </w:r>
      <w:r>
        <w:t>ere</w:t>
      </w:r>
      <w:r w:rsidRPr="006316DF">
        <w:t xml:space="preserve"> identified and included for </w:t>
      </w:r>
      <w:r>
        <w:t>this outcome</w:t>
      </w:r>
      <w:r w:rsidRPr="006316DF">
        <w:t>.</w:t>
      </w:r>
      <w:r>
        <w:t xml:space="preserve"> Sun 2013 enrolled </w:t>
      </w:r>
      <w:r w:rsidRPr="006316DF">
        <w:t xml:space="preserve">patients with Eisenmenger syndrome </w:t>
      </w:r>
      <w:r>
        <w:t>who</w:t>
      </w:r>
      <w:r w:rsidRPr="00564EDC">
        <w:t xml:space="preserve"> </w:t>
      </w:r>
      <w:proofErr w:type="gramStart"/>
      <w:r w:rsidRPr="00564EDC">
        <w:t>were followed</w:t>
      </w:r>
      <w:proofErr w:type="gramEnd"/>
      <w:r w:rsidRPr="00564EDC">
        <w:t xml:space="preserve"> for up to 2 years</w:t>
      </w:r>
      <w:r>
        <w:t>.</w:t>
      </w:r>
      <w:r w:rsidRPr="00564EDC">
        <w:t xml:space="preserve"> </w:t>
      </w:r>
      <w:r>
        <w:t>C</w:t>
      </w:r>
      <w:r w:rsidRPr="00564EDC">
        <w:t xml:space="preserve">onventional therapy mainly consisted of digoxin, oral anticoagulants and diuretics. The baseline data from enrolled patients </w:t>
      </w:r>
      <w:proofErr w:type="gramStart"/>
      <w:r w:rsidRPr="00564EDC">
        <w:t>w</w:t>
      </w:r>
      <w:r w:rsidR="00EE09B2">
        <w:t>ere</w:t>
      </w:r>
      <w:r w:rsidRPr="00564EDC">
        <w:t xml:space="preserve"> collected</w:t>
      </w:r>
      <w:proofErr w:type="gramEnd"/>
      <w:r w:rsidRPr="00564EDC">
        <w:t xml:space="preserve"> retrospectively from medical files. Overall, the baseline characteristics </w:t>
      </w:r>
      <w:proofErr w:type="gramStart"/>
      <w:r w:rsidRPr="00564EDC">
        <w:t>were well balanced</w:t>
      </w:r>
      <w:proofErr w:type="gramEnd"/>
      <w:r w:rsidRPr="00564EDC">
        <w:t xml:space="preserve"> between groups and there was a moderate risk of bias.</w:t>
      </w:r>
    </w:p>
    <w:p w:rsidR="00FB5052" w:rsidRPr="006316DF" w:rsidRDefault="00FB5052" w:rsidP="00FB5052">
      <w:r>
        <w:t>Sastry 2007 collected survival data from patients with IPAH</w:t>
      </w:r>
      <w:r w:rsidRPr="00427BBC">
        <w:t xml:space="preserve"> </w:t>
      </w:r>
      <w:r>
        <w:t xml:space="preserve">of WHO FC II-IV </w:t>
      </w:r>
      <w:proofErr w:type="gramStart"/>
      <w:r>
        <w:t>being treated</w:t>
      </w:r>
      <w:proofErr w:type="gramEnd"/>
      <w:r>
        <w:t xml:space="preserve"> with sildenafil prospectively from a hospital registry for five years. Patients treated with c</w:t>
      </w:r>
      <w:r w:rsidRPr="00427BBC">
        <w:t xml:space="preserve">onventional therapy </w:t>
      </w:r>
      <w:r>
        <w:t>(including</w:t>
      </w:r>
      <w:r w:rsidRPr="00427BBC">
        <w:t xml:space="preserve"> digoxin, oral anticoagulants</w:t>
      </w:r>
      <w:r>
        <w:t>,</w:t>
      </w:r>
      <w:r w:rsidRPr="00427BBC">
        <w:t xml:space="preserve"> diuretics and</w:t>
      </w:r>
      <w:r>
        <w:t xml:space="preserve"> calcium channel blockers) prior to the availability of sildenafil in India acted as an historical control</w:t>
      </w:r>
      <w:r w:rsidRPr="00427BBC">
        <w:t>.</w:t>
      </w:r>
      <w:r>
        <w:t xml:space="preserve"> The baseline characteristics of the intervention and historical control groups were similar for the whole cohort, except the duration of symptoms was much longer in the control group (median 24 months versus 12 months). No information </w:t>
      </w:r>
      <w:proofErr w:type="gramStart"/>
      <w:r>
        <w:t>was provided</w:t>
      </w:r>
      <w:proofErr w:type="gramEnd"/>
      <w:r>
        <w:t xml:space="preserve"> for the WHO FC II subgroup. Overall, this study has a moderate-to-high risk of bias. The authors reported the mortality rates among patients with WHO FC II IPAH.</w:t>
      </w:r>
    </w:p>
    <w:p w:rsidR="00FB5052" w:rsidRPr="006316DF" w:rsidRDefault="0077344D" w:rsidP="00FB5052">
      <w:pPr>
        <w:pStyle w:val="Heading5"/>
      </w:pPr>
      <w:r>
        <w:t>a.</w:t>
      </w:r>
      <w:r w:rsidR="00EE09B2">
        <w:tab/>
      </w:r>
      <w:r w:rsidR="00FB5052" w:rsidRPr="006316DF">
        <w:t>Study-defined clinical worsening</w:t>
      </w:r>
    </w:p>
    <w:p w:rsidR="00FB5052" w:rsidRPr="006316DF" w:rsidRDefault="00FB5052" w:rsidP="00FB5052">
      <w:r w:rsidRPr="006316DF">
        <w:t>None of the three RCTs reported on the number of patients with WHO FC I/II PAH who had clinical worsening.</w:t>
      </w:r>
    </w:p>
    <w:p w:rsidR="00FB5052" w:rsidRPr="006316DF" w:rsidRDefault="0077344D" w:rsidP="00FB5052">
      <w:pPr>
        <w:pStyle w:val="Heading5"/>
      </w:pPr>
      <w:r>
        <w:t>b.</w:t>
      </w:r>
      <w:r w:rsidR="00EE09B2">
        <w:tab/>
      </w:r>
      <w:r w:rsidR="00C828F9">
        <w:t>All-cause m</w:t>
      </w:r>
      <w:r w:rsidR="00C828F9" w:rsidRPr="006316DF">
        <w:t>ortality</w:t>
      </w:r>
    </w:p>
    <w:p w:rsidR="00FB5052" w:rsidRDefault="00FB5052" w:rsidP="00FB5052">
      <w:r w:rsidRPr="006316DF">
        <w:t>The Sun 2013 observational study reported on all-cause mortality over a 48-month follow-up period (</w:t>
      </w:r>
      <w:r w:rsidR="003951FA">
        <w:t xml:space="preserve">Table </w:t>
      </w:r>
      <w:r w:rsidR="003951FA">
        <w:rPr>
          <w:noProof/>
        </w:rPr>
        <w:t>4.34</w:t>
      </w:r>
      <w:r w:rsidRPr="006316DF">
        <w:t>). No patients with WHO FC I/II PAH receiving sildenafil died during this time but five patients receiving conventional therapy did</w:t>
      </w:r>
      <w:r>
        <w:t xml:space="preserve"> (</w:t>
      </w:r>
      <w:r w:rsidR="00B21201">
        <w:t>ARD</w:t>
      </w:r>
      <w:r w:rsidR="00973227">
        <w:t> </w:t>
      </w:r>
      <w:r w:rsidRPr="001011B7">
        <w:t>=</w:t>
      </w:r>
      <w:r w:rsidR="00973227">
        <w:t> </w:t>
      </w:r>
      <w:r w:rsidR="00DE31E4">
        <w:t>−</w:t>
      </w:r>
      <w:r>
        <w:t xml:space="preserve">13.9%; 95% CI </w:t>
      </w:r>
      <w:r w:rsidR="00DE31E4">
        <w:t>−</w:t>
      </w:r>
      <w:r>
        <w:t>2.6</w:t>
      </w:r>
      <w:r w:rsidR="00EE09B2">
        <w:t>,</w:t>
      </w:r>
      <w:r>
        <w:t xml:space="preserve"> </w:t>
      </w:r>
      <w:r w:rsidR="00DE31E4">
        <w:t>−</w:t>
      </w:r>
      <w:r>
        <w:t>25.2</w:t>
      </w:r>
      <w:r w:rsidR="008F58B5">
        <w:t>; p</w:t>
      </w:r>
      <w:r w:rsidR="00973227">
        <w:t> </w:t>
      </w:r>
      <w:r w:rsidR="008F58B5">
        <w:t>=</w:t>
      </w:r>
      <w:r w:rsidR="00973227">
        <w:t> </w:t>
      </w:r>
      <w:r w:rsidR="008F58B5">
        <w:t>0.015</w:t>
      </w:r>
      <w:r>
        <w:t>)</w:t>
      </w:r>
      <w:r w:rsidRPr="006316DF">
        <w:t>.</w:t>
      </w:r>
      <w:r>
        <w:t xml:space="preserve"> The Sastry 2007 study, also conducted over a 48-month period, reported that patients with WHO FC II IPAH in the historical conventional treatment group were twice as likely to die than those receiving treatment with a PDE-5 inhibitor (</w:t>
      </w:r>
      <w:r w:rsidR="00B21201">
        <w:t>ARD</w:t>
      </w:r>
      <w:r w:rsidR="00973227">
        <w:t> </w:t>
      </w:r>
      <w:r>
        <w:t>=</w:t>
      </w:r>
      <w:r w:rsidR="00973227">
        <w:t> </w:t>
      </w:r>
      <w:r w:rsidR="00DE31E4">
        <w:t>−</w:t>
      </w:r>
      <w:r>
        <w:t>14.9%</w:t>
      </w:r>
      <w:r w:rsidR="00EE09B2">
        <w:t>;</w:t>
      </w:r>
      <w:r>
        <w:t xml:space="preserve"> 95% CI −</w:t>
      </w:r>
      <w:r w:rsidR="00DE31E4">
        <w:t xml:space="preserve">37.8, </w:t>
      </w:r>
      <w:r>
        <w:t>8.0</w:t>
      </w:r>
      <w:r w:rsidR="008F58B5">
        <w:t>; p</w:t>
      </w:r>
      <w:r w:rsidR="00973227">
        <w:t> </w:t>
      </w:r>
      <w:r w:rsidR="008F58B5">
        <w:t>=</w:t>
      </w:r>
      <w:r w:rsidR="00973227">
        <w:t> </w:t>
      </w:r>
      <w:r w:rsidR="008F58B5">
        <w:t>0.159</w:t>
      </w:r>
      <w:r>
        <w:t xml:space="preserve">). Thus, </w:t>
      </w:r>
      <w:r w:rsidR="0017797D">
        <w:t xml:space="preserve">the two </w:t>
      </w:r>
      <w:r>
        <w:t xml:space="preserve">studies </w:t>
      </w:r>
      <w:proofErr w:type="gramStart"/>
      <w:r>
        <w:t>found</w:t>
      </w:r>
      <w:proofErr w:type="gramEnd"/>
      <w:r>
        <w:t xml:space="preserve"> </w:t>
      </w:r>
      <w:proofErr w:type="gramStart"/>
      <w:r>
        <w:t xml:space="preserve">that </w:t>
      </w:r>
      <w:r w:rsidR="0017797D">
        <w:t xml:space="preserve">seven to eight </w:t>
      </w:r>
      <w:r>
        <w:t>patients need</w:t>
      </w:r>
      <w:proofErr w:type="gramEnd"/>
      <w:r>
        <w:t xml:space="preserve"> to be treated with a PDE-5 inhibitor to prevent one additional death compared with the conventional therapy control groups. The pooled RR estimate showed that patients treated with conventional drugs were 3-times more likely to die than those treated with a PDE-5 inhibitor (</w:t>
      </w:r>
      <w:r w:rsidR="003951FA">
        <w:t>Figure 4.</w:t>
      </w:r>
      <w:r w:rsidR="003951FA">
        <w:rPr>
          <w:noProof/>
        </w:rPr>
        <w:t>5</w:t>
      </w:r>
      <w:r>
        <w:t>), but it was not statistically significant</w:t>
      </w:r>
      <w:r w:rsidRPr="006316DF">
        <w:t>.</w:t>
      </w:r>
    </w:p>
    <w:p w:rsidR="00FB5052" w:rsidRPr="006316DF" w:rsidRDefault="00B40240" w:rsidP="00BC5A2B">
      <w:pPr>
        <w:pStyle w:val="Caption"/>
      </w:pPr>
      <w:bookmarkStart w:id="120" w:name="_Ref501379521"/>
      <w:bookmarkStart w:id="121" w:name="_Toc38360331"/>
      <w:r>
        <w:t>Table 4.</w:t>
      </w:r>
      <w:r w:rsidR="003951FA">
        <w:rPr>
          <w:noProof/>
        </w:rPr>
        <w:t>34</w:t>
      </w:r>
      <w:bookmarkEnd w:id="120"/>
      <w:r w:rsidR="00ED0695">
        <w:tab/>
      </w:r>
      <w:r w:rsidR="00FB5052" w:rsidRPr="006316DF">
        <w:t xml:space="preserve">Mortality rates for </w:t>
      </w:r>
      <w:r w:rsidR="00FB5052">
        <w:t>PDE-5 inhibitor</w:t>
      </w:r>
      <w:r w:rsidR="004B7C88">
        <w:t>s</w:t>
      </w:r>
      <w:r w:rsidR="00FB5052" w:rsidRPr="006316DF">
        <w:t xml:space="preserve"> compared with conventional therapy</w:t>
      </w:r>
      <w:r w:rsidR="00FB5052" w:rsidRPr="00B642BB">
        <w:t xml:space="preserve"> in patients with WHO FC I/II PAH</w:t>
      </w:r>
      <w:bookmarkEnd w:id="121"/>
    </w:p>
    <w:tbl>
      <w:tblPr>
        <w:tblStyle w:val="TableGrid7"/>
        <w:tblW w:w="9634" w:type="dxa"/>
        <w:tblLayout w:type="fixed"/>
        <w:tblLook w:val="04A0" w:firstRow="1" w:lastRow="0" w:firstColumn="1" w:lastColumn="0" w:noHBand="0" w:noVBand="1"/>
        <w:tblCaption w:val="Mortality rates for PDE-5 inhibitors compared with conventional therapy in patients with WHO FC I/II PAH"/>
      </w:tblPr>
      <w:tblGrid>
        <w:gridCol w:w="1980"/>
        <w:gridCol w:w="1701"/>
        <w:gridCol w:w="1984"/>
        <w:gridCol w:w="1985"/>
        <w:gridCol w:w="1984"/>
      </w:tblGrid>
      <w:tr w:rsidR="00FB5052" w:rsidRPr="006316DF" w:rsidTr="00237FAE">
        <w:trPr>
          <w:trHeight w:val="74"/>
          <w:tblHeader/>
        </w:trPr>
        <w:tc>
          <w:tcPr>
            <w:tcW w:w="1980" w:type="dxa"/>
            <w:vMerge w:val="restart"/>
            <w:shd w:val="clear" w:color="auto" w:fill="BFBFBF" w:themeFill="background1" w:themeFillShade="BF"/>
          </w:tcPr>
          <w:p w:rsidR="00FB5052" w:rsidRPr="00507955" w:rsidRDefault="00FB5052" w:rsidP="00507955">
            <w:pPr>
              <w:pStyle w:val="Tabletext"/>
              <w:rPr>
                <w:b/>
              </w:rPr>
            </w:pPr>
            <w:r w:rsidRPr="00507955">
              <w:rPr>
                <w:b/>
              </w:rPr>
              <w:t>Study ID</w:t>
            </w:r>
          </w:p>
          <w:p w:rsidR="00FB5052" w:rsidRPr="00507955" w:rsidRDefault="00FB5052" w:rsidP="00507955">
            <w:pPr>
              <w:pStyle w:val="Tabletext"/>
              <w:rPr>
                <w:b/>
              </w:rPr>
            </w:pPr>
            <w:r w:rsidRPr="00507955">
              <w:rPr>
                <w:b/>
              </w:rPr>
              <w:t>PDE-5 inhibitor</w:t>
            </w:r>
          </w:p>
        </w:tc>
        <w:tc>
          <w:tcPr>
            <w:tcW w:w="1701" w:type="dxa"/>
            <w:vMerge w:val="restart"/>
            <w:shd w:val="clear" w:color="auto" w:fill="BFBFBF" w:themeFill="background1" w:themeFillShade="BF"/>
          </w:tcPr>
          <w:p w:rsidR="00FB5052" w:rsidRPr="00507955" w:rsidRDefault="00FB5052" w:rsidP="00507955">
            <w:pPr>
              <w:pStyle w:val="Tabletext"/>
              <w:rPr>
                <w:b/>
              </w:rPr>
            </w:pPr>
            <w:r w:rsidRPr="00507955">
              <w:rPr>
                <w:b/>
              </w:rPr>
              <w:t>Study period</w:t>
            </w:r>
          </w:p>
        </w:tc>
        <w:tc>
          <w:tcPr>
            <w:tcW w:w="3969" w:type="dxa"/>
            <w:gridSpan w:val="2"/>
            <w:shd w:val="clear" w:color="auto" w:fill="BFBFBF" w:themeFill="background1" w:themeFillShade="BF"/>
          </w:tcPr>
          <w:p w:rsidR="00FB5052" w:rsidRPr="00507955" w:rsidRDefault="00FB5052" w:rsidP="00507955">
            <w:pPr>
              <w:pStyle w:val="Tabletext"/>
              <w:jc w:val="center"/>
              <w:rPr>
                <w:b/>
              </w:rPr>
            </w:pPr>
            <w:proofErr w:type="gramStart"/>
            <w:r w:rsidRPr="00507955">
              <w:rPr>
                <w:b/>
              </w:rPr>
              <w:t>n/N</w:t>
            </w:r>
            <w:proofErr w:type="gramEnd"/>
            <w:r w:rsidRPr="00507955">
              <w:rPr>
                <w:b/>
              </w:rPr>
              <w:t xml:space="preserve"> (%)</w:t>
            </w:r>
          </w:p>
        </w:tc>
        <w:tc>
          <w:tcPr>
            <w:tcW w:w="1984" w:type="dxa"/>
            <w:vMerge w:val="restart"/>
            <w:shd w:val="clear" w:color="auto" w:fill="BFBFBF" w:themeFill="background1" w:themeFillShade="BF"/>
          </w:tcPr>
          <w:p w:rsidR="00FB5052" w:rsidRPr="00507955" w:rsidRDefault="00FB5052" w:rsidP="00507955">
            <w:pPr>
              <w:pStyle w:val="Tabletext"/>
              <w:jc w:val="center"/>
              <w:rPr>
                <w:b/>
              </w:rPr>
            </w:pPr>
            <w:r w:rsidRPr="00507955">
              <w:rPr>
                <w:b/>
              </w:rPr>
              <w:t>RR (95% CI)</w:t>
            </w:r>
          </w:p>
        </w:tc>
      </w:tr>
      <w:tr w:rsidR="00FB5052" w:rsidRPr="006316DF" w:rsidTr="00507955">
        <w:trPr>
          <w:trHeight w:val="202"/>
          <w:tblHeader/>
        </w:trPr>
        <w:tc>
          <w:tcPr>
            <w:tcW w:w="1980" w:type="dxa"/>
            <w:vMerge/>
            <w:shd w:val="clear" w:color="auto" w:fill="BFBFBF" w:themeFill="background1" w:themeFillShade="BF"/>
          </w:tcPr>
          <w:p w:rsidR="00FB5052" w:rsidRPr="00507955" w:rsidRDefault="00FB5052" w:rsidP="00507955">
            <w:pPr>
              <w:pStyle w:val="Tabletext"/>
            </w:pPr>
          </w:p>
        </w:tc>
        <w:tc>
          <w:tcPr>
            <w:tcW w:w="1701" w:type="dxa"/>
            <w:vMerge/>
            <w:shd w:val="clear" w:color="auto" w:fill="BFBFBF" w:themeFill="background1" w:themeFillShade="BF"/>
          </w:tcPr>
          <w:p w:rsidR="00FB5052" w:rsidRPr="00507955" w:rsidRDefault="00FB5052" w:rsidP="00507955">
            <w:pPr>
              <w:pStyle w:val="Tabletext"/>
            </w:pPr>
          </w:p>
        </w:tc>
        <w:tc>
          <w:tcPr>
            <w:tcW w:w="1984" w:type="dxa"/>
            <w:shd w:val="clear" w:color="auto" w:fill="BFBFBF" w:themeFill="background1" w:themeFillShade="BF"/>
          </w:tcPr>
          <w:p w:rsidR="00FB5052" w:rsidRPr="00507955" w:rsidRDefault="00FB5052" w:rsidP="00507955">
            <w:pPr>
              <w:pStyle w:val="Tabletext"/>
              <w:jc w:val="center"/>
              <w:rPr>
                <w:b/>
              </w:rPr>
            </w:pPr>
            <w:r w:rsidRPr="00507955">
              <w:rPr>
                <w:b/>
              </w:rPr>
              <w:t>PDE-5 inhibitor</w:t>
            </w:r>
          </w:p>
        </w:tc>
        <w:tc>
          <w:tcPr>
            <w:tcW w:w="1985" w:type="dxa"/>
            <w:shd w:val="clear" w:color="auto" w:fill="BFBFBF" w:themeFill="background1" w:themeFillShade="BF"/>
          </w:tcPr>
          <w:p w:rsidR="00FB5052" w:rsidRPr="00507955" w:rsidRDefault="00FB5052" w:rsidP="000F6EFC">
            <w:pPr>
              <w:pStyle w:val="Tabletext"/>
              <w:jc w:val="center"/>
              <w:rPr>
                <w:b/>
              </w:rPr>
            </w:pPr>
            <w:r w:rsidRPr="00507955">
              <w:rPr>
                <w:b/>
              </w:rPr>
              <w:t>C</w:t>
            </w:r>
            <w:r w:rsidR="000F6EFC">
              <w:rPr>
                <w:b/>
              </w:rPr>
              <w:t>onventional therapy</w:t>
            </w:r>
          </w:p>
        </w:tc>
        <w:tc>
          <w:tcPr>
            <w:tcW w:w="1984" w:type="dxa"/>
            <w:vMerge/>
            <w:shd w:val="clear" w:color="auto" w:fill="BFBFBF" w:themeFill="background1" w:themeFillShade="BF"/>
          </w:tcPr>
          <w:p w:rsidR="00FB5052" w:rsidRPr="00507955" w:rsidRDefault="00FB5052" w:rsidP="00507955">
            <w:pPr>
              <w:pStyle w:val="Tabletext"/>
            </w:pPr>
          </w:p>
        </w:tc>
      </w:tr>
      <w:tr w:rsidR="00FB5052" w:rsidRPr="006316DF" w:rsidTr="00507955">
        <w:trPr>
          <w:trHeight w:val="70"/>
        </w:trPr>
        <w:tc>
          <w:tcPr>
            <w:tcW w:w="1980" w:type="dxa"/>
          </w:tcPr>
          <w:p w:rsidR="00FB5052" w:rsidRPr="00507955" w:rsidRDefault="00FB5052" w:rsidP="00507955">
            <w:pPr>
              <w:pStyle w:val="Tabletext"/>
            </w:pPr>
            <w:r w:rsidRPr="00507955">
              <w:t>Sun 2013</w:t>
            </w:r>
            <w:r w:rsidR="001D34EE" w:rsidRPr="001A1C44">
              <w:rPr>
                <w:noProof/>
                <w:vertAlign w:val="superscript"/>
              </w:rPr>
              <w:t>51</w:t>
            </w:r>
          </w:p>
          <w:p w:rsidR="00FB5052" w:rsidRPr="00507955" w:rsidRDefault="00FB5052" w:rsidP="00507955">
            <w:pPr>
              <w:pStyle w:val="Tabletext"/>
            </w:pPr>
            <w:r w:rsidRPr="00507955">
              <w:t>Sildenafil</w:t>
            </w:r>
          </w:p>
        </w:tc>
        <w:tc>
          <w:tcPr>
            <w:tcW w:w="1701" w:type="dxa"/>
          </w:tcPr>
          <w:p w:rsidR="00FB5052" w:rsidRPr="00507955" w:rsidRDefault="00FB5052" w:rsidP="00507955">
            <w:pPr>
              <w:pStyle w:val="Tabletext"/>
            </w:pPr>
            <w:r w:rsidRPr="00507955">
              <w:t>48 months</w:t>
            </w:r>
          </w:p>
        </w:tc>
        <w:tc>
          <w:tcPr>
            <w:tcW w:w="1984" w:type="dxa"/>
          </w:tcPr>
          <w:p w:rsidR="00FB5052" w:rsidRPr="00507955" w:rsidRDefault="00FB5052" w:rsidP="00507955">
            <w:pPr>
              <w:pStyle w:val="Tabletext"/>
              <w:jc w:val="center"/>
            </w:pPr>
            <w:r w:rsidRPr="00507955">
              <w:t>0/40 (0%)</w:t>
            </w:r>
          </w:p>
        </w:tc>
        <w:tc>
          <w:tcPr>
            <w:tcW w:w="1985" w:type="dxa"/>
          </w:tcPr>
          <w:p w:rsidR="00FB5052" w:rsidRPr="00507955" w:rsidRDefault="00FB5052" w:rsidP="00507955">
            <w:pPr>
              <w:pStyle w:val="Tabletext"/>
              <w:jc w:val="center"/>
            </w:pPr>
            <w:r w:rsidRPr="00507955">
              <w:t>5/36 (14%)</w:t>
            </w:r>
          </w:p>
        </w:tc>
        <w:tc>
          <w:tcPr>
            <w:tcW w:w="1984" w:type="dxa"/>
          </w:tcPr>
          <w:p w:rsidR="00FB5052" w:rsidRPr="00507955" w:rsidRDefault="00FB5052" w:rsidP="00507955">
            <w:pPr>
              <w:pStyle w:val="Tabletext"/>
              <w:jc w:val="center"/>
            </w:pPr>
            <w:r w:rsidRPr="00507955">
              <w:t>0 (not calculable)</w:t>
            </w:r>
          </w:p>
        </w:tc>
      </w:tr>
      <w:tr w:rsidR="00FB5052" w:rsidRPr="006316DF" w:rsidTr="00507955">
        <w:trPr>
          <w:trHeight w:val="70"/>
        </w:trPr>
        <w:tc>
          <w:tcPr>
            <w:tcW w:w="1980" w:type="dxa"/>
          </w:tcPr>
          <w:p w:rsidR="00FB5052" w:rsidRPr="00507955" w:rsidRDefault="00FB5052" w:rsidP="00507955">
            <w:pPr>
              <w:pStyle w:val="Tabletext"/>
            </w:pPr>
            <w:r w:rsidRPr="00507955">
              <w:t>Sastry 2007</w:t>
            </w:r>
            <w:r w:rsidR="001D34EE" w:rsidRPr="001A1C44">
              <w:rPr>
                <w:noProof/>
                <w:vertAlign w:val="superscript"/>
              </w:rPr>
              <w:t>52</w:t>
            </w:r>
          </w:p>
          <w:p w:rsidR="00FB5052" w:rsidRPr="00507955" w:rsidRDefault="00FB5052" w:rsidP="00507955">
            <w:pPr>
              <w:pStyle w:val="Tabletext"/>
            </w:pPr>
            <w:r w:rsidRPr="00507955">
              <w:t>Sildenafil</w:t>
            </w:r>
          </w:p>
        </w:tc>
        <w:tc>
          <w:tcPr>
            <w:tcW w:w="1701" w:type="dxa"/>
          </w:tcPr>
          <w:p w:rsidR="00FB5052" w:rsidRPr="00507955" w:rsidRDefault="00FB5052" w:rsidP="00507955">
            <w:pPr>
              <w:pStyle w:val="Tabletext"/>
            </w:pPr>
            <w:r w:rsidRPr="00507955">
              <w:t>48 months</w:t>
            </w:r>
          </w:p>
        </w:tc>
        <w:tc>
          <w:tcPr>
            <w:tcW w:w="1984" w:type="dxa"/>
          </w:tcPr>
          <w:p w:rsidR="00FB5052" w:rsidRPr="00507955" w:rsidRDefault="00FB5052" w:rsidP="00507955">
            <w:pPr>
              <w:pStyle w:val="Tabletext"/>
              <w:jc w:val="center"/>
            </w:pPr>
            <w:r w:rsidRPr="00507955">
              <w:t>10/60 (17%)</w:t>
            </w:r>
          </w:p>
        </w:tc>
        <w:tc>
          <w:tcPr>
            <w:tcW w:w="1985" w:type="dxa"/>
          </w:tcPr>
          <w:p w:rsidR="00FB5052" w:rsidRPr="00507955" w:rsidRDefault="00FB5052" w:rsidP="00507955">
            <w:pPr>
              <w:pStyle w:val="Tabletext"/>
              <w:jc w:val="center"/>
            </w:pPr>
            <w:r w:rsidRPr="00507955">
              <w:t>6/19 (32%)</w:t>
            </w:r>
          </w:p>
        </w:tc>
        <w:tc>
          <w:tcPr>
            <w:tcW w:w="1984" w:type="dxa"/>
          </w:tcPr>
          <w:p w:rsidR="00FB5052" w:rsidRPr="00507955" w:rsidRDefault="00FB5052" w:rsidP="00507955">
            <w:pPr>
              <w:pStyle w:val="Tabletext"/>
              <w:jc w:val="center"/>
            </w:pPr>
            <w:r w:rsidRPr="00507955">
              <w:t>0.53 (0.22, 1.26)</w:t>
            </w:r>
          </w:p>
        </w:tc>
      </w:tr>
    </w:tbl>
    <w:p w:rsidR="008A5D9B" w:rsidRPr="00CA61D0" w:rsidRDefault="00FB5052" w:rsidP="00507955">
      <w:pPr>
        <w:pStyle w:val="Tablenote"/>
      </w:pPr>
      <w:r w:rsidRPr="00CA61D0">
        <w:t xml:space="preserve">CI = confidence interval; </w:t>
      </w:r>
      <w:r w:rsidR="008A5D9B" w:rsidRPr="006F774E">
        <w:t xml:space="preserve">FC = functional class; </w:t>
      </w:r>
      <w:r w:rsidRPr="00CA61D0">
        <w:t xml:space="preserve">n = number of </w:t>
      </w:r>
      <w:r w:rsidR="000F6EFC">
        <w:t xml:space="preserve">patients with </w:t>
      </w:r>
      <w:r w:rsidRPr="00CA61D0">
        <w:t>events; N = number of patients; PAH = pulmonary arterial hypertension; PDE-5 = phosphodiesterase type 5</w:t>
      </w:r>
      <w:r w:rsidR="008A5D9B" w:rsidRPr="00F20C66">
        <w:t xml:space="preserve">; </w:t>
      </w:r>
      <w:r w:rsidR="000F6EFC" w:rsidRPr="009E3B52">
        <w:t xml:space="preserve">RR = relative risk; </w:t>
      </w:r>
      <w:r w:rsidR="008A5D9B" w:rsidRPr="009E3B52">
        <w:t>WHO = World Health Organization</w:t>
      </w:r>
    </w:p>
    <w:p w:rsidR="00FB5052" w:rsidRPr="006316DF" w:rsidRDefault="00FB5052" w:rsidP="008F58B5">
      <w:pPr>
        <w:spacing w:after="40"/>
        <w:jc w:val="center"/>
        <w:rPr>
          <w:sz w:val="20"/>
        </w:rPr>
      </w:pPr>
      <w:r>
        <w:rPr>
          <w:noProof/>
          <w:sz w:val="20"/>
          <w:lang w:eastAsia="en-AU"/>
        </w:rPr>
        <w:drawing>
          <wp:inline distT="0" distB="0" distL="0" distR="0" wp14:anchorId="381A1055" wp14:editId="5AF16598">
            <wp:extent cx="5704764" cy="2446389"/>
            <wp:effectExtent l="0" t="0" r="0" b="0"/>
            <wp:docPr id="50" name="Picture 50" descr="The estimated RR from the meta-analysis was 0.32 (95% CI 0.05, 1.90)" title="Forest plot showing the RR of all-cause mortality for PDE-5 inhibitors compared with conventional therapy in patients with WHO FC I/II 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36" t="3603" r="1170" b="1919"/>
                    <a:stretch/>
                  </pic:blipFill>
                  <pic:spPr bwMode="auto">
                    <a:xfrm>
                      <a:off x="0" y="0"/>
                      <a:ext cx="5727933" cy="2456324"/>
                    </a:xfrm>
                    <a:prstGeom prst="rect">
                      <a:avLst/>
                    </a:prstGeom>
                    <a:noFill/>
                    <a:ln>
                      <a:noFill/>
                    </a:ln>
                    <a:extLst>
                      <a:ext uri="{53640926-AAD7-44D8-BBD7-CCE9431645EC}">
                        <a14:shadowObscured xmlns:a14="http://schemas.microsoft.com/office/drawing/2010/main"/>
                      </a:ext>
                    </a:extLst>
                  </pic:spPr>
                </pic:pic>
              </a:graphicData>
            </a:graphic>
          </wp:inline>
        </w:drawing>
      </w:r>
    </w:p>
    <w:p w:rsidR="00FB5052" w:rsidRDefault="00507955" w:rsidP="00BC5A2B">
      <w:pPr>
        <w:pStyle w:val="Caption"/>
      </w:pPr>
      <w:bookmarkStart w:id="122" w:name="_Ref505961670"/>
      <w:bookmarkStart w:id="123" w:name="_Toc38360471"/>
      <w:r>
        <w:t>Figure 4.</w:t>
      </w:r>
      <w:r w:rsidR="003951FA">
        <w:rPr>
          <w:noProof/>
        </w:rPr>
        <w:t>5</w:t>
      </w:r>
      <w:bookmarkEnd w:id="122"/>
      <w:r>
        <w:tab/>
      </w:r>
      <w:r w:rsidR="00FB5052">
        <w:t>Forest plot</w:t>
      </w:r>
      <w:r w:rsidR="00FB5052" w:rsidRPr="006316DF">
        <w:t xml:space="preserve"> </w:t>
      </w:r>
      <w:r w:rsidR="00FB5052" w:rsidRPr="00795577">
        <w:t xml:space="preserve">showing the RR of all-cause mortality for </w:t>
      </w:r>
      <w:r w:rsidR="00FB5052">
        <w:t>PDE-5 inhibitors</w:t>
      </w:r>
      <w:r w:rsidR="00FB5052" w:rsidRPr="00795577">
        <w:t xml:space="preserve"> compared with </w:t>
      </w:r>
      <w:r w:rsidR="00EF4CF6">
        <w:t>conventional therapy</w:t>
      </w:r>
      <w:r w:rsidR="00FB5052" w:rsidRPr="00795577">
        <w:t xml:space="preserve"> in patients with WHO FC I/II PAH</w:t>
      </w:r>
      <w:bookmarkEnd w:id="123"/>
      <w:r w:rsidR="00FB5052" w:rsidRPr="006316DF">
        <w:t xml:space="preserve"> </w:t>
      </w:r>
    </w:p>
    <w:p w:rsidR="000F6EFC" w:rsidRDefault="00FB5052" w:rsidP="00507955">
      <w:pPr>
        <w:pStyle w:val="Tablenote"/>
      </w:pPr>
      <w:r w:rsidRPr="00E419F0">
        <w:t xml:space="preserve">CI = confidence interval; </w:t>
      </w:r>
      <w:r w:rsidR="000F6EFC" w:rsidRPr="006F774E">
        <w:t xml:space="preserve">FC = functional class; </w:t>
      </w:r>
      <w:r w:rsidRPr="00E419F0">
        <w:t>N = number of patients; PAH = pulmonary arterial hypertension; PDE-5</w:t>
      </w:r>
      <w:r w:rsidR="000F6EFC">
        <w:t>i</w:t>
      </w:r>
      <w:r w:rsidRPr="00E419F0">
        <w:t xml:space="preserve"> = phosphodiesterase type 5</w:t>
      </w:r>
      <w:r w:rsidR="000F6EFC">
        <w:t xml:space="preserve"> inhibitor</w:t>
      </w:r>
      <w:r>
        <w:t>; RR = relative risk</w:t>
      </w:r>
      <w:r w:rsidR="000F6EFC" w:rsidRPr="00F20C66">
        <w:t xml:space="preserve">; </w:t>
      </w:r>
      <w:r w:rsidR="000F6EFC" w:rsidRPr="009E3B52">
        <w:t>WHO = World Health Organization</w:t>
      </w:r>
    </w:p>
    <w:p w:rsidR="00FB5052" w:rsidRPr="006316DF" w:rsidRDefault="0077344D" w:rsidP="00FB5052">
      <w:pPr>
        <w:pStyle w:val="Heading5"/>
      </w:pPr>
      <w:r>
        <w:t>c.</w:t>
      </w:r>
      <w:r w:rsidR="00EE09B2">
        <w:tab/>
      </w:r>
      <w:r w:rsidR="00C828F9" w:rsidRPr="006316DF">
        <w:t>Hospitalisation</w:t>
      </w:r>
      <w:r w:rsidR="00C828F9" w:rsidRPr="0046652B">
        <w:t xml:space="preserve"> due to worsening PAH</w:t>
      </w:r>
    </w:p>
    <w:p w:rsidR="00FB5052" w:rsidRPr="006316DF" w:rsidRDefault="00FB5052" w:rsidP="00FB5052">
      <w:r w:rsidRPr="006316DF">
        <w:t>None of the three RCTs reported on the number of patients with WHO FC I/II PAH who were hospitalised.</w:t>
      </w:r>
    </w:p>
    <w:p w:rsidR="00FB5052" w:rsidRPr="006316DF" w:rsidRDefault="0077344D" w:rsidP="00FB5052">
      <w:pPr>
        <w:pStyle w:val="Heading5"/>
      </w:pPr>
      <w:r>
        <w:t>d.</w:t>
      </w:r>
      <w:r w:rsidR="00EE09B2">
        <w:tab/>
      </w:r>
      <w:r w:rsidR="00FB5052" w:rsidRPr="006316DF">
        <w:t xml:space="preserve">Change in WHO </w:t>
      </w:r>
      <w:r w:rsidR="00FB5052">
        <w:t>FC</w:t>
      </w:r>
      <w:r w:rsidR="007B6C7C">
        <w:t xml:space="preserve"> from baseline</w:t>
      </w:r>
    </w:p>
    <w:p w:rsidR="00FB5052" w:rsidRPr="006316DF" w:rsidRDefault="00FB5052" w:rsidP="00FB5052">
      <w:r w:rsidRPr="006316DF">
        <w:t xml:space="preserve">Only the Mukhopadhyay 2011 crossover RCT reported on a change in WHO FC. There was no difference between the two </w:t>
      </w:r>
      <w:r>
        <w:t>treatment arms</w:t>
      </w:r>
      <w:r w:rsidRPr="006316DF">
        <w:t xml:space="preserve"> (</w:t>
      </w:r>
      <w:r w:rsidR="003951FA">
        <w:t xml:space="preserve">Table </w:t>
      </w:r>
      <w:r w:rsidR="003951FA">
        <w:rPr>
          <w:noProof/>
        </w:rPr>
        <w:t>4.35</w:t>
      </w:r>
      <w:r w:rsidRPr="006316DF">
        <w:t>). One patient improved</w:t>
      </w:r>
      <w:r>
        <w:t xml:space="preserve"> in</w:t>
      </w:r>
      <w:r w:rsidRPr="006316DF">
        <w:t xml:space="preserve"> WHO FC during the tadalafil phase and one patient improved </w:t>
      </w:r>
      <w:r>
        <w:t xml:space="preserve">in </w:t>
      </w:r>
      <w:r w:rsidRPr="006316DF">
        <w:t>WHO FC during the placebo phase. No patient experienced a worsening of WHO FC.</w:t>
      </w:r>
    </w:p>
    <w:p w:rsidR="00FB5052" w:rsidRPr="006316DF" w:rsidRDefault="00B40240" w:rsidP="00BC5A2B">
      <w:pPr>
        <w:pStyle w:val="Caption"/>
      </w:pPr>
      <w:bookmarkStart w:id="124" w:name="_Ref501442286"/>
      <w:bookmarkStart w:id="125" w:name="_Toc38360332"/>
      <w:r>
        <w:t>Table 4.</w:t>
      </w:r>
      <w:r w:rsidR="003951FA">
        <w:rPr>
          <w:noProof/>
        </w:rPr>
        <w:t>35</w:t>
      </w:r>
      <w:bookmarkEnd w:id="124"/>
      <w:r w:rsidR="00507955">
        <w:rPr>
          <w:noProof/>
        </w:rPr>
        <w:tab/>
      </w:r>
      <w:r w:rsidR="00FB5052" w:rsidRPr="006316DF">
        <w:t xml:space="preserve">The effectiveness of </w:t>
      </w:r>
      <w:r w:rsidR="00FB5052">
        <w:t>PDE-5 inhibitor</w:t>
      </w:r>
      <w:r w:rsidR="004B7C88">
        <w:t>s</w:t>
      </w:r>
      <w:r w:rsidR="00FB5052" w:rsidRPr="006316DF">
        <w:t xml:space="preserve"> compared with placebo in improving WHO FC</w:t>
      </w:r>
      <w:r w:rsidR="00FB5052" w:rsidRPr="00B642BB">
        <w:t xml:space="preserve"> in patients with WHO FC I/II PAH</w:t>
      </w:r>
      <w:bookmarkEnd w:id="125"/>
    </w:p>
    <w:tbl>
      <w:tblPr>
        <w:tblStyle w:val="TableGrid7"/>
        <w:tblW w:w="9634" w:type="dxa"/>
        <w:tblLayout w:type="fixed"/>
        <w:tblLook w:val="04A0" w:firstRow="1" w:lastRow="0" w:firstColumn="1" w:lastColumn="0" w:noHBand="0" w:noVBand="1"/>
        <w:tblCaption w:val="The effectiveness of PDE-5 inhibitors compared with placebo in improving WHO FC in patients with WHO FC I/II PAH"/>
      </w:tblPr>
      <w:tblGrid>
        <w:gridCol w:w="1838"/>
        <w:gridCol w:w="1701"/>
        <w:gridCol w:w="1985"/>
        <w:gridCol w:w="2126"/>
        <w:gridCol w:w="1984"/>
      </w:tblGrid>
      <w:tr w:rsidR="00FB5052" w:rsidRPr="006316DF" w:rsidTr="00237FAE">
        <w:trPr>
          <w:trHeight w:val="336"/>
          <w:tblHeader/>
        </w:trPr>
        <w:tc>
          <w:tcPr>
            <w:tcW w:w="1838" w:type="dxa"/>
            <w:vMerge w:val="restart"/>
            <w:shd w:val="clear" w:color="auto" w:fill="BFBFBF" w:themeFill="background1" w:themeFillShade="BF"/>
          </w:tcPr>
          <w:p w:rsidR="00FB5052" w:rsidRPr="00507955" w:rsidRDefault="00FB5052" w:rsidP="00507955">
            <w:pPr>
              <w:pStyle w:val="Tabletext"/>
              <w:rPr>
                <w:b/>
              </w:rPr>
            </w:pPr>
            <w:r w:rsidRPr="00507955">
              <w:rPr>
                <w:b/>
              </w:rPr>
              <w:t>Study ID</w:t>
            </w:r>
          </w:p>
          <w:p w:rsidR="00FB5052" w:rsidRDefault="00FB5052" w:rsidP="00507955">
            <w:pPr>
              <w:pStyle w:val="Tabletext"/>
              <w:rPr>
                <w:b/>
              </w:rPr>
            </w:pPr>
            <w:r w:rsidRPr="00507955">
              <w:rPr>
                <w:b/>
              </w:rPr>
              <w:t>Follow-up period</w:t>
            </w:r>
          </w:p>
          <w:p w:rsidR="00237FAE" w:rsidRPr="00507955" w:rsidRDefault="00237FAE" w:rsidP="00507955">
            <w:pPr>
              <w:pStyle w:val="Tabletext"/>
              <w:rPr>
                <w:b/>
              </w:rPr>
            </w:pPr>
            <w:r w:rsidRPr="00237FAE">
              <w:rPr>
                <w:b/>
              </w:rPr>
              <w:t>PDE-5 inhibitor</w:t>
            </w:r>
          </w:p>
        </w:tc>
        <w:tc>
          <w:tcPr>
            <w:tcW w:w="1701" w:type="dxa"/>
            <w:vMerge w:val="restart"/>
            <w:shd w:val="clear" w:color="auto" w:fill="BFBFBF" w:themeFill="background1" w:themeFillShade="BF"/>
          </w:tcPr>
          <w:p w:rsidR="00FB5052" w:rsidRPr="00507955" w:rsidRDefault="00FB5052" w:rsidP="00507955">
            <w:pPr>
              <w:pStyle w:val="Tabletext"/>
              <w:rPr>
                <w:b/>
              </w:rPr>
            </w:pPr>
            <w:r w:rsidRPr="00507955">
              <w:rPr>
                <w:b/>
              </w:rPr>
              <w:t>Change in WHO FC</w:t>
            </w:r>
          </w:p>
        </w:tc>
        <w:tc>
          <w:tcPr>
            <w:tcW w:w="4111" w:type="dxa"/>
            <w:gridSpan w:val="2"/>
            <w:shd w:val="clear" w:color="auto" w:fill="BFBFBF" w:themeFill="background1" w:themeFillShade="BF"/>
          </w:tcPr>
          <w:p w:rsidR="00FB5052" w:rsidRPr="00507955" w:rsidRDefault="00FB5052" w:rsidP="00507955">
            <w:pPr>
              <w:pStyle w:val="Tabletext"/>
              <w:jc w:val="center"/>
              <w:rPr>
                <w:b/>
              </w:rPr>
            </w:pPr>
            <w:proofErr w:type="gramStart"/>
            <w:r w:rsidRPr="00507955">
              <w:rPr>
                <w:b/>
              </w:rPr>
              <w:t>n/N</w:t>
            </w:r>
            <w:proofErr w:type="gramEnd"/>
            <w:r w:rsidRPr="00507955">
              <w:rPr>
                <w:b/>
              </w:rPr>
              <w:t xml:space="preserve"> (%)</w:t>
            </w:r>
          </w:p>
        </w:tc>
        <w:tc>
          <w:tcPr>
            <w:tcW w:w="1984" w:type="dxa"/>
            <w:vMerge w:val="restart"/>
            <w:shd w:val="clear" w:color="auto" w:fill="BFBFBF" w:themeFill="background1" w:themeFillShade="BF"/>
          </w:tcPr>
          <w:p w:rsidR="00FB5052" w:rsidRPr="00507955" w:rsidRDefault="00FB5052" w:rsidP="00507955">
            <w:pPr>
              <w:pStyle w:val="Tabletext"/>
              <w:jc w:val="center"/>
              <w:rPr>
                <w:b/>
              </w:rPr>
            </w:pPr>
            <w:r w:rsidRPr="00507955">
              <w:rPr>
                <w:b/>
              </w:rPr>
              <w:t>RR (95% CI)</w:t>
            </w:r>
          </w:p>
        </w:tc>
      </w:tr>
      <w:tr w:rsidR="00FB5052" w:rsidRPr="006316DF" w:rsidTr="00237FAE">
        <w:trPr>
          <w:trHeight w:val="227"/>
          <w:tblHeader/>
        </w:trPr>
        <w:tc>
          <w:tcPr>
            <w:tcW w:w="1838" w:type="dxa"/>
            <w:vMerge/>
            <w:shd w:val="clear" w:color="auto" w:fill="BFBFBF" w:themeFill="background1" w:themeFillShade="BF"/>
          </w:tcPr>
          <w:p w:rsidR="00FB5052" w:rsidRPr="00507955" w:rsidRDefault="00FB5052" w:rsidP="00507955">
            <w:pPr>
              <w:pStyle w:val="Tabletext"/>
            </w:pPr>
          </w:p>
        </w:tc>
        <w:tc>
          <w:tcPr>
            <w:tcW w:w="1701" w:type="dxa"/>
            <w:vMerge/>
            <w:shd w:val="clear" w:color="auto" w:fill="BFBFBF" w:themeFill="background1" w:themeFillShade="BF"/>
          </w:tcPr>
          <w:p w:rsidR="00FB5052" w:rsidRPr="00507955" w:rsidRDefault="00FB5052" w:rsidP="00507955">
            <w:pPr>
              <w:pStyle w:val="Tabletext"/>
            </w:pPr>
          </w:p>
        </w:tc>
        <w:tc>
          <w:tcPr>
            <w:tcW w:w="1985" w:type="dxa"/>
            <w:shd w:val="clear" w:color="auto" w:fill="BFBFBF" w:themeFill="background1" w:themeFillShade="BF"/>
          </w:tcPr>
          <w:p w:rsidR="00FB5052" w:rsidRPr="00507955" w:rsidRDefault="00237FAE" w:rsidP="00507955">
            <w:pPr>
              <w:pStyle w:val="Tabletext"/>
              <w:jc w:val="center"/>
              <w:rPr>
                <w:b/>
              </w:rPr>
            </w:pPr>
            <w:r w:rsidRPr="00507955">
              <w:rPr>
                <w:b/>
              </w:rPr>
              <w:t>PDE-5 inhibitor</w:t>
            </w:r>
          </w:p>
        </w:tc>
        <w:tc>
          <w:tcPr>
            <w:tcW w:w="2126" w:type="dxa"/>
            <w:shd w:val="clear" w:color="auto" w:fill="BFBFBF" w:themeFill="background1" w:themeFillShade="BF"/>
          </w:tcPr>
          <w:p w:rsidR="00FB5052" w:rsidRPr="00507955" w:rsidRDefault="00FB5052" w:rsidP="00507955">
            <w:pPr>
              <w:pStyle w:val="Tabletext"/>
              <w:jc w:val="center"/>
              <w:rPr>
                <w:b/>
              </w:rPr>
            </w:pPr>
            <w:r w:rsidRPr="00507955">
              <w:rPr>
                <w:b/>
              </w:rPr>
              <w:t>Placebo</w:t>
            </w:r>
          </w:p>
        </w:tc>
        <w:tc>
          <w:tcPr>
            <w:tcW w:w="1984" w:type="dxa"/>
            <w:vMerge/>
            <w:shd w:val="clear" w:color="auto" w:fill="BFBFBF" w:themeFill="background1" w:themeFillShade="BF"/>
          </w:tcPr>
          <w:p w:rsidR="00FB5052" w:rsidRPr="00507955" w:rsidRDefault="00FB5052" w:rsidP="00507955">
            <w:pPr>
              <w:pStyle w:val="Tabletext"/>
            </w:pPr>
          </w:p>
        </w:tc>
      </w:tr>
      <w:tr w:rsidR="00FB5052" w:rsidRPr="006316DF" w:rsidTr="00237FAE">
        <w:trPr>
          <w:cantSplit/>
          <w:trHeight w:val="70"/>
        </w:trPr>
        <w:tc>
          <w:tcPr>
            <w:tcW w:w="1838" w:type="dxa"/>
            <w:vMerge w:val="restart"/>
          </w:tcPr>
          <w:p w:rsidR="00FB5052" w:rsidRPr="00507955" w:rsidRDefault="00FB5052" w:rsidP="00237FAE">
            <w:pPr>
              <w:pStyle w:val="Tabletext"/>
              <w:keepNext/>
            </w:pPr>
            <w:r w:rsidRPr="00507955">
              <w:t>Mukhopadhyay 2011</w:t>
            </w:r>
            <w:r w:rsidR="001D34EE" w:rsidRPr="001A1C44">
              <w:rPr>
                <w:noProof/>
                <w:vertAlign w:val="superscript"/>
              </w:rPr>
              <w:t>40</w:t>
            </w:r>
          </w:p>
          <w:p w:rsidR="00FB5052" w:rsidRDefault="00FB5052" w:rsidP="00237FAE">
            <w:pPr>
              <w:pStyle w:val="Tabletext"/>
              <w:keepNext/>
            </w:pPr>
            <w:r w:rsidRPr="00507955">
              <w:t>6 weeks</w:t>
            </w:r>
          </w:p>
          <w:p w:rsidR="00237FAE" w:rsidRPr="00507955" w:rsidRDefault="00237FAE" w:rsidP="00237FAE">
            <w:pPr>
              <w:pStyle w:val="Tabletext"/>
              <w:keepNext/>
            </w:pPr>
            <w:r>
              <w:t>Tadalafil</w:t>
            </w:r>
          </w:p>
        </w:tc>
        <w:tc>
          <w:tcPr>
            <w:tcW w:w="1701" w:type="dxa"/>
          </w:tcPr>
          <w:p w:rsidR="00FB5052" w:rsidRPr="00507955" w:rsidRDefault="00FB5052" w:rsidP="00237FAE">
            <w:pPr>
              <w:pStyle w:val="Tabletext"/>
              <w:keepNext/>
            </w:pPr>
            <w:r w:rsidRPr="00507955">
              <w:t>Improved</w:t>
            </w:r>
          </w:p>
        </w:tc>
        <w:tc>
          <w:tcPr>
            <w:tcW w:w="1985" w:type="dxa"/>
          </w:tcPr>
          <w:p w:rsidR="00FB5052" w:rsidRPr="00507955" w:rsidRDefault="00FB5052" w:rsidP="00237FAE">
            <w:pPr>
              <w:pStyle w:val="Tabletext"/>
              <w:keepNext/>
              <w:jc w:val="center"/>
            </w:pPr>
            <w:r w:rsidRPr="00507955">
              <w:t>1/22 (5%)</w:t>
            </w:r>
          </w:p>
        </w:tc>
        <w:tc>
          <w:tcPr>
            <w:tcW w:w="2126" w:type="dxa"/>
          </w:tcPr>
          <w:p w:rsidR="00FB5052" w:rsidRPr="00507955" w:rsidRDefault="00FB5052" w:rsidP="00237FAE">
            <w:pPr>
              <w:pStyle w:val="Tabletext"/>
              <w:keepNext/>
              <w:jc w:val="center"/>
            </w:pPr>
            <w:r w:rsidRPr="00507955">
              <w:t>1/22 (5%)</w:t>
            </w:r>
          </w:p>
        </w:tc>
        <w:tc>
          <w:tcPr>
            <w:tcW w:w="1984" w:type="dxa"/>
          </w:tcPr>
          <w:p w:rsidR="00FB5052" w:rsidRPr="00507955" w:rsidRDefault="00FB5052" w:rsidP="00237FAE">
            <w:pPr>
              <w:pStyle w:val="Tabletext"/>
              <w:keepNext/>
              <w:jc w:val="center"/>
            </w:pPr>
            <w:r w:rsidRPr="00507955">
              <w:t>1.00 (0.07, 15.00)</w:t>
            </w:r>
          </w:p>
        </w:tc>
      </w:tr>
      <w:tr w:rsidR="00FB5052" w:rsidRPr="006316DF" w:rsidTr="00507955">
        <w:trPr>
          <w:trHeight w:val="70"/>
        </w:trPr>
        <w:tc>
          <w:tcPr>
            <w:tcW w:w="1838" w:type="dxa"/>
            <w:vMerge/>
          </w:tcPr>
          <w:p w:rsidR="00FB5052" w:rsidRPr="00507955" w:rsidRDefault="00FB5052" w:rsidP="00507955">
            <w:pPr>
              <w:pStyle w:val="Tabletext"/>
            </w:pPr>
          </w:p>
        </w:tc>
        <w:tc>
          <w:tcPr>
            <w:tcW w:w="1701" w:type="dxa"/>
          </w:tcPr>
          <w:p w:rsidR="00FB5052" w:rsidRPr="00507955" w:rsidRDefault="00FB5052" w:rsidP="00507955">
            <w:pPr>
              <w:pStyle w:val="Tabletext"/>
            </w:pPr>
            <w:r w:rsidRPr="00507955">
              <w:t>Worsened</w:t>
            </w:r>
          </w:p>
        </w:tc>
        <w:tc>
          <w:tcPr>
            <w:tcW w:w="1985" w:type="dxa"/>
          </w:tcPr>
          <w:p w:rsidR="00FB5052" w:rsidRPr="00507955" w:rsidRDefault="00FB5052" w:rsidP="00507955">
            <w:pPr>
              <w:pStyle w:val="Tabletext"/>
              <w:jc w:val="center"/>
            </w:pPr>
            <w:r w:rsidRPr="00507955">
              <w:t>0/22 (0%)</w:t>
            </w:r>
          </w:p>
        </w:tc>
        <w:tc>
          <w:tcPr>
            <w:tcW w:w="2126" w:type="dxa"/>
          </w:tcPr>
          <w:p w:rsidR="00FB5052" w:rsidRPr="00507955" w:rsidRDefault="00FB5052" w:rsidP="00507955">
            <w:pPr>
              <w:pStyle w:val="Tabletext"/>
              <w:jc w:val="center"/>
            </w:pPr>
            <w:r w:rsidRPr="00507955">
              <w:t>0/22 (0%)</w:t>
            </w:r>
          </w:p>
        </w:tc>
        <w:tc>
          <w:tcPr>
            <w:tcW w:w="1984" w:type="dxa"/>
          </w:tcPr>
          <w:p w:rsidR="00FB5052" w:rsidRPr="00507955" w:rsidRDefault="00FB5052" w:rsidP="00507955">
            <w:pPr>
              <w:pStyle w:val="Tabletext"/>
              <w:jc w:val="center"/>
            </w:pPr>
            <w:r w:rsidRPr="00507955">
              <w:t>Not calculable</w:t>
            </w:r>
          </w:p>
        </w:tc>
      </w:tr>
    </w:tbl>
    <w:p w:rsidR="000F6EFC" w:rsidRPr="006316DF" w:rsidRDefault="00FB5052" w:rsidP="00507955">
      <w:pPr>
        <w:pStyle w:val="Tablenote"/>
      </w:pPr>
      <w:r w:rsidRPr="006316DF">
        <w:t xml:space="preserve">CI = confidence interval; FC = functional class; n = number of events; N = number of patients; </w:t>
      </w:r>
      <w:r w:rsidR="000F6EFC" w:rsidRPr="009E3B52">
        <w:t xml:space="preserve">PAH = pulmonary arterial hypertension; </w:t>
      </w:r>
      <w:r>
        <w:t>PDE-5 = phosphodiesterase type 5;</w:t>
      </w:r>
      <w:r w:rsidRPr="006316DF">
        <w:t xml:space="preserve"> RR = relative risk; WHO = World Health </w:t>
      </w:r>
      <w:r>
        <w:t>Organization</w:t>
      </w:r>
    </w:p>
    <w:p w:rsidR="00FB5052" w:rsidRPr="006316DF" w:rsidRDefault="00EE09B2" w:rsidP="00FB5052">
      <w:pPr>
        <w:pStyle w:val="Heading5"/>
      </w:pPr>
      <w:r>
        <w:t>e</w:t>
      </w:r>
      <w:r w:rsidR="0077344D">
        <w:t>.</w:t>
      </w:r>
      <w:r>
        <w:tab/>
      </w:r>
      <w:r w:rsidR="00B603BC">
        <w:t>Change in 6MWD from baseline</w:t>
      </w:r>
    </w:p>
    <w:p w:rsidR="00FB5052" w:rsidRPr="006316DF" w:rsidRDefault="00FB5052" w:rsidP="00FB5052">
      <w:r w:rsidRPr="006316DF">
        <w:t xml:space="preserve">The PHIRST and SUPER-1 trials reported on the change in 6MWD for patients with WHO FC I/II PAH. The patients in the PHIRST trial </w:t>
      </w:r>
      <w:proofErr w:type="gramStart"/>
      <w:r w:rsidRPr="006316DF">
        <w:t>being treated</w:t>
      </w:r>
      <w:proofErr w:type="gramEnd"/>
      <w:r w:rsidRPr="006316DF">
        <w:t xml:space="preserve"> with tadalafil showed a placebo-adjusted improvement of 10.</w:t>
      </w:r>
      <w:r w:rsidR="00973227" w:rsidRPr="006316DF">
        <w:t>8</w:t>
      </w:r>
      <w:r w:rsidR="00973227">
        <w:t> </w:t>
      </w:r>
      <w:r w:rsidRPr="006316DF">
        <w:t>m over the 16-week trial period (</w:t>
      </w:r>
      <w:r w:rsidR="003951FA">
        <w:t xml:space="preserve">Table </w:t>
      </w:r>
      <w:r w:rsidR="003951FA">
        <w:rPr>
          <w:noProof/>
        </w:rPr>
        <w:t>4.36</w:t>
      </w:r>
      <w:r w:rsidRPr="006316DF">
        <w:t xml:space="preserve">). </w:t>
      </w:r>
      <w:r>
        <w:t xml:space="preserve">Although this distance is </w:t>
      </w:r>
      <w:r w:rsidR="007E658F">
        <w:t>not</w:t>
      </w:r>
      <w:r>
        <w:t xml:space="preserve"> clinically relevant, the importance of this change cannot be determined in the absence of reported baseline levels of 6MWD. </w:t>
      </w:r>
      <w:r w:rsidRPr="006316DF">
        <w:t xml:space="preserve">The placebo-adjusted improvement for WHO FC I/II PAH patients treated with sildenafil at the end of the 12-week trial period in the SUPER-1 trial was </w:t>
      </w:r>
      <w:r>
        <w:t>clinically important</w:t>
      </w:r>
      <w:r w:rsidRPr="006316DF">
        <w:t xml:space="preserve"> (about 50</w:t>
      </w:r>
      <w:r w:rsidR="00DB6ACB">
        <w:t> </w:t>
      </w:r>
      <w:r w:rsidRPr="00D224CF">
        <w:t>m</w:t>
      </w:r>
      <w:r>
        <w:t xml:space="preserve">; </w:t>
      </w:r>
      <w:r w:rsidR="003951FA">
        <w:t xml:space="preserve">Table </w:t>
      </w:r>
      <w:r w:rsidR="003951FA">
        <w:rPr>
          <w:noProof/>
        </w:rPr>
        <w:t>4.36</w:t>
      </w:r>
      <w:r w:rsidRPr="006316DF">
        <w:t>,</w:t>
      </w:r>
      <w:r>
        <w:t xml:space="preserve"> </w:t>
      </w:r>
      <w:r w:rsidR="003951FA">
        <w:t xml:space="preserve">Figure </w:t>
      </w:r>
      <w:r w:rsidR="003951FA">
        <w:rPr>
          <w:noProof/>
        </w:rPr>
        <w:t>4.6</w:t>
      </w:r>
      <w:r w:rsidRPr="006316DF">
        <w:t>).</w:t>
      </w:r>
    </w:p>
    <w:p w:rsidR="00FB5052" w:rsidRDefault="00B40240" w:rsidP="00BC5A2B">
      <w:pPr>
        <w:pStyle w:val="Caption"/>
      </w:pPr>
      <w:bookmarkStart w:id="126" w:name="_Ref500942983"/>
      <w:bookmarkStart w:id="127" w:name="_Toc38360333"/>
      <w:r>
        <w:t>Table 4.</w:t>
      </w:r>
      <w:r w:rsidR="003951FA">
        <w:rPr>
          <w:noProof/>
        </w:rPr>
        <w:t>36</w:t>
      </w:r>
      <w:bookmarkEnd w:id="126"/>
      <w:r w:rsidR="00507955">
        <w:rPr>
          <w:noProof/>
        </w:rPr>
        <w:tab/>
      </w:r>
      <w:r w:rsidR="00FB5052" w:rsidRPr="006316DF">
        <w:t xml:space="preserve">The effectiveness of </w:t>
      </w:r>
      <w:r w:rsidR="00FB5052">
        <w:t>PDE-5 inhibitor</w:t>
      </w:r>
      <w:r w:rsidR="004B7C88">
        <w:t>s</w:t>
      </w:r>
      <w:r w:rsidR="00FB5052" w:rsidRPr="006316DF">
        <w:t xml:space="preserve"> </w:t>
      </w:r>
      <w:r w:rsidR="00FB5052">
        <w:t>compared with</w:t>
      </w:r>
      <w:r w:rsidR="00FB5052" w:rsidRPr="006316DF">
        <w:t xml:space="preserve"> placebo in improving 6MWD</w:t>
      </w:r>
      <w:r w:rsidR="00FB5052" w:rsidRPr="00B642BB">
        <w:t xml:space="preserve"> in patients with WHO FC I/II PAH</w:t>
      </w:r>
      <w:bookmarkEnd w:id="127"/>
    </w:p>
    <w:tbl>
      <w:tblPr>
        <w:tblStyle w:val="TableGrid"/>
        <w:tblW w:w="9634" w:type="dxa"/>
        <w:tblLayout w:type="fixed"/>
        <w:tblLook w:val="04A0" w:firstRow="1" w:lastRow="0" w:firstColumn="1" w:lastColumn="0" w:noHBand="0" w:noVBand="1"/>
        <w:tblCaption w:val="The effectiveness of PDE-5 inhibitors compared with placebo in improving 6MWD in patients with WHO FC I/II PAH"/>
      </w:tblPr>
      <w:tblGrid>
        <w:gridCol w:w="1271"/>
        <w:gridCol w:w="1276"/>
        <w:gridCol w:w="1205"/>
        <w:gridCol w:w="1205"/>
        <w:gridCol w:w="1701"/>
        <w:gridCol w:w="1701"/>
        <w:gridCol w:w="1275"/>
      </w:tblGrid>
      <w:tr w:rsidR="00FB5052" w:rsidRPr="00F05153" w:rsidTr="00237FAE">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FB5052" w:rsidRPr="00F05153" w:rsidRDefault="00FB5052" w:rsidP="00507955">
            <w:pPr>
              <w:pStyle w:val="Tabletext"/>
              <w:rPr>
                <w:b/>
              </w:rPr>
            </w:pPr>
            <w:r w:rsidRPr="00F05153">
              <w:rPr>
                <w:b/>
              </w:rPr>
              <w:t>Study ID</w:t>
            </w:r>
          </w:p>
        </w:tc>
        <w:tc>
          <w:tcPr>
            <w:tcW w:w="1276" w:type="dxa"/>
            <w:vMerge w:val="restart"/>
            <w:shd w:val="clear" w:color="auto" w:fill="BFBFBF" w:themeFill="background1" w:themeFillShade="BF"/>
          </w:tcPr>
          <w:p w:rsidR="00FB5052" w:rsidRPr="00F05153" w:rsidRDefault="00237FAE" w:rsidP="00507955">
            <w:pPr>
              <w:pStyle w:val="Tabletext"/>
              <w:rPr>
                <w:b/>
              </w:rPr>
            </w:pPr>
            <w:r w:rsidRPr="00F05153">
              <w:rPr>
                <w:b/>
              </w:rPr>
              <w:t>PDE-5 inhibitor</w:t>
            </w:r>
          </w:p>
          <w:p w:rsidR="00FB5052" w:rsidRPr="00F05153" w:rsidRDefault="00FB5052" w:rsidP="00507955">
            <w:pPr>
              <w:pStyle w:val="Tabletext"/>
              <w:rPr>
                <w:b/>
              </w:rPr>
            </w:pPr>
            <w:r w:rsidRPr="00F05153">
              <w:rPr>
                <w:b/>
              </w:rPr>
              <w:t>Follow-up period</w:t>
            </w:r>
          </w:p>
        </w:tc>
        <w:tc>
          <w:tcPr>
            <w:tcW w:w="2410" w:type="dxa"/>
            <w:gridSpan w:val="2"/>
            <w:shd w:val="clear" w:color="auto" w:fill="BFBFBF" w:themeFill="background1" w:themeFillShade="BF"/>
          </w:tcPr>
          <w:p w:rsidR="00FB5052" w:rsidRPr="00F05153" w:rsidRDefault="00FB5052" w:rsidP="00507955">
            <w:pPr>
              <w:pStyle w:val="Tabletext"/>
              <w:jc w:val="center"/>
              <w:rPr>
                <w:b/>
              </w:rPr>
            </w:pPr>
            <w:r w:rsidRPr="00F05153">
              <w:rPr>
                <w:b/>
              </w:rPr>
              <w:t xml:space="preserve">Mean ± SD baseline 6MWD, </w:t>
            </w:r>
            <w:r w:rsidR="00503643">
              <w:rPr>
                <w:b/>
              </w:rPr>
              <w:t>metres</w:t>
            </w:r>
          </w:p>
        </w:tc>
        <w:tc>
          <w:tcPr>
            <w:tcW w:w="3402" w:type="dxa"/>
            <w:gridSpan w:val="2"/>
            <w:shd w:val="clear" w:color="auto" w:fill="BFBFBF" w:themeFill="background1" w:themeFillShade="BF"/>
          </w:tcPr>
          <w:p w:rsidR="00FB5052" w:rsidRPr="00F05153" w:rsidRDefault="00FB5052" w:rsidP="00507955">
            <w:pPr>
              <w:pStyle w:val="Tabletext"/>
              <w:jc w:val="center"/>
              <w:rPr>
                <w:b/>
              </w:rPr>
            </w:pPr>
            <w:r w:rsidRPr="00F05153">
              <w:rPr>
                <w:b/>
              </w:rPr>
              <w:t>Mean</w:t>
            </w:r>
            <w:r w:rsidR="00AE77DC" w:rsidRPr="00F05153">
              <w:rPr>
                <w:b/>
              </w:rPr>
              <w:t xml:space="preserve"> ± SD</w:t>
            </w:r>
            <w:r w:rsidRPr="00F05153">
              <w:rPr>
                <w:b/>
              </w:rPr>
              <w:t xml:space="preserve"> change from baseline (95% CI), </w:t>
            </w:r>
            <w:r w:rsidR="00503643">
              <w:rPr>
                <w:b/>
              </w:rPr>
              <w:t>metres</w:t>
            </w:r>
          </w:p>
        </w:tc>
        <w:tc>
          <w:tcPr>
            <w:tcW w:w="1275" w:type="dxa"/>
            <w:vMerge w:val="restart"/>
            <w:shd w:val="clear" w:color="auto" w:fill="BFBFBF" w:themeFill="background1" w:themeFillShade="BF"/>
          </w:tcPr>
          <w:p w:rsidR="00FB5052" w:rsidRPr="00F05153" w:rsidRDefault="00FB5052" w:rsidP="00595E34">
            <w:pPr>
              <w:pStyle w:val="Tabletext"/>
              <w:jc w:val="center"/>
              <w:rPr>
                <w:b/>
              </w:rPr>
            </w:pPr>
            <w:r w:rsidRPr="00F05153">
              <w:rPr>
                <w:b/>
              </w:rPr>
              <w:t xml:space="preserve">Mean difference, </w:t>
            </w:r>
            <w:r w:rsidR="00595E34" w:rsidRPr="00F05153">
              <w:rPr>
                <w:b/>
              </w:rPr>
              <w:t>met</w:t>
            </w:r>
            <w:r w:rsidR="00595E34">
              <w:rPr>
                <w:b/>
              </w:rPr>
              <w:t>re</w:t>
            </w:r>
            <w:r w:rsidR="00595E34" w:rsidRPr="00F05153">
              <w:rPr>
                <w:b/>
              </w:rPr>
              <w:t>s</w:t>
            </w:r>
          </w:p>
        </w:tc>
      </w:tr>
      <w:tr w:rsidR="00FB5052" w:rsidRPr="00F05153" w:rsidTr="00237FAE">
        <w:tc>
          <w:tcPr>
            <w:tcW w:w="1271" w:type="dxa"/>
            <w:vMerge/>
          </w:tcPr>
          <w:p w:rsidR="00FB5052" w:rsidRPr="00F05153" w:rsidRDefault="00FB5052" w:rsidP="00507955">
            <w:pPr>
              <w:pStyle w:val="Tabletext"/>
            </w:pPr>
          </w:p>
        </w:tc>
        <w:tc>
          <w:tcPr>
            <w:tcW w:w="1276" w:type="dxa"/>
            <w:vMerge/>
          </w:tcPr>
          <w:p w:rsidR="00FB5052" w:rsidRPr="00F05153" w:rsidRDefault="00FB5052" w:rsidP="00507955">
            <w:pPr>
              <w:pStyle w:val="Tabletext"/>
            </w:pPr>
          </w:p>
        </w:tc>
        <w:tc>
          <w:tcPr>
            <w:tcW w:w="1205" w:type="dxa"/>
            <w:shd w:val="clear" w:color="auto" w:fill="BFBFBF" w:themeFill="background1" w:themeFillShade="BF"/>
          </w:tcPr>
          <w:p w:rsidR="00FB5052" w:rsidRPr="00F05153" w:rsidRDefault="00FB5052" w:rsidP="00507955">
            <w:pPr>
              <w:pStyle w:val="Tabletext"/>
              <w:jc w:val="center"/>
              <w:rPr>
                <w:b/>
              </w:rPr>
            </w:pPr>
            <w:r w:rsidRPr="00F05153">
              <w:rPr>
                <w:b/>
              </w:rPr>
              <w:t>PDE-5i</w:t>
            </w:r>
          </w:p>
        </w:tc>
        <w:tc>
          <w:tcPr>
            <w:tcW w:w="1205" w:type="dxa"/>
            <w:shd w:val="clear" w:color="auto" w:fill="BFBFBF" w:themeFill="background1" w:themeFillShade="BF"/>
          </w:tcPr>
          <w:p w:rsidR="00FB5052" w:rsidRPr="00F05153" w:rsidRDefault="00FB5052" w:rsidP="00507955">
            <w:pPr>
              <w:pStyle w:val="Tabletext"/>
              <w:jc w:val="center"/>
              <w:rPr>
                <w:b/>
              </w:rPr>
            </w:pPr>
            <w:r w:rsidRPr="00F05153">
              <w:rPr>
                <w:b/>
              </w:rPr>
              <w:t>Placebo</w:t>
            </w:r>
          </w:p>
        </w:tc>
        <w:tc>
          <w:tcPr>
            <w:tcW w:w="1701" w:type="dxa"/>
            <w:shd w:val="clear" w:color="auto" w:fill="BFBFBF" w:themeFill="background1" w:themeFillShade="BF"/>
          </w:tcPr>
          <w:p w:rsidR="00FB5052" w:rsidRPr="00F05153" w:rsidRDefault="00FB5052" w:rsidP="00507955">
            <w:pPr>
              <w:pStyle w:val="Tabletext"/>
              <w:jc w:val="center"/>
              <w:rPr>
                <w:b/>
              </w:rPr>
            </w:pPr>
            <w:r w:rsidRPr="00F05153">
              <w:rPr>
                <w:b/>
              </w:rPr>
              <w:t>PDE-5i</w:t>
            </w:r>
          </w:p>
        </w:tc>
        <w:tc>
          <w:tcPr>
            <w:tcW w:w="1701" w:type="dxa"/>
            <w:shd w:val="clear" w:color="auto" w:fill="BFBFBF" w:themeFill="background1" w:themeFillShade="BF"/>
          </w:tcPr>
          <w:p w:rsidR="00FB5052" w:rsidRPr="00F05153" w:rsidRDefault="00FB5052" w:rsidP="00507955">
            <w:pPr>
              <w:pStyle w:val="Tabletext"/>
              <w:jc w:val="center"/>
              <w:rPr>
                <w:b/>
              </w:rPr>
            </w:pPr>
            <w:r w:rsidRPr="00F05153">
              <w:rPr>
                <w:b/>
              </w:rPr>
              <w:t>Placebo</w:t>
            </w:r>
          </w:p>
        </w:tc>
        <w:tc>
          <w:tcPr>
            <w:tcW w:w="1275" w:type="dxa"/>
            <w:vMerge/>
          </w:tcPr>
          <w:p w:rsidR="00FB5052" w:rsidRPr="00F05153" w:rsidRDefault="00FB5052" w:rsidP="00507955">
            <w:pPr>
              <w:pStyle w:val="Tabletext"/>
            </w:pPr>
          </w:p>
        </w:tc>
      </w:tr>
      <w:tr w:rsidR="00FB5052" w:rsidRPr="00F05153" w:rsidTr="00237FAE">
        <w:tc>
          <w:tcPr>
            <w:tcW w:w="1271" w:type="dxa"/>
          </w:tcPr>
          <w:p w:rsidR="00FB5052" w:rsidRPr="00F05153" w:rsidRDefault="00FB5052" w:rsidP="001D34EE">
            <w:pPr>
              <w:pStyle w:val="Tabletext"/>
            </w:pPr>
            <w:r w:rsidRPr="00F05153">
              <w:t>PHIRST</w:t>
            </w:r>
            <w:r w:rsidR="001D34EE" w:rsidRPr="00F05153">
              <w:rPr>
                <w:noProof/>
                <w:vertAlign w:val="superscript"/>
              </w:rPr>
              <w:t>45</w:t>
            </w:r>
          </w:p>
        </w:tc>
        <w:tc>
          <w:tcPr>
            <w:tcW w:w="1276" w:type="dxa"/>
          </w:tcPr>
          <w:p w:rsidR="00FB5052" w:rsidRPr="00F05153" w:rsidRDefault="00FB5052" w:rsidP="00507955">
            <w:pPr>
              <w:pStyle w:val="Tabletext"/>
            </w:pPr>
            <w:r w:rsidRPr="00F05153">
              <w:t>Tadalafil</w:t>
            </w:r>
          </w:p>
          <w:p w:rsidR="00FB5052" w:rsidRPr="00F05153" w:rsidRDefault="00FB5052" w:rsidP="00507955">
            <w:pPr>
              <w:pStyle w:val="Tabletext"/>
            </w:pPr>
            <w:r w:rsidRPr="00F05153">
              <w:t>16 weeks</w:t>
            </w:r>
          </w:p>
        </w:tc>
        <w:tc>
          <w:tcPr>
            <w:tcW w:w="1205" w:type="dxa"/>
          </w:tcPr>
          <w:p w:rsidR="00FB5052" w:rsidRPr="00F05153" w:rsidRDefault="00FB5052" w:rsidP="00507955">
            <w:pPr>
              <w:pStyle w:val="Tabletext"/>
              <w:jc w:val="center"/>
            </w:pPr>
            <w:r w:rsidRPr="00F05153">
              <w:t>NR</w:t>
            </w:r>
          </w:p>
        </w:tc>
        <w:tc>
          <w:tcPr>
            <w:tcW w:w="1205" w:type="dxa"/>
          </w:tcPr>
          <w:p w:rsidR="00FB5052" w:rsidRPr="00F05153" w:rsidRDefault="00FB5052" w:rsidP="00507955">
            <w:pPr>
              <w:pStyle w:val="Tabletext"/>
              <w:jc w:val="center"/>
            </w:pPr>
            <w:r w:rsidRPr="00F05153">
              <w:t>NR</w:t>
            </w:r>
          </w:p>
        </w:tc>
        <w:tc>
          <w:tcPr>
            <w:tcW w:w="1701" w:type="dxa"/>
          </w:tcPr>
          <w:p w:rsidR="00FB5052" w:rsidRPr="00F05153" w:rsidRDefault="00FB5052" w:rsidP="00507955">
            <w:pPr>
              <w:pStyle w:val="Tabletext"/>
              <w:jc w:val="center"/>
            </w:pPr>
            <w:r w:rsidRPr="00F05153">
              <w:t>n=10</w:t>
            </w:r>
          </w:p>
          <w:p w:rsidR="00FB5052" w:rsidRPr="00F05153" w:rsidRDefault="00FB5052" w:rsidP="00085667">
            <w:pPr>
              <w:pStyle w:val="Tabletext"/>
              <w:jc w:val="center"/>
            </w:pPr>
            <w:r w:rsidRPr="00F05153">
              <w:t>23.6</w:t>
            </w:r>
            <w:r w:rsidR="00085667" w:rsidRPr="00F05153">
              <w:t xml:space="preserve"> </w:t>
            </w:r>
            <w:r w:rsidRPr="00F05153">
              <w:t>(17.8, 49.5)</w:t>
            </w:r>
          </w:p>
        </w:tc>
        <w:tc>
          <w:tcPr>
            <w:tcW w:w="1701" w:type="dxa"/>
          </w:tcPr>
          <w:p w:rsidR="00FB5052" w:rsidRPr="00F05153" w:rsidRDefault="00FB5052" w:rsidP="00507955">
            <w:pPr>
              <w:pStyle w:val="Tabletext"/>
              <w:jc w:val="center"/>
            </w:pPr>
            <w:r w:rsidRPr="00F05153">
              <w:t>n=11</w:t>
            </w:r>
          </w:p>
          <w:p w:rsidR="00FB5052" w:rsidRPr="00F05153" w:rsidRDefault="00FB5052" w:rsidP="00085667">
            <w:pPr>
              <w:pStyle w:val="Tabletext"/>
              <w:jc w:val="center"/>
            </w:pPr>
            <w:r w:rsidRPr="00F05153">
              <w:t>12.8</w:t>
            </w:r>
            <w:r w:rsidR="00085667" w:rsidRPr="00F05153">
              <w:t xml:space="preserve"> </w:t>
            </w:r>
            <w:r w:rsidRPr="00F05153">
              <w:t>(–34.8, 38.1)</w:t>
            </w:r>
          </w:p>
        </w:tc>
        <w:tc>
          <w:tcPr>
            <w:tcW w:w="1275" w:type="dxa"/>
          </w:tcPr>
          <w:p w:rsidR="00FB5052" w:rsidRPr="00F05153" w:rsidRDefault="00FB5052" w:rsidP="00507955">
            <w:pPr>
              <w:pStyle w:val="Tabletext"/>
              <w:jc w:val="center"/>
            </w:pPr>
          </w:p>
          <w:p w:rsidR="00FB5052" w:rsidRPr="00F05153" w:rsidRDefault="00FB5052" w:rsidP="00507955">
            <w:pPr>
              <w:pStyle w:val="Tabletext"/>
              <w:jc w:val="center"/>
            </w:pPr>
            <w:r w:rsidRPr="00F05153">
              <w:t>10.8</w:t>
            </w:r>
          </w:p>
        </w:tc>
      </w:tr>
      <w:tr w:rsidR="00FB5052" w:rsidRPr="00F05153" w:rsidTr="00237FAE">
        <w:tc>
          <w:tcPr>
            <w:tcW w:w="1271" w:type="dxa"/>
          </w:tcPr>
          <w:p w:rsidR="00FB5052" w:rsidRPr="00F05153" w:rsidRDefault="00FB5052" w:rsidP="00507955">
            <w:pPr>
              <w:pStyle w:val="Tabletext"/>
            </w:pPr>
            <w:r w:rsidRPr="00F05153">
              <w:t>SUPER-1</w:t>
            </w:r>
            <w:r w:rsidRPr="00F05153">
              <w:rPr>
                <w:vertAlign w:val="superscript"/>
              </w:rPr>
              <w:t>a</w:t>
            </w:r>
            <w:r w:rsidRPr="00F05153">
              <w:t>, November 2006 submission</w:t>
            </w:r>
          </w:p>
        </w:tc>
        <w:tc>
          <w:tcPr>
            <w:tcW w:w="1276" w:type="dxa"/>
          </w:tcPr>
          <w:p w:rsidR="00FB5052" w:rsidRPr="00F05153" w:rsidRDefault="00FB5052" w:rsidP="00507955">
            <w:pPr>
              <w:pStyle w:val="Tabletext"/>
            </w:pPr>
            <w:r w:rsidRPr="00F05153">
              <w:t>Sildenafil</w:t>
            </w:r>
          </w:p>
          <w:p w:rsidR="00FB5052" w:rsidRPr="00F05153" w:rsidRDefault="00FB5052" w:rsidP="00507955">
            <w:pPr>
              <w:pStyle w:val="Tabletext"/>
            </w:pPr>
            <w:r w:rsidRPr="00F05153">
              <w:t>12 weeks</w:t>
            </w:r>
          </w:p>
        </w:tc>
        <w:tc>
          <w:tcPr>
            <w:tcW w:w="1205" w:type="dxa"/>
          </w:tcPr>
          <w:p w:rsidR="00FB5052" w:rsidRPr="00F05153" w:rsidRDefault="00FB5052" w:rsidP="00507955">
            <w:pPr>
              <w:pStyle w:val="Tabletext"/>
              <w:jc w:val="center"/>
            </w:pPr>
            <w:r w:rsidRPr="00F05153">
              <w:t>n=30</w:t>
            </w:r>
          </w:p>
          <w:p w:rsidR="00FB5052" w:rsidRPr="00F05153" w:rsidRDefault="00FB5052" w:rsidP="00507955">
            <w:pPr>
              <w:pStyle w:val="Tabletext"/>
              <w:jc w:val="center"/>
            </w:pPr>
            <w:r w:rsidRPr="00F05153">
              <w:t>392.0 ± 58.7</w:t>
            </w:r>
          </w:p>
        </w:tc>
        <w:tc>
          <w:tcPr>
            <w:tcW w:w="1205" w:type="dxa"/>
          </w:tcPr>
          <w:p w:rsidR="00FB5052" w:rsidRPr="00F05153" w:rsidRDefault="00FB5052" w:rsidP="00507955">
            <w:pPr>
              <w:pStyle w:val="Tabletext"/>
              <w:jc w:val="center"/>
            </w:pPr>
            <w:r w:rsidRPr="00F05153">
              <w:t>n=22</w:t>
            </w:r>
          </w:p>
          <w:p w:rsidR="00FB5052" w:rsidRPr="00F05153" w:rsidRDefault="00FB5052" w:rsidP="00507955">
            <w:pPr>
              <w:pStyle w:val="Tabletext"/>
              <w:jc w:val="center"/>
            </w:pPr>
            <w:r w:rsidRPr="00F05153">
              <w:t>375.1 ± 60.5</w:t>
            </w:r>
          </w:p>
        </w:tc>
        <w:tc>
          <w:tcPr>
            <w:tcW w:w="1701" w:type="dxa"/>
          </w:tcPr>
          <w:p w:rsidR="00FB5052" w:rsidRPr="00F05153" w:rsidRDefault="00FB5052" w:rsidP="00507955">
            <w:pPr>
              <w:pStyle w:val="Tabletext"/>
              <w:jc w:val="center"/>
            </w:pPr>
            <w:r w:rsidRPr="00F05153">
              <w:t>n=30</w:t>
            </w:r>
          </w:p>
          <w:p w:rsidR="00FB5052" w:rsidRPr="00F05153" w:rsidRDefault="00FB5052" w:rsidP="00085667">
            <w:pPr>
              <w:pStyle w:val="Tabletext"/>
              <w:jc w:val="center"/>
            </w:pPr>
            <w:r w:rsidRPr="00F05153">
              <w:t>58.5 ± 58.6</w:t>
            </w:r>
            <w:r w:rsidR="00085667" w:rsidRPr="00F05153">
              <w:t xml:space="preserve"> </w:t>
            </w:r>
            <w:r w:rsidRPr="00F05153">
              <w:t>(33.8, 83.2)</w:t>
            </w:r>
          </w:p>
        </w:tc>
        <w:tc>
          <w:tcPr>
            <w:tcW w:w="1701" w:type="dxa"/>
          </w:tcPr>
          <w:p w:rsidR="00FB5052" w:rsidRPr="00F05153" w:rsidRDefault="00FB5052" w:rsidP="00507955">
            <w:pPr>
              <w:pStyle w:val="Tabletext"/>
              <w:jc w:val="center"/>
            </w:pPr>
            <w:r w:rsidRPr="00F05153">
              <w:t>n=22</w:t>
            </w:r>
          </w:p>
          <w:p w:rsidR="00FB5052" w:rsidRPr="00F05153" w:rsidRDefault="00FB5052" w:rsidP="00085667">
            <w:pPr>
              <w:pStyle w:val="Tabletext"/>
              <w:jc w:val="center"/>
            </w:pPr>
            <w:r w:rsidRPr="00F05153">
              <w:t>8.3 ± 33.1</w:t>
            </w:r>
            <w:r w:rsidR="00085667" w:rsidRPr="00F05153">
              <w:t xml:space="preserve"> </w:t>
            </w:r>
            <w:r w:rsidRPr="00F05153">
              <w:t>(–4.1, 20.7)</w:t>
            </w:r>
          </w:p>
        </w:tc>
        <w:tc>
          <w:tcPr>
            <w:tcW w:w="1275" w:type="dxa"/>
          </w:tcPr>
          <w:p w:rsidR="00FB5052" w:rsidRPr="00F05153" w:rsidRDefault="00FB5052" w:rsidP="00507955">
            <w:pPr>
              <w:pStyle w:val="Tabletext"/>
              <w:jc w:val="center"/>
            </w:pPr>
          </w:p>
          <w:p w:rsidR="00FB5052" w:rsidRPr="00F05153" w:rsidRDefault="00FB5052" w:rsidP="00507955">
            <w:pPr>
              <w:pStyle w:val="Tabletext"/>
              <w:jc w:val="center"/>
            </w:pPr>
            <w:r w:rsidRPr="00F05153">
              <w:t>50.2</w:t>
            </w:r>
          </w:p>
        </w:tc>
      </w:tr>
    </w:tbl>
    <w:p w:rsidR="008F58B5" w:rsidRDefault="008F58B5" w:rsidP="008F58B5">
      <w:pPr>
        <w:pStyle w:val="Tablenote"/>
      </w:pPr>
      <w:proofErr w:type="gramStart"/>
      <w:r w:rsidRPr="00F05153">
        <w:rPr>
          <w:vertAlign w:val="superscript"/>
        </w:rPr>
        <w:t>a</w:t>
      </w:r>
      <w:proofErr w:type="gramEnd"/>
      <w:r w:rsidRPr="00F05153">
        <w:t xml:space="preserve"> One patient in the placebo group was omitted from this analysis because they were WHO FC I, all other patients were</w:t>
      </w:r>
      <w:r w:rsidRPr="006316DF">
        <w:t xml:space="preserve"> WHO FC II</w:t>
      </w:r>
    </w:p>
    <w:p w:rsidR="00A50F9E" w:rsidRDefault="000F6EFC" w:rsidP="00507955">
      <w:pPr>
        <w:pStyle w:val="Tablenote"/>
      </w:pPr>
      <w:r w:rsidRPr="009E3B52">
        <w:t xml:space="preserve">6MWD = 6-minute </w:t>
      </w:r>
      <w:r w:rsidR="0082368E">
        <w:t>walk distance</w:t>
      </w:r>
      <w:r w:rsidRPr="009E3B52">
        <w:t xml:space="preserve">; </w:t>
      </w:r>
      <w:r w:rsidR="00FB5052" w:rsidRPr="00D53E66">
        <w:t>CI = confidence interval; FC = functional class; N</w:t>
      </w:r>
      <w:r w:rsidR="00FB5052">
        <w:t>R</w:t>
      </w:r>
      <w:r w:rsidR="00FB5052" w:rsidRPr="00D53E66">
        <w:t xml:space="preserve"> = </w:t>
      </w:r>
      <w:r w:rsidR="00FB5052">
        <w:t>not reported</w:t>
      </w:r>
      <w:r w:rsidR="00FB5052" w:rsidRPr="00D53E66">
        <w:t xml:space="preserve">; </w:t>
      </w:r>
      <w:r w:rsidRPr="009E3B52">
        <w:t xml:space="preserve">PAH = pulmonary arterial hypertension; </w:t>
      </w:r>
      <w:r w:rsidR="00FB5052">
        <w:t>PDE-5i</w:t>
      </w:r>
      <w:r w:rsidR="00FB5052" w:rsidRPr="006A4CC2">
        <w:t xml:space="preserve"> = phosphodiesterase</w:t>
      </w:r>
      <w:r w:rsidR="00FB5052">
        <w:t xml:space="preserve"> type 5 inhibitor;</w:t>
      </w:r>
      <w:r w:rsidR="00FB5052" w:rsidRPr="006A4CC2">
        <w:t xml:space="preserve"> </w:t>
      </w:r>
      <w:r w:rsidR="00FB5052">
        <w:t>SD</w:t>
      </w:r>
      <w:r w:rsidR="00FB5052" w:rsidRPr="00D53E66">
        <w:t xml:space="preserve"> = </w:t>
      </w:r>
      <w:r w:rsidR="00FB5052">
        <w:t>standard deviation</w:t>
      </w:r>
      <w:r w:rsidR="00FB5052" w:rsidRPr="00D53E66">
        <w:t>; WHO = World Health Organization</w:t>
      </w:r>
    </w:p>
    <w:p w:rsidR="00A50F9E" w:rsidRDefault="00A50F9E">
      <w:pPr>
        <w:spacing w:before="0" w:line="240" w:lineRule="auto"/>
        <w:rPr>
          <w:rFonts w:ascii="Arial" w:eastAsiaTheme="minorEastAsia" w:hAnsi="Arial" w:cs="Baskerville"/>
          <w:sz w:val="18"/>
          <w:szCs w:val="20"/>
          <w:lang w:eastAsia="en-AU"/>
        </w:rPr>
      </w:pPr>
      <w:r>
        <w:br w:type="page"/>
      </w:r>
    </w:p>
    <w:p w:rsidR="00FB5052" w:rsidRPr="006316DF" w:rsidRDefault="001602A5" w:rsidP="00FB5052">
      <w:pPr>
        <w:tabs>
          <w:tab w:val="left" w:pos="1649"/>
          <w:tab w:val="left" w:pos="3066"/>
          <w:tab w:val="left" w:pos="4341"/>
        </w:tabs>
        <w:spacing w:after="120"/>
        <w:jc w:val="center"/>
        <w:rPr>
          <w:rFonts w:ascii="Arial Narrow" w:hAnsi="Arial Narrow" w:cs="Tahoma"/>
          <w:sz w:val="20"/>
        </w:rPr>
      </w:pPr>
      <w:r>
        <w:rPr>
          <w:rFonts w:ascii="Arial Narrow" w:hAnsi="Arial Narrow" w:cs="Tahoma"/>
          <w:noProof/>
          <w:sz w:val="20"/>
          <w:lang w:eastAsia="en-AU"/>
        </w:rPr>
        <w:drawing>
          <wp:inline distT="0" distB="0" distL="0" distR="0" wp14:anchorId="451D2E0E" wp14:editId="0B7CB418">
            <wp:extent cx="6260500" cy="1439839"/>
            <wp:effectExtent l="0" t="0" r="0" b="8255"/>
            <wp:docPr id="3" name="Picture 3" descr="The placebo-adjusted improvement for WHO FC I/II PAH patients treated with sildenafil at the end of the 12-week trial period in the SUPER-1 trial was about 50 m" title="Forest plot showing the change in 6MWD from baseline to 12 weeks in patients with WHO FC I/II PAH by sildenafil dose or placebo (SUP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8350" cy="1457744"/>
                    </a:xfrm>
                    <a:prstGeom prst="rect">
                      <a:avLst/>
                    </a:prstGeom>
                    <a:noFill/>
                  </pic:spPr>
                </pic:pic>
              </a:graphicData>
            </a:graphic>
          </wp:inline>
        </w:drawing>
      </w:r>
    </w:p>
    <w:p w:rsidR="00FB5052" w:rsidRPr="006316DF" w:rsidRDefault="00507955" w:rsidP="00BC5A2B">
      <w:pPr>
        <w:pStyle w:val="Caption"/>
      </w:pPr>
      <w:bookmarkStart w:id="128" w:name="_Ref503193431"/>
      <w:bookmarkStart w:id="129" w:name="_Toc38360472"/>
      <w:r>
        <w:t>Figure 4.</w:t>
      </w:r>
      <w:r w:rsidR="003951FA">
        <w:rPr>
          <w:noProof/>
        </w:rPr>
        <w:t>6</w:t>
      </w:r>
      <w:bookmarkEnd w:id="128"/>
      <w:r>
        <w:rPr>
          <w:noProof/>
        </w:rPr>
        <w:tab/>
      </w:r>
      <w:r w:rsidR="00FB5052" w:rsidRPr="006316DF">
        <w:t>Forest plot showing the change in 6MWD from baseline to 12 weeks in patients with WHO FC I/II PAH by sildenafil dose or placebo (SUPER-1)</w:t>
      </w:r>
      <w:bookmarkEnd w:id="129"/>
    </w:p>
    <w:p w:rsidR="00FB5052" w:rsidRDefault="00FB5052" w:rsidP="00507955">
      <w:pPr>
        <w:pStyle w:val="Tablenote"/>
      </w:pPr>
      <w:r>
        <w:t xml:space="preserve">Note: </w:t>
      </w:r>
      <w:r w:rsidDel="00E14668">
        <w:t>The 2</w:t>
      </w:r>
      <w:r w:rsidRPr="00D224CF" w:rsidDel="00E14668">
        <w:t xml:space="preserve">0 mg </w:t>
      </w:r>
      <w:r w:rsidDel="00E14668">
        <w:t xml:space="preserve">sildenafil </w:t>
      </w:r>
      <w:r w:rsidRPr="00D224CF" w:rsidDel="00E14668">
        <w:t>dose versus placebo is the relevant comparison for this review</w:t>
      </w:r>
      <w:r w:rsidRPr="00CA61D0" w:rsidDel="00E14668">
        <w:t xml:space="preserve"> </w:t>
      </w:r>
    </w:p>
    <w:p w:rsidR="00AD3645" w:rsidRPr="00CA61D0" w:rsidDel="00E14668" w:rsidRDefault="00AD3645" w:rsidP="00AD3645">
      <w:pPr>
        <w:pStyle w:val="Tablenote"/>
      </w:pPr>
      <w:r w:rsidRPr="009E3B52">
        <w:t xml:space="preserve">6MWD = 6-minute </w:t>
      </w:r>
      <w:r>
        <w:t>walk distance</w:t>
      </w:r>
      <w:r w:rsidRPr="009E3B52">
        <w:t>;</w:t>
      </w:r>
      <w:r>
        <w:t xml:space="preserve"> </w:t>
      </w:r>
      <w:r w:rsidRPr="006F774E">
        <w:t>FC = functional class;</w:t>
      </w:r>
      <w:r w:rsidRPr="000F6EFC">
        <w:t xml:space="preserve"> </w:t>
      </w:r>
      <w:r w:rsidRPr="009E3B52">
        <w:t>PAH = pulmonary arterial hypertension;</w:t>
      </w:r>
      <w:r w:rsidRPr="000F6EFC">
        <w:t xml:space="preserve"> </w:t>
      </w:r>
      <w:r w:rsidRPr="009E3B52">
        <w:t>WHO = World Health Organization</w:t>
      </w:r>
    </w:p>
    <w:p w:rsidR="00FB5052" w:rsidRDefault="00FB5052" w:rsidP="00507955">
      <w:pPr>
        <w:pStyle w:val="Tablenote"/>
      </w:pPr>
      <w:r w:rsidRPr="006316DF" w:rsidDel="00E14668">
        <w:t>Source: Galiè et al. (2005)</w:t>
      </w:r>
      <w:r w:rsidR="001D34EE" w:rsidRPr="001D34EE">
        <w:rPr>
          <w:noProof/>
          <w:vertAlign w:val="superscript"/>
        </w:rPr>
        <w:t>11</w:t>
      </w:r>
      <w:r w:rsidRPr="006316DF" w:rsidDel="00E14668">
        <w:t xml:space="preserve"> (1 patient in the placebo group was WHO FC I all other patients were FC II)</w:t>
      </w:r>
    </w:p>
    <w:p w:rsidR="00FB5052" w:rsidRPr="006316DF" w:rsidRDefault="00EE09B2" w:rsidP="00FB5052">
      <w:pPr>
        <w:pStyle w:val="Heading5"/>
      </w:pPr>
      <w:r>
        <w:t>f</w:t>
      </w:r>
      <w:r w:rsidR="0077344D">
        <w:t>.</w:t>
      </w:r>
      <w:r w:rsidR="0066218C">
        <w:tab/>
      </w:r>
      <w:r w:rsidR="00FB5052">
        <w:t>Change in QoL</w:t>
      </w:r>
      <w:r w:rsidR="007B6C7C">
        <w:t xml:space="preserve"> from baseline</w:t>
      </w:r>
    </w:p>
    <w:p w:rsidR="00FB5052" w:rsidRPr="006316DF" w:rsidRDefault="00FB5052" w:rsidP="00FB5052">
      <w:r w:rsidRPr="006316DF">
        <w:t xml:space="preserve">No QoL outcomes </w:t>
      </w:r>
      <w:proofErr w:type="gramStart"/>
      <w:r w:rsidRPr="006316DF">
        <w:t>were reported</w:t>
      </w:r>
      <w:proofErr w:type="gramEnd"/>
      <w:r w:rsidRPr="006316DF">
        <w:t xml:space="preserve"> for patients with WHO FC I/II PAH.</w:t>
      </w:r>
    </w:p>
    <w:p w:rsidR="00EE09B2" w:rsidRPr="006316DF" w:rsidRDefault="00EE09B2" w:rsidP="00EE09B2">
      <w:pPr>
        <w:pStyle w:val="Heading5"/>
      </w:pPr>
      <w:r>
        <w:t>g.</w:t>
      </w:r>
      <w:r>
        <w:tab/>
      </w:r>
      <w:r w:rsidRPr="006316DF">
        <w:t xml:space="preserve">Change in </w:t>
      </w:r>
      <w:r>
        <w:t>haemodynamic parameters</w:t>
      </w:r>
      <w:r w:rsidRPr="006316DF">
        <w:t xml:space="preserve"> from baseline</w:t>
      </w:r>
    </w:p>
    <w:p w:rsidR="00EE09B2" w:rsidRPr="008F78A0" w:rsidRDefault="00EE09B2" w:rsidP="00EE09B2">
      <w:r>
        <w:t>T</w:t>
      </w:r>
      <w:r w:rsidRPr="00417074">
        <w:t xml:space="preserve">he </w:t>
      </w:r>
      <w:r>
        <w:t>three trials did not report haemodynamic outcomes for patients with WHO FC II PAH.</w:t>
      </w:r>
    </w:p>
    <w:p w:rsidR="00FB5052" w:rsidRPr="00822C52" w:rsidRDefault="0077344D" w:rsidP="00FB5052">
      <w:pPr>
        <w:pStyle w:val="Heading5"/>
      </w:pPr>
      <w:r>
        <w:t>h.</w:t>
      </w:r>
      <w:r w:rsidR="0066218C">
        <w:tab/>
      </w:r>
      <w:r w:rsidR="00FB5052">
        <w:t>Comparative s</w:t>
      </w:r>
      <w:r w:rsidR="00FB5052" w:rsidRPr="00822C52">
        <w:t>afety</w:t>
      </w:r>
    </w:p>
    <w:p w:rsidR="00FB5052" w:rsidRDefault="00FB5052" w:rsidP="00FB5052">
      <w:r w:rsidRPr="006F49B6">
        <w:t xml:space="preserve">No studies </w:t>
      </w:r>
      <w:proofErr w:type="gramStart"/>
      <w:r w:rsidRPr="006F49B6">
        <w:t>were identified</w:t>
      </w:r>
      <w:proofErr w:type="gramEnd"/>
      <w:r w:rsidRPr="006F49B6">
        <w:t xml:space="preserve"> that reported on the safety of </w:t>
      </w:r>
      <w:r w:rsidR="0069215C">
        <w:t xml:space="preserve">monotherapy with </w:t>
      </w:r>
      <w:r w:rsidRPr="006F49B6">
        <w:t xml:space="preserve">a </w:t>
      </w:r>
      <w:r>
        <w:t>PDE-5 inhibitor</w:t>
      </w:r>
      <w:r w:rsidRPr="006F49B6">
        <w:t xml:space="preserve"> compared with placebo in WHO FC I/II PAH patients.</w:t>
      </w:r>
    </w:p>
    <w:p w:rsidR="00FB5052" w:rsidRPr="006316DF" w:rsidRDefault="0066218C" w:rsidP="00FB5052">
      <w:pPr>
        <w:pStyle w:val="Heading4"/>
      </w:pPr>
      <w:r>
        <w:t>4.4.1.3</w:t>
      </w:r>
      <w:r>
        <w:tab/>
      </w:r>
      <w:r w:rsidR="00FB5052" w:rsidRPr="006316DF">
        <w:t>Prosta</w:t>
      </w:r>
      <w:r w:rsidR="0017012F">
        <w:t>noid</w:t>
      </w:r>
      <w:r w:rsidR="00FB5052" w:rsidRPr="006316DF">
        <w:t xml:space="preserve"> </w:t>
      </w:r>
      <w:r w:rsidR="00FB5052" w:rsidRPr="006316DF">
        <w:rPr>
          <w:i/>
        </w:rPr>
        <w:t>versus</w:t>
      </w:r>
      <w:r w:rsidR="00FB5052" w:rsidRPr="006316DF">
        <w:t xml:space="preserve"> placebo</w:t>
      </w:r>
    </w:p>
    <w:p w:rsidR="00FB5052" w:rsidRDefault="00FB5052" w:rsidP="00FB5052">
      <w:r w:rsidRPr="006316DF">
        <w:t xml:space="preserve">No studies </w:t>
      </w:r>
      <w:proofErr w:type="gramStart"/>
      <w:r w:rsidRPr="006316DF">
        <w:t>were identified</w:t>
      </w:r>
      <w:proofErr w:type="gramEnd"/>
      <w:r w:rsidRPr="006316DF">
        <w:t xml:space="preserve"> that reported on the effectiveness or safety of </w:t>
      </w:r>
      <w:r w:rsidR="0069215C">
        <w:t xml:space="preserve">monotherapy with </w:t>
      </w:r>
      <w:r w:rsidRPr="006316DF">
        <w:t>a prostanoid compared with placebo in WHO FC I/II PAH patients.</w:t>
      </w:r>
    </w:p>
    <w:p w:rsidR="00FB5052" w:rsidRPr="006316DF" w:rsidRDefault="0066218C" w:rsidP="00FB5052">
      <w:pPr>
        <w:pStyle w:val="Heading4"/>
      </w:pPr>
      <w:r>
        <w:t>4.4.1.4</w:t>
      </w:r>
      <w:r>
        <w:tab/>
      </w:r>
      <w:proofErr w:type="gramStart"/>
      <w:r w:rsidR="00FB5052">
        <w:t>sGC</w:t>
      </w:r>
      <w:proofErr w:type="gramEnd"/>
      <w:r w:rsidR="00FB5052">
        <w:t xml:space="preserve"> stimulator </w:t>
      </w:r>
      <w:r w:rsidR="00FB5052" w:rsidRPr="006316DF">
        <w:rPr>
          <w:i/>
        </w:rPr>
        <w:t>versus</w:t>
      </w:r>
      <w:r w:rsidR="00FB5052" w:rsidRPr="006316DF">
        <w:t xml:space="preserve"> placebo</w:t>
      </w:r>
    </w:p>
    <w:p w:rsidR="00FB5052" w:rsidRPr="006316DF" w:rsidRDefault="00FB5052" w:rsidP="00FB5052">
      <w:r w:rsidRPr="006316DF">
        <w:t xml:space="preserve">Only one RCT was identified that reported on the effectiveness of </w:t>
      </w:r>
      <w:r w:rsidR="0069215C">
        <w:t xml:space="preserve">monotherapy with </w:t>
      </w:r>
      <w:r w:rsidRPr="006316DF">
        <w:t xml:space="preserve">a </w:t>
      </w:r>
      <w:r>
        <w:t>sGC stimulator</w:t>
      </w:r>
      <w:r w:rsidRPr="006A4CC2">
        <w:t xml:space="preserve"> </w:t>
      </w:r>
      <w:r w:rsidRPr="006316DF">
        <w:t>in treating PAH compared with placebo in patients with WHO FC I/II PAH. The PATENT-1</w:t>
      </w:r>
      <w:r w:rsidR="001D34EE" w:rsidRPr="001D34EE">
        <w:rPr>
          <w:noProof/>
          <w:vertAlign w:val="superscript"/>
        </w:rPr>
        <w:t>23</w:t>
      </w:r>
      <w:r w:rsidRPr="006316DF">
        <w:t xml:space="preserve"> double-blind trial, with a low-to-moderate risk of bias, randomised PAH patients of </w:t>
      </w:r>
      <w:r w:rsidRPr="001602A5">
        <w:rPr>
          <w:i/>
        </w:rPr>
        <w:t>any</w:t>
      </w:r>
      <w:r w:rsidRPr="006316DF">
        <w:t xml:space="preserve"> WHO FC to receive riociguat or placebo for 12 weeks. Background use of an ERA or </w:t>
      </w:r>
      <w:r w:rsidR="00973227" w:rsidRPr="006316DF">
        <w:t>prostanoid</w:t>
      </w:r>
      <w:r w:rsidRPr="006316DF">
        <w:t xml:space="preserve"> </w:t>
      </w:r>
      <w:proofErr w:type="gramStart"/>
      <w:r w:rsidRPr="006316DF">
        <w:t>was permitted</w:t>
      </w:r>
      <w:proofErr w:type="gramEnd"/>
      <w:r w:rsidRPr="006316DF">
        <w:t xml:space="preserve">. Approximately 44% of included patients were using an ERA </w:t>
      </w:r>
      <w:r w:rsidR="001602A5">
        <w:t>medicine</w:t>
      </w:r>
      <w:r w:rsidRPr="006316DF">
        <w:t xml:space="preserve"> (primarily bosentan) and 6% a prostanoid (primarily inhaled iloprost)</w:t>
      </w:r>
      <w:r>
        <w:t xml:space="preserve"> at baseline</w:t>
      </w:r>
      <w:r w:rsidRPr="006316DF">
        <w:t xml:space="preserve">. The baseline characteristics for the treatment-naïve WHO FC I/II riociguat and placebo subgroups were well balanced with respect to age, </w:t>
      </w:r>
      <w:r>
        <w:t>gender</w:t>
      </w:r>
      <w:r w:rsidRPr="006316DF">
        <w:t xml:space="preserve">, WHO FC and haemodynamic parameters, but the proportion of patients having different PAH aetiologies was not reported. </w:t>
      </w:r>
      <w:r w:rsidR="001602A5">
        <w:t>The CSR reported d</w:t>
      </w:r>
      <w:r>
        <w:t xml:space="preserve">ata for </w:t>
      </w:r>
      <w:r w:rsidR="00FF1A9C">
        <w:t xml:space="preserve">treatment-naïve </w:t>
      </w:r>
      <w:r>
        <w:t>patients with WHO FC I/II PA</w:t>
      </w:r>
      <w:r w:rsidR="00B603BC">
        <w:t>H (highlighted in green below).</w:t>
      </w:r>
    </w:p>
    <w:p w:rsidR="00FB5052" w:rsidRPr="006316DF" w:rsidRDefault="0077344D" w:rsidP="00FB5052">
      <w:pPr>
        <w:pStyle w:val="Heading5"/>
      </w:pPr>
      <w:r>
        <w:t>a.</w:t>
      </w:r>
      <w:r w:rsidR="0066218C">
        <w:tab/>
      </w:r>
      <w:r w:rsidR="00FB5052" w:rsidRPr="006316DF">
        <w:t>Study-defined clinical worsening</w:t>
      </w:r>
    </w:p>
    <w:p w:rsidR="00FB5052" w:rsidRPr="00F34C0F" w:rsidRDefault="00FB5052" w:rsidP="00FB5052">
      <w:r>
        <w:t>In the PATENT-1 study, cl</w:t>
      </w:r>
      <w:r w:rsidRPr="00F34C0F">
        <w:t xml:space="preserve">inical worsening was defined as </w:t>
      </w:r>
      <w:r>
        <w:t xml:space="preserve">all-cause mortality, heart/lung transplantation, atrial septostomy, </w:t>
      </w:r>
      <w:r w:rsidR="00954966">
        <w:t>start of new</w:t>
      </w:r>
      <w:r>
        <w:t xml:space="preserve"> PAH treatment (ERA, </w:t>
      </w:r>
      <w:r w:rsidR="00973227">
        <w:t>prostanoid</w:t>
      </w:r>
      <w:r>
        <w:t xml:space="preserve"> or PDE-5 inhibitor), </w:t>
      </w:r>
      <w:r w:rsidR="00954966">
        <w:t xml:space="preserve">modification of a pre-existing prostanoid treatment, </w:t>
      </w:r>
      <w:r>
        <w:t>hospitali</w:t>
      </w:r>
      <w:r w:rsidR="001602A5">
        <w:t>s</w:t>
      </w:r>
      <w:r>
        <w:t>ation</w:t>
      </w:r>
      <w:r w:rsidR="00954966">
        <w:t xml:space="preserve"> due to PAH</w:t>
      </w:r>
      <w:r w:rsidR="001602A5">
        <w:t>,</w:t>
      </w:r>
      <w:r>
        <w:t xml:space="preserve"> persistent decrease in 6MWD</w:t>
      </w:r>
      <w:r w:rsidR="001602A5">
        <w:t>,</w:t>
      </w:r>
      <w:r>
        <w:t xml:space="preserve"> or persistent worsening of WHO FC due to worsening of PAH.</w:t>
      </w:r>
    </w:p>
    <w:p w:rsidR="00FB5052" w:rsidRPr="00F05153" w:rsidRDefault="002046A0" w:rsidP="00FB5052">
      <w:r>
        <w:rPr>
          <w:noProof/>
          <w:color w:val="000000"/>
          <w:highlight w:val="black"/>
        </w:rPr>
        <w:t>'''''''''' '''''' '''''''''''''' ''''''''</w:t>
      </w:r>
      <w:r w:rsidR="00FB5052" w:rsidRPr="00F05153">
        <w:t xml:space="preserve"> with WHO FC I/II PAH who was not receiving background therapy in the riociguat group and </w:t>
      </w:r>
      <w:r>
        <w:rPr>
          <w:noProof/>
          <w:color w:val="000000"/>
          <w:highlight w:val="black"/>
        </w:rPr>
        <w:t>'''''''' ''''''''''</w:t>
      </w:r>
      <w:r w:rsidR="00FB5052" w:rsidRPr="00F05153">
        <w:t xml:space="preserve"> in the placebo group experienced clinical worsening during the trial period (</w:t>
      </w:r>
      <w:r w:rsidR="003951FA" w:rsidRPr="00F05153">
        <w:t xml:space="preserve">Table </w:t>
      </w:r>
      <w:r w:rsidR="003951FA" w:rsidRPr="00F05153">
        <w:rPr>
          <w:noProof/>
        </w:rPr>
        <w:t>4.</w:t>
      </w:r>
      <w:r w:rsidR="003951FA">
        <w:rPr>
          <w:noProof/>
        </w:rPr>
        <w:t>37</w:t>
      </w:r>
      <w:r w:rsidR="00FB5052" w:rsidRPr="00F05153">
        <w:t xml:space="preserve">). Thus, there was </w:t>
      </w:r>
      <w:r>
        <w:rPr>
          <w:noProof/>
          <w:color w:val="000000"/>
          <w:highlight w:val="black"/>
        </w:rPr>
        <w:t>'''''' ''''''''''''''''''''''' ''''''''''''''''''' '''''''''''''''''''</w:t>
      </w:r>
      <w:r w:rsidR="00FB5052" w:rsidRPr="00F05153">
        <w:t xml:space="preserve"> between the two treatment arms.</w:t>
      </w:r>
      <w:r w:rsidR="007E658F" w:rsidRPr="00F05153">
        <w:t xml:space="preserve"> The ARD of </w:t>
      </w:r>
      <w:r>
        <w:rPr>
          <w:noProof/>
          <w:color w:val="000000"/>
          <w:highlight w:val="black"/>
        </w:rPr>
        <w:t>''''''''''''' ''''''''' '''' '''''''''' '''''''</w:t>
      </w:r>
      <w:r w:rsidR="007E658F" w:rsidRPr="00F05153">
        <w:t xml:space="preserve"> indicated that </w:t>
      </w:r>
      <w:r>
        <w:rPr>
          <w:noProof/>
          <w:color w:val="000000"/>
          <w:highlight w:val="black"/>
        </w:rPr>
        <w:t>'''''</w:t>
      </w:r>
      <w:r w:rsidR="007E658F" w:rsidRPr="00F05153">
        <w:t xml:space="preserve"> patients would need to be treated with </w:t>
      </w:r>
      <w:r>
        <w:rPr>
          <w:noProof/>
          <w:color w:val="000000"/>
          <w:highlight w:val="black"/>
        </w:rPr>
        <w:t>''' ''''''' '''''''''''''''''''''</w:t>
      </w:r>
      <w:r w:rsidR="007E658F" w:rsidRPr="00F05153">
        <w:t xml:space="preserve"> to prevent one additional patient experiencing clinical worsening compared with </w:t>
      </w:r>
      <w:r>
        <w:rPr>
          <w:noProof/>
          <w:color w:val="000000"/>
          <w:highlight w:val="black"/>
        </w:rPr>
        <w:t>''''''''''''''''</w:t>
      </w:r>
    </w:p>
    <w:p w:rsidR="00FB5052" w:rsidRPr="00F05153" w:rsidRDefault="00B40240" w:rsidP="00BC5A2B">
      <w:pPr>
        <w:pStyle w:val="Caption"/>
      </w:pPr>
      <w:bookmarkStart w:id="130" w:name="_Ref500947184"/>
      <w:bookmarkStart w:id="131" w:name="_Toc38360334"/>
      <w:r w:rsidRPr="00F05153">
        <w:t>Table 4.</w:t>
      </w:r>
      <w:r w:rsidR="003951FA">
        <w:rPr>
          <w:noProof/>
        </w:rPr>
        <w:t>37</w:t>
      </w:r>
      <w:bookmarkEnd w:id="130"/>
      <w:r w:rsidR="00507955" w:rsidRPr="00F05153">
        <w:rPr>
          <w:noProof/>
        </w:rPr>
        <w:tab/>
      </w:r>
      <w:r w:rsidR="00FB5052" w:rsidRPr="00F05153">
        <w:t xml:space="preserve">The effectiveness of </w:t>
      </w:r>
      <w:r w:rsidR="00EB768B" w:rsidRPr="00F05153">
        <w:t xml:space="preserve">a </w:t>
      </w:r>
      <w:r w:rsidR="00237FAE" w:rsidRPr="00F05153">
        <w:t xml:space="preserve">sGC stimulator </w:t>
      </w:r>
      <w:r w:rsidR="00FB5052" w:rsidRPr="00F05153">
        <w:t>compared with placebo in preventing clinical worsening in patients with WHO FC I/II PAH</w:t>
      </w:r>
      <w:bookmarkEnd w:id="131"/>
    </w:p>
    <w:tbl>
      <w:tblPr>
        <w:tblStyle w:val="TableGrid7"/>
        <w:tblW w:w="9634" w:type="dxa"/>
        <w:tblLayout w:type="fixed"/>
        <w:tblLook w:val="04A0" w:firstRow="1" w:lastRow="0" w:firstColumn="1" w:lastColumn="0" w:noHBand="0" w:noVBand="1"/>
        <w:tblCaption w:val="The effectiveness of a sGC stimulator compared with placebo in preventing clinical worsening in patients with WHO FC I/II PAH"/>
      </w:tblPr>
      <w:tblGrid>
        <w:gridCol w:w="1980"/>
        <w:gridCol w:w="1701"/>
        <w:gridCol w:w="1843"/>
        <w:gridCol w:w="2126"/>
        <w:gridCol w:w="1984"/>
      </w:tblGrid>
      <w:tr w:rsidR="00FB5052" w:rsidRPr="00F05153" w:rsidTr="00507955">
        <w:trPr>
          <w:trHeight w:val="230"/>
          <w:tblHeader/>
        </w:trPr>
        <w:tc>
          <w:tcPr>
            <w:tcW w:w="1980" w:type="dxa"/>
            <w:vMerge w:val="restart"/>
            <w:shd w:val="clear" w:color="auto" w:fill="BFBFBF" w:themeFill="background1" w:themeFillShade="BF"/>
          </w:tcPr>
          <w:p w:rsidR="00FB5052" w:rsidRPr="00F05153" w:rsidRDefault="00FB5052" w:rsidP="00507955">
            <w:pPr>
              <w:pStyle w:val="Tabletext"/>
              <w:rPr>
                <w:b/>
              </w:rPr>
            </w:pPr>
            <w:r w:rsidRPr="00F05153">
              <w:rPr>
                <w:b/>
              </w:rPr>
              <w:t>Study ID</w:t>
            </w:r>
          </w:p>
          <w:p w:rsidR="004B7C88" w:rsidRPr="00F05153" w:rsidRDefault="004B7C88" w:rsidP="00507955">
            <w:pPr>
              <w:pStyle w:val="Tabletext"/>
              <w:rPr>
                <w:b/>
              </w:rPr>
            </w:pPr>
            <w:r w:rsidRPr="00F05153">
              <w:rPr>
                <w:b/>
              </w:rPr>
              <w:t>sGC stimulator</w:t>
            </w:r>
          </w:p>
        </w:tc>
        <w:tc>
          <w:tcPr>
            <w:tcW w:w="1701" w:type="dxa"/>
            <w:vMerge w:val="restart"/>
            <w:shd w:val="clear" w:color="auto" w:fill="BFBFBF" w:themeFill="background1" w:themeFillShade="BF"/>
          </w:tcPr>
          <w:p w:rsidR="00FB5052" w:rsidRPr="00F05153" w:rsidRDefault="00FB5052" w:rsidP="00507955">
            <w:pPr>
              <w:pStyle w:val="Tabletext"/>
              <w:rPr>
                <w:b/>
              </w:rPr>
            </w:pPr>
            <w:r w:rsidRPr="00F05153">
              <w:rPr>
                <w:b/>
              </w:rPr>
              <w:t>Study period</w:t>
            </w:r>
          </w:p>
        </w:tc>
        <w:tc>
          <w:tcPr>
            <w:tcW w:w="3969" w:type="dxa"/>
            <w:gridSpan w:val="2"/>
            <w:shd w:val="clear" w:color="auto" w:fill="BFBFBF" w:themeFill="background1" w:themeFillShade="BF"/>
          </w:tcPr>
          <w:p w:rsidR="00FB5052" w:rsidRPr="00F05153" w:rsidRDefault="00FB5052" w:rsidP="00507955">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FB5052" w:rsidRPr="00F05153" w:rsidRDefault="00FB5052" w:rsidP="00507955">
            <w:pPr>
              <w:pStyle w:val="Tabletext"/>
              <w:jc w:val="center"/>
              <w:rPr>
                <w:b/>
              </w:rPr>
            </w:pPr>
            <w:r w:rsidRPr="00F05153">
              <w:rPr>
                <w:b/>
              </w:rPr>
              <w:t>RR (95% CI)</w:t>
            </w:r>
          </w:p>
        </w:tc>
      </w:tr>
      <w:tr w:rsidR="00FB5052" w:rsidRPr="00F05153" w:rsidTr="00507955">
        <w:trPr>
          <w:trHeight w:val="202"/>
          <w:tblHeader/>
        </w:trPr>
        <w:tc>
          <w:tcPr>
            <w:tcW w:w="1980" w:type="dxa"/>
            <w:vMerge/>
            <w:shd w:val="clear" w:color="auto" w:fill="BFBFBF" w:themeFill="background1" w:themeFillShade="BF"/>
          </w:tcPr>
          <w:p w:rsidR="00FB5052" w:rsidRPr="00F05153" w:rsidRDefault="00FB5052" w:rsidP="00507955">
            <w:pPr>
              <w:pStyle w:val="Tabletext"/>
            </w:pPr>
          </w:p>
        </w:tc>
        <w:tc>
          <w:tcPr>
            <w:tcW w:w="1701" w:type="dxa"/>
            <w:vMerge/>
            <w:shd w:val="clear" w:color="auto" w:fill="BFBFBF" w:themeFill="background1" w:themeFillShade="BF"/>
          </w:tcPr>
          <w:p w:rsidR="00FB5052" w:rsidRPr="00F05153" w:rsidRDefault="00FB5052" w:rsidP="00507955">
            <w:pPr>
              <w:pStyle w:val="Tabletext"/>
            </w:pPr>
          </w:p>
        </w:tc>
        <w:tc>
          <w:tcPr>
            <w:tcW w:w="1843" w:type="dxa"/>
            <w:shd w:val="clear" w:color="auto" w:fill="BFBFBF" w:themeFill="background1" w:themeFillShade="BF"/>
          </w:tcPr>
          <w:p w:rsidR="00FB5052" w:rsidRPr="00F05153" w:rsidRDefault="004B7C88" w:rsidP="00507955">
            <w:pPr>
              <w:pStyle w:val="Tabletext"/>
              <w:jc w:val="center"/>
              <w:rPr>
                <w:b/>
              </w:rPr>
            </w:pPr>
            <w:r w:rsidRPr="00F05153">
              <w:rPr>
                <w:b/>
              </w:rPr>
              <w:t>sGC stimulator</w:t>
            </w:r>
          </w:p>
        </w:tc>
        <w:tc>
          <w:tcPr>
            <w:tcW w:w="2126" w:type="dxa"/>
            <w:shd w:val="clear" w:color="auto" w:fill="BFBFBF" w:themeFill="background1" w:themeFillShade="BF"/>
          </w:tcPr>
          <w:p w:rsidR="00FB5052" w:rsidRPr="00F05153" w:rsidRDefault="00FB5052" w:rsidP="00507955">
            <w:pPr>
              <w:pStyle w:val="Tabletext"/>
              <w:jc w:val="center"/>
              <w:rPr>
                <w:b/>
              </w:rPr>
            </w:pPr>
            <w:r w:rsidRPr="00F05153">
              <w:rPr>
                <w:b/>
              </w:rPr>
              <w:t>Placebo</w:t>
            </w:r>
          </w:p>
        </w:tc>
        <w:tc>
          <w:tcPr>
            <w:tcW w:w="1984" w:type="dxa"/>
            <w:vMerge/>
            <w:shd w:val="clear" w:color="auto" w:fill="BFBFBF" w:themeFill="background1" w:themeFillShade="BF"/>
          </w:tcPr>
          <w:p w:rsidR="00FB5052" w:rsidRPr="00F05153" w:rsidRDefault="00FB5052" w:rsidP="00507955">
            <w:pPr>
              <w:pStyle w:val="Tabletext"/>
            </w:pPr>
          </w:p>
        </w:tc>
      </w:tr>
      <w:tr w:rsidR="00FB5052" w:rsidRPr="00F05153" w:rsidTr="00507955">
        <w:trPr>
          <w:trHeight w:val="70"/>
        </w:trPr>
        <w:tc>
          <w:tcPr>
            <w:tcW w:w="1980" w:type="dxa"/>
            <w:shd w:val="clear" w:color="auto" w:fill="auto"/>
          </w:tcPr>
          <w:p w:rsidR="00FB5052" w:rsidRPr="00F05153" w:rsidRDefault="00FB5052" w:rsidP="00507955">
            <w:pPr>
              <w:pStyle w:val="Tabletext"/>
            </w:pPr>
            <w:r w:rsidRPr="00F05153">
              <w:t>PATENT-1 CSR</w:t>
            </w:r>
          </w:p>
          <w:p w:rsidR="004B7C88" w:rsidRPr="00F05153" w:rsidRDefault="004B7C88" w:rsidP="00507955">
            <w:pPr>
              <w:pStyle w:val="Tabletext"/>
            </w:pPr>
            <w:r w:rsidRPr="00F05153">
              <w:t>Riociguat</w:t>
            </w:r>
          </w:p>
        </w:tc>
        <w:tc>
          <w:tcPr>
            <w:tcW w:w="1701" w:type="dxa"/>
            <w:shd w:val="clear" w:color="auto" w:fill="auto"/>
          </w:tcPr>
          <w:p w:rsidR="00FB5052" w:rsidRPr="00F05153" w:rsidRDefault="00FB5052" w:rsidP="00507955">
            <w:pPr>
              <w:pStyle w:val="Tabletext"/>
            </w:pPr>
            <w:r w:rsidRPr="00F05153">
              <w:t>12 weeks</w:t>
            </w:r>
          </w:p>
        </w:tc>
        <w:tc>
          <w:tcPr>
            <w:tcW w:w="1843" w:type="dxa"/>
            <w:shd w:val="clear" w:color="auto" w:fill="auto"/>
          </w:tcPr>
          <w:p w:rsidR="00FB5052" w:rsidRPr="002046A0" w:rsidRDefault="002046A0" w:rsidP="00507955">
            <w:pPr>
              <w:pStyle w:val="Tabletext"/>
              <w:jc w:val="center"/>
              <w:rPr>
                <w:highlight w:val="black"/>
              </w:rPr>
            </w:pPr>
            <w:r>
              <w:rPr>
                <w:noProof/>
                <w:color w:val="000000"/>
                <w:highlight w:val="black"/>
              </w:rPr>
              <w:t>''''''''''' '''''''''''''</w:t>
            </w:r>
          </w:p>
        </w:tc>
        <w:tc>
          <w:tcPr>
            <w:tcW w:w="2126" w:type="dxa"/>
            <w:shd w:val="clear" w:color="auto" w:fill="auto"/>
          </w:tcPr>
          <w:p w:rsidR="00FB5052" w:rsidRPr="002046A0" w:rsidRDefault="002046A0" w:rsidP="00507955">
            <w:pPr>
              <w:pStyle w:val="Tabletext"/>
              <w:jc w:val="center"/>
              <w:rPr>
                <w:highlight w:val="black"/>
              </w:rPr>
            </w:pPr>
            <w:r>
              <w:rPr>
                <w:noProof/>
                <w:color w:val="000000"/>
                <w:highlight w:val="black"/>
              </w:rPr>
              <w:t>''''''''''' '''''''''''</w:t>
            </w:r>
          </w:p>
        </w:tc>
        <w:tc>
          <w:tcPr>
            <w:tcW w:w="1984" w:type="dxa"/>
          </w:tcPr>
          <w:p w:rsidR="00FB5052" w:rsidRPr="002046A0" w:rsidRDefault="002046A0" w:rsidP="00507955">
            <w:pPr>
              <w:pStyle w:val="Tabletext"/>
              <w:jc w:val="center"/>
              <w:rPr>
                <w:highlight w:val="black"/>
              </w:rPr>
            </w:pPr>
            <w:r>
              <w:rPr>
                <w:noProof/>
                <w:color w:val="000000"/>
                <w:highlight w:val="black"/>
              </w:rPr>
              <w:t>''''''''''' '''''''''''''' ''''''''''''</w:t>
            </w:r>
          </w:p>
        </w:tc>
      </w:tr>
    </w:tbl>
    <w:p w:rsidR="000F6EFC" w:rsidRPr="00F05153" w:rsidRDefault="00FB5052" w:rsidP="00507955">
      <w:pPr>
        <w:pStyle w:val="Tablenote"/>
      </w:pPr>
      <w:r w:rsidRPr="00F05153">
        <w:t xml:space="preserve">CI = confidence interval; CSR = clinical study report; </w:t>
      </w:r>
      <w:r w:rsidR="000F6EFC" w:rsidRPr="00F05153">
        <w:t xml:space="preserve">FC = functional class; </w:t>
      </w:r>
      <w:r w:rsidRPr="00F05153">
        <w:t xml:space="preserve">n = number of </w:t>
      </w:r>
      <w:r w:rsidR="000F6EFC" w:rsidRPr="00F05153">
        <w:t xml:space="preserve">patients with </w:t>
      </w:r>
      <w:r w:rsidRPr="00F05153">
        <w:t xml:space="preserve">events; N = number of patients; </w:t>
      </w:r>
      <w:r w:rsidR="000F6EFC" w:rsidRPr="00F05153">
        <w:t xml:space="preserve">PAH = pulmonary arterial hypertension; </w:t>
      </w:r>
      <w:r w:rsidRPr="00F05153">
        <w:t>RR = relative risk</w:t>
      </w:r>
      <w:r w:rsidR="004B7C88" w:rsidRPr="00F05153">
        <w:t>; sGC = soluble guanylate cyclase</w:t>
      </w:r>
      <w:r w:rsidR="000F6EFC" w:rsidRPr="00F05153">
        <w:t>; WHO = World Health Organization</w:t>
      </w:r>
    </w:p>
    <w:p w:rsidR="00FB5052" w:rsidRPr="00F05153" w:rsidRDefault="0077344D" w:rsidP="00FB5052">
      <w:pPr>
        <w:pStyle w:val="Heading5"/>
      </w:pPr>
      <w:r w:rsidRPr="00F05153">
        <w:t>b.</w:t>
      </w:r>
      <w:r w:rsidR="0066218C" w:rsidRPr="00F05153">
        <w:tab/>
      </w:r>
      <w:r w:rsidR="00C828F9" w:rsidRPr="00F05153">
        <w:t>All-cause mortality</w:t>
      </w:r>
    </w:p>
    <w:p w:rsidR="00A839C6" w:rsidRPr="00F05153" w:rsidRDefault="002046A0" w:rsidP="0072793D">
      <w:r>
        <w:rPr>
          <w:noProof/>
          <w:color w:val="000000"/>
          <w:highlight w:val="black"/>
        </w:rPr>
        <w:t>''''''' '''''''''''''</w:t>
      </w:r>
      <w:r w:rsidR="00FB5052" w:rsidRPr="00F05153">
        <w:t xml:space="preserve"> with WHO FC I/II PAH who was not receiving background therapy in the </w:t>
      </w:r>
      <w:r>
        <w:rPr>
          <w:noProof/>
          <w:color w:val="000000"/>
          <w:highlight w:val="black"/>
        </w:rPr>
        <w:t>'''''''''''''''' ''''''''''' '''''''' ''''''''''''' ''''''' '''''''' '''''''''''' ''''''' ''''' ''''''''''''''' '''''''' '''' '''''' '''''''''''''''' '''''''''''</w:t>
      </w:r>
      <w:r w:rsidR="00FB5052" w:rsidRPr="00F05153">
        <w:t xml:space="preserve"> (</w:t>
      </w:r>
      <w:r w:rsidR="003951FA" w:rsidRPr="00F05153">
        <w:t xml:space="preserve">Table </w:t>
      </w:r>
      <w:r w:rsidR="003951FA" w:rsidRPr="00F05153">
        <w:rPr>
          <w:noProof/>
        </w:rPr>
        <w:t>4.</w:t>
      </w:r>
      <w:r w:rsidR="003951FA">
        <w:rPr>
          <w:noProof/>
        </w:rPr>
        <w:t>38</w:t>
      </w:r>
      <w:r w:rsidR="00FB5052" w:rsidRPr="00F05153">
        <w:t xml:space="preserve">; </w:t>
      </w:r>
      <w:r w:rsidR="00B21201" w:rsidRPr="00F05153">
        <w:t>ARD</w:t>
      </w:r>
      <w:r w:rsidR="00973227" w:rsidRPr="00F05153">
        <w:t> </w:t>
      </w:r>
      <w:r w:rsidR="00FB5052" w:rsidRPr="00F05153">
        <w:t>=</w:t>
      </w:r>
      <w:r w:rsidR="00973227" w:rsidRPr="00F05153">
        <w:t> </w:t>
      </w:r>
      <w:r>
        <w:rPr>
          <w:noProof/>
          <w:color w:val="000000"/>
          <w:highlight w:val="black"/>
        </w:rPr>
        <w:t>''''''''''' '''''''' '''' '''''''''' ''''''' ''''''''''''''''''''</w:t>
      </w:r>
    </w:p>
    <w:p w:rsidR="00FB5052" w:rsidRPr="006316DF" w:rsidRDefault="00B40240" w:rsidP="0072793D">
      <w:pPr>
        <w:pStyle w:val="Caption"/>
      </w:pPr>
      <w:bookmarkStart w:id="132" w:name="_Ref500948549"/>
      <w:bookmarkStart w:id="133" w:name="_Toc38360335"/>
      <w:r w:rsidRPr="00F05153">
        <w:t>Table 4.</w:t>
      </w:r>
      <w:r w:rsidR="003951FA">
        <w:rPr>
          <w:noProof/>
        </w:rPr>
        <w:t>38</w:t>
      </w:r>
      <w:bookmarkEnd w:id="132"/>
      <w:r w:rsidR="00507955" w:rsidRPr="00F05153">
        <w:rPr>
          <w:noProof/>
        </w:rPr>
        <w:tab/>
      </w:r>
      <w:r w:rsidR="00FB5052" w:rsidRPr="00F05153">
        <w:t xml:space="preserve">Mortality rates for </w:t>
      </w:r>
      <w:r w:rsidR="00EB768B" w:rsidRPr="00F05153">
        <w:t xml:space="preserve">a </w:t>
      </w:r>
      <w:r w:rsidR="004B7C88" w:rsidRPr="00F05153">
        <w:t xml:space="preserve">sGC stimulator </w:t>
      </w:r>
      <w:r w:rsidR="00FB5052" w:rsidRPr="00F05153">
        <w:t>compared with placebo in patients with WHO</w:t>
      </w:r>
      <w:r w:rsidR="00FB5052" w:rsidRPr="00B642BB">
        <w:t xml:space="preserve"> FC I/II PAH</w:t>
      </w:r>
      <w:bookmarkEnd w:id="133"/>
    </w:p>
    <w:tbl>
      <w:tblPr>
        <w:tblStyle w:val="TableGrid7"/>
        <w:tblW w:w="9634" w:type="dxa"/>
        <w:tblLayout w:type="fixed"/>
        <w:tblLook w:val="04A0" w:firstRow="1" w:lastRow="0" w:firstColumn="1" w:lastColumn="0" w:noHBand="0" w:noVBand="1"/>
        <w:tblCaption w:val="Mortality rates for a sGC stimulator compared with placebo in patients with WHO FC I/II PAH"/>
      </w:tblPr>
      <w:tblGrid>
        <w:gridCol w:w="1980"/>
        <w:gridCol w:w="1701"/>
        <w:gridCol w:w="1843"/>
        <w:gridCol w:w="2126"/>
        <w:gridCol w:w="1984"/>
      </w:tblGrid>
      <w:tr w:rsidR="00FB5052" w:rsidRPr="006316DF" w:rsidTr="00085667">
        <w:trPr>
          <w:trHeight w:val="207"/>
          <w:tblHeader/>
        </w:trPr>
        <w:tc>
          <w:tcPr>
            <w:tcW w:w="1980" w:type="dxa"/>
            <w:vMerge w:val="restart"/>
            <w:shd w:val="clear" w:color="auto" w:fill="BFBFBF" w:themeFill="background1" w:themeFillShade="BF"/>
          </w:tcPr>
          <w:p w:rsidR="00FB5052" w:rsidRDefault="00FB5052" w:rsidP="0072793D">
            <w:pPr>
              <w:pStyle w:val="Tabletext"/>
              <w:rPr>
                <w:b/>
              </w:rPr>
            </w:pPr>
            <w:r w:rsidRPr="00507955">
              <w:rPr>
                <w:b/>
              </w:rPr>
              <w:t>Study ID</w:t>
            </w:r>
          </w:p>
          <w:p w:rsidR="004B7C88" w:rsidRPr="00507955" w:rsidRDefault="004B7C88" w:rsidP="0072793D">
            <w:pPr>
              <w:pStyle w:val="Tabletext"/>
              <w:rPr>
                <w:b/>
              </w:rPr>
            </w:pPr>
            <w:r w:rsidRPr="004B7C88">
              <w:rPr>
                <w:b/>
              </w:rPr>
              <w:t>sGC stimulator</w:t>
            </w:r>
          </w:p>
        </w:tc>
        <w:tc>
          <w:tcPr>
            <w:tcW w:w="1701" w:type="dxa"/>
            <w:vMerge w:val="restart"/>
            <w:shd w:val="clear" w:color="auto" w:fill="BFBFBF" w:themeFill="background1" w:themeFillShade="BF"/>
          </w:tcPr>
          <w:p w:rsidR="00FB5052" w:rsidRPr="00507955" w:rsidRDefault="00FB5052" w:rsidP="0072793D">
            <w:pPr>
              <w:pStyle w:val="Tabletext"/>
              <w:rPr>
                <w:b/>
              </w:rPr>
            </w:pPr>
            <w:r w:rsidRPr="00507955">
              <w:rPr>
                <w:b/>
              </w:rPr>
              <w:t>Study period</w:t>
            </w:r>
          </w:p>
        </w:tc>
        <w:tc>
          <w:tcPr>
            <w:tcW w:w="3969" w:type="dxa"/>
            <w:gridSpan w:val="2"/>
            <w:shd w:val="clear" w:color="auto" w:fill="BFBFBF" w:themeFill="background1" w:themeFillShade="BF"/>
          </w:tcPr>
          <w:p w:rsidR="00FB5052" w:rsidRPr="00507955" w:rsidRDefault="00FB5052" w:rsidP="0072793D">
            <w:pPr>
              <w:pStyle w:val="Tabletext"/>
              <w:jc w:val="center"/>
              <w:rPr>
                <w:b/>
              </w:rPr>
            </w:pPr>
            <w:proofErr w:type="gramStart"/>
            <w:r w:rsidRPr="00507955">
              <w:rPr>
                <w:b/>
              </w:rPr>
              <w:t>n/N</w:t>
            </w:r>
            <w:proofErr w:type="gramEnd"/>
            <w:r w:rsidRPr="00507955">
              <w:rPr>
                <w:b/>
              </w:rPr>
              <w:t xml:space="preserve"> (%)</w:t>
            </w:r>
          </w:p>
        </w:tc>
        <w:tc>
          <w:tcPr>
            <w:tcW w:w="1984" w:type="dxa"/>
            <w:vMerge w:val="restart"/>
            <w:shd w:val="clear" w:color="auto" w:fill="BFBFBF" w:themeFill="background1" w:themeFillShade="BF"/>
          </w:tcPr>
          <w:p w:rsidR="00FB5052" w:rsidRPr="00507955" w:rsidRDefault="00FB5052" w:rsidP="0072793D">
            <w:pPr>
              <w:pStyle w:val="Tabletext"/>
              <w:jc w:val="center"/>
              <w:rPr>
                <w:b/>
              </w:rPr>
            </w:pPr>
            <w:r w:rsidRPr="00507955">
              <w:rPr>
                <w:b/>
              </w:rPr>
              <w:t>RR (95% CI)</w:t>
            </w:r>
          </w:p>
        </w:tc>
      </w:tr>
      <w:tr w:rsidR="00FB5052" w:rsidRPr="006316DF" w:rsidTr="00085667">
        <w:trPr>
          <w:trHeight w:val="202"/>
          <w:tblHeader/>
        </w:trPr>
        <w:tc>
          <w:tcPr>
            <w:tcW w:w="1980" w:type="dxa"/>
            <w:vMerge/>
            <w:shd w:val="clear" w:color="auto" w:fill="BFBFBF" w:themeFill="background1" w:themeFillShade="BF"/>
          </w:tcPr>
          <w:p w:rsidR="00FB5052" w:rsidRPr="00507955" w:rsidRDefault="00FB5052" w:rsidP="0072793D">
            <w:pPr>
              <w:pStyle w:val="Tabletext"/>
            </w:pPr>
          </w:p>
        </w:tc>
        <w:tc>
          <w:tcPr>
            <w:tcW w:w="1701" w:type="dxa"/>
            <w:vMerge/>
            <w:shd w:val="clear" w:color="auto" w:fill="BFBFBF" w:themeFill="background1" w:themeFillShade="BF"/>
          </w:tcPr>
          <w:p w:rsidR="00FB5052" w:rsidRPr="00507955" w:rsidRDefault="00FB5052" w:rsidP="0072793D">
            <w:pPr>
              <w:pStyle w:val="Tabletext"/>
            </w:pPr>
          </w:p>
        </w:tc>
        <w:tc>
          <w:tcPr>
            <w:tcW w:w="1843" w:type="dxa"/>
            <w:shd w:val="clear" w:color="auto" w:fill="BFBFBF" w:themeFill="background1" w:themeFillShade="BF"/>
          </w:tcPr>
          <w:p w:rsidR="00FB5052" w:rsidRPr="00507955" w:rsidRDefault="004B7C88" w:rsidP="0072793D">
            <w:pPr>
              <w:pStyle w:val="Tabletext"/>
              <w:jc w:val="center"/>
              <w:rPr>
                <w:rFonts w:asciiTheme="minorHAnsi" w:hAnsiTheme="minorHAnsi"/>
                <w:b/>
              </w:rPr>
            </w:pPr>
            <w:r w:rsidRPr="004B7C88">
              <w:rPr>
                <w:rFonts w:asciiTheme="minorHAnsi" w:hAnsiTheme="minorHAnsi"/>
                <w:b/>
              </w:rPr>
              <w:t>sGC stimulator</w:t>
            </w:r>
          </w:p>
        </w:tc>
        <w:tc>
          <w:tcPr>
            <w:tcW w:w="2126" w:type="dxa"/>
            <w:shd w:val="clear" w:color="auto" w:fill="BFBFBF" w:themeFill="background1" w:themeFillShade="BF"/>
          </w:tcPr>
          <w:p w:rsidR="00FB5052" w:rsidRPr="00507955" w:rsidRDefault="00FB5052" w:rsidP="0072793D">
            <w:pPr>
              <w:pStyle w:val="Tabletext"/>
              <w:jc w:val="center"/>
              <w:rPr>
                <w:b/>
              </w:rPr>
            </w:pPr>
            <w:r w:rsidRPr="00507955">
              <w:rPr>
                <w:b/>
              </w:rPr>
              <w:t>Placebo</w:t>
            </w:r>
          </w:p>
        </w:tc>
        <w:tc>
          <w:tcPr>
            <w:tcW w:w="1984" w:type="dxa"/>
            <w:vMerge/>
            <w:shd w:val="clear" w:color="auto" w:fill="BFBFBF" w:themeFill="background1" w:themeFillShade="BF"/>
          </w:tcPr>
          <w:p w:rsidR="00FB5052" w:rsidRPr="006316DF" w:rsidRDefault="00FB5052" w:rsidP="0072793D">
            <w:pPr>
              <w:pStyle w:val="Tabletext"/>
            </w:pPr>
          </w:p>
        </w:tc>
      </w:tr>
      <w:tr w:rsidR="00FB5052" w:rsidRPr="00F05153" w:rsidTr="00085667">
        <w:trPr>
          <w:trHeight w:val="70"/>
        </w:trPr>
        <w:tc>
          <w:tcPr>
            <w:tcW w:w="1980" w:type="dxa"/>
            <w:shd w:val="clear" w:color="auto" w:fill="auto"/>
          </w:tcPr>
          <w:p w:rsidR="00FB5052" w:rsidRPr="00F05153" w:rsidRDefault="00FB5052" w:rsidP="0072793D">
            <w:pPr>
              <w:pStyle w:val="Tabletext"/>
              <w:rPr>
                <w:szCs w:val="18"/>
              </w:rPr>
            </w:pPr>
            <w:r w:rsidRPr="00F05153">
              <w:rPr>
                <w:szCs w:val="18"/>
              </w:rPr>
              <w:t>PATENT-1 CSR</w:t>
            </w:r>
          </w:p>
          <w:p w:rsidR="004B7C88" w:rsidRPr="00F05153" w:rsidRDefault="004B7C88" w:rsidP="0072793D">
            <w:pPr>
              <w:pStyle w:val="Tabletext"/>
              <w:rPr>
                <w:szCs w:val="18"/>
              </w:rPr>
            </w:pPr>
            <w:r w:rsidRPr="00F05153">
              <w:t>Riociguat</w:t>
            </w:r>
          </w:p>
        </w:tc>
        <w:tc>
          <w:tcPr>
            <w:tcW w:w="1701" w:type="dxa"/>
            <w:shd w:val="clear" w:color="auto" w:fill="auto"/>
          </w:tcPr>
          <w:p w:rsidR="00FB5052" w:rsidRPr="00F05153" w:rsidRDefault="00FB5052" w:rsidP="0072793D">
            <w:pPr>
              <w:pStyle w:val="Tabletext"/>
            </w:pPr>
            <w:r w:rsidRPr="00F05153">
              <w:t>12 weeks</w:t>
            </w:r>
          </w:p>
        </w:tc>
        <w:tc>
          <w:tcPr>
            <w:tcW w:w="1843" w:type="dxa"/>
            <w:shd w:val="clear" w:color="auto" w:fill="auto"/>
          </w:tcPr>
          <w:p w:rsidR="00FB5052" w:rsidRPr="002046A0" w:rsidRDefault="002046A0" w:rsidP="0072793D">
            <w:pPr>
              <w:pStyle w:val="Tabletext"/>
              <w:jc w:val="center"/>
              <w:rPr>
                <w:rFonts w:cs="Tahoma"/>
                <w:highlight w:val="black"/>
              </w:rPr>
            </w:pPr>
            <w:r>
              <w:rPr>
                <w:rFonts w:eastAsia="Times New Roman" w:cs="Tahoma"/>
                <w:noProof/>
                <w:color w:val="000000"/>
                <w:highlight w:val="black"/>
              </w:rPr>
              <w:t>'''''''''' ''''''''''''</w:t>
            </w:r>
          </w:p>
        </w:tc>
        <w:tc>
          <w:tcPr>
            <w:tcW w:w="2126" w:type="dxa"/>
            <w:shd w:val="clear" w:color="auto" w:fill="auto"/>
          </w:tcPr>
          <w:p w:rsidR="00FB5052" w:rsidRPr="002046A0" w:rsidRDefault="002046A0" w:rsidP="0072793D">
            <w:pPr>
              <w:pStyle w:val="Tabletext"/>
              <w:jc w:val="center"/>
              <w:rPr>
                <w:rFonts w:cs="Tahoma"/>
                <w:highlight w:val="black"/>
              </w:rPr>
            </w:pPr>
            <w:r>
              <w:rPr>
                <w:rFonts w:eastAsia="Times New Roman" w:cs="Tahoma"/>
                <w:noProof/>
                <w:color w:val="000000"/>
                <w:highlight w:val="black"/>
              </w:rPr>
              <w:t>''''''''''' '''''''''''''</w:t>
            </w:r>
          </w:p>
        </w:tc>
        <w:tc>
          <w:tcPr>
            <w:tcW w:w="1984" w:type="dxa"/>
          </w:tcPr>
          <w:p w:rsidR="00FB5052" w:rsidRPr="002046A0" w:rsidRDefault="002046A0" w:rsidP="0072793D">
            <w:pPr>
              <w:pStyle w:val="Tabletext"/>
              <w:jc w:val="center"/>
              <w:rPr>
                <w:rFonts w:cs="Tahoma"/>
                <w:highlight w:val="black"/>
              </w:rPr>
            </w:pPr>
            <w:r>
              <w:rPr>
                <w:rFonts w:cs="Tahoma"/>
                <w:noProof/>
                <w:color w:val="000000"/>
                <w:highlight w:val="black"/>
              </w:rPr>
              <w:t>'''''''' ''''''''''''''''''''''''</w:t>
            </w:r>
          </w:p>
        </w:tc>
      </w:tr>
    </w:tbl>
    <w:p w:rsidR="000F6EFC" w:rsidRPr="00F05153" w:rsidRDefault="00FB5052" w:rsidP="00250528">
      <w:pPr>
        <w:pStyle w:val="Tablenote"/>
      </w:pPr>
      <w:r w:rsidRPr="00F05153">
        <w:t xml:space="preserve">CI = confidence interval; CSR = clinical study report; </w:t>
      </w:r>
      <w:r w:rsidR="000F6EFC" w:rsidRPr="00F05153">
        <w:t xml:space="preserve">FC = functional class; </w:t>
      </w:r>
      <w:r w:rsidRPr="00F05153">
        <w:t xml:space="preserve">n = number of </w:t>
      </w:r>
      <w:r w:rsidR="000F6EFC" w:rsidRPr="00F05153">
        <w:t xml:space="preserve">patients with </w:t>
      </w:r>
      <w:r w:rsidRPr="00F05153">
        <w:t xml:space="preserve">events; N = number of patients; </w:t>
      </w:r>
      <w:r w:rsidR="000F6EFC" w:rsidRPr="00F05153">
        <w:t xml:space="preserve">PAH = pulmonary arterial hypertension; </w:t>
      </w:r>
      <w:r w:rsidRPr="00F05153">
        <w:t>RR = relative risk</w:t>
      </w:r>
      <w:r w:rsidR="004B7C88" w:rsidRPr="00F05153">
        <w:t>; sGC = soluble guanylate cyclase</w:t>
      </w:r>
      <w:r w:rsidR="000F6EFC" w:rsidRPr="00F05153">
        <w:t>; WHO = World Health Organization</w:t>
      </w:r>
    </w:p>
    <w:p w:rsidR="00FB5052" w:rsidRPr="00F05153" w:rsidRDefault="0077344D" w:rsidP="00FB5052">
      <w:pPr>
        <w:pStyle w:val="Heading5"/>
      </w:pPr>
      <w:r w:rsidRPr="00F05153">
        <w:t>c.</w:t>
      </w:r>
      <w:r w:rsidR="0066218C" w:rsidRPr="00F05153">
        <w:tab/>
      </w:r>
      <w:r w:rsidR="00C828F9" w:rsidRPr="00F05153">
        <w:t>Hospitalisation due to worsening PAH</w:t>
      </w:r>
    </w:p>
    <w:p w:rsidR="00FB5052" w:rsidRPr="00F05153" w:rsidRDefault="002046A0" w:rsidP="00FB5052">
      <w:r>
        <w:rPr>
          <w:noProof/>
          <w:color w:val="000000"/>
          <w:highlight w:val="black"/>
        </w:rPr>
        <w:t>'''''' ''''''''''''''</w:t>
      </w:r>
      <w:r w:rsidR="00FB5052" w:rsidRPr="00F05153">
        <w:t xml:space="preserve"> with WHO </w:t>
      </w:r>
      <w:proofErr w:type="gramStart"/>
      <w:r w:rsidR="00FB5052" w:rsidRPr="00F05153">
        <w:t>FC</w:t>
      </w:r>
      <w:proofErr w:type="gramEnd"/>
      <w:r w:rsidR="00FB5052" w:rsidRPr="00F05153">
        <w:t xml:space="preserve"> I/II PAH receiving monotherapy were hospitalised </w:t>
      </w:r>
      <w:r w:rsidR="00250528" w:rsidRPr="00F05153">
        <w:t xml:space="preserve">due to PAH </w:t>
      </w:r>
      <w:r w:rsidR="00FB5052" w:rsidRPr="00F05153">
        <w:t>during the trial period (</w:t>
      </w:r>
      <w:r w:rsidR="003951FA" w:rsidRPr="00F05153">
        <w:t xml:space="preserve">Table </w:t>
      </w:r>
      <w:r w:rsidR="003951FA" w:rsidRPr="00F05153">
        <w:rPr>
          <w:noProof/>
        </w:rPr>
        <w:t>4.</w:t>
      </w:r>
      <w:r w:rsidR="003951FA">
        <w:rPr>
          <w:noProof/>
        </w:rPr>
        <w:t>39</w:t>
      </w:r>
      <w:r w:rsidR="00085667" w:rsidRPr="00F05153">
        <w:t>).</w:t>
      </w:r>
    </w:p>
    <w:p w:rsidR="00A50F9E" w:rsidRDefault="00A50F9E">
      <w:pPr>
        <w:spacing w:before="0" w:line="240" w:lineRule="auto"/>
        <w:rPr>
          <w:b/>
          <w:iCs/>
          <w:szCs w:val="18"/>
        </w:rPr>
      </w:pPr>
      <w:bookmarkStart w:id="134" w:name="_Ref500949260"/>
      <w:bookmarkStart w:id="135" w:name="_Toc38360336"/>
      <w:r>
        <w:br w:type="page"/>
      </w:r>
    </w:p>
    <w:p w:rsidR="00FB5052" w:rsidRPr="00F05153" w:rsidRDefault="00B40240" w:rsidP="00BC5A2B">
      <w:pPr>
        <w:pStyle w:val="Caption"/>
      </w:pPr>
      <w:r w:rsidRPr="00F05153">
        <w:t>Table 4.</w:t>
      </w:r>
      <w:r w:rsidR="003951FA">
        <w:rPr>
          <w:noProof/>
        </w:rPr>
        <w:t>39</w:t>
      </w:r>
      <w:bookmarkEnd w:id="134"/>
      <w:r w:rsidR="00507955" w:rsidRPr="00F05153">
        <w:rPr>
          <w:noProof/>
        </w:rPr>
        <w:tab/>
        <w:t>Hospitalisation</w:t>
      </w:r>
      <w:r w:rsidR="00FB5052" w:rsidRPr="00F05153">
        <w:t xml:space="preserve"> </w:t>
      </w:r>
      <w:r w:rsidR="00250528" w:rsidRPr="00F05153">
        <w:t xml:space="preserve">due to PAH </w:t>
      </w:r>
      <w:r w:rsidR="00FB5052" w:rsidRPr="00F05153">
        <w:t xml:space="preserve">for </w:t>
      </w:r>
      <w:r w:rsidR="00EB768B" w:rsidRPr="00F05153">
        <w:t xml:space="preserve">a </w:t>
      </w:r>
      <w:r w:rsidR="004B7C88" w:rsidRPr="00F05153">
        <w:t xml:space="preserve">sGC stimulator </w:t>
      </w:r>
      <w:r w:rsidR="00FB5052" w:rsidRPr="00F05153">
        <w:t>compared with placebo in patients with WHO FC I/II PAH</w:t>
      </w:r>
      <w:bookmarkEnd w:id="135"/>
    </w:p>
    <w:tbl>
      <w:tblPr>
        <w:tblStyle w:val="TableGrid7"/>
        <w:tblW w:w="9634" w:type="dxa"/>
        <w:tblLayout w:type="fixed"/>
        <w:tblLook w:val="04A0" w:firstRow="1" w:lastRow="0" w:firstColumn="1" w:lastColumn="0" w:noHBand="0" w:noVBand="1"/>
        <w:tblCaption w:val="Hospitalisation due to PAH for a sGC stimulator compared with placebo in patients with WHO FC I/II PAH"/>
      </w:tblPr>
      <w:tblGrid>
        <w:gridCol w:w="1980"/>
        <w:gridCol w:w="1701"/>
        <w:gridCol w:w="1984"/>
        <w:gridCol w:w="1985"/>
        <w:gridCol w:w="1984"/>
      </w:tblGrid>
      <w:tr w:rsidR="00FB5052" w:rsidRPr="00F05153" w:rsidTr="00085667">
        <w:trPr>
          <w:trHeight w:val="276"/>
          <w:tblHeader/>
        </w:trPr>
        <w:tc>
          <w:tcPr>
            <w:tcW w:w="1980" w:type="dxa"/>
            <w:vMerge w:val="restart"/>
            <w:shd w:val="clear" w:color="auto" w:fill="BFBFBF" w:themeFill="background1" w:themeFillShade="BF"/>
          </w:tcPr>
          <w:p w:rsidR="00FB5052" w:rsidRPr="00F05153" w:rsidRDefault="00FB5052" w:rsidP="00507955">
            <w:pPr>
              <w:pStyle w:val="Tabletext"/>
              <w:rPr>
                <w:b/>
              </w:rPr>
            </w:pPr>
            <w:r w:rsidRPr="00F05153">
              <w:rPr>
                <w:b/>
              </w:rPr>
              <w:t>Study ID</w:t>
            </w:r>
          </w:p>
          <w:p w:rsidR="004B7C88" w:rsidRPr="00F05153" w:rsidRDefault="004B7C88" w:rsidP="00507955">
            <w:pPr>
              <w:pStyle w:val="Tabletext"/>
              <w:rPr>
                <w:b/>
              </w:rPr>
            </w:pPr>
            <w:r w:rsidRPr="00F05153">
              <w:rPr>
                <w:b/>
              </w:rPr>
              <w:t>sGC stimulator</w:t>
            </w:r>
          </w:p>
        </w:tc>
        <w:tc>
          <w:tcPr>
            <w:tcW w:w="1701" w:type="dxa"/>
            <w:vMerge w:val="restart"/>
            <w:shd w:val="clear" w:color="auto" w:fill="BFBFBF" w:themeFill="background1" w:themeFillShade="BF"/>
          </w:tcPr>
          <w:p w:rsidR="00FB5052" w:rsidRPr="00F05153" w:rsidRDefault="00FB5052" w:rsidP="00507955">
            <w:pPr>
              <w:pStyle w:val="Tabletext"/>
              <w:rPr>
                <w:b/>
              </w:rPr>
            </w:pPr>
            <w:r w:rsidRPr="00F05153">
              <w:rPr>
                <w:b/>
              </w:rPr>
              <w:t>Study period</w:t>
            </w:r>
          </w:p>
        </w:tc>
        <w:tc>
          <w:tcPr>
            <w:tcW w:w="3969" w:type="dxa"/>
            <w:gridSpan w:val="2"/>
            <w:shd w:val="clear" w:color="auto" w:fill="BFBFBF" w:themeFill="background1" w:themeFillShade="BF"/>
          </w:tcPr>
          <w:p w:rsidR="00FB5052" w:rsidRPr="00F05153" w:rsidRDefault="00FB5052" w:rsidP="00507955">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FB5052" w:rsidRPr="00F05153" w:rsidRDefault="00FB5052" w:rsidP="00507955">
            <w:pPr>
              <w:pStyle w:val="Tabletext"/>
              <w:jc w:val="center"/>
              <w:rPr>
                <w:b/>
              </w:rPr>
            </w:pPr>
            <w:r w:rsidRPr="00F05153">
              <w:rPr>
                <w:b/>
              </w:rPr>
              <w:t>RR (95% CI)</w:t>
            </w:r>
          </w:p>
        </w:tc>
      </w:tr>
      <w:tr w:rsidR="00FB5052" w:rsidRPr="00F05153" w:rsidTr="00085667">
        <w:trPr>
          <w:trHeight w:val="202"/>
          <w:tblHeader/>
        </w:trPr>
        <w:tc>
          <w:tcPr>
            <w:tcW w:w="1980" w:type="dxa"/>
            <w:vMerge/>
            <w:shd w:val="clear" w:color="auto" w:fill="BFBFBF" w:themeFill="background1" w:themeFillShade="BF"/>
          </w:tcPr>
          <w:p w:rsidR="00FB5052" w:rsidRPr="00F05153" w:rsidRDefault="00FB5052" w:rsidP="00507955">
            <w:pPr>
              <w:pStyle w:val="Tabletext"/>
            </w:pPr>
          </w:p>
        </w:tc>
        <w:tc>
          <w:tcPr>
            <w:tcW w:w="1701" w:type="dxa"/>
            <w:vMerge/>
            <w:shd w:val="clear" w:color="auto" w:fill="BFBFBF" w:themeFill="background1" w:themeFillShade="BF"/>
          </w:tcPr>
          <w:p w:rsidR="00FB5052" w:rsidRPr="00F05153" w:rsidRDefault="00FB5052" w:rsidP="00507955">
            <w:pPr>
              <w:pStyle w:val="Tabletext"/>
            </w:pPr>
          </w:p>
        </w:tc>
        <w:tc>
          <w:tcPr>
            <w:tcW w:w="1984" w:type="dxa"/>
            <w:shd w:val="clear" w:color="auto" w:fill="BFBFBF" w:themeFill="background1" w:themeFillShade="BF"/>
          </w:tcPr>
          <w:p w:rsidR="00FB5052" w:rsidRPr="00F05153" w:rsidRDefault="004B7C88" w:rsidP="00507955">
            <w:pPr>
              <w:pStyle w:val="Tabletext"/>
              <w:jc w:val="center"/>
              <w:rPr>
                <w:b/>
              </w:rPr>
            </w:pPr>
            <w:r w:rsidRPr="00F05153">
              <w:rPr>
                <w:b/>
              </w:rPr>
              <w:t>sGC stimulator</w:t>
            </w:r>
          </w:p>
        </w:tc>
        <w:tc>
          <w:tcPr>
            <w:tcW w:w="1985" w:type="dxa"/>
            <w:shd w:val="clear" w:color="auto" w:fill="BFBFBF" w:themeFill="background1" w:themeFillShade="BF"/>
          </w:tcPr>
          <w:p w:rsidR="00FB5052" w:rsidRPr="00F05153" w:rsidRDefault="00FB5052" w:rsidP="00507955">
            <w:pPr>
              <w:pStyle w:val="Tabletext"/>
              <w:jc w:val="center"/>
              <w:rPr>
                <w:b/>
              </w:rPr>
            </w:pPr>
            <w:r w:rsidRPr="00F05153">
              <w:rPr>
                <w:b/>
              </w:rPr>
              <w:t>Placebo</w:t>
            </w:r>
          </w:p>
        </w:tc>
        <w:tc>
          <w:tcPr>
            <w:tcW w:w="1984" w:type="dxa"/>
            <w:vMerge/>
            <w:shd w:val="clear" w:color="auto" w:fill="BFBFBF" w:themeFill="background1" w:themeFillShade="BF"/>
          </w:tcPr>
          <w:p w:rsidR="00FB5052" w:rsidRPr="00F05153" w:rsidRDefault="00FB5052" w:rsidP="00507955">
            <w:pPr>
              <w:pStyle w:val="Tabletext"/>
            </w:pPr>
          </w:p>
        </w:tc>
      </w:tr>
      <w:tr w:rsidR="00FB5052" w:rsidRPr="00F05153" w:rsidTr="00085667">
        <w:trPr>
          <w:trHeight w:val="70"/>
        </w:trPr>
        <w:tc>
          <w:tcPr>
            <w:tcW w:w="1980" w:type="dxa"/>
            <w:shd w:val="clear" w:color="auto" w:fill="auto"/>
          </w:tcPr>
          <w:p w:rsidR="00FB5052" w:rsidRPr="00F05153" w:rsidRDefault="00FB5052" w:rsidP="00507955">
            <w:pPr>
              <w:pStyle w:val="Tabletext"/>
            </w:pPr>
            <w:r w:rsidRPr="00F05153">
              <w:t>PATENT-1 CSR</w:t>
            </w:r>
          </w:p>
          <w:p w:rsidR="004B7C88" w:rsidRPr="00F05153" w:rsidRDefault="004B7C88" w:rsidP="00507955">
            <w:pPr>
              <w:pStyle w:val="Tabletext"/>
            </w:pPr>
            <w:r w:rsidRPr="00F05153">
              <w:t>Riociguat</w:t>
            </w:r>
          </w:p>
        </w:tc>
        <w:tc>
          <w:tcPr>
            <w:tcW w:w="1701" w:type="dxa"/>
          </w:tcPr>
          <w:p w:rsidR="00FB5052" w:rsidRPr="00F05153" w:rsidRDefault="00FB5052" w:rsidP="00507955">
            <w:pPr>
              <w:pStyle w:val="Tabletext"/>
            </w:pPr>
            <w:r w:rsidRPr="00F05153">
              <w:t>12 weeks</w:t>
            </w:r>
          </w:p>
        </w:tc>
        <w:tc>
          <w:tcPr>
            <w:tcW w:w="1984" w:type="dxa"/>
            <w:shd w:val="clear" w:color="auto" w:fill="auto"/>
          </w:tcPr>
          <w:p w:rsidR="00FB5052" w:rsidRPr="002046A0" w:rsidRDefault="002046A0" w:rsidP="00507955">
            <w:pPr>
              <w:pStyle w:val="Tabletext"/>
              <w:jc w:val="center"/>
              <w:rPr>
                <w:highlight w:val="black"/>
              </w:rPr>
            </w:pPr>
            <w:r>
              <w:rPr>
                <w:noProof/>
                <w:color w:val="000000"/>
                <w:highlight w:val="black"/>
              </w:rPr>
              <w:t>'''''''''''' '''''''''''</w:t>
            </w:r>
          </w:p>
        </w:tc>
        <w:tc>
          <w:tcPr>
            <w:tcW w:w="1985" w:type="dxa"/>
            <w:shd w:val="clear" w:color="auto" w:fill="auto"/>
          </w:tcPr>
          <w:p w:rsidR="00FB5052" w:rsidRPr="002046A0" w:rsidRDefault="002046A0" w:rsidP="00507955">
            <w:pPr>
              <w:pStyle w:val="Tabletext"/>
              <w:jc w:val="center"/>
              <w:rPr>
                <w:highlight w:val="black"/>
              </w:rPr>
            </w:pPr>
            <w:r>
              <w:rPr>
                <w:noProof/>
                <w:color w:val="000000"/>
                <w:highlight w:val="black"/>
              </w:rPr>
              <w:t>'''''''''' '''''''''''</w:t>
            </w:r>
          </w:p>
        </w:tc>
        <w:tc>
          <w:tcPr>
            <w:tcW w:w="1984" w:type="dxa"/>
          </w:tcPr>
          <w:p w:rsidR="00FB5052" w:rsidRPr="002046A0" w:rsidRDefault="002046A0" w:rsidP="00507955">
            <w:pPr>
              <w:pStyle w:val="Tabletext"/>
              <w:jc w:val="center"/>
              <w:rPr>
                <w:highlight w:val="black"/>
              </w:rPr>
            </w:pPr>
            <w:r>
              <w:rPr>
                <w:noProof/>
                <w:color w:val="000000"/>
                <w:highlight w:val="black"/>
              </w:rPr>
              <w:t>'''''''' '''''''''''''''''''''''''</w:t>
            </w:r>
          </w:p>
        </w:tc>
      </w:tr>
    </w:tbl>
    <w:p w:rsidR="000F6EFC" w:rsidRPr="00F05153" w:rsidRDefault="00FB5052" w:rsidP="00507955">
      <w:pPr>
        <w:pStyle w:val="Tablenote"/>
      </w:pPr>
      <w:r w:rsidRPr="00F05153">
        <w:t xml:space="preserve">CI = confidence interval; CSR = clinical study report; </w:t>
      </w:r>
      <w:r w:rsidR="000F6EFC" w:rsidRPr="00F05153">
        <w:t xml:space="preserve">FC = functional class; </w:t>
      </w:r>
      <w:r w:rsidRPr="00F05153">
        <w:t xml:space="preserve">n = number of </w:t>
      </w:r>
      <w:r w:rsidR="007E6E6A" w:rsidRPr="00F05153">
        <w:t xml:space="preserve">patients with </w:t>
      </w:r>
      <w:r w:rsidRPr="00F05153">
        <w:t xml:space="preserve">events; N = number of patients; </w:t>
      </w:r>
      <w:r w:rsidR="000F6EFC" w:rsidRPr="00F05153">
        <w:t xml:space="preserve">PAH = pulmonary arterial hypertension; </w:t>
      </w:r>
      <w:r w:rsidRPr="00F05153">
        <w:t>RR = relative risk</w:t>
      </w:r>
      <w:r w:rsidR="004B7C88" w:rsidRPr="00F05153">
        <w:t>; sGC = soluble guanylate cyclase</w:t>
      </w:r>
      <w:r w:rsidR="000F6EFC" w:rsidRPr="00F05153">
        <w:t>; WHO = World Health Organization</w:t>
      </w:r>
    </w:p>
    <w:p w:rsidR="00FB5052" w:rsidRPr="00F05153" w:rsidRDefault="0077344D" w:rsidP="00FB5052">
      <w:pPr>
        <w:pStyle w:val="Heading5"/>
      </w:pPr>
      <w:r w:rsidRPr="00F05153">
        <w:t>d.</w:t>
      </w:r>
      <w:r w:rsidR="0066218C" w:rsidRPr="00F05153">
        <w:tab/>
      </w:r>
      <w:r w:rsidR="00FB5052" w:rsidRPr="00F05153">
        <w:t>Change in WHO FC</w:t>
      </w:r>
      <w:r w:rsidR="007B6C7C" w:rsidRPr="00F05153">
        <w:t xml:space="preserve"> from baseline</w:t>
      </w:r>
    </w:p>
    <w:p w:rsidR="00FB5052" w:rsidRPr="00F05153" w:rsidRDefault="002046A0" w:rsidP="00FB5052">
      <w:r>
        <w:rPr>
          <w:noProof/>
          <w:color w:val="000000"/>
          <w:highlight w:val="black"/>
        </w:rPr>
        <w:t>'''''''''''''''''''''' '''''''''''</w:t>
      </w:r>
      <w:r w:rsidR="00FB5052" w:rsidRPr="00F05153">
        <w:t xml:space="preserve"> patients in the </w:t>
      </w:r>
      <w:r>
        <w:rPr>
          <w:noProof/>
          <w:color w:val="000000"/>
          <w:highlight w:val="black"/>
        </w:rPr>
        <w:t>'''''''''''''''</w:t>
      </w:r>
      <w:r w:rsidR="00FB5052" w:rsidRPr="00F05153">
        <w:t xml:space="preserve"> group experienced worsening of their WHO FC compared with the </w:t>
      </w:r>
      <w:r>
        <w:rPr>
          <w:noProof/>
          <w:color w:val="000000"/>
          <w:highlight w:val="black"/>
        </w:rPr>
        <w:t xml:space="preserve">''''''''''''''' </w:t>
      </w:r>
      <w:r w:rsidR="00FB5052" w:rsidRPr="00F05153">
        <w:t>group (</w:t>
      </w:r>
      <w:r w:rsidR="00B21201" w:rsidRPr="00F05153">
        <w:t>ARD</w:t>
      </w:r>
      <w:r w:rsidR="00973227" w:rsidRPr="00F05153">
        <w:t> </w:t>
      </w:r>
      <w:r w:rsidR="00FB5052" w:rsidRPr="00F05153">
        <w:t>=</w:t>
      </w:r>
      <w:r w:rsidR="00973227" w:rsidRPr="00F05153">
        <w:t> </w:t>
      </w:r>
      <w:r>
        <w:rPr>
          <w:noProof/>
          <w:color w:val="000000"/>
          <w:highlight w:val="black"/>
        </w:rPr>
        <w:t>'''''''''''''' '''''''' '''' ''''''''''''' ''''''''' '''''''''''''''''''</w:t>
      </w:r>
      <w:r w:rsidR="00FB5052" w:rsidRPr="00F05153">
        <w:t xml:space="preserve"> (</w:t>
      </w:r>
      <w:r w:rsidR="003951FA" w:rsidRPr="00F05153">
        <w:t xml:space="preserve">Table </w:t>
      </w:r>
      <w:r w:rsidR="003951FA" w:rsidRPr="00F05153">
        <w:rPr>
          <w:noProof/>
        </w:rPr>
        <w:t>4.</w:t>
      </w:r>
      <w:r w:rsidR="003951FA">
        <w:rPr>
          <w:noProof/>
        </w:rPr>
        <w:t>40</w:t>
      </w:r>
      <w:r w:rsidR="00FB5052" w:rsidRPr="00F05153">
        <w:t xml:space="preserve">). </w:t>
      </w:r>
      <w:r>
        <w:rPr>
          <w:noProof/>
          <w:color w:val="000000"/>
          <w:highlight w:val="black"/>
        </w:rPr>
        <w:t>'''''''''''' '''''''''''''' ''' ''''''' ''''''''''''''</w:t>
      </w:r>
      <w:r w:rsidR="00FB5052" w:rsidRPr="00F05153">
        <w:t xml:space="preserve"> group also showed an improvement in WHO FC over those in the </w:t>
      </w:r>
      <w:r>
        <w:rPr>
          <w:noProof/>
          <w:color w:val="000000"/>
          <w:highlight w:val="black"/>
        </w:rPr>
        <w:t>'''''''''''''''''</w:t>
      </w:r>
      <w:r w:rsidR="00FB5052" w:rsidRPr="00F05153">
        <w:t xml:space="preserve"> group, but this did not reach statistical significance (</w:t>
      </w:r>
      <w:r w:rsidR="00B21201" w:rsidRPr="00F05153">
        <w:t>ARD</w:t>
      </w:r>
      <w:r w:rsidR="00973227" w:rsidRPr="00F05153">
        <w:t> </w:t>
      </w:r>
      <w:r w:rsidR="00FB5052" w:rsidRPr="00F05153">
        <w:t>=</w:t>
      </w:r>
      <w:r w:rsidR="00973227" w:rsidRPr="00F05153">
        <w:t> </w:t>
      </w:r>
      <w:r>
        <w:rPr>
          <w:noProof/>
          <w:color w:val="000000"/>
          <w:highlight w:val="black"/>
        </w:rPr>
        <w:t>'''''''''''' '''''''' '''' ''''''''''''' ''''''''</w:t>
      </w:r>
      <w:r w:rsidR="00085667" w:rsidRPr="00F05153">
        <w:t xml:space="preserve"> </w:t>
      </w:r>
      <w:r>
        <w:rPr>
          <w:noProof/>
          <w:color w:val="000000"/>
          <w:highlight w:val="black"/>
        </w:rPr>
        <w:t>'''''''''''''''</w:t>
      </w:r>
      <w:r w:rsidR="00FB5052" w:rsidRPr="00F05153">
        <w:t xml:space="preserve">). Thus, </w:t>
      </w:r>
      <w:r>
        <w:rPr>
          <w:noProof/>
          <w:color w:val="000000"/>
          <w:highlight w:val="black"/>
        </w:rPr>
        <w:t>''''''''</w:t>
      </w:r>
      <w:r w:rsidR="00FB5052" w:rsidRPr="00F05153">
        <w:t xml:space="preserve"> patients need to be treated with </w:t>
      </w:r>
      <w:r>
        <w:rPr>
          <w:noProof/>
          <w:color w:val="000000"/>
          <w:highlight w:val="black"/>
        </w:rPr>
        <w:t>''''''''''''''''''</w:t>
      </w:r>
      <w:r w:rsidR="00FB5052" w:rsidRPr="00F05153">
        <w:t xml:space="preserve"> to prevent harm (worsening of WHO FC) to one additional patient compared with </w:t>
      </w:r>
      <w:r>
        <w:rPr>
          <w:noProof/>
          <w:color w:val="000000"/>
          <w:highlight w:val="black"/>
        </w:rPr>
        <w:t>''''''''''''''</w:t>
      </w:r>
      <w:r w:rsidR="00FB5052" w:rsidRPr="00F05153">
        <w:t>.</w:t>
      </w:r>
    </w:p>
    <w:p w:rsidR="00FB5052" w:rsidRPr="00F05153" w:rsidRDefault="00B40240" w:rsidP="00BC5A2B">
      <w:pPr>
        <w:pStyle w:val="Caption"/>
      </w:pPr>
      <w:bookmarkStart w:id="136" w:name="_Ref501442201"/>
      <w:bookmarkStart w:id="137" w:name="_Toc38360337"/>
      <w:r w:rsidRPr="00F05153">
        <w:t>Table 4.</w:t>
      </w:r>
      <w:r w:rsidR="003951FA">
        <w:rPr>
          <w:noProof/>
        </w:rPr>
        <w:t>40</w:t>
      </w:r>
      <w:bookmarkEnd w:id="136"/>
      <w:r w:rsidR="00507955" w:rsidRPr="00F05153">
        <w:rPr>
          <w:noProof/>
        </w:rPr>
        <w:tab/>
      </w:r>
      <w:r w:rsidR="00FB5052" w:rsidRPr="00F05153">
        <w:t xml:space="preserve">The effectiveness of </w:t>
      </w:r>
      <w:r w:rsidR="00EB768B" w:rsidRPr="00F05153">
        <w:t xml:space="preserve">a </w:t>
      </w:r>
      <w:r w:rsidR="004B7C88" w:rsidRPr="00F05153">
        <w:t xml:space="preserve">sGC stimulator </w:t>
      </w:r>
      <w:r w:rsidR="00FB5052" w:rsidRPr="00F05153">
        <w:t>compared with placebo in improving WHO FC in patients with WHO FC I/II PAH</w:t>
      </w:r>
      <w:bookmarkEnd w:id="137"/>
    </w:p>
    <w:tbl>
      <w:tblPr>
        <w:tblStyle w:val="TableGrid7"/>
        <w:tblW w:w="9634" w:type="dxa"/>
        <w:tblLayout w:type="fixed"/>
        <w:tblLook w:val="04A0" w:firstRow="1" w:lastRow="0" w:firstColumn="1" w:lastColumn="0" w:noHBand="0" w:noVBand="1"/>
        <w:tblCaption w:val="The effectiveness of a sGC stimulator compared with placebo in improving WHO FC in patients with WHO FC I/II PAH"/>
      </w:tblPr>
      <w:tblGrid>
        <w:gridCol w:w="1696"/>
        <w:gridCol w:w="1985"/>
        <w:gridCol w:w="1984"/>
        <w:gridCol w:w="1985"/>
        <w:gridCol w:w="1984"/>
      </w:tblGrid>
      <w:tr w:rsidR="00FB5052" w:rsidRPr="00F05153" w:rsidTr="004B7C88">
        <w:trPr>
          <w:trHeight w:val="197"/>
          <w:tblHeader/>
        </w:trPr>
        <w:tc>
          <w:tcPr>
            <w:tcW w:w="1696" w:type="dxa"/>
            <w:vMerge w:val="restart"/>
            <w:shd w:val="clear" w:color="auto" w:fill="BFBFBF" w:themeFill="background1" w:themeFillShade="BF"/>
          </w:tcPr>
          <w:p w:rsidR="00FB5052" w:rsidRPr="00F05153" w:rsidRDefault="00FB5052" w:rsidP="00507955">
            <w:pPr>
              <w:pStyle w:val="Tabletext"/>
              <w:rPr>
                <w:b/>
              </w:rPr>
            </w:pPr>
            <w:r w:rsidRPr="00F05153">
              <w:rPr>
                <w:b/>
              </w:rPr>
              <w:t>Study ID</w:t>
            </w:r>
          </w:p>
          <w:p w:rsidR="004B7C88" w:rsidRPr="00F05153" w:rsidRDefault="004B7C88" w:rsidP="00507955">
            <w:pPr>
              <w:pStyle w:val="Tabletext"/>
              <w:rPr>
                <w:b/>
              </w:rPr>
            </w:pPr>
            <w:r w:rsidRPr="00F05153">
              <w:rPr>
                <w:b/>
              </w:rPr>
              <w:t>sGC stimulator</w:t>
            </w:r>
          </w:p>
        </w:tc>
        <w:tc>
          <w:tcPr>
            <w:tcW w:w="1985" w:type="dxa"/>
            <w:vMerge w:val="restart"/>
            <w:shd w:val="clear" w:color="auto" w:fill="BFBFBF" w:themeFill="background1" w:themeFillShade="BF"/>
          </w:tcPr>
          <w:p w:rsidR="00FB5052" w:rsidRPr="00F05153" w:rsidRDefault="00FB5052" w:rsidP="00507955">
            <w:pPr>
              <w:pStyle w:val="Tabletext"/>
              <w:rPr>
                <w:b/>
              </w:rPr>
            </w:pPr>
            <w:r w:rsidRPr="00F05153">
              <w:rPr>
                <w:b/>
              </w:rPr>
              <w:t>Change in WHO FC</w:t>
            </w:r>
          </w:p>
        </w:tc>
        <w:tc>
          <w:tcPr>
            <w:tcW w:w="3969" w:type="dxa"/>
            <w:gridSpan w:val="2"/>
            <w:shd w:val="clear" w:color="auto" w:fill="BFBFBF" w:themeFill="background1" w:themeFillShade="BF"/>
          </w:tcPr>
          <w:p w:rsidR="00FB5052" w:rsidRPr="00F05153" w:rsidRDefault="00FB5052" w:rsidP="00EF711D">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FB5052" w:rsidRPr="00F05153" w:rsidRDefault="00FB5052" w:rsidP="00EF711D">
            <w:pPr>
              <w:pStyle w:val="Tabletext"/>
              <w:jc w:val="center"/>
              <w:rPr>
                <w:b/>
              </w:rPr>
            </w:pPr>
            <w:r w:rsidRPr="00F05153">
              <w:rPr>
                <w:b/>
              </w:rPr>
              <w:t>RR (95% CI)</w:t>
            </w:r>
          </w:p>
        </w:tc>
      </w:tr>
      <w:tr w:rsidR="00FB5052" w:rsidRPr="00F05153" w:rsidTr="00085667">
        <w:trPr>
          <w:trHeight w:val="202"/>
          <w:tblHeader/>
        </w:trPr>
        <w:tc>
          <w:tcPr>
            <w:tcW w:w="1696" w:type="dxa"/>
            <w:vMerge/>
            <w:shd w:val="clear" w:color="auto" w:fill="BFBFBF" w:themeFill="background1" w:themeFillShade="BF"/>
          </w:tcPr>
          <w:p w:rsidR="00FB5052" w:rsidRPr="00F05153" w:rsidRDefault="00FB5052" w:rsidP="00507955">
            <w:pPr>
              <w:pStyle w:val="Tabletext"/>
            </w:pPr>
          </w:p>
        </w:tc>
        <w:tc>
          <w:tcPr>
            <w:tcW w:w="1985" w:type="dxa"/>
            <w:vMerge/>
            <w:shd w:val="clear" w:color="auto" w:fill="BFBFBF" w:themeFill="background1" w:themeFillShade="BF"/>
          </w:tcPr>
          <w:p w:rsidR="00FB5052" w:rsidRPr="00F05153" w:rsidRDefault="00FB5052" w:rsidP="00507955">
            <w:pPr>
              <w:pStyle w:val="Tabletext"/>
            </w:pPr>
          </w:p>
        </w:tc>
        <w:tc>
          <w:tcPr>
            <w:tcW w:w="1984" w:type="dxa"/>
            <w:shd w:val="clear" w:color="auto" w:fill="BFBFBF" w:themeFill="background1" w:themeFillShade="BF"/>
          </w:tcPr>
          <w:p w:rsidR="00FB5052" w:rsidRPr="00F05153" w:rsidRDefault="004B7C88" w:rsidP="00EF711D">
            <w:pPr>
              <w:pStyle w:val="Tabletext"/>
              <w:jc w:val="center"/>
              <w:rPr>
                <w:b/>
              </w:rPr>
            </w:pPr>
            <w:r w:rsidRPr="00F05153">
              <w:rPr>
                <w:b/>
              </w:rPr>
              <w:t>sGC stimulator</w:t>
            </w:r>
          </w:p>
        </w:tc>
        <w:tc>
          <w:tcPr>
            <w:tcW w:w="1985" w:type="dxa"/>
            <w:shd w:val="clear" w:color="auto" w:fill="BFBFBF" w:themeFill="background1" w:themeFillShade="BF"/>
          </w:tcPr>
          <w:p w:rsidR="00FB5052" w:rsidRPr="00F05153" w:rsidRDefault="00FB5052" w:rsidP="00EF711D">
            <w:pPr>
              <w:pStyle w:val="Tabletext"/>
              <w:jc w:val="center"/>
              <w:rPr>
                <w:b/>
              </w:rPr>
            </w:pPr>
            <w:r w:rsidRPr="00F05153">
              <w:rPr>
                <w:b/>
              </w:rPr>
              <w:t>Placebo</w:t>
            </w:r>
          </w:p>
        </w:tc>
        <w:tc>
          <w:tcPr>
            <w:tcW w:w="1984" w:type="dxa"/>
            <w:vMerge/>
            <w:shd w:val="clear" w:color="auto" w:fill="BFBFBF" w:themeFill="background1" w:themeFillShade="BF"/>
          </w:tcPr>
          <w:p w:rsidR="00FB5052" w:rsidRPr="00F05153" w:rsidRDefault="00FB5052" w:rsidP="00507955">
            <w:pPr>
              <w:pStyle w:val="Tabletext"/>
            </w:pPr>
          </w:p>
        </w:tc>
      </w:tr>
      <w:tr w:rsidR="00FB5052" w:rsidRPr="00F05153" w:rsidTr="00085667">
        <w:trPr>
          <w:trHeight w:val="70"/>
        </w:trPr>
        <w:tc>
          <w:tcPr>
            <w:tcW w:w="1696" w:type="dxa"/>
            <w:vMerge w:val="restart"/>
          </w:tcPr>
          <w:p w:rsidR="00FB5052" w:rsidRPr="00F05153" w:rsidRDefault="00FB5052" w:rsidP="00507955">
            <w:pPr>
              <w:pStyle w:val="Tabletext"/>
            </w:pPr>
            <w:r w:rsidRPr="00F05153">
              <w:t>PATENT-1 CSR</w:t>
            </w:r>
          </w:p>
          <w:p w:rsidR="004B7C88" w:rsidRPr="00F05153" w:rsidRDefault="004B7C88" w:rsidP="00507955">
            <w:pPr>
              <w:pStyle w:val="Tabletext"/>
            </w:pPr>
            <w:r w:rsidRPr="00F05153">
              <w:t>Riociguat</w:t>
            </w:r>
          </w:p>
        </w:tc>
        <w:tc>
          <w:tcPr>
            <w:tcW w:w="1985" w:type="dxa"/>
          </w:tcPr>
          <w:p w:rsidR="00FB5052" w:rsidRPr="00F05153" w:rsidRDefault="00FB5052" w:rsidP="00507955">
            <w:pPr>
              <w:pStyle w:val="Tabletext"/>
            </w:pPr>
            <w:r w:rsidRPr="00F05153">
              <w:t>Improved</w:t>
            </w:r>
          </w:p>
        </w:tc>
        <w:tc>
          <w:tcPr>
            <w:tcW w:w="1984" w:type="dxa"/>
            <w:shd w:val="clear" w:color="auto" w:fill="auto"/>
          </w:tcPr>
          <w:p w:rsidR="00FB5052" w:rsidRPr="002046A0" w:rsidRDefault="002046A0" w:rsidP="00EF711D">
            <w:pPr>
              <w:pStyle w:val="Tabletext"/>
              <w:jc w:val="center"/>
              <w:rPr>
                <w:highlight w:val="black"/>
              </w:rPr>
            </w:pPr>
            <w:r>
              <w:rPr>
                <w:noProof/>
                <w:color w:val="000000"/>
                <w:highlight w:val="black"/>
              </w:rPr>
              <w:t>''''''''''' '''''''''''''</w:t>
            </w:r>
          </w:p>
        </w:tc>
        <w:tc>
          <w:tcPr>
            <w:tcW w:w="1985" w:type="dxa"/>
            <w:shd w:val="clear" w:color="auto" w:fill="auto"/>
          </w:tcPr>
          <w:p w:rsidR="00FB5052" w:rsidRPr="002046A0" w:rsidRDefault="002046A0" w:rsidP="00EF711D">
            <w:pPr>
              <w:pStyle w:val="Tabletext"/>
              <w:jc w:val="center"/>
              <w:rPr>
                <w:highlight w:val="black"/>
              </w:rPr>
            </w:pPr>
            <w:r>
              <w:rPr>
                <w:noProof/>
                <w:color w:val="000000"/>
                <w:highlight w:val="black"/>
              </w:rPr>
              <w:t>''''''''''' '''''''''''''</w:t>
            </w:r>
          </w:p>
        </w:tc>
        <w:tc>
          <w:tcPr>
            <w:tcW w:w="1984" w:type="dxa"/>
          </w:tcPr>
          <w:p w:rsidR="00FB5052" w:rsidRPr="00F05153" w:rsidRDefault="002046A0" w:rsidP="00EF711D">
            <w:pPr>
              <w:pStyle w:val="Tabletext"/>
              <w:jc w:val="center"/>
            </w:pPr>
            <w:r>
              <w:rPr>
                <w:noProof/>
                <w:color w:val="000000"/>
                <w:highlight w:val="black"/>
              </w:rPr>
              <w:t>'''''''''' ''''''''''''' '''''''''''</w:t>
            </w:r>
            <w:r w:rsidR="00FB5052" w:rsidRPr="00F05153">
              <w:t>)</w:t>
            </w:r>
          </w:p>
        </w:tc>
      </w:tr>
      <w:tr w:rsidR="00FB5052" w:rsidRPr="00F05153" w:rsidTr="00085667">
        <w:trPr>
          <w:trHeight w:val="70"/>
        </w:trPr>
        <w:tc>
          <w:tcPr>
            <w:tcW w:w="1696" w:type="dxa"/>
            <w:vMerge/>
          </w:tcPr>
          <w:p w:rsidR="00FB5052" w:rsidRPr="00F05153" w:rsidRDefault="00FB5052" w:rsidP="00507955">
            <w:pPr>
              <w:pStyle w:val="Tabletext"/>
            </w:pPr>
          </w:p>
        </w:tc>
        <w:tc>
          <w:tcPr>
            <w:tcW w:w="1985" w:type="dxa"/>
          </w:tcPr>
          <w:p w:rsidR="00FB5052" w:rsidRPr="00F05153" w:rsidRDefault="00FB5052" w:rsidP="00507955">
            <w:pPr>
              <w:pStyle w:val="Tabletext"/>
            </w:pPr>
            <w:r w:rsidRPr="00F05153">
              <w:t>Worsened</w:t>
            </w:r>
          </w:p>
        </w:tc>
        <w:tc>
          <w:tcPr>
            <w:tcW w:w="1984" w:type="dxa"/>
            <w:shd w:val="clear" w:color="auto" w:fill="auto"/>
          </w:tcPr>
          <w:p w:rsidR="00FB5052" w:rsidRPr="002046A0" w:rsidRDefault="002046A0" w:rsidP="00EF711D">
            <w:pPr>
              <w:pStyle w:val="Tabletext"/>
              <w:jc w:val="center"/>
              <w:rPr>
                <w:highlight w:val="black"/>
              </w:rPr>
            </w:pPr>
            <w:r>
              <w:rPr>
                <w:noProof/>
                <w:color w:val="000000"/>
                <w:highlight w:val="black"/>
              </w:rPr>
              <w:t>''''''''''' '''''''''''</w:t>
            </w:r>
          </w:p>
        </w:tc>
        <w:tc>
          <w:tcPr>
            <w:tcW w:w="1985" w:type="dxa"/>
            <w:shd w:val="clear" w:color="auto" w:fill="auto"/>
          </w:tcPr>
          <w:p w:rsidR="00FB5052" w:rsidRPr="002046A0" w:rsidRDefault="002046A0" w:rsidP="00EF711D">
            <w:pPr>
              <w:pStyle w:val="Tabletext"/>
              <w:jc w:val="center"/>
              <w:rPr>
                <w:highlight w:val="black"/>
              </w:rPr>
            </w:pPr>
            <w:r>
              <w:rPr>
                <w:noProof/>
                <w:color w:val="000000"/>
                <w:highlight w:val="black"/>
              </w:rPr>
              <w:t>'''''''''''''' ''''''''''''''''</w:t>
            </w:r>
          </w:p>
        </w:tc>
        <w:tc>
          <w:tcPr>
            <w:tcW w:w="1984" w:type="dxa"/>
          </w:tcPr>
          <w:p w:rsidR="00FB5052" w:rsidRPr="002046A0" w:rsidRDefault="002046A0" w:rsidP="00EF711D">
            <w:pPr>
              <w:pStyle w:val="Tabletext"/>
              <w:jc w:val="center"/>
              <w:rPr>
                <w:highlight w:val="black"/>
              </w:rPr>
            </w:pPr>
            <w:r>
              <w:rPr>
                <w:noProof/>
                <w:color w:val="000000"/>
                <w:highlight w:val="black"/>
              </w:rPr>
              <w:t>'''''''''' ''''''''''''''' '''''''''''''</w:t>
            </w:r>
          </w:p>
        </w:tc>
      </w:tr>
    </w:tbl>
    <w:p w:rsidR="007E6E6A" w:rsidRPr="00F05153" w:rsidRDefault="00FB5052" w:rsidP="00507955">
      <w:pPr>
        <w:pStyle w:val="Tablenote"/>
      </w:pPr>
      <w:r w:rsidRPr="00F05153">
        <w:t xml:space="preserve">CI = confidence interval; CSR = clinical study report; FC = functional class; n = number of </w:t>
      </w:r>
      <w:r w:rsidR="007E6E6A" w:rsidRPr="00F05153">
        <w:t xml:space="preserve">patients with </w:t>
      </w:r>
      <w:r w:rsidRPr="00F05153">
        <w:t xml:space="preserve">events; N = number of patients; </w:t>
      </w:r>
      <w:r w:rsidR="007E6E6A" w:rsidRPr="00F05153">
        <w:t xml:space="preserve">PAH = pulmonary arterial hypertension; </w:t>
      </w:r>
      <w:r w:rsidRPr="00F05153">
        <w:t>RR = relative risk</w:t>
      </w:r>
      <w:r w:rsidR="004B7C88" w:rsidRPr="00F05153">
        <w:t xml:space="preserve">; sGC = soluble guanylate cyclase; </w:t>
      </w:r>
      <w:r w:rsidRPr="00F05153">
        <w:t>WHO = World Health Organization</w:t>
      </w:r>
    </w:p>
    <w:p w:rsidR="00FB5052" w:rsidRPr="00F05153" w:rsidRDefault="00EE09B2" w:rsidP="00FB5052">
      <w:pPr>
        <w:pStyle w:val="Heading5"/>
      </w:pPr>
      <w:r w:rsidRPr="00F05153">
        <w:t>e</w:t>
      </w:r>
      <w:r w:rsidR="0077344D" w:rsidRPr="00F05153">
        <w:t>.</w:t>
      </w:r>
      <w:r w:rsidR="0066218C" w:rsidRPr="00F05153">
        <w:tab/>
      </w:r>
      <w:r w:rsidR="003076D6" w:rsidRPr="00F05153">
        <w:t>Change in 6MWD from baseline</w:t>
      </w:r>
    </w:p>
    <w:p w:rsidR="00FB5052" w:rsidRPr="00F05153" w:rsidRDefault="00FB5052" w:rsidP="00FB5052">
      <w:r w:rsidRPr="00F05153">
        <w:t xml:space="preserve">The patients being treated with riociguat showed a placebo-adjusted improvement of </w:t>
      </w:r>
      <w:r w:rsidR="002046A0">
        <w:rPr>
          <w:noProof/>
          <w:color w:val="000000"/>
          <w:highlight w:val="black"/>
        </w:rPr>
        <w:t>''''''''</w:t>
      </w:r>
      <w:r w:rsidRPr="00F05153">
        <w:t xml:space="preserve"> m in 6MWD over the 12-week trial period but the result was not statistically significant or clinically important (given the baseline distance walked) (</w:t>
      </w:r>
      <w:r w:rsidR="003951FA" w:rsidRPr="00F05153">
        <w:t xml:space="preserve">Table </w:t>
      </w:r>
      <w:r w:rsidR="003951FA" w:rsidRPr="00F05153">
        <w:rPr>
          <w:noProof/>
        </w:rPr>
        <w:t>4.</w:t>
      </w:r>
      <w:r w:rsidR="003951FA">
        <w:rPr>
          <w:noProof/>
        </w:rPr>
        <w:t>41</w:t>
      </w:r>
      <w:r w:rsidRPr="00F05153">
        <w:t>).</w:t>
      </w:r>
    </w:p>
    <w:p w:rsidR="00FB5052" w:rsidRPr="00F05153" w:rsidRDefault="00B40240" w:rsidP="00BC5A2B">
      <w:pPr>
        <w:pStyle w:val="Caption"/>
      </w:pPr>
      <w:bookmarkStart w:id="138" w:name="_Ref501442174"/>
      <w:bookmarkStart w:id="139" w:name="_Toc38360338"/>
      <w:r w:rsidRPr="00F05153">
        <w:t>Table 4.</w:t>
      </w:r>
      <w:r w:rsidR="003951FA">
        <w:rPr>
          <w:noProof/>
        </w:rPr>
        <w:t>41</w:t>
      </w:r>
      <w:bookmarkEnd w:id="138"/>
      <w:r w:rsidR="00857DBE" w:rsidRPr="00F05153">
        <w:rPr>
          <w:noProof/>
        </w:rPr>
        <w:tab/>
      </w:r>
      <w:r w:rsidR="00FB5052" w:rsidRPr="00F05153">
        <w:t xml:space="preserve">The effectiveness of </w:t>
      </w:r>
      <w:r w:rsidR="00EB768B" w:rsidRPr="00F05153">
        <w:t xml:space="preserve">a </w:t>
      </w:r>
      <w:r w:rsidR="004B7C88" w:rsidRPr="00F05153">
        <w:t xml:space="preserve">sGC stimulator </w:t>
      </w:r>
      <w:r w:rsidR="00FB5052" w:rsidRPr="00F05153">
        <w:t>compared with placebo in improving 6MWD in patients with WHO FC I/II PAH</w:t>
      </w:r>
      <w:bookmarkEnd w:id="139"/>
    </w:p>
    <w:tbl>
      <w:tblPr>
        <w:tblStyle w:val="TableGrid"/>
        <w:tblW w:w="9776" w:type="dxa"/>
        <w:tblLayout w:type="fixed"/>
        <w:tblLook w:val="04A0" w:firstRow="1" w:lastRow="0" w:firstColumn="1" w:lastColumn="0" w:noHBand="0" w:noVBand="1"/>
        <w:tblCaption w:val="The effectiveness of a sGC stimulator compared with placebo in improving 6MWD in patients with WHO FC I/II PAH"/>
      </w:tblPr>
      <w:tblGrid>
        <w:gridCol w:w="1271"/>
        <w:gridCol w:w="1276"/>
        <w:gridCol w:w="1346"/>
        <w:gridCol w:w="1347"/>
        <w:gridCol w:w="1559"/>
        <w:gridCol w:w="1560"/>
        <w:gridCol w:w="1417"/>
      </w:tblGrid>
      <w:tr w:rsidR="00FB5052" w:rsidRPr="00F05153" w:rsidTr="004B7C88">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FB5052" w:rsidRPr="00F05153" w:rsidRDefault="00FB5052" w:rsidP="00857DBE">
            <w:pPr>
              <w:pStyle w:val="Tabletext"/>
              <w:rPr>
                <w:b/>
              </w:rPr>
            </w:pPr>
            <w:r w:rsidRPr="00F05153">
              <w:rPr>
                <w:b/>
              </w:rPr>
              <w:t>Study ID</w:t>
            </w:r>
          </w:p>
          <w:p w:rsidR="004B7C88" w:rsidRPr="00F05153" w:rsidRDefault="004B7C88" w:rsidP="00857DBE">
            <w:pPr>
              <w:pStyle w:val="Tabletext"/>
              <w:rPr>
                <w:b/>
              </w:rPr>
            </w:pPr>
            <w:r w:rsidRPr="00F05153">
              <w:rPr>
                <w:b/>
              </w:rPr>
              <w:t>sGC stimulator</w:t>
            </w:r>
          </w:p>
        </w:tc>
        <w:tc>
          <w:tcPr>
            <w:tcW w:w="1276" w:type="dxa"/>
            <w:vMerge w:val="restart"/>
            <w:shd w:val="clear" w:color="auto" w:fill="BFBFBF" w:themeFill="background1" w:themeFillShade="BF"/>
          </w:tcPr>
          <w:p w:rsidR="00FB5052" w:rsidRPr="00F05153" w:rsidRDefault="00FB5052" w:rsidP="00857DBE">
            <w:pPr>
              <w:pStyle w:val="Tabletext"/>
              <w:rPr>
                <w:b/>
              </w:rPr>
            </w:pPr>
            <w:r w:rsidRPr="00F05153">
              <w:rPr>
                <w:b/>
              </w:rPr>
              <w:t>N</w:t>
            </w:r>
          </w:p>
          <w:p w:rsidR="00FB5052" w:rsidRPr="00F05153" w:rsidRDefault="00FB5052" w:rsidP="00857DBE">
            <w:pPr>
              <w:pStyle w:val="Tabletext"/>
              <w:rPr>
                <w:b/>
              </w:rPr>
            </w:pPr>
            <w:r w:rsidRPr="00F05153">
              <w:rPr>
                <w:b/>
              </w:rPr>
              <w:t>Follow-up period</w:t>
            </w:r>
          </w:p>
        </w:tc>
        <w:tc>
          <w:tcPr>
            <w:tcW w:w="2693" w:type="dxa"/>
            <w:gridSpan w:val="2"/>
            <w:shd w:val="clear" w:color="auto" w:fill="BFBFBF" w:themeFill="background1" w:themeFillShade="BF"/>
          </w:tcPr>
          <w:p w:rsidR="00FB5052" w:rsidRPr="00F05153" w:rsidRDefault="00FB5052" w:rsidP="00857DBE">
            <w:pPr>
              <w:pStyle w:val="Tabletext"/>
              <w:jc w:val="center"/>
              <w:rPr>
                <w:b/>
              </w:rPr>
            </w:pPr>
            <w:r w:rsidRPr="00F05153">
              <w:rPr>
                <w:b/>
              </w:rPr>
              <w:t xml:space="preserve">Mean ± SD baseline 6MWD, </w:t>
            </w:r>
            <w:r w:rsidR="00503643">
              <w:rPr>
                <w:b/>
              </w:rPr>
              <w:t>metres</w:t>
            </w:r>
          </w:p>
        </w:tc>
        <w:tc>
          <w:tcPr>
            <w:tcW w:w="3119" w:type="dxa"/>
            <w:gridSpan w:val="2"/>
            <w:shd w:val="clear" w:color="auto" w:fill="BFBFBF" w:themeFill="background1" w:themeFillShade="BF"/>
          </w:tcPr>
          <w:p w:rsidR="00FB5052" w:rsidRPr="00F05153" w:rsidRDefault="00FB5052" w:rsidP="00AE77DC">
            <w:pPr>
              <w:pStyle w:val="Tabletext"/>
              <w:jc w:val="center"/>
              <w:rPr>
                <w:b/>
              </w:rPr>
            </w:pPr>
            <w:r w:rsidRPr="00F05153">
              <w:rPr>
                <w:b/>
              </w:rPr>
              <w:t xml:space="preserve">Mean </w:t>
            </w:r>
            <w:r w:rsidR="00AE77DC" w:rsidRPr="00F05153">
              <w:rPr>
                <w:b/>
              </w:rPr>
              <w:t xml:space="preserve">± SD </w:t>
            </w:r>
            <w:r w:rsidRPr="00F05153">
              <w:rPr>
                <w:b/>
              </w:rPr>
              <w:t xml:space="preserve">change from baseline, </w:t>
            </w:r>
            <w:r w:rsidR="00503643">
              <w:rPr>
                <w:b/>
              </w:rPr>
              <w:t>metres</w:t>
            </w:r>
          </w:p>
        </w:tc>
        <w:tc>
          <w:tcPr>
            <w:tcW w:w="1417" w:type="dxa"/>
            <w:vMerge w:val="restart"/>
            <w:shd w:val="clear" w:color="auto" w:fill="BFBFBF" w:themeFill="background1" w:themeFillShade="BF"/>
          </w:tcPr>
          <w:p w:rsidR="00FB5052" w:rsidRPr="00F05153" w:rsidRDefault="00FB5052" w:rsidP="00595E34">
            <w:pPr>
              <w:pStyle w:val="Tabletext"/>
              <w:jc w:val="center"/>
              <w:rPr>
                <w:b/>
              </w:rPr>
            </w:pPr>
            <w:r w:rsidRPr="00F05153">
              <w:rPr>
                <w:b/>
              </w:rPr>
              <w:t xml:space="preserve">Mean difference (95% CI), </w:t>
            </w:r>
            <w:r w:rsidR="00595E34">
              <w:rPr>
                <w:b/>
              </w:rPr>
              <w:t>metres</w:t>
            </w:r>
          </w:p>
        </w:tc>
      </w:tr>
      <w:tr w:rsidR="00FB5052" w:rsidRPr="00F05153" w:rsidTr="004B7C88">
        <w:trPr>
          <w:trHeight w:val="285"/>
        </w:trPr>
        <w:tc>
          <w:tcPr>
            <w:tcW w:w="1271" w:type="dxa"/>
            <w:vMerge/>
          </w:tcPr>
          <w:p w:rsidR="00FB5052" w:rsidRPr="00F05153" w:rsidRDefault="00FB5052" w:rsidP="00857DBE">
            <w:pPr>
              <w:pStyle w:val="Tabletext"/>
            </w:pPr>
          </w:p>
        </w:tc>
        <w:tc>
          <w:tcPr>
            <w:tcW w:w="1276" w:type="dxa"/>
            <w:vMerge/>
          </w:tcPr>
          <w:p w:rsidR="00FB5052" w:rsidRPr="00F05153" w:rsidRDefault="00FB5052" w:rsidP="00857DBE">
            <w:pPr>
              <w:pStyle w:val="Tabletext"/>
            </w:pPr>
          </w:p>
        </w:tc>
        <w:tc>
          <w:tcPr>
            <w:tcW w:w="1346" w:type="dxa"/>
            <w:shd w:val="clear" w:color="auto" w:fill="BFBFBF" w:themeFill="background1" w:themeFillShade="BF"/>
          </w:tcPr>
          <w:p w:rsidR="00FB5052" w:rsidRPr="00F05153" w:rsidRDefault="004B7C88" w:rsidP="00857DBE">
            <w:pPr>
              <w:pStyle w:val="Tabletext"/>
              <w:jc w:val="center"/>
              <w:rPr>
                <w:b/>
              </w:rPr>
            </w:pPr>
            <w:r w:rsidRPr="00F05153">
              <w:rPr>
                <w:b/>
              </w:rPr>
              <w:t>sGC stimulator</w:t>
            </w:r>
          </w:p>
        </w:tc>
        <w:tc>
          <w:tcPr>
            <w:tcW w:w="1347" w:type="dxa"/>
            <w:shd w:val="clear" w:color="auto" w:fill="BFBFBF" w:themeFill="background1" w:themeFillShade="BF"/>
          </w:tcPr>
          <w:p w:rsidR="00FB5052" w:rsidRPr="00F05153" w:rsidRDefault="00FB5052" w:rsidP="00857DBE">
            <w:pPr>
              <w:pStyle w:val="Tabletext"/>
              <w:jc w:val="center"/>
              <w:rPr>
                <w:b/>
              </w:rPr>
            </w:pPr>
            <w:r w:rsidRPr="00F05153">
              <w:rPr>
                <w:b/>
              </w:rPr>
              <w:t>Placebo</w:t>
            </w:r>
          </w:p>
        </w:tc>
        <w:tc>
          <w:tcPr>
            <w:tcW w:w="1559" w:type="dxa"/>
            <w:shd w:val="clear" w:color="auto" w:fill="BFBFBF" w:themeFill="background1" w:themeFillShade="BF"/>
          </w:tcPr>
          <w:p w:rsidR="00FB5052" w:rsidRPr="00F05153" w:rsidRDefault="004B7C88" w:rsidP="00857DBE">
            <w:pPr>
              <w:pStyle w:val="Tabletext"/>
              <w:jc w:val="center"/>
              <w:rPr>
                <w:b/>
              </w:rPr>
            </w:pPr>
            <w:r w:rsidRPr="00F05153">
              <w:rPr>
                <w:b/>
              </w:rPr>
              <w:t>sGC stimulator</w:t>
            </w:r>
          </w:p>
        </w:tc>
        <w:tc>
          <w:tcPr>
            <w:tcW w:w="1560" w:type="dxa"/>
            <w:shd w:val="clear" w:color="auto" w:fill="BFBFBF" w:themeFill="background1" w:themeFillShade="BF"/>
          </w:tcPr>
          <w:p w:rsidR="00FB5052" w:rsidRPr="00F05153" w:rsidRDefault="00FB5052" w:rsidP="00857DBE">
            <w:pPr>
              <w:pStyle w:val="Tabletext"/>
              <w:jc w:val="center"/>
              <w:rPr>
                <w:b/>
              </w:rPr>
            </w:pPr>
            <w:r w:rsidRPr="00F05153">
              <w:rPr>
                <w:b/>
              </w:rPr>
              <w:t>Placebo</w:t>
            </w:r>
          </w:p>
        </w:tc>
        <w:tc>
          <w:tcPr>
            <w:tcW w:w="1417" w:type="dxa"/>
            <w:vMerge/>
          </w:tcPr>
          <w:p w:rsidR="00FB5052" w:rsidRPr="00F05153" w:rsidRDefault="00FB5052" w:rsidP="00857DBE">
            <w:pPr>
              <w:pStyle w:val="Tabletext"/>
            </w:pPr>
          </w:p>
        </w:tc>
      </w:tr>
      <w:tr w:rsidR="00FB5052" w:rsidRPr="00F05153" w:rsidTr="004B7C88">
        <w:tc>
          <w:tcPr>
            <w:tcW w:w="1271" w:type="dxa"/>
          </w:tcPr>
          <w:p w:rsidR="00FB5052" w:rsidRPr="00F05153" w:rsidRDefault="00FB5052" w:rsidP="00857DBE">
            <w:pPr>
              <w:pStyle w:val="Tabletext"/>
            </w:pPr>
            <w:r w:rsidRPr="00F05153">
              <w:t>PATENT-1 CSR</w:t>
            </w:r>
          </w:p>
          <w:p w:rsidR="004B7C88" w:rsidRPr="00F05153" w:rsidRDefault="004B7C88" w:rsidP="00857DBE">
            <w:pPr>
              <w:pStyle w:val="Tabletext"/>
            </w:pPr>
            <w:r w:rsidRPr="00F05153">
              <w:t>Riociguat</w:t>
            </w:r>
          </w:p>
        </w:tc>
        <w:tc>
          <w:tcPr>
            <w:tcW w:w="1276" w:type="dxa"/>
          </w:tcPr>
          <w:p w:rsidR="00FB5052" w:rsidRPr="00F05153" w:rsidRDefault="00FB5052" w:rsidP="00857DBE">
            <w:pPr>
              <w:pStyle w:val="Tabletext"/>
            </w:pPr>
            <w:r w:rsidRPr="00F05153">
              <w:t>N=107</w:t>
            </w:r>
          </w:p>
          <w:p w:rsidR="00FB5052" w:rsidRPr="00F05153" w:rsidRDefault="00FB5052" w:rsidP="00857DBE">
            <w:pPr>
              <w:pStyle w:val="Tabletext"/>
            </w:pPr>
            <w:r w:rsidRPr="00F05153">
              <w:t>Week 12</w:t>
            </w:r>
          </w:p>
        </w:tc>
        <w:tc>
          <w:tcPr>
            <w:tcW w:w="1346" w:type="dxa"/>
          </w:tcPr>
          <w:p w:rsidR="00FB5052" w:rsidRPr="002046A0" w:rsidRDefault="002046A0" w:rsidP="00857DBE">
            <w:pPr>
              <w:pStyle w:val="Tabletext"/>
              <w:jc w:val="center"/>
              <w:rPr>
                <w:highlight w:val="black"/>
              </w:rPr>
            </w:pPr>
            <w:r>
              <w:rPr>
                <w:noProof/>
                <w:color w:val="000000"/>
                <w:highlight w:val="black"/>
              </w:rPr>
              <w:t>''''''''''''' ''' '''''''''''</w:t>
            </w:r>
          </w:p>
        </w:tc>
        <w:tc>
          <w:tcPr>
            <w:tcW w:w="1347" w:type="dxa"/>
          </w:tcPr>
          <w:p w:rsidR="00FB5052" w:rsidRPr="002046A0" w:rsidRDefault="002046A0" w:rsidP="00857DBE">
            <w:pPr>
              <w:pStyle w:val="Tabletext"/>
              <w:jc w:val="center"/>
              <w:rPr>
                <w:highlight w:val="black"/>
              </w:rPr>
            </w:pPr>
            <w:r>
              <w:rPr>
                <w:noProof/>
                <w:color w:val="000000"/>
                <w:highlight w:val="black"/>
              </w:rPr>
              <w:t>''''''''''''' ''' '''''''''''</w:t>
            </w:r>
          </w:p>
        </w:tc>
        <w:tc>
          <w:tcPr>
            <w:tcW w:w="1559" w:type="dxa"/>
          </w:tcPr>
          <w:p w:rsidR="00FB5052" w:rsidRPr="002046A0" w:rsidRDefault="002046A0" w:rsidP="00857DBE">
            <w:pPr>
              <w:pStyle w:val="Tabletext"/>
              <w:jc w:val="center"/>
              <w:rPr>
                <w:highlight w:val="black"/>
              </w:rPr>
            </w:pPr>
            <w:r>
              <w:rPr>
                <w:noProof/>
                <w:color w:val="000000"/>
                <w:highlight w:val="black"/>
              </w:rPr>
              <w:t>''''''''''' ''' ''''''''''''</w:t>
            </w:r>
          </w:p>
        </w:tc>
        <w:tc>
          <w:tcPr>
            <w:tcW w:w="1560" w:type="dxa"/>
          </w:tcPr>
          <w:p w:rsidR="00FB5052" w:rsidRPr="002046A0" w:rsidRDefault="002046A0" w:rsidP="00857DBE">
            <w:pPr>
              <w:pStyle w:val="Tabletext"/>
              <w:jc w:val="center"/>
              <w:rPr>
                <w:highlight w:val="black"/>
              </w:rPr>
            </w:pPr>
            <w:r>
              <w:rPr>
                <w:noProof/>
                <w:color w:val="000000"/>
                <w:highlight w:val="black"/>
              </w:rPr>
              <w:t>''''''''''' ''' ''''''''''''</w:t>
            </w:r>
          </w:p>
        </w:tc>
        <w:tc>
          <w:tcPr>
            <w:tcW w:w="1417" w:type="dxa"/>
          </w:tcPr>
          <w:p w:rsidR="00FB5052" w:rsidRPr="002046A0" w:rsidRDefault="002046A0" w:rsidP="00DE31E4">
            <w:pPr>
              <w:pStyle w:val="Tabletext"/>
              <w:jc w:val="center"/>
              <w:rPr>
                <w:highlight w:val="black"/>
              </w:rPr>
            </w:pPr>
            <w:r>
              <w:rPr>
                <w:noProof/>
                <w:color w:val="000000"/>
                <w:highlight w:val="black"/>
              </w:rPr>
              <w:t>''''''''''' ''''''''''''''''' '''''''''''''</w:t>
            </w:r>
          </w:p>
        </w:tc>
      </w:tr>
    </w:tbl>
    <w:p w:rsidR="007E6E6A" w:rsidRPr="006316DF" w:rsidRDefault="00FB5052" w:rsidP="00857DBE">
      <w:pPr>
        <w:pStyle w:val="Tablenote"/>
      </w:pPr>
      <w:r w:rsidRPr="00F05153">
        <w:t xml:space="preserve">6MWD = 6 minute </w:t>
      </w:r>
      <w:r w:rsidR="0082368E" w:rsidRPr="00F05153">
        <w:t>walk distance</w:t>
      </w:r>
      <w:r w:rsidRPr="00F05153">
        <w:t xml:space="preserve">; CI = confidence interval; CSR = clinical study report; </w:t>
      </w:r>
      <w:r w:rsidR="007E6E6A" w:rsidRPr="00F05153">
        <w:t xml:space="preserve">FC = functional class; </w:t>
      </w:r>
      <w:r w:rsidRPr="00F05153">
        <w:t xml:space="preserve">N = number of patients; </w:t>
      </w:r>
      <w:r w:rsidR="007E6E6A" w:rsidRPr="00F05153">
        <w:t xml:space="preserve">PAH = pulmonary arterial hypertension; </w:t>
      </w:r>
      <w:r w:rsidRPr="00F05153">
        <w:t>SD = standard deviation</w:t>
      </w:r>
      <w:r w:rsidR="004B7C88" w:rsidRPr="00F05153">
        <w:t>; sGC = soluble guanylate cyclase</w:t>
      </w:r>
      <w:r w:rsidR="007E6E6A" w:rsidRPr="00F05153">
        <w:t>; WHO = World Health Organization</w:t>
      </w:r>
    </w:p>
    <w:p w:rsidR="00FB5052" w:rsidRPr="006316DF" w:rsidRDefault="00EE09B2" w:rsidP="00FB5052">
      <w:pPr>
        <w:pStyle w:val="Heading5"/>
      </w:pPr>
      <w:r>
        <w:t>f</w:t>
      </w:r>
      <w:r w:rsidR="0077344D">
        <w:t>.</w:t>
      </w:r>
      <w:r w:rsidR="0066218C">
        <w:tab/>
      </w:r>
      <w:r w:rsidR="00FB5052">
        <w:t>Change in QoL</w:t>
      </w:r>
      <w:r w:rsidR="007B6C7C">
        <w:t xml:space="preserve"> from baseline</w:t>
      </w:r>
    </w:p>
    <w:p w:rsidR="00026931" w:rsidRDefault="00FB5052" w:rsidP="003903A0">
      <w:r w:rsidRPr="006316DF">
        <w:t xml:space="preserve">The self-reported health-related QoL of patients receiving riociguat compared with placebo </w:t>
      </w:r>
      <w:proofErr w:type="gramStart"/>
      <w:r w:rsidRPr="006316DF">
        <w:t>w</w:t>
      </w:r>
      <w:r>
        <w:t>as</w:t>
      </w:r>
      <w:r w:rsidR="00572AE9">
        <w:t xml:space="preserve"> measured</w:t>
      </w:r>
      <w:proofErr w:type="gramEnd"/>
      <w:r w:rsidR="00572AE9">
        <w:t xml:space="preserve"> using the EuroQol 5 </w:t>
      </w:r>
      <w:r w:rsidRPr="006316DF">
        <w:t xml:space="preserve">dimension (EQ-5D) questionnaire </w:t>
      </w:r>
      <w:r w:rsidR="009B49D9">
        <w:t>and the L</w:t>
      </w:r>
      <w:r w:rsidRPr="006316DF">
        <w:t>iving with pulmonary hypertension (LPH) questionnaire</w:t>
      </w:r>
      <w:r w:rsidR="003903A0">
        <w:t>.</w:t>
      </w:r>
    </w:p>
    <w:p w:rsidR="00C37A79" w:rsidRPr="00F05153" w:rsidRDefault="00026931" w:rsidP="003903A0">
      <w:r>
        <w:t xml:space="preserve">The </w:t>
      </w:r>
      <w:r w:rsidRPr="009713F3">
        <w:t xml:space="preserve">EQ-5D </w:t>
      </w:r>
      <w:r>
        <w:t>questionnaire contains</w:t>
      </w:r>
      <w:r w:rsidRPr="009713F3">
        <w:t xml:space="preserve"> five domains: mobility, self-care, pain/discomfort, usual activities and anxiety/depression. In PATENT-1, the EQ-5D utility scores were generated </w:t>
      </w:r>
      <w:proofErr w:type="gramStart"/>
      <w:r>
        <w:t>on the basis of</w:t>
      </w:r>
      <w:proofErr w:type="gramEnd"/>
      <w:r>
        <w:t xml:space="preserve"> the </w:t>
      </w:r>
      <w:r w:rsidRPr="009713F3">
        <w:t xml:space="preserve">answers to the five questions (each with </w:t>
      </w:r>
      <w:r>
        <w:t>3</w:t>
      </w:r>
      <w:r w:rsidRPr="009713F3">
        <w:t xml:space="preserve"> categories), by applying </w:t>
      </w:r>
      <w:r>
        <w:t>a multi-</w:t>
      </w:r>
      <w:r w:rsidRPr="00026931">
        <w:t>attribute utility functi</w:t>
      </w:r>
      <w:r>
        <w:t xml:space="preserve">on. The EQ-5D utility score had </w:t>
      </w:r>
      <w:r w:rsidRPr="009713F3">
        <w:t xml:space="preserve">a range of possible values from –0.59 (worst outcome) to 1.00 (best outcome). </w:t>
      </w:r>
      <w:r w:rsidR="00C37A79">
        <w:t xml:space="preserve">Results of change in </w:t>
      </w:r>
      <w:r w:rsidR="00FB5052" w:rsidRPr="006316DF">
        <w:t xml:space="preserve">EQ-5D </w:t>
      </w:r>
      <w:r w:rsidR="00C37A79">
        <w:t>utility scores from Trial PATENT-1 i</w:t>
      </w:r>
      <w:r w:rsidR="00FB5052" w:rsidRPr="006316DF">
        <w:t xml:space="preserve">ndicated </w:t>
      </w:r>
      <w:r w:rsidR="00FB5052" w:rsidRPr="00F05153">
        <w:t xml:space="preserve">that there was </w:t>
      </w:r>
      <w:r w:rsidR="002046A0">
        <w:rPr>
          <w:noProof/>
          <w:color w:val="000000"/>
          <w:highlight w:val="black"/>
        </w:rPr>
        <w:t>'''''' '''''''''''''</w:t>
      </w:r>
      <w:r w:rsidR="00FB5052" w:rsidRPr="00F05153">
        <w:t xml:space="preserve"> in QoL in the </w:t>
      </w:r>
      <w:r w:rsidR="00C37A79" w:rsidRPr="00F05153">
        <w:t>riociguat</w:t>
      </w:r>
      <w:r w:rsidR="00FB5052" w:rsidRPr="00F05153">
        <w:t xml:space="preserve"> group and the </w:t>
      </w:r>
      <w:r w:rsidR="002046A0">
        <w:rPr>
          <w:noProof/>
          <w:color w:val="000000"/>
          <w:highlight w:val="black"/>
        </w:rPr>
        <w:t>'''''''''''''''''' ''''' ''''''''''</w:t>
      </w:r>
      <w:r w:rsidR="00FB5052" w:rsidRPr="00F05153">
        <w:t xml:space="preserve"> in the placebo group (</w:t>
      </w:r>
      <w:r w:rsidR="003951FA" w:rsidRPr="00F05153">
        <w:t xml:space="preserve">Table </w:t>
      </w:r>
      <w:r w:rsidR="003951FA" w:rsidRPr="00F05153">
        <w:rPr>
          <w:noProof/>
        </w:rPr>
        <w:t>4.</w:t>
      </w:r>
      <w:r w:rsidR="003951FA">
        <w:rPr>
          <w:noProof/>
        </w:rPr>
        <w:t>42</w:t>
      </w:r>
      <w:r w:rsidR="00FB5052" w:rsidRPr="00F05153">
        <w:t xml:space="preserve">). This difference may </w:t>
      </w:r>
      <w:r w:rsidR="002046A0">
        <w:rPr>
          <w:noProof/>
          <w:color w:val="000000"/>
          <w:highlight w:val="black"/>
        </w:rPr>
        <w:t>'''''''''''''' ''''' ''''''''''''''''' '''''''''''''''''</w:t>
      </w:r>
      <w:r w:rsidR="00FB5052" w:rsidRPr="00F05153">
        <w:t xml:space="preserve">. </w:t>
      </w:r>
      <w:r w:rsidR="00C37A79" w:rsidRPr="00F05153">
        <w:t>The minimal clinically important difference in EQ-5D utility score ranged from 0</w:t>
      </w:r>
      <w:r w:rsidR="00D60D8E">
        <w:t>.033 to 0.074 in the literature</w:t>
      </w:r>
      <w:r w:rsidR="001D34EE" w:rsidRPr="00F05153">
        <w:rPr>
          <w:noProof/>
          <w:vertAlign w:val="superscript"/>
        </w:rPr>
        <w:t>82</w:t>
      </w:r>
      <w:r w:rsidR="00C37A79" w:rsidRPr="00F05153">
        <w:t>.</w:t>
      </w:r>
    </w:p>
    <w:p w:rsidR="00FB5052" w:rsidRPr="002046A0" w:rsidRDefault="00C37A79" w:rsidP="003903A0">
      <w:r w:rsidRPr="00F05153">
        <w:t xml:space="preserve">The LPH questionnaire was adapted from the Minnesota living with heart failure (MLHF) questionnaire for use in patients with PAH. The LPH questionnaire comprises 21 items, responded to on a 6-point Likert scale ranging from </w:t>
      </w:r>
      <w:proofErr w:type="gramStart"/>
      <w:r w:rsidRPr="00F05153">
        <w:t>0</w:t>
      </w:r>
      <w:proofErr w:type="gramEnd"/>
      <w:r w:rsidRPr="00F05153">
        <w:t xml:space="preserve"> 'No’ to 5 ’Very much’. A total score ranging from </w:t>
      </w:r>
      <w:proofErr w:type="gramStart"/>
      <w:r w:rsidRPr="00F05153">
        <w:t>0</w:t>
      </w:r>
      <w:proofErr w:type="gramEnd"/>
      <w:r w:rsidRPr="00F05153">
        <w:t xml:space="preserve"> to 105 is calculated by summing the responses to all 21 questions. A higher LPH score represents that patients </w:t>
      </w:r>
      <w:proofErr w:type="gramStart"/>
      <w:r w:rsidRPr="00F05153">
        <w:t>are more affected</w:t>
      </w:r>
      <w:proofErr w:type="gramEnd"/>
      <w:r w:rsidRPr="00F05153">
        <w:t xml:space="preserve"> by their medical condition (poorer QoL). </w:t>
      </w:r>
      <w:r w:rsidR="00C924C6" w:rsidRPr="00F05153">
        <w:t>In PATENT-1, t</w:t>
      </w:r>
      <w:r w:rsidR="00FB5052" w:rsidRPr="00F05153">
        <w:t xml:space="preserve">he scores for the LPH questionnaire showed an approximate </w:t>
      </w:r>
      <w:r w:rsidR="002046A0">
        <w:rPr>
          <w:noProof/>
          <w:color w:val="000000"/>
          <w:highlight w:val="black"/>
        </w:rPr>
        <w:t>'''''''''''''' '''''''''''''''''''''''''''</w:t>
      </w:r>
      <w:r w:rsidR="00FB5052" w:rsidRPr="00F05153">
        <w:t xml:space="preserve"> in QoL in the </w:t>
      </w:r>
      <w:r w:rsidR="0010546C" w:rsidRPr="00F05153">
        <w:t>riociguat</w:t>
      </w:r>
      <w:r w:rsidR="00FB5052" w:rsidRPr="00F05153">
        <w:t xml:space="preserve"> group and a 1-point improvement in the placebo group (</w:t>
      </w:r>
      <w:r w:rsidR="003951FA" w:rsidRPr="00F05153">
        <w:t>Table 4.</w:t>
      </w:r>
      <w:r w:rsidR="003951FA">
        <w:t>42</w:t>
      </w:r>
      <w:r w:rsidR="00FB5052" w:rsidRPr="00F05153">
        <w:t>). The minimally important difference for the LPH scale has been previously determined to be 7 points for the total score</w:t>
      </w:r>
      <w:r w:rsidR="001D34EE" w:rsidRPr="00F05153">
        <w:rPr>
          <w:noProof/>
          <w:vertAlign w:val="superscript"/>
        </w:rPr>
        <w:t>83</w:t>
      </w:r>
      <w:r w:rsidR="00FB5052" w:rsidRPr="00F05153">
        <w:t xml:space="preserve">. Thus, although there was </w:t>
      </w:r>
      <w:r w:rsidR="002046A0">
        <w:rPr>
          <w:noProof/>
          <w:color w:val="000000"/>
          <w:highlight w:val="black"/>
        </w:rPr>
        <w:t>''' ''''''''''' '''''''''''''''''''</w:t>
      </w:r>
      <w:r w:rsidR="00FB5052" w:rsidRPr="00F05153">
        <w:t xml:space="preserve"> in the QoL for patients taking a placebo compared with those on active treatment, the changes in QoL observed in this study mostly </w:t>
      </w:r>
      <w:r w:rsidR="002046A0">
        <w:rPr>
          <w:noProof/>
          <w:color w:val="000000"/>
          <w:highlight w:val="black"/>
        </w:rPr>
        <w:t>'''''''''' '''' ''''''''''' '''''''''''' ''''''''''''''''''''''''</w:t>
      </w:r>
    </w:p>
    <w:p w:rsidR="00FB5052" w:rsidRDefault="00B40240" w:rsidP="00BC5A2B">
      <w:pPr>
        <w:pStyle w:val="Caption"/>
      </w:pPr>
      <w:bookmarkStart w:id="140" w:name="_Ref501013537"/>
      <w:bookmarkStart w:id="141" w:name="_Toc38360339"/>
      <w:r w:rsidRPr="00F05153">
        <w:t>Table 4.</w:t>
      </w:r>
      <w:r w:rsidR="003951FA">
        <w:rPr>
          <w:noProof/>
        </w:rPr>
        <w:t>42</w:t>
      </w:r>
      <w:bookmarkEnd w:id="140"/>
      <w:r w:rsidR="00857DBE" w:rsidRPr="00F05153">
        <w:rPr>
          <w:noProof/>
        </w:rPr>
        <w:tab/>
      </w:r>
      <w:r w:rsidR="00FB5052" w:rsidRPr="00F05153">
        <w:t xml:space="preserve">The effectiveness of </w:t>
      </w:r>
      <w:r w:rsidR="00EB768B" w:rsidRPr="00F05153">
        <w:t xml:space="preserve">a </w:t>
      </w:r>
      <w:r w:rsidR="004B7C88" w:rsidRPr="00F05153">
        <w:t xml:space="preserve">sGC stimulator </w:t>
      </w:r>
      <w:r w:rsidR="00FB5052" w:rsidRPr="00F05153">
        <w:t>compared with placebo in improving QoL in</w:t>
      </w:r>
      <w:r w:rsidR="00FB5052" w:rsidRPr="00B642BB">
        <w:t xml:space="preserve"> patients with WHO FC I/II PAH</w:t>
      </w:r>
      <w:bookmarkEnd w:id="141"/>
    </w:p>
    <w:tbl>
      <w:tblPr>
        <w:tblStyle w:val="TableGrid"/>
        <w:tblW w:w="9634" w:type="dxa"/>
        <w:tblLayout w:type="fixed"/>
        <w:tblLook w:val="04A0" w:firstRow="1" w:lastRow="0" w:firstColumn="1" w:lastColumn="0" w:noHBand="0" w:noVBand="1"/>
        <w:tblCaption w:val="The effectiveness of a sGC stimulator compared with placebo in improving QoL in patients with WHO FC I/II PAH"/>
      </w:tblPr>
      <w:tblGrid>
        <w:gridCol w:w="1271"/>
        <w:gridCol w:w="1418"/>
        <w:gridCol w:w="1701"/>
        <w:gridCol w:w="1134"/>
        <w:gridCol w:w="1701"/>
        <w:gridCol w:w="1134"/>
        <w:gridCol w:w="1275"/>
      </w:tblGrid>
      <w:tr w:rsidR="00FB5052" w:rsidRPr="00857DBE" w:rsidTr="00EC2524">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FB5052" w:rsidRDefault="00FB5052" w:rsidP="00857DBE">
            <w:pPr>
              <w:pStyle w:val="Tabletext"/>
              <w:rPr>
                <w:b/>
              </w:rPr>
            </w:pPr>
            <w:r w:rsidRPr="00857DBE">
              <w:rPr>
                <w:b/>
              </w:rPr>
              <w:t>Study ID</w:t>
            </w:r>
          </w:p>
          <w:p w:rsidR="004B7C88" w:rsidRPr="004B7C88" w:rsidRDefault="004B7C88" w:rsidP="00857DBE">
            <w:pPr>
              <w:pStyle w:val="Tabletext"/>
              <w:rPr>
                <w:b/>
              </w:rPr>
            </w:pPr>
            <w:r w:rsidRPr="004B7C88">
              <w:rPr>
                <w:b/>
              </w:rPr>
              <w:t>sGC stimulator</w:t>
            </w:r>
          </w:p>
        </w:tc>
        <w:tc>
          <w:tcPr>
            <w:tcW w:w="1418" w:type="dxa"/>
            <w:vMerge w:val="restart"/>
            <w:shd w:val="clear" w:color="auto" w:fill="BFBFBF" w:themeFill="background1" w:themeFillShade="BF"/>
          </w:tcPr>
          <w:p w:rsidR="00FB5052" w:rsidRPr="00857DBE" w:rsidRDefault="00FB5052" w:rsidP="00857DBE">
            <w:pPr>
              <w:pStyle w:val="Tabletext"/>
              <w:rPr>
                <w:b/>
              </w:rPr>
            </w:pPr>
            <w:r w:rsidRPr="00857DBE">
              <w:rPr>
                <w:b/>
              </w:rPr>
              <w:t>N</w:t>
            </w:r>
          </w:p>
          <w:p w:rsidR="00FB5052" w:rsidRPr="00857DBE" w:rsidRDefault="00FB5052" w:rsidP="00857DBE">
            <w:pPr>
              <w:pStyle w:val="Tabletext"/>
              <w:rPr>
                <w:b/>
              </w:rPr>
            </w:pPr>
            <w:r w:rsidRPr="00857DBE">
              <w:rPr>
                <w:b/>
              </w:rPr>
              <w:t>Follow-up period</w:t>
            </w:r>
          </w:p>
        </w:tc>
        <w:tc>
          <w:tcPr>
            <w:tcW w:w="2835" w:type="dxa"/>
            <w:gridSpan w:val="2"/>
            <w:shd w:val="clear" w:color="auto" w:fill="BFBFBF" w:themeFill="background1" w:themeFillShade="BF"/>
          </w:tcPr>
          <w:p w:rsidR="00FB5052" w:rsidRPr="00857DBE" w:rsidRDefault="00FB5052" w:rsidP="00857DBE">
            <w:pPr>
              <w:pStyle w:val="Tabletext"/>
              <w:jc w:val="center"/>
              <w:rPr>
                <w:b/>
              </w:rPr>
            </w:pPr>
            <w:r w:rsidRPr="00857DBE">
              <w:rPr>
                <w:b/>
              </w:rPr>
              <w:t>Mean ± SD baseline QoL</w:t>
            </w:r>
          </w:p>
        </w:tc>
        <w:tc>
          <w:tcPr>
            <w:tcW w:w="2835" w:type="dxa"/>
            <w:gridSpan w:val="2"/>
            <w:shd w:val="clear" w:color="auto" w:fill="BFBFBF" w:themeFill="background1" w:themeFillShade="BF"/>
          </w:tcPr>
          <w:p w:rsidR="00FB5052" w:rsidRPr="00857DBE" w:rsidRDefault="00FB5052" w:rsidP="00857DBE">
            <w:pPr>
              <w:pStyle w:val="Tabletext"/>
              <w:jc w:val="center"/>
              <w:rPr>
                <w:b/>
              </w:rPr>
            </w:pPr>
            <w:r w:rsidRPr="00857DBE">
              <w:rPr>
                <w:b/>
              </w:rPr>
              <w:t>Mean change from baseline ± SD</w:t>
            </w:r>
          </w:p>
        </w:tc>
        <w:tc>
          <w:tcPr>
            <w:tcW w:w="1275" w:type="dxa"/>
            <w:vMerge w:val="restart"/>
            <w:shd w:val="clear" w:color="auto" w:fill="BFBFBF" w:themeFill="background1" w:themeFillShade="BF"/>
          </w:tcPr>
          <w:p w:rsidR="00FB5052" w:rsidRPr="00857DBE" w:rsidRDefault="00FB5052" w:rsidP="00F141A8">
            <w:pPr>
              <w:pStyle w:val="Tabletext"/>
              <w:jc w:val="center"/>
              <w:rPr>
                <w:b/>
              </w:rPr>
            </w:pPr>
            <w:r w:rsidRPr="00857DBE">
              <w:rPr>
                <w:b/>
              </w:rPr>
              <w:t>Mean difference</w:t>
            </w:r>
            <w:r w:rsidR="00AE77DC">
              <w:rPr>
                <w:b/>
              </w:rPr>
              <w:t>, points</w:t>
            </w:r>
          </w:p>
        </w:tc>
      </w:tr>
      <w:tr w:rsidR="00FB5052" w:rsidRPr="00857DBE" w:rsidTr="00EC2524">
        <w:tc>
          <w:tcPr>
            <w:tcW w:w="1271" w:type="dxa"/>
            <w:vMerge/>
          </w:tcPr>
          <w:p w:rsidR="00FB5052" w:rsidRPr="00857DBE" w:rsidRDefault="00FB5052" w:rsidP="00857DBE">
            <w:pPr>
              <w:pStyle w:val="Tabletext"/>
            </w:pPr>
          </w:p>
        </w:tc>
        <w:tc>
          <w:tcPr>
            <w:tcW w:w="1418" w:type="dxa"/>
            <w:vMerge/>
          </w:tcPr>
          <w:p w:rsidR="00FB5052" w:rsidRPr="00857DBE" w:rsidRDefault="00FB5052" w:rsidP="00857DBE">
            <w:pPr>
              <w:pStyle w:val="Tabletext"/>
            </w:pPr>
          </w:p>
        </w:tc>
        <w:tc>
          <w:tcPr>
            <w:tcW w:w="1701" w:type="dxa"/>
            <w:shd w:val="clear" w:color="auto" w:fill="BFBFBF" w:themeFill="background1" w:themeFillShade="BF"/>
          </w:tcPr>
          <w:p w:rsidR="00FB5052" w:rsidRPr="004B7C88" w:rsidRDefault="004B7C88" w:rsidP="00857DBE">
            <w:pPr>
              <w:pStyle w:val="Tabletext"/>
              <w:jc w:val="center"/>
              <w:rPr>
                <w:b/>
              </w:rPr>
            </w:pPr>
            <w:r w:rsidRPr="004B7C88">
              <w:rPr>
                <w:b/>
              </w:rPr>
              <w:t>sGC stimulator</w:t>
            </w:r>
          </w:p>
        </w:tc>
        <w:tc>
          <w:tcPr>
            <w:tcW w:w="1134" w:type="dxa"/>
            <w:shd w:val="clear" w:color="auto" w:fill="BFBFBF" w:themeFill="background1" w:themeFillShade="BF"/>
          </w:tcPr>
          <w:p w:rsidR="00FB5052" w:rsidRPr="00857DBE" w:rsidRDefault="00FB5052" w:rsidP="00857DBE">
            <w:pPr>
              <w:pStyle w:val="Tabletext"/>
              <w:jc w:val="center"/>
              <w:rPr>
                <w:b/>
              </w:rPr>
            </w:pPr>
            <w:r w:rsidRPr="00857DBE">
              <w:rPr>
                <w:b/>
              </w:rPr>
              <w:t>Placebo</w:t>
            </w:r>
          </w:p>
        </w:tc>
        <w:tc>
          <w:tcPr>
            <w:tcW w:w="1701" w:type="dxa"/>
            <w:shd w:val="clear" w:color="auto" w:fill="BFBFBF" w:themeFill="background1" w:themeFillShade="BF"/>
          </w:tcPr>
          <w:p w:rsidR="00FB5052" w:rsidRPr="00857DBE" w:rsidRDefault="004B7C88" w:rsidP="00857DBE">
            <w:pPr>
              <w:pStyle w:val="Tabletext"/>
              <w:jc w:val="center"/>
              <w:rPr>
                <w:b/>
              </w:rPr>
            </w:pPr>
            <w:r w:rsidRPr="004B7C88">
              <w:rPr>
                <w:b/>
              </w:rPr>
              <w:t>sGC stimulator</w:t>
            </w:r>
          </w:p>
        </w:tc>
        <w:tc>
          <w:tcPr>
            <w:tcW w:w="1134" w:type="dxa"/>
            <w:shd w:val="clear" w:color="auto" w:fill="BFBFBF" w:themeFill="background1" w:themeFillShade="BF"/>
          </w:tcPr>
          <w:p w:rsidR="00FB5052" w:rsidRPr="00857DBE" w:rsidRDefault="00FB5052" w:rsidP="00857DBE">
            <w:pPr>
              <w:pStyle w:val="Tabletext"/>
              <w:jc w:val="center"/>
              <w:rPr>
                <w:b/>
              </w:rPr>
            </w:pPr>
            <w:r w:rsidRPr="00857DBE">
              <w:rPr>
                <w:b/>
              </w:rPr>
              <w:t>Placebo</w:t>
            </w:r>
          </w:p>
        </w:tc>
        <w:tc>
          <w:tcPr>
            <w:tcW w:w="1275" w:type="dxa"/>
            <w:vMerge/>
          </w:tcPr>
          <w:p w:rsidR="00FB5052" w:rsidRPr="00857DBE" w:rsidRDefault="00FB5052" w:rsidP="00857DBE">
            <w:pPr>
              <w:pStyle w:val="Tabletext"/>
            </w:pPr>
          </w:p>
        </w:tc>
      </w:tr>
      <w:tr w:rsidR="00FB5052" w:rsidRPr="00F05153" w:rsidTr="00EC2524">
        <w:tc>
          <w:tcPr>
            <w:tcW w:w="1271" w:type="dxa"/>
            <w:vMerge w:val="restart"/>
          </w:tcPr>
          <w:p w:rsidR="00FB5052" w:rsidRPr="00F05153" w:rsidRDefault="00FB5052" w:rsidP="00857DBE">
            <w:pPr>
              <w:pStyle w:val="Tabletext"/>
            </w:pPr>
            <w:r w:rsidRPr="00F05153">
              <w:t>PATENT-1 CSR</w:t>
            </w:r>
          </w:p>
          <w:p w:rsidR="004B7C88" w:rsidRPr="00F05153" w:rsidRDefault="004B7C88" w:rsidP="00857DBE">
            <w:pPr>
              <w:pStyle w:val="Tabletext"/>
            </w:pPr>
            <w:r w:rsidRPr="00F05153">
              <w:t>Riociguat</w:t>
            </w:r>
          </w:p>
        </w:tc>
        <w:tc>
          <w:tcPr>
            <w:tcW w:w="1418" w:type="dxa"/>
            <w:vMerge w:val="restart"/>
          </w:tcPr>
          <w:p w:rsidR="00FB5052" w:rsidRPr="00F05153" w:rsidRDefault="00FB5052" w:rsidP="00857DBE">
            <w:pPr>
              <w:pStyle w:val="Tabletext"/>
            </w:pPr>
            <w:r w:rsidRPr="00F05153">
              <w:t>N=107</w:t>
            </w:r>
          </w:p>
          <w:p w:rsidR="00FB5052" w:rsidRPr="00F05153" w:rsidRDefault="00FB5052" w:rsidP="00857DBE">
            <w:pPr>
              <w:pStyle w:val="Tabletext"/>
            </w:pPr>
            <w:r w:rsidRPr="00F05153">
              <w:t>Week 12</w:t>
            </w:r>
          </w:p>
        </w:tc>
        <w:tc>
          <w:tcPr>
            <w:tcW w:w="1701" w:type="dxa"/>
          </w:tcPr>
          <w:p w:rsidR="00FB5052" w:rsidRPr="002046A0" w:rsidRDefault="002046A0" w:rsidP="00DE31E4">
            <w:pPr>
              <w:pStyle w:val="Tabletext"/>
              <w:jc w:val="center"/>
              <w:rPr>
                <w:highlight w:val="black"/>
              </w:rPr>
            </w:pPr>
            <w:r>
              <w:rPr>
                <w:noProof/>
                <w:color w:val="000000"/>
                <w:highlight w:val="black"/>
              </w:rPr>
              <w:t>''''''''''''''''''''' ''''''''''''' ''' ''''''''''''''</w:t>
            </w:r>
          </w:p>
        </w:tc>
        <w:tc>
          <w:tcPr>
            <w:tcW w:w="1134" w:type="dxa"/>
          </w:tcPr>
          <w:p w:rsidR="00FB5052" w:rsidRPr="002046A0" w:rsidRDefault="002046A0" w:rsidP="00857DBE">
            <w:pPr>
              <w:pStyle w:val="Tabletext"/>
              <w:jc w:val="center"/>
              <w:rPr>
                <w:highlight w:val="black"/>
              </w:rPr>
            </w:pPr>
            <w:r>
              <w:rPr>
                <w:noProof/>
                <w:color w:val="000000"/>
                <w:highlight w:val="black"/>
              </w:rPr>
              <w:t>'''''''''''''' ''' ''''''''''''''</w:t>
            </w:r>
          </w:p>
        </w:tc>
        <w:tc>
          <w:tcPr>
            <w:tcW w:w="1701" w:type="dxa"/>
          </w:tcPr>
          <w:p w:rsidR="00FB5052" w:rsidRPr="002046A0" w:rsidRDefault="002046A0" w:rsidP="00DE31E4">
            <w:pPr>
              <w:pStyle w:val="Tabletext"/>
              <w:jc w:val="center"/>
              <w:rPr>
                <w:highlight w:val="black"/>
              </w:rPr>
            </w:pPr>
            <w:r>
              <w:rPr>
                <w:noProof/>
                <w:color w:val="000000"/>
                <w:highlight w:val="black"/>
              </w:rPr>
              <w:t>''''''''''''''''' ''''''''''''' ''' ''''''''''''''</w:t>
            </w:r>
          </w:p>
        </w:tc>
        <w:tc>
          <w:tcPr>
            <w:tcW w:w="1134" w:type="dxa"/>
          </w:tcPr>
          <w:p w:rsidR="00FB5052" w:rsidRPr="002046A0" w:rsidRDefault="002046A0" w:rsidP="00857DBE">
            <w:pPr>
              <w:pStyle w:val="Tabletext"/>
              <w:jc w:val="center"/>
              <w:rPr>
                <w:highlight w:val="black"/>
              </w:rPr>
            </w:pPr>
            <w:r>
              <w:rPr>
                <w:noProof/>
                <w:color w:val="000000"/>
                <w:highlight w:val="black"/>
              </w:rPr>
              <w:t>''''''''''''''''' ''' '''''''''''''''</w:t>
            </w:r>
          </w:p>
        </w:tc>
        <w:tc>
          <w:tcPr>
            <w:tcW w:w="1275" w:type="dxa"/>
          </w:tcPr>
          <w:p w:rsidR="00FB5052" w:rsidRPr="002046A0" w:rsidRDefault="002046A0" w:rsidP="00DE31E4">
            <w:pPr>
              <w:pStyle w:val="Tabletext"/>
              <w:jc w:val="center"/>
              <w:rPr>
                <w:highlight w:val="black"/>
              </w:rPr>
            </w:pPr>
            <w:r>
              <w:rPr>
                <w:noProof/>
                <w:color w:val="000000"/>
                <w:highlight w:val="black"/>
              </w:rPr>
              <w:t>''''''''''''''''''' '''''''''''''</w:t>
            </w:r>
          </w:p>
        </w:tc>
      </w:tr>
      <w:tr w:rsidR="00FB5052" w:rsidRPr="00F05153" w:rsidTr="00EC2524">
        <w:tc>
          <w:tcPr>
            <w:tcW w:w="1271" w:type="dxa"/>
            <w:vMerge/>
          </w:tcPr>
          <w:p w:rsidR="00FB5052" w:rsidRPr="00F05153" w:rsidRDefault="00FB5052" w:rsidP="00857DBE">
            <w:pPr>
              <w:pStyle w:val="Tabletext"/>
            </w:pPr>
          </w:p>
        </w:tc>
        <w:tc>
          <w:tcPr>
            <w:tcW w:w="1418" w:type="dxa"/>
            <w:vMerge/>
          </w:tcPr>
          <w:p w:rsidR="00FB5052" w:rsidRPr="00F05153" w:rsidRDefault="00FB5052" w:rsidP="00857DBE">
            <w:pPr>
              <w:pStyle w:val="Tabletext"/>
            </w:pPr>
          </w:p>
        </w:tc>
        <w:tc>
          <w:tcPr>
            <w:tcW w:w="1701" w:type="dxa"/>
          </w:tcPr>
          <w:p w:rsidR="00FB5052" w:rsidRPr="002046A0" w:rsidRDefault="002046A0" w:rsidP="00DE31E4">
            <w:pPr>
              <w:pStyle w:val="Tabletext"/>
              <w:jc w:val="center"/>
              <w:rPr>
                <w:highlight w:val="black"/>
              </w:rPr>
            </w:pPr>
            <w:r>
              <w:rPr>
                <w:noProof/>
                <w:color w:val="000000"/>
                <w:highlight w:val="black"/>
              </w:rPr>
              <w:t>''''''''''''''' ''''''''''''' ''' '''''''''''''</w:t>
            </w:r>
          </w:p>
        </w:tc>
        <w:tc>
          <w:tcPr>
            <w:tcW w:w="1134" w:type="dxa"/>
          </w:tcPr>
          <w:p w:rsidR="00FB5052" w:rsidRPr="002046A0" w:rsidRDefault="002046A0" w:rsidP="00857DBE">
            <w:pPr>
              <w:pStyle w:val="Tabletext"/>
              <w:jc w:val="center"/>
              <w:rPr>
                <w:highlight w:val="black"/>
              </w:rPr>
            </w:pPr>
            <w:r>
              <w:rPr>
                <w:noProof/>
                <w:color w:val="000000"/>
                <w:highlight w:val="black"/>
              </w:rPr>
              <w:t>''''''''''''' ''' ''''''''''''</w:t>
            </w:r>
          </w:p>
        </w:tc>
        <w:tc>
          <w:tcPr>
            <w:tcW w:w="1701" w:type="dxa"/>
          </w:tcPr>
          <w:p w:rsidR="00FB5052" w:rsidRPr="002046A0" w:rsidRDefault="002046A0" w:rsidP="00DE31E4">
            <w:pPr>
              <w:pStyle w:val="Tabletext"/>
              <w:jc w:val="center"/>
              <w:rPr>
                <w:highlight w:val="black"/>
              </w:rPr>
            </w:pPr>
            <w:r>
              <w:rPr>
                <w:noProof/>
                <w:color w:val="000000"/>
                <w:highlight w:val="black"/>
              </w:rPr>
              <w:t>''''''''''' ''''''''''''' ''' '''''''''''''</w:t>
            </w:r>
          </w:p>
        </w:tc>
        <w:tc>
          <w:tcPr>
            <w:tcW w:w="1134" w:type="dxa"/>
          </w:tcPr>
          <w:p w:rsidR="00FB5052" w:rsidRPr="002046A0" w:rsidRDefault="002046A0" w:rsidP="00857DBE">
            <w:pPr>
              <w:pStyle w:val="Tabletext"/>
              <w:jc w:val="center"/>
              <w:rPr>
                <w:highlight w:val="black"/>
              </w:rPr>
            </w:pPr>
            <w:r>
              <w:rPr>
                <w:noProof/>
                <w:color w:val="000000"/>
                <w:highlight w:val="black"/>
              </w:rPr>
              <w:t>'''''''''''''' '''' '''''''''''''</w:t>
            </w:r>
          </w:p>
        </w:tc>
        <w:tc>
          <w:tcPr>
            <w:tcW w:w="1275" w:type="dxa"/>
          </w:tcPr>
          <w:p w:rsidR="00FB5052" w:rsidRPr="002046A0" w:rsidRDefault="002046A0" w:rsidP="00DE31E4">
            <w:pPr>
              <w:pStyle w:val="Tabletext"/>
              <w:jc w:val="center"/>
              <w:rPr>
                <w:highlight w:val="black"/>
              </w:rPr>
            </w:pPr>
            <w:r>
              <w:rPr>
                <w:noProof/>
                <w:color w:val="000000"/>
                <w:highlight w:val="black"/>
              </w:rPr>
              <w:t>''''''''''' ''''''''''''</w:t>
            </w:r>
          </w:p>
        </w:tc>
      </w:tr>
    </w:tbl>
    <w:p w:rsidR="004273EA" w:rsidRPr="00F05153" w:rsidRDefault="004273EA" w:rsidP="004273EA">
      <w:pPr>
        <w:pStyle w:val="Tablenote"/>
      </w:pPr>
      <w:proofErr w:type="gramStart"/>
      <w:r w:rsidRPr="00F05153">
        <w:rPr>
          <w:vertAlign w:val="superscript"/>
        </w:rPr>
        <w:t>a</w:t>
      </w:r>
      <w:proofErr w:type="gramEnd"/>
      <w:r w:rsidRPr="00F05153">
        <w:rPr>
          <w:vertAlign w:val="superscript"/>
        </w:rPr>
        <w:t xml:space="preserve"> </w:t>
      </w:r>
      <w:r w:rsidRPr="00F05153">
        <w:t>EQ-5D utility scores range from −0.59 to 1.00. A higher score represents better QoL.</w:t>
      </w:r>
    </w:p>
    <w:p w:rsidR="006713D3" w:rsidRDefault="004273EA" w:rsidP="00857DBE">
      <w:pPr>
        <w:pStyle w:val="Tablenote"/>
      </w:pPr>
      <w:proofErr w:type="gramStart"/>
      <w:r w:rsidRPr="00F05153">
        <w:rPr>
          <w:vertAlign w:val="superscript"/>
        </w:rPr>
        <w:t>b</w:t>
      </w:r>
      <w:proofErr w:type="gramEnd"/>
      <w:r w:rsidRPr="00F05153">
        <w:rPr>
          <w:vertAlign w:val="superscript"/>
        </w:rPr>
        <w:t xml:space="preserve"> </w:t>
      </w:r>
      <w:r w:rsidRPr="00F05153">
        <w:t>LPH total scores range from 0 to 105. A higher score indicates poorer QoL.</w:t>
      </w:r>
    </w:p>
    <w:p w:rsidR="007E6E6A" w:rsidRPr="006316DF" w:rsidRDefault="00FB5052" w:rsidP="00857DBE">
      <w:pPr>
        <w:pStyle w:val="Tablenote"/>
      </w:pPr>
      <w:r w:rsidRPr="006316DF">
        <w:t>CSR</w:t>
      </w:r>
      <w:r>
        <w:t xml:space="preserve"> </w:t>
      </w:r>
      <w:r w:rsidRPr="006316DF">
        <w:t>=</w:t>
      </w:r>
      <w:r>
        <w:t xml:space="preserve"> </w:t>
      </w:r>
      <w:r w:rsidRPr="006316DF">
        <w:t xml:space="preserve">clinical study report; EQ-5D = </w:t>
      </w:r>
      <w:r w:rsidR="00572AE9" w:rsidRPr="00572AE9">
        <w:t>EuroQoL 5 dimensions</w:t>
      </w:r>
      <w:r w:rsidRPr="006316DF">
        <w:t xml:space="preserve">; </w:t>
      </w:r>
      <w:r w:rsidR="007E6E6A" w:rsidRPr="006F774E">
        <w:t xml:space="preserve">FC = functional class; </w:t>
      </w:r>
      <w:r w:rsidRPr="006316DF">
        <w:t xml:space="preserve">LPH = living with pulmonary hypertension; N = number of patients; </w:t>
      </w:r>
      <w:r w:rsidR="007E6E6A" w:rsidRPr="009E3B52">
        <w:t xml:space="preserve">PAH = pulmonary arterial hypertension; </w:t>
      </w:r>
      <w:r w:rsidRPr="006316DF">
        <w:t>QoL = quality of life; RR = relative risk; SD = standard deviation</w:t>
      </w:r>
      <w:r w:rsidR="004B7C88" w:rsidRPr="004B7C88">
        <w:t>; sGC = solub</w:t>
      </w:r>
      <w:r w:rsidR="004B7C88">
        <w:t>le guanylate cyclase</w:t>
      </w:r>
      <w:r w:rsidR="007E6E6A" w:rsidRPr="00F20C66">
        <w:t xml:space="preserve">; </w:t>
      </w:r>
      <w:r w:rsidR="007E6E6A" w:rsidRPr="009E3B52">
        <w:t>WHO = World Health Organization</w:t>
      </w:r>
    </w:p>
    <w:p w:rsidR="00EE09B2" w:rsidRPr="006316DF" w:rsidRDefault="00EE09B2" w:rsidP="00EE09B2">
      <w:pPr>
        <w:pStyle w:val="Heading5"/>
      </w:pPr>
      <w:r>
        <w:t>g.</w:t>
      </w:r>
      <w:r w:rsidR="0066218C">
        <w:tab/>
      </w:r>
      <w:r w:rsidRPr="006316DF">
        <w:t xml:space="preserve">Change in </w:t>
      </w:r>
      <w:r>
        <w:t>haemodynamic parameters</w:t>
      </w:r>
      <w:r w:rsidRPr="006316DF">
        <w:t xml:space="preserve"> from baseline</w:t>
      </w:r>
    </w:p>
    <w:p w:rsidR="00EE09B2" w:rsidRPr="00F05153" w:rsidRDefault="00EE09B2" w:rsidP="00EE09B2">
      <w:r>
        <w:t xml:space="preserve">In the PATENT-1 trial, </w:t>
      </w:r>
      <w:r w:rsidRPr="000D1917">
        <w:t xml:space="preserve">treatment-naïve patients with WHO FC I/II PAH </w:t>
      </w:r>
      <w:r>
        <w:t xml:space="preserve">randomised to riociguat </w:t>
      </w:r>
      <w:r w:rsidRPr="00F05153">
        <w:t xml:space="preserve">treatment had a mean baseline PVR </w:t>
      </w:r>
      <w:r w:rsidR="002046A0">
        <w:rPr>
          <w:noProof/>
          <w:color w:val="000000"/>
          <w:highlight w:val="black"/>
        </w:rPr>
        <w:t>'''''''''''' '''''''''''''</w:t>
      </w:r>
      <w:r w:rsidRPr="00F05153">
        <w:t xml:space="preserve"> than those who were randomised to placebo. Thus, any confounding of the treatment effect would favour </w:t>
      </w:r>
      <w:r w:rsidR="002046A0">
        <w:rPr>
          <w:noProof/>
          <w:color w:val="000000"/>
          <w:highlight w:val="black"/>
        </w:rPr>
        <w:t>'''''' '''''''''''''' '''''''''''</w:t>
      </w:r>
      <w:r w:rsidRPr="00F05153">
        <w:t xml:space="preserve">. However, the treatment-naïve patients with WHO FC I/II PAH had a mean placebo-adjusted </w:t>
      </w:r>
      <w:r w:rsidR="002046A0">
        <w:rPr>
          <w:noProof/>
          <w:color w:val="000000"/>
          <w:highlight w:val="black"/>
        </w:rPr>
        <w:t>''''''''''''''''</w:t>
      </w:r>
      <w:r w:rsidRPr="00F05153">
        <w:t xml:space="preserve"> in PVR of </w:t>
      </w:r>
      <w:r w:rsidR="002046A0">
        <w:rPr>
          <w:noProof/>
          <w:color w:val="000000"/>
          <w:highlight w:val="black"/>
        </w:rPr>
        <w:t>''''''''</w:t>
      </w:r>
      <w:r w:rsidRPr="00F05153">
        <w:t xml:space="preserve"> after 12 weeks of riociguat treatment (</w:t>
      </w:r>
      <w:r w:rsidR="003951FA" w:rsidRPr="00F05153">
        <w:t>Table 4.</w:t>
      </w:r>
      <w:r w:rsidR="003951FA">
        <w:t>43</w:t>
      </w:r>
      <w:r w:rsidRPr="00F05153">
        <w:t>). As the normal laboratory PVR in adults is &lt;250 dyn</w:t>
      </w:r>
      <w:r w:rsidR="004776AC" w:rsidRPr="00F05153">
        <w:t>*</w:t>
      </w:r>
      <w:r w:rsidRPr="00F05153">
        <w:t>sec</w:t>
      </w:r>
      <w:r w:rsidR="004776AC" w:rsidRPr="00F05153">
        <w:t>*</w:t>
      </w:r>
      <w:r w:rsidRPr="00F05153">
        <w:t>cm</w:t>
      </w:r>
      <w:r w:rsidR="004776AC" w:rsidRPr="00F05153">
        <w:rPr>
          <w:vertAlign w:val="superscript"/>
        </w:rPr>
        <w:t>-</w:t>
      </w:r>
      <w:r w:rsidRPr="00F05153">
        <w:rPr>
          <w:vertAlign w:val="superscript"/>
        </w:rPr>
        <w:t>5</w:t>
      </w:r>
      <w:r w:rsidRPr="00F05153">
        <w:t xml:space="preserve">, and the </w:t>
      </w:r>
      <w:r w:rsidR="002046A0">
        <w:rPr>
          <w:noProof/>
          <w:color w:val="000000"/>
          <w:highlight w:val="black"/>
        </w:rPr>
        <w:t>''''''''''''''''' ''' ''''''' ''''''''''' ''''''''''''''''''''' ''''''''''' '''''''' '''''''''' ''''''''' ''''''''' ''''''' ''''''''''''''''' ''''''''' ''''' '''' ''''''''''' ''''''''''''''''''''''</w:t>
      </w:r>
      <w:r w:rsidRPr="00F05153">
        <w:t>.</w:t>
      </w:r>
    </w:p>
    <w:p w:rsidR="00EE09B2" w:rsidRPr="00F05153" w:rsidRDefault="00EE09B2" w:rsidP="00BC5A2B">
      <w:pPr>
        <w:pStyle w:val="Caption"/>
      </w:pPr>
      <w:bookmarkStart w:id="142" w:name="_Ref505962289"/>
      <w:bookmarkStart w:id="143" w:name="_Toc38360340"/>
      <w:r w:rsidRPr="00F05153">
        <w:t>Table 4.</w:t>
      </w:r>
      <w:r w:rsidR="003951FA">
        <w:rPr>
          <w:noProof/>
        </w:rPr>
        <w:t>43</w:t>
      </w:r>
      <w:bookmarkEnd w:id="142"/>
      <w:r w:rsidRPr="00F05153">
        <w:tab/>
        <w:t xml:space="preserve">The effectiveness of </w:t>
      </w:r>
      <w:r w:rsidR="00EB768B" w:rsidRPr="00F05153">
        <w:t xml:space="preserve">a </w:t>
      </w:r>
      <w:r w:rsidR="00EC2524" w:rsidRPr="00F05153">
        <w:t xml:space="preserve">sGC stimulator </w:t>
      </w:r>
      <w:r w:rsidRPr="00F05153">
        <w:t>compared with placebo in improving PVR in patients with WHO FC I/II PAH</w:t>
      </w:r>
      <w:bookmarkEnd w:id="143"/>
    </w:p>
    <w:tbl>
      <w:tblPr>
        <w:tblStyle w:val="TableGrid"/>
        <w:tblW w:w="9635" w:type="dxa"/>
        <w:tblLayout w:type="fixed"/>
        <w:tblLook w:val="04A0" w:firstRow="1" w:lastRow="0" w:firstColumn="1" w:lastColumn="0" w:noHBand="0" w:noVBand="1"/>
        <w:tblCaption w:val="The effectiveness of a sGC stimulator compared with placebo in improving PVR in patients with WHO FC I/II PAH"/>
      </w:tblPr>
      <w:tblGrid>
        <w:gridCol w:w="1271"/>
        <w:gridCol w:w="1134"/>
        <w:gridCol w:w="1346"/>
        <w:gridCol w:w="1347"/>
        <w:gridCol w:w="1560"/>
        <w:gridCol w:w="1418"/>
        <w:gridCol w:w="1559"/>
      </w:tblGrid>
      <w:tr w:rsidR="00EE09B2" w:rsidRPr="00F05153" w:rsidTr="001424AA">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EE09B2" w:rsidRPr="00F05153" w:rsidRDefault="00EE09B2" w:rsidP="00BC5A2B">
            <w:pPr>
              <w:pStyle w:val="Tabletext"/>
              <w:rPr>
                <w:b/>
              </w:rPr>
            </w:pPr>
            <w:r w:rsidRPr="00F05153">
              <w:rPr>
                <w:b/>
              </w:rPr>
              <w:t>Study ID</w:t>
            </w:r>
          </w:p>
          <w:p w:rsidR="00EC2524" w:rsidRPr="00F05153" w:rsidRDefault="00EC2524" w:rsidP="00BC5A2B">
            <w:pPr>
              <w:pStyle w:val="Tabletext"/>
              <w:rPr>
                <w:b/>
              </w:rPr>
            </w:pPr>
            <w:r w:rsidRPr="00F05153">
              <w:rPr>
                <w:b/>
              </w:rPr>
              <w:t>sGC stimulator</w:t>
            </w:r>
          </w:p>
        </w:tc>
        <w:tc>
          <w:tcPr>
            <w:tcW w:w="1134" w:type="dxa"/>
            <w:vMerge w:val="restart"/>
            <w:shd w:val="clear" w:color="auto" w:fill="BFBFBF" w:themeFill="background1" w:themeFillShade="BF"/>
          </w:tcPr>
          <w:p w:rsidR="00EE09B2" w:rsidRPr="00F05153" w:rsidRDefault="00EE09B2" w:rsidP="00BC5A2B">
            <w:pPr>
              <w:pStyle w:val="Tabletext"/>
              <w:rPr>
                <w:b/>
              </w:rPr>
            </w:pPr>
            <w:r w:rsidRPr="00F05153">
              <w:rPr>
                <w:b/>
              </w:rPr>
              <w:t>N</w:t>
            </w:r>
          </w:p>
          <w:p w:rsidR="00EE09B2" w:rsidRPr="00F05153" w:rsidRDefault="00EE09B2" w:rsidP="00BC5A2B">
            <w:pPr>
              <w:pStyle w:val="Tabletext"/>
              <w:rPr>
                <w:b/>
              </w:rPr>
            </w:pPr>
            <w:r w:rsidRPr="00F05153">
              <w:rPr>
                <w:b/>
              </w:rPr>
              <w:t>Follow-up period</w:t>
            </w:r>
          </w:p>
        </w:tc>
        <w:tc>
          <w:tcPr>
            <w:tcW w:w="2693" w:type="dxa"/>
            <w:gridSpan w:val="2"/>
            <w:shd w:val="clear" w:color="auto" w:fill="BFBFBF" w:themeFill="background1" w:themeFillShade="BF"/>
          </w:tcPr>
          <w:p w:rsidR="00EE09B2" w:rsidRPr="00F05153" w:rsidRDefault="00EE09B2" w:rsidP="00BC5A2B">
            <w:pPr>
              <w:pStyle w:val="Tabletext"/>
              <w:jc w:val="center"/>
              <w:rPr>
                <w:b/>
              </w:rPr>
            </w:pPr>
            <w:r w:rsidRPr="00F05153">
              <w:rPr>
                <w:b/>
              </w:rPr>
              <w:t>Mean ± SD baseline PVR</w:t>
            </w:r>
            <w:r w:rsidR="003A513F" w:rsidRPr="00F05153">
              <w:rPr>
                <w:b/>
                <w:vertAlign w:val="superscript"/>
              </w:rPr>
              <w:t>a</w:t>
            </w:r>
            <w:r w:rsidRPr="00F05153">
              <w:rPr>
                <w:b/>
              </w:rPr>
              <w:t xml:space="preserve">, </w:t>
            </w:r>
            <w:r w:rsidR="001424AA" w:rsidRPr="00F05153">
              <w:rPr>
                <w:b/>
              </w:rPr>
              <w:t>dyn*sec*cm</w:t>
            </w:r>
            <w:r w:rsidR="001424AA" w:rsidRPr="00F05153">
              <w:rPr>
                <w:b/>
                <w:vertAlign w:val="superscript"/>
              </w:rPr>
              <w:t>-5</w:t>
            </w:r>
          </w:p>
        </w:tc>
        <w:tc>
          <w:tcPr>
            <w:tcW w:w="2978" w:type="dxa"/>
            <w:gridSpan w:val="2"/>
            <w:shd w:val="clear" w:color="auto" w:fill="BFBFBF" w:themeFill="background1" w:themeFillShade="BF"/>
          </w:tcPr>
          <w:p w:rsidR="00EE09B2" w:rsidRPr="00F05153" w:rsidRDefault="00EE09B2" w:rsidP="007E6E6A">
            <w:pPr>
              <w:pStyle w:val="Tabletext"/>
              <w:jc w:val="center"/>
              <w:rPr>
                <w:b/>
              </w:rPr>
            </w:pPr>
            <w:r w:rsidRPr="00F05153">
              <w:rPr>
                <w:b/>
              </w:rPr>
              <w:t xml:space="preserve">Mean </w:t>
            </w:r>
            <w:r w:rsidR="007E6E6A" w:rsidRPr="00F05153">
              <w:rPr>
                <w:b/>
              </w:rPr>
              <w:t xml:space="preserve">± SD </w:t>
            </w:r>
            <w:r w:rsidRPr="00F05153">
              <w:rPr>
                <w:b/>
              </w:rPr>
              <w:t>c</w:t>
            </w:r>
            <w:r w:rsidRPr="00F05153">
              <w:rPr>
                <w:rFonts w:asciiTheme="minorHAnsi" w:hAnsiTheme="minorHAnsi"/>
                <w:b/>
              </w:rPr>
              <w:t>hange from baseline</w:t>
            </w:r>
            <w:r w:rsidRPr="00F05153">
              <w:rPr>
                <w:b/>
              </w:rPr>
              <w:t xml:space="preserve">, </w:t>
            </w:r>
            <w:r w:rsidR="001424AA" w:rsidRPr="00F05153">
              <w:rPr>
                <w:b/>
              </w:rPr>
              <w:t>dyn*sec*cm</w:t>
            </w:r>
            <w:r w:rsidR="001424AA" w:rsidRPr="00F05153">
              <w:rPr>
                <w:b/>
                <w:vertAlign w:val="superscript"/>
              </w:rPr>
              <w:t>-5</w:t>
            </w:r>
            <w:r w:rsidR="00E6350D" w:rsidRPr="00F05153">
              <w:rPr>
                <w:b/>
              </w:rPr>
              <w:t xml:space="preserve"> (% change from baseline)</w:t>
            </w:r>
          </w:p>
        </w:tc>
        <w:tc>
          <w:tcPr>
            <w:tcW w:w="1559" w:type="dxa"/>
            <w:vMerge w:val="restart"/>
            <w:shd w:val="clear" w:color="auto" w:fill="BFBFBF" w:themeFill="background1" w:themeFillShade="BF"/>
          </w:tcPr>
          <w:p w:rsidR="00EE09B2" w:rsidRPr="00F05153" w:rsidRDefault="00EE09B2" w:rsidP="00F141A8">
            <w:pPr>
              <w:pStyle w:val="Tabletext"/>
              <w:jc w:val="center"/>
              <w:rPr>
                <w:b/>
              </w:rPr>
            </w:pPr>
            <w:r w:rsidRPr="00F05153">
              <w:rPr>
                <w:b/>
              </w:rPr>
              <w:t>Mean d</w:t>
            </w:r>
            <w:r w:rsidRPr="00F05153">
              <w:rPr>
                <w:rFonts w:asciiTheme="minorHAnsi" w:hAnsiTheme="minorHAnsi"/>
                <w:b/>
              </w:rPr>
              <w:t>ifference</w:t>
            </w:r>
            <w:r w:rsidR="00F141A8" w:rsidRPr="00F05153">
              <w:rPr>
                <w:b/>
              </w:rPr>
              <w:t>, dyn*sec*cm</w:t>
            </w:r>
            <w:r w:rsidR="00F141A8" w:rsidRPr="00F05153">
              <w:rPr>
                <w:b/>
                <w:vertAlign w:val="superscript"/>
              </w:rPr>
              <w:t>-5</w:t>
            </w:r>
            <w:r w:rsidRPr="00F05153">
              <w:rPr>
                <w:rFonts w:asciiTheme="minorHAnsi" w:hAnsiTheme="minorHAnsi"/>
                <w:b/>
              </w:rPr>
              <w:t xml:space="preserve"> </w:t>
            </w:r>
            <w:r w:rsidR="00E6350D" w:rsidRPr="00F05153">
              <w:rPr>
                <w:rFonts w:asciiTheme="minorHAnsi" w:hAnsiTheme="minorHAnsi"/>
                <w:b/>
              </w:rPr>
              <w:br/>
            </w:r>
            <w:r w:rsidRPr="00F05153">
              <w:rPr>
                <w:b/>
              </w:rPr>
              <w:t>(</w:t>
            </w:r>
            <w:r w:rsidR="00E6350D" w:rsidRPr="00F05153">
              <w:rPr>
                <w:b/>
              </w:rPr>
              <w:t>% change</w:t>
            </w:r>
            <w:r w:rsidRPr="00F05153">
              <w:rPr>
                <w:b/>
              </w:rPr>
              <w:t>)</w:t>
            </w:r>
          </w:p>
        </w:tc>
      </w:tr>
      <w:tr w:rsidR="00EE09B2" w:rsidRPr="00F05153" w:rsidTr="001424AA">
        <w:tc>
          <w:tcPr>
            <w:tcW w:w="1271" w:type="dxa"/>
            <w:vMerge/>
          </w:tcPr>
          <w:p w:rsidR="00EE09B2" w:rsidRPr="00F05153" w:rsidRDefault="00EE09B2" w:rsidP="00BC5A2B">
            <w:pPr>
              <w:pStyle w:val="Tabletext"/>
            </w:pPr>
          </w:p>
        </w:tc>
        <w:tc>
          <w:tcPr>
            <w:tcW w:w="1134" w:type="dxa"/>
            <w:vMerge/>
          </w:tcPr>
          <w:p w:rsidR="00EE09B2" w:rsidRPr="00F05153" w:rsidRDefault="00EE09B2" w:rsidP="00BC5A2B">
            <w:pPr>
              <w:pStyle w:val="Tabletext"/>
            </w:pPr>
          </w:p>
        </w:tc>
        <w:tc>
          <w:tcPr>
            <w:tcW w:w="1346" w:type="dxa"/>
            <w:shd w:val="clear" w:color="auto" w:fill="BFBFBF" w:themeFill="background1" w:themeFillShade="BF"/>
          </w:tcPr>
          <w:p w:rsidR="00EE09B2" w:rsidRPr="00F05153" w:rsidRDefault="00EC2524" w:rsidP="00BC5A2B">
            <w:pPr>
              <w:pStyle w:val="Tabletext"/>
              <w:jc w:val="center"/>
              <w:rPr>
                <w:b/>
              </w:rPr>
            </w:pPr>
            <w:r w:rsidRPr="00F05153">
              <w:rPr>
                <w:b/>
              </w:rPr>
              <w:t>sGC stimulator</w:t>
            </w:r>
          </w:p>
        </w:tc>
        <w:tc>
          <w:tcPr>
            <w:tcW w:w="1347" w:type="dxa"/>
            <w:shd w:val="clear" w:color="auto" w:fill="BFBFBF" w:themeFill="background1" w:themeFillShade="BF"/>
          </w:tcPr>
          <w:p w:rsidR="00EE09B2" w:rsidRPr="00F05153" w:rsidRDefault="00EE09B2" w:rsidP="00BC5A2B">
            <w:pPr>
              <w:pStyle w:val="Tabletext"/>
              <w:jc w:val="center"/>
              <w:rPr>
                <w:b/>
              </w:rPr>
            </w:pPr>
            <w:r w:rsidRPr="00F05153">
              <w:rPr>
                <w:rFonts w:asciiTheme="minorHAnsi" w:hAnsiTheme="minorHAnsi"/>
                <w:b/>
              </w:rPr>
              <w:t>Placebo</w:t>
            </w:r>
          </w:p>
        </w:tc>
        <w:tc>
          <w:tcPr>
            <w:tcW w:w="1560" w:type="dxa"/>
            <w:shd w:val="clear" w:color="auto" w:fill="BFBFBF" w:themeFill="background1" w:themeFillShade="BF"/>
          </w:tcPr>
          <w:p w:rsidR="00EE09B2" w:rsidRPr="00F05153" w:rsidRDefault="00EC2524" w:rsidP="00BC5A2B">
            <w:pPr>
              <w:pStyle w:val="Tabletext"/>
              <w:jc w:val="center"/>
              <w:rPr>
                <w:b/>
              </w:rPr>
            </w:pPr>
            <w:r w:rsidRPr="00F05153">
              <w:rPr>
                <w:b/>
              </w:rPr>
              <w:t>sGC stimulator</w:t>
            </w:r>
          </w:p>
        </w:tc>
        <w:tc>
          <w:tcPr>
            <w:tcW w:w="1418" w:type="dxa"/>
            <w:shd w:val="clear" w:color="auto" w:fill="BFBFBF" w:themeFill="background1" w:themeFillShade="BF"/>
          </w:tcPr>
          <w:p w:rsidR="00EE09B2" w:rsidRPr="00F05153" w:rsidRDefault="00EE09B2" w:rsidP="00BC5A2B">
            <w:pPr>
              <w:pStyle w:val="Tabletext"/>
              <w:jc w:val="center"/>
              <w:rPr>
                <w:b/>
              </w:rPr>
            </w:pPr>
            <w:r w:rsidRPr="00F05153">
              <w:rPr>
                <w:rFonts w:asciiTheme="minorHAnsi" w:hAnsiTheme="minorHAnsi"/>
                <w:b/>
              </w:rPr>
              <w:t>Placebo</w:t>
            </w:r>
          </w:p>
        </w:tc>
        <w:tc>
          <w:tcPr>
            <w:tcW w:w="1559" w:type="dxa"/>
            <w:vMerge/>
          </w:tcPr>
          <w:p w:rsidR="00EE09B2" w:rsidRPr="00F05153" w:rsidRDefault="00EE09B2" w:rsidP="00BC5A2B">
            <w:pPr>
              <w:pStyle w:val="Tabletext"/>
            </w:pPr>
          </w:p>
        </w:tc>
      </w:tr>
      <w:tr w:rsidR="00EE09B2" w:rsidRPr="00F05153" w:rsidTr="001424AA">
        <w:tc>
          <w:tcPr>
            <w:tcW w:w="1271" w:type="dxa"/>
          </w:tcPr>
          <w:p w:rsidR="00EE09B2" w:rsidRPr="00F05153" w:rsidRDefault="00EE09B2" w:rsidP="00BC5A2B">
            <w:pPr>
              <w:pStyle w:val="Tabletext"/>
            </w:pPr>
            <w:r w:rsidRPr="00F05153">
              <w:t>PATENT-1 CSR</w:t>
            </w:r>
          </w:p>
          <w:p w:rsidR="00EC2524" w:rsidRPr="00F05153" w:rsidRDefault="00EC2524" w:rsidP="00BC5A2B">
            <w:pPr>
              <w:pStyle w:val="Tabletext"/>
            </w:pPr>
            <w:r w:rsidRPr="00F05153">
              <w:t>Riociguat</w:t>
            </w:r>
          </w:p>
        </w:tc>
        <w:tc>
          <w:tcPr>
            <w:tcW w:w="1134" w:type="dxa"/>
          </w:tcPr>
          <w:p w:rsidR="00EE09B2" w:rsidRPr="00F05153" w:rsidRDefault="00EE09B2" w:rsidP="00BC5A2B">
            <w:pPr>
              <w:pStyle w:val="Tabletext"/>
              <w:rPr>
                <w:rFonts w:cs="Tahoma"/>
              </w:rPr>
            </w:pPr>
            <w:r w:rsidRPr="00F05153">
              <w:rPr>
                <w:rFonts w:cs="Tahoma"/>
              </w:rPr>
              <w:t>N=107</w:t>
            </w:r>
          </w:p>
          <w:p w:rsidR="00EE09B2" w:rsidRPr="00F05153" w:rsidRDefault="00EE09B2" w:rsidP="00BC5A2B">
            <w:pPr>
              <w:pStyle w:val="Tabletext"/>
            </w:pPr>
            <w:r w:rsidRPr="00F05153">
              <w:rPr>
                <w:rFonts w:cs="Tahoma"/>
              </w:rPr>
              <w:t>12 weeks</w:t>
            </w:r>
          </w:p>
        </w:tc>
        <w:tc>
          <w:tcPr>
            <w:tcW w:w="1346" w:type="dxa"/>
          </w:tcPr>
          <w:p w:rsidR="00EE09B2" w:rsidRPr="002046A0" w:rsidRDefault="002046A0" w:rsidP="00BC5A2B">
            <w:pPr>
              <w:pStyle w:val="Tabletext"/>
              <w:jc w:val="center"/>
              <w:rPr>
                <w:highlight w:val="black"/>
              </w:rPr>
            </w:pPr>
            <w:r>
              <w:rPr>
                <w:rFonts w:cs="Tahoma"/>
                <w:noProof/>
                <w:color w:val="000000"/>
                <w:highlight w:val="black"/>
              </w:rPr>
              <w:t>'''''''''' ''' '''''''''</w:t>
            </w:r>
          </w:p>
        </w:tc>
        <w:tc>
          <w:tcPr>
            <w:tcW w:w="1347" w:type="dxa"/>
          </w:tcPr>
          <w:p w:rsidR="00EE09B2" w:rsidRPr="002046A0" w:rsidRDefault="002046A0" w:rsidP="006B12F7">
            <w:pPr>
              <w:pStyle w:val="Tabletext"/>
              <w:jc w:val="center"/>
              <w:rPr>
                <w:highlight w:val="black"/>
              </w:rPr>
            </w:pPr>
            <w:r>
              <w:rPr>
                <w:rFonts w:cs="Tahoma"/>
                <w:noProof/>
                <w:color w:val="000000"/>
                <w:highlight w:val="black"/>
              </w:rPr>
              <w:t>''''''''' ''' '''''''''</w:t>
            </w:r>
          </w:p>
        </w:tc>
        <w:tc>
          <w:tcPr>
            <w:tcW w:w="1560" w:type="dxa"/>
          </w:tcPr>
          <w:p w:rsidR="00EE09B2" w:rsidRPr="002046A0" w:rsidRDefault="002046A0" w:rsidP="00BC5A2B">
            <w:pPr>
              <w:pStyle w:val="Tabletext"/>
              <w:jc w:val="center"/>
              <w:rPr>
                <w:rFonts w:cs="Tahoma"/>
                <w:highlight w:val="black"/>
              </w:rPr>
            </w:pPr>
            <w:r>
              <w:rPr>
                <w:rFonts w:cs="Tahoma"/>
                <w:noProof/>
                <w:color w:val="000000"/>
                <w:highlight w:val="black"/>
              </w:rPr>
              <w:t>''''''''''' ''' ''''''''</w:t>
            </w:r>
          </w:p>
          <w:p w:rsidR="00EE09B2" w:rsidRPr="002046A0" w:rsidRDefault="002046A0" w:rsidP="00E6350D">
            <w:pPr>
              <w:pStyle w:val="Tabletext"/>
              <w:jc w:val="center"/>
              <w:rPr>
                <w:highlight w:val="black"/>
              </w:rPr>
            </w:pPr>
            <w:r>
              <w:rPr>
                <w:rFonts w:cs="Tahoma"/>
                <w:noProof/>
                <w:color w:val="000000"/>
                <w:highlight w:val="black"/>
              </w:rPr>
              <w:t>'''''''''''''''' ''''''''''''''''''''''''</w:t>
            </w:r>
          </w:p>
        </w:tc>
        <w:tc>
          <w:tcPr>
            <w:tcW w:w="1418" w:type="dxa"/>
          </w:tcPr>
          <w:p w:rsidR="00EE09B2" w:rsidRPr="002046A0" w:rsidRDefault="002046A0" w:rsidP="00BC5A2B">
            <w:pPr>
              <w:pStyle w:val="Tabletext"/>
              <w:jc w:val="center"/>
              <w:rPr>
                <w:rFonts w:cs="Tahoma"/>
                <w:highlight w:val="black"/>
              </w:rPr>
            </w:pPr>
            <w:r>
              <w:rPr>
                <w:rFonts w:cs="Tahoma"/>
                <w:noProof/>
                <w:color w:val="000000"/>
                <w:highlight w:val="black"/>
              </w:rPr>
              <w:t>'''''' ''' '''''''''</w:t>
            </w:r>
          </w:p>
          <w:p w:rsidR="00EE09B2" w:rsidRPr="002046A0" w:rsidRDefault="002046A0" w:rsidP="00063B4C">
            <w:pPr>
              <w:pStyle w:val="Tabletext"/>
              <w:jc w:val="center"/>
              <w:rPr>
                <w:highlight w:val="black"/>
              </w:rPr>
            </w:pPr>
            <w:r>
              <w:rPr>
                <w:rFonts w:cs="Tahoma"/>
                <w:noProof/>
                <w:color w:val="000000"/>
                <w:highlight w:val="black"/>
              </w:rPr>
              <w:t>''''''''''''' ''''''''''''''''''''</w:t>
            </w:r>
          </w:p>
        </w:tc>
        <w:tc>
          <w:tcPr>
            <w:tcW w:w="1559" w:type="dxa"/>
          </w:tcPr>
          <w:p w:rsidR="00EE09B2" w:rsidRPr="002046A0" w:rsidRDefault="002046A0" w:rsidP="00BC5A2B">
            <w:pPr>
              <w:pStyle w:val="Tabletext"/>
              <w:jc w:val="center"/>
              <w:rPr>
                <w:rFonts w:cs="Tahoma"/>
                <w:highlight w:val="black"/>
              </w:rPr>
            </w:pPr>
            <w:r>
              <w:rPr>
                <w:rFonts w:cs="Tahoma"/>
                <w:noProof/>
                <w:color w:val="000000"/>
                <w:highlight w:val="black"/>
              </w:rPr>
              <w:t>'''''''''''</w:t>
            </w:r>
          </w:p>
          <w:p w:rsidR="00EE09B2" w:rsidRPr="002046A0" w:rsidRDefault="002046A0" w:rsidP="00063B4C">
            <w:pPr>
              <w:pStyle w:val="Tabletext"/>
              <w:jc w:val="center"/>
              <w:rPr>
                <w:highlight w:val="black"/>
              </w:rPr>
            </w:pPr>
            <w:r>
              <w:rPr>
                <w:rFonts w:cs="Tahoma"/>
                <w:noProof/>
                <w:color w:val="000000"/>
                <w:highlight w:val="black"/>
              </w:rPr>
              <w:t>'''''''''''''''' '''''''''''''''''''''''''''''''''</w:t>
            </w:r>
          </w:p>
        </w:tc>
      </w:tr>
    </w:tbl>
    <w:p w:rsidR="003A513F" w:rsidRPr="00F05153" w:rsidRDefault="003A513F" w:rsidP="00EE09B2">
      <w:pPr>
        <w:pStyle w:val="Tablenote"/>
      </w:pPr>
      <w:proofErr w:type="gramStart"/>
      <w:r w:rsidRPr="00F05153">
        <w:rPr>
          <w:vertAlign w:val="superscript"/>
        </w:rPr>
        <w:t>a</w:t>
      </w:r>
      <w:proofErr w:type="gramEnd"/>
      <w:r w:rsidRPr="00F05153">
        <w:t xml:space="preserve"> A decrease in PVR indicates improvement in </w:t>
      </w:r>
      <w:r w:rsidR="007E658F" w:rsidRPr="00F05153">
        <w:t>haemodynamic parameters</w:t>
      </w:r>
    </w:p>
    <w:p w:rsidR="007E6E6A" w:rsidRPr="006316DF" w:rsidRDefault="00EE09B2" w:rsidP="00EE09B2">
      <w:pPr>
        <w:pStyle w:val="Tablenote"/>
      </w:pPr>
      <w:r w:rsidRPr="00F05153">
        <w:t xml:space="preserve">CSR = clinical study report; </w:t>
      </w:r>
      <w:r w:rsidR="007E6E6A" w:rsidRPr="00F05153">
        <w:t xml:space="preserve">FC = functional class; </w:t>
      </w:r>
      <w:r w:rsidRPr="00F05153">
        <w:t xml:space="preserve">N = number of patients; </w:t>
      </w:r>
      <w:r w:rsidR="007E6E6A" w:rsidRPr="00F05153">
        <w:t xml:space="preserve">PAH = pulmonary arterial hypertension; </w:t>
      </w:r>
      <w:r w:rsidRPr="00F05153">
        <w:t>PVR = pulmonary vascular resistance; SD = standard deviation</w:t>
      </w:r>
      <w:r w:rsidR="004B7C88" w:rsidRPr="00F05153">
        <w:t>; sGC = solub</w:t>
      </w:r>
      <w:r w:rsidR="00074B5F" w:rsidRPr="00F05153">
        <w:t>le guanylate cyclase</w:t>
      </w:r>
      <w:r w:rsidR="007E6E6A" w:rsidRPr="00F05153">
        <w:t>; WHO = World Health Organization</w:t>
      </w:r>
    </w:p>
    <w:p w:rsidR="00FB5052" w:rsidRPr="00822C52" w:rsidRDefault="0077344D" w:rsidP="00FB5052">
      <w:pPr>
        <w:pStyle w:val="Heading5"/>
      </w:pPr>
      <w:r>
        <w:t>h.</w:t>
      </w:r>
      <w:r w:rsidR="0066218C">
        <w:tab/>
      </w:r>
      <w:r w:rsidR="00FB5052">
        <w:t>Comparative s</w:t>
      </w:r>
      <w:r w:rsidR="00FB5052" w:rsidRPr="00822C52">
        <w:t>afety</w:t>
      </w:r>
    </w:p>
    <w:p w:rsidR="001D6E64" w:rsidRDefault="00FB5052" w:rsidP="00FB5052">
      <w:r w:rsidRPr="006316DF">
        <w:t xml:space="preserve">The RCT did not report on the comparative safety of </w:t>
      </w:r>
      <w:r w:rsidR="0069215C">
        <w:t xml:space="preserve">monotherapy </w:t>
      </w:r>
      <w:proofErr w:type="gramStart"/>
      <w:r w:rsidR="0069215C">
        <w:t xml:space="preserve">with </w:t>
      </w:r>
      <w:r w:rsidRPr="006316DF">
        <w:t xml:space="preserve">a </w:t>
      </w:r>
      <w:r>
        <w:t>sGC stimulator</w:t>
      </w:r>
      <w:r w:rsidRPr="006A4CC2">
        <w:t xml:space="preserve"> </w:t>
      </w:r>
      <w:r w:rsidRPr="006316DF">
        <w:t>versus placebo in patients with WHO FC I/II PAH</w:t>
      </w:r>
      <w:proofErr w:type="gramEnd"/>
      <w:r w:rsidRPr="006316DF">
        <w:t>. Hence</w:t>
      </w:r>
      <w:r>
        <w:t>,</w:t>
      </w:r>
      <w:r w:rsidRPr="006316DF">
        <w:t xml:space="preserve"> the </w:t>
      </w:r>
      <w:r w:rsidR="006B2A7D">
        <w:t>AE</w:t>
      </w:r>
      <w:r w:rsidRPr="006316DF">
        <w:t xml:space="preserve">s that </w:t>
      </w:r>
      <w:proofErr w:type="gramStart"/>
      <w:r w:rsidRPr="006316DF">
        <w:t>were observed</w:t>
      </w:r>
      <w:proofErr w:type="gramEnd"/>
      <w:r w:rsidRPr="006316DF">
        <w:t xml:space="preserve"> in </w:t>
      </w:r>
      <w:r>
        <w:t xml:space="preserve">the </w:t>
      </w:r>
      <w:r w:rsidRPr="006316DF">
        <w:t>broader PAH population are discussed in Section 4.</w:t>
      </w:r>
      <w:r w:rsidR="00857DBE">
        <w:t>4</w:t>
      </w:r>
      <w:r w:rsidRPr="006316DF">
        <w:t>.5.</w:t>
      </w:r>
    </w:p>
    <w:p w:rsidR="008060FB" w:rsidRDefault="008060FB" w:rsidP="00395F6E">
      <w:pPr>
        <w:pStyle w:val="Heading3"/>
      </w:pPr>
      <w:bookmarkStart w:id="144" w:name="_Toc38360282"/>
      <w:bookmarkStart w:id="145" w:name="_Toc468022806"/>
      <w:bookmarkStart w:id="146" w:name="_Toc482191516"/>
      <w:bookmarkStart w:id="147" w:name="_Toc486515183"/>
      <w:r w:rsidRPr="00EB1471">
        <w:t xml:space="preserve">Research question </w:t>
      </w:r>
      <w:r w:rsidR="00395F6E" w:rsidRPr="00EB1471">
        <w:t>2</w:t>
      </w:r>
      <w:bookmarkEnd w:id="144"/>
    </w:p>
    <w:p w:rsidR="00FB5052" w:rsidRPr="00BB76F5" w:rsidRDefault="00FB5052" w:rsidP="00FB5052">
      <w:pPr>
        <w:rPr>
          <w:i/>
        </w:rPr>
      </w:pPr>
      <w:r w:rsidRPr="00BB76F5">
        <w:rPr>
          <w:i/>
        </w:rPr>
        <w:t>What is the new evidence concerning the effectiveness and safety of monotherapy with a PAH medicine, compared to the main comparator accepted by the PBAC, in patients with WHO FC III or IV PAH, that has not previously been considered by the PBAC?</w:t>
      </w:r>
    </w:p>
    <w:p w:rsidR="00FB5052" w:rsidRDefault="00FB5052" w:rsidP="00FB5052">
      <w:r w:rsidRPr="006316DF">
        <w:t>There was no new evidence concerning the effectiveness and safety of monotherapy with a PAH medicine, compared to the main comparator accepted by the PBAC, in patients with WHO FC III or IV PAH.</w:t>
      </w:r>
    </w:p>
    <w:p w:rsidR="008060FB" w:rsidRDefault="008060FB" w:rsidP="00395F6E">
      <w:pPr>
        <w:pStyle w:val="Heading3"/>
      </w:pPr>
      <w:bookmarkStart w:id="148" w:name="_Toc38360283"/>
      <w:r w:rsidRPr="00EB1471">
        <w:t xml:space="preserve">Research question </w:t>
      </w:r>
      <w:r w:rsidR="00395F6E" w:rsidRPr="00EB1471">
        <w:t>3</w:t>
      </w:r>
      <w:bookmarkEnd w:id="148"/>
    </w:p>
    <w:p w:rsidR="0075777C" w:rsidRDefault="0075777C" w:rsidP="0075777C">
      <w:pPr>
        <w:rPr>
          <w:i/>
        </w:rPr>
      </w:pPr>
      <w:r w:rsidRPr="00BB76F5">
        <w:rPr>
          <w:i/>
        </w:rPr>
        <w:t xml:space="preserve">What is the effectiveness and safety of dual combination therapy involving any combination of an ERA, a </w:t>
      </w:r>
      <w:r>
        <w:rPr>
          <w:i/>
        </w:rPr>
        <w:t>PDE-5 inhibitor</w:t>
      </w:r>
      <w:r w:rsidRPr="00BB76F5">
        <w:rPr>
          <w:i/>
        </w:rPr>
        <w:t xml:space="preserve">, a prostanoid, or a </w:t>
      </w:r>
      <w:r>
        <w:rPr>
          <w:i/>
        </w:rPr>
        <w:t>sGC stimulator</w:t>
      </w:r>
      <w:r w:rsidRPr="00BB76F5">
        <w:rPr>
          <w:i/>
        </w:rPr>
        <w:t>, compared to monotherapy, in: i) PAH patients, irrespective of disease severity or aetiology; ii) PAH patients with FC III or IV; and iii) PAH patients with different disease aetiologies?</w:t>
      </w:r>
    </w:p>
    <w:p w:rsidR="0075777C" w:rsidRPr="006632FB" w:rsidRDefault="0066218C" w:rsidP="0075777C">
      <w:pPr>
        <w:pStyle w:val="Heading4"/>
      </w:pPr>
      <w:r>
        <w:t>4.4.3.1</w:t>
      </w:r>
      <w:r w:rsidR="005035F1">
        <w:tab/>
      </w:r>
      <w:r>
        <w:tab/>
      </w:r>
      <w:r w:rsidR="0075777C" w:rsidRPr="006632FB">
        <w:t>ERA in addition to PDE-5</w:t>
      </w:r>
      <w:r w:rsidR="0075777C">
        <w:t xml:space="preserve"> </w:t>
      </w:r>
      <w:r w:rsidR="0075777C" w:rsidRPr="006632FB">
        <w:t>i</w:t>
      </w:r>
      <w:r w:rsidR="0075777C">
        <w:t>nhibitor</w:t>
      </w:r>
    </w:p>
    <w:p w:rsidR="0075777C" w:rsidRPr="00822C52" w:rsidRDefault="0075777C" w:rsidP="0075777C">
      <w:r w:rsidRPr="00822C52">
        <w:t>Four RCTs reported on the effectiveness of an ERA in addition to a PDE-5</w:t>
      </w:r>
      <w:r>
        <w:t xml:space="preserve"> </w:t>
      </w:r>
      <w:r w:rsidRPr="00C5017B">
        <w:t xml:space="preserve">inhibitor </w:t>
      </w:r>
      <w:r w:rsidRPr="00822C52">
        <w:t xml:space="preserve">in treating PAH compared with placebo plus a </w:t>
      </w:r>
      <w:r>
        <w:t>PDE-5 inhibitor</w:t>
      </w:r>
      <w:r w:rsidRPr="00822C52">
        <w:t xml:space="preserve"> in patients with PAH.</w:t>
      </w:r>
    </w:p>
    <w:p w:rsidR="0075777C" w:rsidRPr="00822C52" w:rsidRDefault="0075777C" w:rsidP="0075777C">
      <w:r w:rsidRPr="00822C52">
        <w:t>The EARLY</w:t>
      </w:r>
      <w:r w:rsidR="001D34EE" w:rsidRPr="001D34EE">
        <w:rPr>
          <w:noProof/>
          <w:vertAlign w:val="superscript"/>
        </w:rPr>
        <w:t>9</w:t>
      </w:r>
      <w:r w:rsidRPr="00822C52">
        <w:t xml:space="preserve"> double-blind trial randomised WHO FC II PAH patients with and without background sildenafil therapy to receive bosentan or placebo for 26 weeks. Patients </w:t>
      </w:r>
      <w:proofErr w:type="gramStart"/>
      <w:r w:rsidRPr="00822C52">
        <w:t>had been diagnosed</w:t>
      </w:r>
      <w:proofErr w:type="gramEnd"/>
      <w:r w:rsidRPr="00822C52">
        <w:t xml:space="preserve"> with IPAH, PAH-CHD, PAH-CTD or PAH-HIV. The PAH aetiology and haemodynamic factors were evenly distributed between the two randomised groups. Randomisation </w:t>
      </w:r>
      <w:proofErr w:type="gramStart"/>
      <w:r w:rsidRPr="00822C52">
        <w:t>was stratified</w:t>
      </w:r>
      <w:proofErr w:type="gramEnd"/>
      <w:r w:rsidRPr="00822C52">
        <w:t xml:space="preserve"> according to background therapy. Therefore, even though only a small proportion of patients received sildenafil as background therapy (15% in the bosentan group and 16% in the placebo group), the risk of incomparable baseline parameters for these patients is low. Pre-specified subgroup analysis of patients receiving background sildenafil therapy was available from the CSR (highlighted).</w:t>
      </w:r>
    </w:p>
    <w:p w:rsidR="0075777C" w:rsidRPr="00822C52" w:rsidRDefault="0075777C" w:rsidP="0075777C">
      <w:r w:rsidRPr="00822C52">
        <w:t>The COMPASS-2</w:t>
      </w:r>
      <w:r w:rsidR="001D34EE" w:rsidRPr="001A1C44">
        <w:rPr>
          <w:noProof/>
          <w:vertAlign w:val="superscript"/>
        </w:rPr>
        <w:t>37</w:t>
      </w:r>
      <w:r w:rsidRPr="00822C52">
        <w:t xml:space="preserve"> double-blind trial randomised PAH patients who were on stable sildenafil therapy to receive bosentan or placebo for up to end of study. The mean ± SD duration of follow-up duration was 39.7 ± 22.6 months for the placebo group and 38.0 ± 21.9 months for the bosentan group. Overall, 172/334 patients, (51% from the placebo group and 52% from the bosentan group), did not complete the study. Of these patients, 63 (37%) did not experience a primary end-point event, resulting in 20% missing information for the primary end-point of clinical worsening and 22% for the secondary end-point of time to death from any cause. Pre-specified subgroup analysis for patients with FC III/IV PAH, and patients with different PAH aetiologies were also conducted.</w:t>
      </w:r>
    </w:p>
    <w:p w:rsidR="0075777C" w:rsidRDefault="0075777C" w:rsidP="0075777C">
      <w:r w:rsidRPr="00822C52">
        <w:t>The SERAPHIN</w:t>
      </w:r>
      <w:r w:rsidR="001D34EE" w:rsidRPr="001D34EE">
        <w:rPr>
          <w:noProof/>
          <w:vertAlign w:val="superscript"/>
        </w:rPr>
        <w:t>7</w:t>
      </w:r>
      <w:r w:rsidRPr="00822C52">
        <w:t xml:space="preserve"> double-blind long-term trial randomised PAH patients of any WHO FC to receive macitentan or placebo for up to 54 months. Patients </w:t>
      </w:r>
      <w:proofErr w:type="gramStart"/>
      <w:r w:rsidRPr="00822C52">
        <w:t>were also permitted</w:t>
      </w:r>
      <w:proofErr w:type="gramEnd"/>
      <w:r w:rsidRPr="00822C52">
        <w:t xml:space="preserve"> to have background therapy with a </w:t>
      </w:r>
      <w:r>
        <w:t>PDE-5 inhibitor</w:t>
      </w:r>
      <w:r w:rsidRPr="00822C52">
        <w:t xml:space="preserve"> (61% of patients) or a prostanoid (4% of patients). The baseline characteristics of the randomised groups were similar, the lack of stratification based on background therapy and WHO FC may have resulted in imbalances in disease severity in individual treatment arms for these subgroups. The mean duration of study treatment was 85.3 weeks and 103.9 weeks for the patients receiving placebo and macitentan, </w:t>
      </w:r>
      <w:proofErr w:type="gramStart"/>
      <w:r w:rsidRPr="00822C52">
        <w:t>respectively.</w:t>
      </w:r>
      <w:proofErr w:type="gramEnd"/>
      <w:r w:rsidRPr="00822C52">
        <w:t xml:space="preserve"> Post hoc subgroup analyses of patients with WHO FC III/IV PAH for several relevant outcomes </w:t>
      </w:r>
      <w:proofErr w:type="gramStart"/>
      <w:r w:rsidRPr="00822C52">
        <w:t>were reported</w:t>
      </w:r>
      <w:proofErr w:type="gramEnd"/>
      <w:r w:rsidRPr="00822C52">
        <w:t xml:space="preserve"> in the March 2014 submission to PBAC (highlighted).</w:t>
      </w:r>
    </w:p>
    <w:p w:rsidR="0075777C" w:rsidRPr="00822C52" w:rsidRDefault="0075777C" w:rsidP="0075777C">
      <w:r w:rsidRPr="00822C52">
        <w:t>The AMBITION</w:t>
      </w:r>
      <w:r w:rsidR="001D34EE" w:rsidRPr="001A1C44">
        <w:rPr>
          <w:noProof/>
          <w:vertAlign w:val="superscript"/>
        </w:rPr>
        <w:t>30</w:t>
      </w:r>
      <w:r w:rsidRPr="00822C52">
        <w:t xml:space="preserve"> double-blind trial randomised patients with WHO FC II/III PAH to receive combination therapy with ambrisentan plus tadalafil, or monotherapy with ambrisentan plus placebo, or tadalafil plus placebo. The mean duration of use of the randomly assigned study medication from the start of therapy to the final assessment visit was 74 weeks (79 weeks in the combination-therapy group and 69 weeks in the pooled-monotherapy group). Patients were diagnosed with IPAH, HPAH, PAH-CTD, PAH-CHD, PAH-HIV or </w:t>
      </w:r>
      <w:r w:rsidR="009B47AA" w:rsidRPr="009B47AA">
        <w:t xml:space="preserve">drug/toxin-induced </w:t>
      </w:r>
      <w:r w:rsidRPr="00822C52">
        <w:t>PAH, and were stratified according to PAH aetiology and WHO FC. Overall, 13% of patients withdrew from the study before having a primary end-point event.</w:t>
      </w:r>
    </w:p>
    <w:p w:rsidR="0075777C" w:rsidRPr="00822C52" w:rsidRDefault="0075777C" w:rsidP="0075777C">
      <w:r w:rsidRPr="00822C52">
        <w:t>The EARLY and AMBITION trials had a low risk of bias, and the COMPASS and SERAPHIN trials had a low-to-moderate risk of bias. The increased risk was mainly due to the lack of stratification for background therapy and WHO FC in the SERAPHIN trial, and the high rate of discontinuation in the COMPASS trial. There was also a large variation in the duration of the trials; varying from 26 weeks to 1</w:t>
      </w:r>
      <w:r w:rsidR="000801F8">
        <w:t>69</w:t>
      </w:r>
      <w:r w:rsidRPr="00822C52">
        <w:t xml:space="preserve"> weeks, as described above.</w:t>
      </w:r>
    </w:p>
    <w:p w:rsidR="0075777C" w:rsidRPr="00A3015F" w:rsidRDefault="0077344D" w:rsidP="0077344D">
      <w:pPr>
        <w:pStyle w:val="Heading5"/>
      </w:pPr>
      <w:r>
        <w:t>a.</w:t>
      </w:r>
      <w:r w:rsidR="0066218C">
        <w:tab/>
      </w:r>
      <w:r w:rsidR="0075777C" w:rsidRPr="00A3015F">
        <w:t>Study-defined clinical worsening</w:t>
      </w:r>
    </w:p>
    <w:p w:rsidR="0075777C" w:rsidRPr="00822C52" w:rsidRDefault="0075777C" w:rsidP="0075777C">
      <w:r w:rsidRPr="00822C52">
        <w:t>The</w:t>
      </w:r>
      <w:r w:rsidR="00E411CE">
        <w:t xml:space="preserve"> composite endpoint of </w:t>
      </w:r>
      <w:r w:rsidRPr="00822C52">
        <w:t>clinical worsening included death</w:t>
      </w:r>
      <w:r w:rsidR="00E411CE">
        <w:t xml:space="preserve"> and </w:t>
      </w:r>
      <w:r w:rsidR="00E411CE" w:rsidRPr="00822C52">
        <w:t>symptomatic</w:t>
      </w:r>
      <w:r w:rsidR="00E411CE">
        <w:t xml:space="preserve"> disease progression </w:t>
      </w:r>
      <w:r w:rsidR="00E411CE" w:rsidRPr="00822C52">
        <w:t xml:space="preserve">in all </w:t>
      </w:r>
      <w:r w:rsidR="00E411CE">
        <w:t>four</w:t>
      </w:r>
      <w:r w:rsidR="00E411CE" w:rsidRPr="00822C52">
        <w:t xml:space="preserve"> trials</w:t>
      </w:r>
      <w:r w:rsidRPr="00822C52">
        <w:t xml:space="preserve">, </w:t>
      </w:r>
      <w:r w:rsidR="00E411CE">
        <w:t xml:space="preserve">with other components varying across trials </w:t>
      </w:r>
      <w:r w:rsidRPr="00822C52">
        <w:t>(see Section 4.</w:t>
      </w:r>
      <w:r w:rsidR="00E411CE">
        <w:t>3</w:t>
      </w:r>
      <w:r w:rsidRPr="00822C52">
        <w:t>.</w:t>
      </w:r>
      <w:r w:rsidR="00E411CE">
        <w:t>5</w:t>
      </w:r>
      <w:r w:rsidRPr="00822C52">
        <w:t xml:space="preserve"> for further details).</w:t>
      </w:r>
    </w:p>
    <w:p w:rsidR="0075777C" w:rsidRPr="00B607A5" w:rsidRDefault="0077344D" w:rsidP="0077344D">
      <w:pPr>
        <w:pStyle w:val="Heading6"/>
      </w:pPr>
      <w:proofErr w:type="gramStart"/>
      <w:r w:rsidRPr="00B607A5">
        <w:t>a</w:t>
      </w:r>
      <w:r w:rsidR="0075777C" w:rsidRPr="00B607A5">
        <w:t>.i</w:t>
      </w:r>
      <w:proofErr w:type="gramEnd"/>
      <w:r w:rsidR="0075777C" w:rsidRPr="00B607A5">
        <w:tab/>
        <w:t>PAH patients, irrespective of disease severity or aetiology</w:t>
      </w:r>
    </w:p>
    <w:p w:rsidR="0075777C" w:rsidRPr="00F05153" w:rsidRDefault="0075777C" w:rsidP="0075777C">
      <w:r w:rsidRPr="00822C52">
        <w:t xml:space="preserve">All four RCTs reported on the proportion of PAH patients, irrespective of disease severity or aetiology, who had clinical worsening while taking both an ERA and a </w:t>
      </w:r>
      <w:r>
        <w:t>PDE-5 inhibitor</w:t>
      </w:r>
      <w:r w:rsidRPr="00822C52">
        <w:t xml:space="preserve"> drug compared with a placebo plus a </w:t>
      </w:r>
      <w:r>
        <w:t>PDE-5 inhibitor</w:t>
      </w:r>
      <w:r w:rsidRPr="00822C52">
        <w:t xml:space="preserve"> drug (</w:t>
      </w:r>
      <w:r w:rsidR="003951FA" w:rsidRPr="00F05153">
        <w:t>Table 4.</w:t>
      </w:r>
      <w:r w:rsidR="003951FA">
        <w:rPr>
          <w:noProof/>
        </w:rPr>
        <w:t>44</w:t>
      </w:r>
      <w:r w:rsidRPr="00822C52">
        <w:t xml:space="preserve">). In the EARLY trial, patients </w:t>
      </w:r>
      <w:r w:rsidRPr="00F05153">
        <w:t xml:space="preserve">receiving bosentan and sildenafil were </w:t>
      </w:r>
      <w:r w:rsidR="002046A0">
        <w:rPr>
          <w:noProof/>
          <w:color w:val="000000"/>
          <w:highlight w:val="black"/>
        </w:rPr>
        <w:t>''''''''''''' '''''''' '''''''''</w:t>
      </w:r>
      <w:r w:rsidRPr="00F05153">
        <w:t xml:space="preserve"> to have clinical worsening than patients who received only si</w:t>
      </w:r>
      <w:r w:rsidR="0002253F" w:rsidRPr="00F05153">
        <w:t>l</w:t>
      </w:r>
      <w:r w:rsidRPr="00F05153">
        <w:t>denafil over the 26-week study period, but the study was underpowered to detect a statistically significant difference. There was also a lack of statistical significance in the modest 20% reduced likelihood of clinical worsening seen in the bosentan and sildenafil combination therapy group in the COMPASS-2 trial compared with the sildenafil monotherapy group</w:t>
      </w:r>
      <w:r w:rsidR="000801F8" w:rsidRPr="00F05153">
        <w:t xml:space="preserve"> over a mean duration of follow-up of 169 weeks</w:t>
      </w:r>
      <w:r w:rsidR="005267B0" w:rsidRPr="00F05153">
        <w:t>.</w:t>
      </w:r>
    </w:p>
    <w:p w:rsidR="0075777C" w:rsidRPr="00F05153" w:rsidRDefault="0075777C" w:rsidP="0075777C">
      <w:r w:rsidRPr="00F05153">
        <w:t xml:space="preserve">Over a 74-week period, patients treated with ambrisentan and tadalafil in the AMBITION trial were significantly less likely, by almost 2-times, to have clinical worsening </w:t>
      </w:r>
      <w:proofErr w:type="gramStart"/>
      <w:r w:rsidRPr="00F05153">
        <w:t>than patients receiving tadalafil alone</w:t>
      </w:r>
      <w:proofErr w:type="gramEnd"/>
      <w:r w:rsidRPr="00F05153">
        <w:t xml:space="preserve">. Over 104 weeks in the SERAPHIN trial, patients treated with macitentan and a PDE-5 inhibitor were </w:t>
      </w:r>
      <w:r w:rsidR="002046A0">
        <w:rPr>
          <w:noProof/>
          <w:color w:val="000000"/>
          <w:highlight w:val="black"/>
        </w:rPr>
        <w:t>'''''''' '''''''''''''''''''''''' ''''''' ''''''''''' '''' '''''''''' ''''''''''</w:t>
      </w:r>
      <w:r w:rsidRPr="00F05153">
        <w:t xml:space="preserve"> to have clinical worsening than patients receiving a PDE-5 inhibitor alone.</w:t>
      </w:r>
    </w:p>
    <w:p w:rsidR="0075777C" w:rsidRPr="00F05153" w:rsidRDefault="00272F8F" w:rsidP="00BC5A2B">
      <w:pPr>
        <w:pStyle w:val="Caption"/>
      </w:pPr>
      <w:bookmarkStart w:id="149" w:name="_Ref503269635"/>
      <w:bookmarkStart w:id="150" w:name="_Toc38360341"/>
      <w:r w:rsidRPr="00F05153">
        <w:t>Table 4.</w:t>
      </w:r>
      <w:r w:rsidR="003951FA">
        <w:rPr>
          <w:noProof/>
        </w:rPr>
        <w:t>44</w:t>
      </w:r>
      <w:bookmarkEnd w:id="149"/>
      <w:r w:rsidR="00DE31E4" w:rsidRPr="00F05153">
        <w:tab/>
      </w:r>
      <w:r w:rsidR="0075777C" w:rsidRPr="00F05153">
        <w:t xml:space="preserve">The effectiveness of </w:t>
      </w:r>
      <w:r w:rsidR="00EB768B" w:rsidRPr="00F05153">
        <w:t xml:space="preserve">an </w:t>
      </w:r>
      <w:r w:rsidR="0075777C" w:rsidRPr="00F05153">
        <w:t xml:space="preserve">ERA </w:t>
      </w:r>
      <w:r w:rsidR="00385078" w:rsidRPr="00F05153">
        <w:t>in addition to</w:t>
      </w:r>
      <w:r w:rsidR="0075777C" w:rsidRPr="00F05153">
        <w:t xml:space="preserve"> </w:t>
      </w:r>
      <w:r w:rsidR="00EB768B" w:rsidRPr="00F05153">
        <w:t xml:space="preserve">a </w:t>
      </w:r>
      <w:r w:rsidR="0075777C" w:rsidRPr="00F05153">
        <w:t xml:space="preserve">PDE-5 inhibitor compared with PDE-5 inhibitor </w:t>
      </w:r>
      <w:r w:rsidR="00385078" w:rsidRPr="00F05153">
        <w:t xml:space="preserve">monotherapy </w:t>
      </w:r>
      <w:r w:rsidR="0075777C" w:rsidRPr="00F05153">
        <w:t>in preventing clinical worsening in all PAH patients</w:t>
      </w:r>
      <w:bookmarkEnd w:id="150"/>
    </w:p>
    <w:tbl>
      <w:tblPr>
        <w:tblStyle w:val="TableGrid7"/>
        <w:tblW w:w="9634" w:type="dxa"/>
        <w:tblLayout w:type="fixed"/>
        <w:tblLook w:val="04A0" w:firstRow="1" w:lastRow="0" w:firstColumn="1" w:lastColumn="0" w:noHBand="0" w:noVBand="1"/>
        <w:tblCaption w:val="The effectiveness of an ERA in addition to a PDE-5 inhibitor compared with PDE-5 inhibitor monotherapy in preventing clinical worsening in all PAH patients"/>
      </w:tblPr>
      <w:tblGrid>
        <w:gridCol w:w="1838"/>
        <w:gridCol w:w="1985"/>
        <w:gridCol w:w="1842"/>
        <w:gridCol w:w="1985"/>
        <w:gridCol w:w="1984"/>
      </w:tblGrid>
      <w:tr w:rsidR="0075777C" w:rsidRPr="00F05153" w:rsidTr="00EC2524">
        <w:trPr>
          <w:trHeight w:val="162"/>
          <w:tblHeader/>
        </w:trPr>
        <w:tc>
          <w:tcPr>
            <w:tcW w:w="1838" w:type="dxa"/>
            <w:vMerge w:val="restart"/>
            <w:shd w:val="clear" w:color="auto" w:fill="BFBFBF" w:themeFill="background1" w:themeFillShade="BF"/>
          </w:tcPr>
          <w:p w:rsidR="0075777C" w:rsidRPr="00F05153" w:rsidRDefault="0075777C" w:rsidP="00DE31E4">
            <w:pPr>
              <w:pStyle w:val="Tabletext"/>
              <w:rPr>
                <w:b/>
              </w:rPr>
            </w:pPr>
            <w:r w:rsidRPr="00F05153">
              <w:rPr>
                <w:b/>
              </w:rPr>
              <w:t>Study ID</w:t>
            </w:r>
          </w:p>
        </w:tc>
        <w:tc>
          <w:tcPr>
            <w:tcW w:w="1985" w:type="dxa"/>
            <w:vMerge w:val="restart"/>
            <w:shd w:val="clear" w:color="auto" w:fill="BFBFBF" w:themeFill="background1" w:themeFillShade="BF"/>
          </w:tcPr>
          <w:p w:rsidR="0075777C" w:rsidRPr="00F05153" w:rsidRDefault="0075777C" w:rsidP="00DE31E4">
            <w:pPr>
              <w:pStyle w:val="Tabletext"/>
              <w:rPr>
                <w:b/>
              </w:rPr>
            </w:pPr>
            <w:r w:rsidRPr="00F05153">
              <w:rPr>
                <w:b/>
              </w:rPr>
              <w:t>Follow-up period</w:t>
            </w:r>
          </w:p>
          <w:p w:rsidR="0075777C" w:rsidRPr="00F05153" w:rsidRDefault="0075777C" w:rsidP="00DE31E4">
            <w:pPr>
              <w:pStyle w:val="Tabletext"/>
              <w:rPr>
                <w:b/>
              </w:rPr>
            </w:pPr>
            <w:r w:rsidRPr="00F05153">
              <w:rPr>
                <w:b/>
              </w:rPr>
              <w:t>ERA/PDE-5i</w:t>
            </w:r>
          </w:p>
        </w:tc>
        <w:tc>
          <w:tcPr>
            <w:tcW w:w="3827" w:type="dxa"/>
            <w:gridSpan w:val="2"/>
            <w:shd w:val="clear" w:color="auto" w:fill="BFBFBF" w:themeFill="background1" w:themeFillShade="BF"/>
          </w:tcPr>
          <w:p w:rsidR="0075777C" w:rsidRPr="00F05153" w:rsidRDefault="0075777C" w:rsidP="00DE31E4">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75777C" w:rsidRPr="00F05153" w:rsidRDefault="0075777C" w:rsidP="00DE31E4">
            <w:pPr>
              <w:pStyle w:val="Tabletext"/>
              <w:rPr>
                <w:b/>
              </w:rPr>
            </w:pPr>
            <w:r w:rsidRPr="00F05153">
              <w:rPr>
                <w:b/>
              </w:rPr>
              <w:t>HR (95% CI)</w:t>
            </w:r>
          </w:p>
        </w:tc>
      </w:tr>
      <w:tr w:rsidR="0075777C" w:rsidRPr="00F05153" w:rsidTr="00C11A08">
        <w:trPr>
          <w:trHeight w:val="202"/>
          <w:tblHeader/>
        </w:trPr>
        <w:tc>
          <w:tcPr>
            <w:tcW w:w="1838" w:type="dxa"/>
            <w:vMerge/>
            <w:shd w:val="clear" w:color="auto" w:fill="BFBFBF" w:themeFill="background1" w:themeFillShade="BF"/>
          </w:tcPr>
          <w:p w:rsidR="0075777C" w:rsidRPr="00F05153" w:rsidRDefault="0075777C" w:rsidP="00DE31E4">
            <w:pPr>
              <w:pStyle w:val="Tabletext"/>
              <w:rPr>
                <w:b/>
              </w:rPr>
            </w:pPr>
          </w:p>
        </w:tc>
        <w:tc>
          <w:tcPr>
            <w:tcW w:w="1985" w:type="dxa"/>
            <w:vMerge/>
            <w:shd w:val="clear" w:color="auto" w:fill="BFBFBF" w:themeFill="background1" w:themeFillShade="BF"/>
          </w:tcPr>
          <w:p w:rsidR="0075777C" w:rsidRPr="00F05153" w:rsidRDefault="0075777C" w:rsidP="00DE31E4">
            <w:pPr>
              <w:pStyle w:val="Tabletext"/>
              <w:rPr>
                <w:b/>
              </w:rPr>
            </w:pPr>
          </w:p>
        </w:tc>
        <w:tc>
          <w:tcPr>
            <w:tcW w:w="1842" w:type="dxa"/>
            <w:shd w:val="clear" w:color="auto" w:fill="BFBFBF" w:themeFill="background1" w:themeFillShade="BF"/>
          </w:tcPr>
          <w:p w:rsidR="0075777C" w:rsidRPr="00F05153" w:rsidRDefault="0075777C" w:rsidP="00DE31E4">
            <w:pPr>
              <w:pStyle w:val="Tabletext"/>
              <w:jc w:val="center"/>
              <w:rPr>
                <w:b/>
              </w:rPr>
            </w:pPr>
            <w:r w:rsidRPr="00F05153">
              <w:rPr>
                <w:b/>
              </w:rPr>
              <w:t>ERA + PDE-5i</w:t>
            </w:r>
          </w:p>
        </w:tc>
        <w:tc>
          <w:tcPr>
            <w:tcW w:w="1985" w:type="dxa"/>
            <w:shd w:val="clear" w:color="auto" w:fill="BFBFBF" w:themeFill="background1" w:themeFillShade="BF"/>
          </w:tcPr>
          <w:p w:rsidR="0075777C" w:rsidRPr="00F05153" w:rsidRDefault="0075777C" w:rsidP="00DE31E4">
            <w:pPr>
              <w:pStyle w:val="Tabletext"/>
              <w:jc w:val="center"/>
              <w:rPr>
                <w:b/>
              </w:rPr>
            </w:pPr>
            <w:r w:rsidRPr="00F05153">
              <w:rPr>
                <w:b/>
              </w:rPr>
              <w:t>PDE-5i</w:t>
            </w:r>
          </w:p>
        </w:tc>
        <w:tc>
          <w:tcPr>
            <w:tcW w:w="1984" w:type="dxa"/>
            <w:vMerge/>
            <w:shd w:val="clear" w:color="auto" w:fill="BFBFBF" w:themeFill="background1" w:themeFillShade="BF"/>
          </w:tcPr>
          <w:p w:rsidR="0075777C" w:rsidRPr="00F05153" w:rsidRDefault="0075777C" w:rsidP="00DE31E4">
            <w:pPr>
              <w:pStyle w:val="Tabletext"/>
              <w:rPr>
                <w:b/>
              </w:rPr>
            </w:pPr>
          </w:p>
        </w:tc>
      </w:tr>
      <w:tr w:rsidR="0075777C" w:rsidRPr="00F05153" w:rsidTr="00C11A08">
        <w:trPr>
          <w:trHeight w:val="70"/>
        </w:trPr>
        <w:tc>
          <w:tcPr>
            <w:tcW w:w="1838" w:type="dxa"/>
          </w:tcPr>
          <w:p w:rsidR="0075777C" w:rsidRPr="00F05153" w:rsidRDefault="0075777C" w:rsidP="00C11A08">
            <w:pPr>
              <w:pStyle w:val="Tabletext"/>
              <w:rPr>
                <w:rFonts w:cs="Tahoma"/>
              </w:rPr>
            </w:pPr>
            <w:r w:rsidRPr="00F05153">
              <w:rPr>
                <w:rFonts w:cs="Tahoma"/>
              </w:rPr>
              <w:t>EARLY CSR</w:t>
            </w:r>
          </w:p>
        </w:tc>
        <w:tc>
          <w:tcPr>
            <w:tcW w:w="1985" w:type="dxa"/>
          </w:tcPr>
          <w:p w:rsidR="0075777C" w:rsidRPr="00F05153" w:rsidRDefault="0075777C" w:rsidP="00C11A08">
            <w:pPr>
              <w:pStyle w:val="Tabletext"/>
              <w:rPr>
                <w:rFonts w:cs="Tahoma"/>
              </w:rPr>
            </w:pPr>
            <w:r w:rsidRPr="00F05153">
              <w:rPr>
                <w:rFonts w:cs="Tahoma"/>
              </w:rPr>
              <w:t>26 weeks</w:t>
            </w:r>
          </w:p>
          <w:p w:rsidR="0075777C" w:rsidRPr="00F05153" w:rsidRDefault="0075777C" w:rsidP="00C11A08">
            <w:pPr>
              <w:pStyle w:val="Tabletext"/>
              <w:rPr>
                <w:rFonts w:cs="Tahoma"/>
              </w:rPr>
            </w:pPr>
            <w:r w:rsidRPr="00F05153">
              <w:rPr>
                <w:rFonts w:cs="Tahoma"/>
              </w:rPr>
              <w:t>Bosentan/sildenafil</w:t>
            </w:r>
          </w:p>
        </w:tc>
        <w:tc>
          <w:tcPr>
            <w:tcW w:w="1842" w:type="dxa"/>
          </w:tcPr>
          <w:p w:rsidR="0075777C" w:rsidRPr="002046A0" w:rsidRDefault="002046A0" w:rsidP="00C11A08">
            <w:pPr>
              <w:pStyle w:val="Tabletext"/>
              <w:jc w:val="center"/>
              <w:rPr>
                <w:rFonts w:cs="Tahoma"/>
                <w:highlight w:val="black"/>
              </w:rPr>
            </w:pPr>
            <w:r>
              <w:rPr>
                <w:rFonts w:cs="Tahoma"/>
                <w:noProof/>
                <w:color w:val="000000"/>
                <w:highlight w:val="black"/>
              </w:rPr>
              <w:t>''''''''''' ''''''''''</w:t>
            </w:r>
          </w:p>
        </w:tc>
        <w:tc>
          <w:tcPr>
            <w:tcW w:w="1985" w:type="dxa"/>
          </w:tcPr>
          <w:p w:rsidR="0075777C" w:rsidRPr="002046A0" w:rsidRDefault="002046A0" w:rsidP="00C11A08">
            <w:pPr>
              <w:pStyle w:val="Tabletext"/>
              <w:jc w:val="center"/>
              <w:rPr>
                <w:rFonts w:cs="Tahoma"/>
                <w:highlight w:val="black"/>
              </w:rPr>
            </w:pPr>
            <w:r>
              <w:rPr>
                <w:rFonts w:cs="Tahoma"/>
                <w:noProof/>
                <w:color w:val="000000"/>
                <w:highlight w:val="black"/>
              </w:rPr>
              <w:t>'''''''''''' '''''''''''''</w:t>
            </w:r>
          </w:p>
        </w:tc>
        <w:tc>
          <w:tcPr>
            <w:tcW w:w="1984" w:type="dxa"/>
          </w:tcPr>
          <w:p w:rsidR="0075777C" w:rsidRPr="002046A0" w:rsidRDefault="002046A0" w:rsidP="00C11A08">
            <w:pPr>
              <w:pStyle w:val="Tabletext"/>
              <w:rPr>
                <w:rFonts w:cs="Tahoma"/>
                <w:highlight w:val="black"/>
              </w:rPr>
            </w:pPr>
            <w:r>
              <w:rPr>
                <w:rFonts w:cs="Tahoma"/>
                <w:noProof/>
                <w:color w:val="000000"/>
                <w:highlight w:val="black"/>
              </w:rPr>
              <w:t>''''''''''' ''''''''''''' '''''''''''''</w:t>
            </w:r>
          </w:p>
        </w:tc>
      </w:tr>
      <w:tr w:rsidR="0075777C" w:rsidRPr="00F05153" w:rsidTr="00C11A08">
        <w:trPr>
          <w:trHeight w:val="70"/>
        </w:trPr>
        <w:tc>
          <w:tcPr>
            <w:tcW w:w="1838" w:type="dxa"/>
          </w:tcPr>
          <w:p w:rsidR="0075777C" w:rsidRPr="00F05153" w:rsidRDefault="0075777C" w:rsidP="001D34EE">
            <w:pPr>
              <w:pStyle w:val="Tabletext"/>
              <w:rPr>
                <w:rFonts w:cs="Tahoma"/>
              </w:rPr>
            </w:pPr>
            <w:r w:rsidRPr="00F05153">
              <w:rPr>
                <w:rFonts w:cs="Tahoma"/>
              </w:rPr>
              <w:t>COMPASS-2</w:t>
            </w:r>
            <w:r w:rsidR="001D34EE" w:rsidRPr="00F05153">
              <w:rPr>
                <w:rFonts w:cs="Tahoma"/>
                <w:noProof/>
                <w:vertAlign w:val="superscript"/>
              </w:rPr>
              <w:t>37</w:t>
            </w:r>
          </w:p>
        </w:tc>
        <w:tc>
          <w:tcPr>
            <w:tcW w:w="1985" w:type="dxa"/>
          </w:tcPr>
          <w:p w:rsidR="0075777C" w:rsidRPr="00F05153" w:rsidRDefault="0075777C" w:rsidP="00C11A08">
            <w:pPr>
              <w:pStyle w:val="Tabletext"/>
              <w:rPr>
                <w:rFonts w:cs="Tahoma"/>
              </w:rPr>
            </w:pPr>
            <w:r w:rsidRPr="00F05153">
              <w:rPr>
                <w:rFonts w:cs="Tahoma"/>
              </w:rPr>
              <w:t>EOS: mean 1</w:t>
            </w:r>
            <w:r w:rsidR="000801F8" w:rsidRPr="00F05153">
              <w:rPr>
                <w:rFonts w:cs="Tahoma"/>
              </w:rPr>
              <w:t>69</w:t>
            </w:r>
            <w:r w:rsidRPr="00F05153">
              <w:rPr>
                <w:rFonts w:cs="Tahoma"/>
              </w:rPr>
              <w:t xml:space="preserve"> weeks</w:t>
            </w:r>
          </w:p>
          <w:p w:rsidR="0075777C" w:rsidRPr="00F05153" w:rsidRDefault="0075777C" w:rsidP="00C11A08">
            <w:pPr>
              <w:pStyle w:val="Tabletext"/>
              <w:rPr>
                <w:rFonts w:cs="Tahoma"/>
              </w:rPr>
            </w:pPr>
            <w:r w:rsidRPr="00F05153">
              <w:rPr>
                <w:rFonts w:cs="Tahoma"/>
              </w:rPr>
              <w:t>Bosentan/sildenafil</w:t>
            </w:r>
          </w:p>
        </w:tc>
        <w:tc>
          <w:tcPr>
            <w:tcW w:w="1842" w:type="dxa"/>
          </w:tcPr>
          <w:p w:rsidR="0075777C" w:rsidRPr="00F05153" w:rsidRDefault="0075777C" w:rsidP="00C11A08">
            <w:pPr>
              <w:pStyle w:val="Tabletext"/>
              <w:jc w:val="center"/>
              <w:rPr>
                <w:rFonts w:cs="Tahoma"/>
              </w:rPr>
            </w:pPr>
            <w:r w:rsidRPr="00F05153">
              <w:rPr>
                <w:rFonts w:cs="Tahoma"/>
              </w:rPr>
              <w:t>68/159 (43%)</w:t>
            </w:r>
          </w:p>
        </w:tc>
        <w:tc>
          <w:tcPr>
            <w:tcW w:w="1985" w:type="dxa"/>
          </w:tcPr>
          <w:p w:rsidR="0075777C" w:rsidRPr="00F05153" w:rsidRDefault="0075777C" w:rsidP="00C11A08">
            <w:pPr>
              <w:pStyle w:val="Tabletext"/>
              <w:jc w:val="center"/>
              <w:rPr>
                <w:rFonts w:cs="Tahoma"/>
              </w:rPr>
            </w:pPr>
            <w:r w:rsidRPr="00F05153">
              <w:rPr>
                <w:rFonts w:cs="Tahoma"/>
              </w:rPr>
              <w:t>90/175 (51%)</w:t>
            </w:r>
          </w:p>
        </w:tc>
        <w:tc>
          <w:tcPr>
            <w:tcW w:w="1984" w:type="dxa"/>
          </w:tcPr>
          <w:p w:rsidR="0075777C" w:rsidRPr="00F05153" w:rsidRDefault="0075777C" w:rsidP="00C11A08">
            <w:pPr>
              <w:pStyle w:val="Tabletext"/>
              <w:rPr>
                <w:rFonts w:cs="Tahoma"/>
              </w:rPr>
            </w:pPr>
            <w:r w:rsidRPr="00F05153">
              <w:rPr>
                <w:rFonts w:cs="Tahoma"/>
              </w:rPr>
              <w:t>0.83 (0.61, 1.14), p=0.251</w:t>
            </w:r>
          </w:p>
        </w:tc>
      </w:tr>
      <w:tr w:rsidR="0075777C" w:rsidRPr="00822C52" w:rsidTr="00C11A08">
        <w:trPr>
          <w:trHeight w:val="70"/>
        </w:trPr>
        <w:tc>
          <w:tcPr>
            <w:tcW w:w="1838" w:type="dxa"/>
          </w:tcPr>
          <w:p w:rsidR="0075777C" w:rsidRPr="00F05153" w:rsidRDefault="0075777C" w:rsidP="00C11A08">
            <w:pPr>
              <w:pStyle w:val="Tabletext"/>
              <w:rPr>
                <w:rFonts w:cs="Tahoma"/>
              </w:rPr>
            </w:pPr>
            <w:r w:rsidRPr="00F05153">
              <w:rPr>
                <w:rFonts w:cs="Tahoma"/>
              </w:rPr>
              <w:t xml:space="preserve">SERAPHIN </w:t>
            </w:r>
            <w:r w:rsidRPr="00F05153">
              <w:rPr>
                <w:rFonts w:cs="Tahoma"/>
                <w:vertAlign w:val="superscript"/>
              </w:rPr>
              <w:t>a</w:t>
            </w:r>
          </w:p>
          <w:p w:rsidR="0075777C" w:rsidRPr="00F05153" w:rsidRDefault="0075777C" w:rsidP="001D34EE">
            <w:pPr>
              <w:pStyle w:val="Tabletext"/>
              <w:rPr>
                <w:rFonts w:cs="Tahoma"/>
              </w:rPr>
            </w:pPr>
            <w:r w:rsidRPr="00F05153">
              <w:rPr>
                <w:rFonts w:cs="Tahoma"/>
              </w:rPr>
              <w:t>Pulido et al. (2013)</w:t>
            </w:r>
            <w:r w:rsidR="001D34EE" w:rsidRPr="00F05153">
              <w:rPr>
                <w:rFonts w:cs="Tahoma"/>
                <w:noProof/>
                <w:vertAlign w:val="superscript"/>
              </w:rPr>
              <w:t>7</w:t>
            </w:r>
            <w:r w:rsidRPr="00F05153">
              <w:rPr>
                <w:rFonts w:cs="Tahoma"/>
              </w:rPr>
              <w:t xml:space="preserve"> and March 2014 submission</w:t>
            </w:r>
          </w:p>
        </w:tc>
        <w:tc>
          <w:tcPr>
            <w:tcW w:w="1985" w:type="dxa"/>
          </w:tcPr>
          <w:p w:rsidR="0075777C" w:rsidRPr="00F05153" w:rsidRDefault="0075777C" w:rsidP="00C11A08">
            <w:pPr>
              <w:pStyle w:val="Tabletext"/>
              <w:rPr>
                <w:rFonts w:cs="Tahoma"/>
              </w:rPr>
            </w:pPr>
            <w:r w:rsidRPr="00F05153">
              <w:rPr>
                <w:rFonts w:cs="Tahoma"/>
              </w:rPr>
              <w:t>EOT: me</w:t>
            </w:r>
            <w:r w:rsidR="0038038B" w:rsidRPr="00F05153">
              <w:rPr>
                <w:rFonts w:cs="Tahoma"/>
              </w:rPr>
              <w:t>dian 115</w:t>
            </w:r>
            <w:r w:rsidRPr="00F05153">
              <w:rPr>
                <w:rFonts w:cs="Tahoma"/>
              </w:rPr>
              <w:t xml:space="preserve"> weeks</w:t>
            </w:r>
          </w:p>
          <w:p w:rsidR="0075777C" w:rsidRPr="00F05153" w:rsidRDefault="0075777C" w:rsidP="00C11A08">
            <w:pPr>
              <w:pStyle w:val="Tabletext"/>
              <w:rPr>
                <w:rFonts w:cs="Tahoma"/>
              </w:rPr>
            </w:pPr>
            <w:r w:rsidRPr="00F05153">
              <w:rPr>
                <w:rFonts w:cs="Tahoma"/>
              </w:rPr>
              <w:t>Macitentan/any PDE-5i</w:t>
            </w:r>
          </w:p>
        </w:tc>
        <w:tc>
          <w:tcPr>
            <w:tcW w:w="1842" w:type="dxa"/>
          </w:tcPr>
          <w:p w:rsidR="0075777C" w:rsidRPr="00F05153" w:rsidRDefault="0075777C" w:rsidP="00C11A08">
            <w:pPr>
              <w:pStyle w:val="Tabletext"/>
              <w:jc w:val="center"/>
              <w:rPr>
                <w:rFonts w:cs="Tahoma"/>
              </w:rPr>
            </w:pPr>
            <w:r w:rsidRPr="00F05153">
              <w:rPr>
                <w:rFonts w:cs="Tahoma"/>
              </w:rPr>
              <w:t>50/154 (33%)</w:t>
            </w:r>
          </w:p>
        </w:tc>
        <w:tc>
          <w:tcPr>
            <w:tcW w:w="1985" w:type="dxa"/>
          </w:tcPr>
          <w:p w:rsidR="0075777C" w:rsidRPr="00F05153" w:rsidRDefault="0075777C" w:rsidP="00C11A08">
            <w:pPr>
              <w:pStyle w:val="Tabletext"/>
              <w:jc w:val="center"/>
              <w:rPr>
                <w:rFonts w:cs="Tahoma"/>
              </w:rPr>
            </w:pPr>
            <w:r w:rsidRPr="00F05153">
              <w:rPr>
                <w:rFonts w:cs="Tahoma"/>
              </w:rPr>
              <w:t>68/154 (44%)</w:t>
            </w:r>
          </w:p>
        </w:tc>
        <w:tc>
          <w:tcPr>
            <w:tcW w:w="1984" w:type="dxa"/>
          </w:tcPr>
          <w:p w:rsidR="0075777C" w:rsidRPr="002046A0" w:rsidRDefault="002046A0" w:rsidP="00C11A08">
            <w:pPr>
              <w:pStyle w:val="Tabletext"/>
              <w:rPr>
                <w:rFonts w:cs="Tahoma"/>
                <w:highlight w:val="black"/>
              </w:rPr>
            </w:pPr>
            <w:r>
              <w:rPr>
                <w:rFonts w:cs="Tahoma"/>
                <w:noProof/>
                <w:color w:val="000000"/>
                <w:highlight w:val="black"/>
              </w:rPr>
              <w:t>'''''''''' '''''''''''' '''''''''''''</w:t>
            </w:r>
          </w:p>
        </w:tc>
      </w:tr>
      <w:tr w:rsidR="0075777C" w:rsidRPr="00822C52" w:rsidTr="00C11A08">
        <w:trPr>
          <w:trHeight w:val="70"/>
        </w:trPr>
        <w:tc>
          <w:tcPr>
            <w:tcW w:w="1838" w:type="dxa"/>
          </w:tcPr>
          <w:p w:rsidR="0075777C" w:rsidRPr="00822C52" w:rsidRDefault="0075777C" w:rsidP="001D34EE">
            <w:pPr>
              <w:pStyle w:val="Tabletext"/>
              <w:rPr>
                <w:rFonts w:cs="Tahoma"/>
              </w:rPr>
            </w:pPr>
            <w:r w:rsidRPr="00822C52">
              <w:rPr>
                <w:rFonts w:cs="Tahoma"/>
              </w:rPr>
              <w:t>AMBITION</w:t>
            </w:r>
            <w:r w:rsidR="001D34EE" w:rsidRPr="001A1C44">
              <w:rPr>
                <w:rFonts w:cs="Tahoma"/>
                <w:noProof/>
                <w:vertAlign w:val="superscript"/>
              </w:rPr>
              <w:t>30</w:t>
            </w:r>
          </w:p>
        </w:tc>
        <w:tc>
          <w:tcPr>
            <w:tcW w:w="1985" w:type="dxa"/>
          </w:tcPr>
          <w:p w:rsidR="0075777C" w:rsidRPr="00822C52" w:rsidRDefault="0075777C" w:rsidP="00C11A08">
            <w:pPr>
              <w:pStyle w:val="Tabletext"/>
              <w:rPr>
                <w:rFonts w:cs="Tahoma"/>
              </w:rPr>
            </w:pPr>
            <w:r w:rsidRPr="00822C52">
              <w:rPr>
                <w:rFonts w:cs="Tahoma"/>
              </w:rPr>
              <w:t>FAV: mean 74 weeks</w:t>
            </w:r>
            <w:r w:rsidR="003B436F">
              <w:rPr>
                <w:rFonts w:cs="Tahoma"/>
              </w:rPr>
              <w:t xml:space="preserve">, </w:t>
            </w:r>
            <w:r w:rsidRPr="00822C52">
              <w:rPr>
                <w:rFonts w:cs="Tahoma"/>
              </w:rPr>
              <w:t>ITT</w:t>
            </w:r>
          </w:p>
          <w:p w:rsidR="0075777C" w:rsidRPr="00822C52" w:rsidRDefault="0075777C" w:rsidP="00C11A08">
            <w:pPr>
              <w:pStyle w:val="Tabletext"/>
              <w:rPr>
                <w:rFonts w:cs="Tahoma"/>
              </w:rPr>
            </w:pPr>
            <w:r w:rsidRPr="00822C52">
              <w:rPr>
                <w:rFonts w:cs="Tahoma"/>
              </w:rPr>
              <w:t>Ambrisentan/tadalafil</w:t>
            </w:r>
          </w:p>
        </w:tc>
        <w:tc>
          <w:tcPr>
            <w:tcW w:w="1842" w:type="dxa"/>
          </w:tcPr>
          <w:p w:rsidR="0075777C" w:rsidRPr="00822C52" w:rsidRDefault="0075777C" w:rsidP="00C11A08">
            <w:pPr>
              <w:pStyle w:val="Tabletext"/>
              <w:jc w:val="center"/>
              <w:rPr>
                <w:rFonts w:cs="Tahoma"/>
              </w:rPr>
            </w:pPr>
            <w:r w:rsidRPr="00822C52">
              <w:rPr>
                <w:rFonts w:cs="Tahoma"/>
              </w:rPr>
              <w:t>60/302 (20%)</w:t>
            </w:r>
          </w:p>
        </w:tc>
        <w:tc>
          <w:tcPr>
            <w:tcW w:w="1985" w:type="dxa"/>
          </w:tcPr>
          <w:p w:rsidR="0075777C" w:rsidRPr="00822C52" w:rsidRDefault="0075777C" w:rsidP="00C11A08">
            <w:pPr>
              <w:pStyle w:val="Tabletext"/>
              <w:jc w:val="center"/>
              <w:rPr>
                <w:rFonts w:cs="Tahoma"/>
              </w:rPr>
            </w:pPr>
            <w:r w:rsidRPr="00822C52">
              <w:rPr>
                <w:rFonts w:cs="Tahoma"/>
              </w:rPr>
              <w:t>45/151 (30%)</w:t>
            </w:r>
          </w:p>
        </w:tc>
        <w:tc>
          <w:tcPr>
            <w:tcW w:w="1984" w:type="dxa"/>
          </w:tcPr>
          <w:p w:rsidR="0075777C" w:rsidRPr="00822C52" w:rsidRDefault="0075777C" w:rsidP="00C11A08">
            <w:pPr>
              <w:pStyle w:val="Tabletext"/>
              <w:rPr>
                <w:rFonts w:cs="Tahoma"/>
                <w:highlight w:val="cyan"/>
              </w:rPr>
            </w:pPr>
            <w:r w:rsidRPr="00822C52">
              <w:rPr>
                <w:rFonts w:cs="Tahoma"/>
              </w:rPr>
              <w:t>0.55 (0.37, 0.81), p=0.002</w:t>
            </w:r>
          </w:p>
        </w:tc>
      </w:tr>
    </w:tbl>
    <w:p w:rsidR="0075777C" w:rsidRPr="00822C52" w:rsidRDefault="0075777C" w:rsidP="00C11A08">
      <w:pPr>
        <w:pStyle w:val="Tablenote"/>
      </w:pPr>
      <w:proofErr w:type="gramStart"/>
      <w:r w:rsidRPr="004D0C0E">
        <w:rPr>
          <w:vertAlign w:val="superscript"/>
        </w:rPr>
        <w:t>a</w:t>
      </w:r>
      <w:proofErr w:type="gramEnd"/>
      <w:r>
        <w:t xml:space="preserve"> </w:t>
      </w:r>
      <w:r w:rsidRPr="00822C52">
        <w:t>Small proportion of patients</w:t>
      </w:r>
      <w:r>
        <w:t xml:space="preserve"> (4%) </w:t>
      </w:r>
      <w:r w:rsidR="00C11A08">
        <w:t>receiving prosta</w:t>
      </w:r>
      <w:r w:rsidRPr="00822C52">
        <w:t>noids or receiving doublet background therapy</w:t>
      </w:r>
    </w:p>
    <w:p w:rsidR="007E6E6A" w:rsidRPr="00822C52" w:rsidRDefault="0075777C" w:rsidP="00C11A08">
      <w:pPr>
        <w:pStyle w:val="Tablenote"/>
      </w:pPr>
      <w:r w:rsidRPr="00822C52">
        <w:t xml:space="preserve">CI = confidence interval; </w:t>
      </w:r>
      <w:r w:rsidR="007E6E6A">
        <w:t xml:space="preserve">CSR = clinical study report; </w:t>
      </w:r>
      <w:r w:rsidRPr="00822C52">
        <w:t xml:space="preserve">EOS = end of study; EOT = end of treatment; ERA = endothelin receptor antagonist; FAV = final assessment visit; HR = hazard ratio; </w:t>
      </w:r>
      <w:r w:rsidR="007E6E6A">
        <w:t xml:space="preserve">ITT = intention-to-treat; </w:t>
      </w:r>
      <w:r w:rsidRPr="00822C52">
        <w:t xml:space="preserve">n = number of </w:t>
      </w:r>
      <w:r w:rsidR="007E6E6A">
        <w:t xml:space="preserve">patients with </w:t>
      </w:r>
      <w:r w:rsidRPr="00822C52">
        <w:t xml:space="preserve">events; N = number of patients; PAH = pulmonary arterial hypertension; </w:t>
      </w:r>
      <w:r>
        <w:t xml:space="preserve">PDE-5i </w:t>
      </w:r>
      <w:r w:rsidRPr="00822C52">
        <w:t>= phosphodiesterase type-5 inhibitor</w:t>
      </w:r>
    </w:p>
    <w:p w:rsidR="0075777C" w:rsidRPr="00D60D8E" w:rsidRDefault="0075777C" w:rsidP="0075777C">
      <w:r w:rsidRPr="00822C52">
        <w:t xml:space="preserve">A meta-analysis of the RR of PAH patients having clinical worsening when being treated with an ERA and a </w:t>
      </w:r>
      <w:r>
        <w:t>PDE-5 inhibitor</w:t>
      </w:r>
      <w:r w:rsidRPr="00822C52">
        <w:t xml:space="preserve"> compared with </w:t>
      </w:r>
      <w:r>
        <w:t>PDE-5 inhibitor</w:t>
      </w:r>
      <w:r w:rsidRPr="00822C52">
        <w:t xml:space="preserve"> alone </w:t>
      </w:r>
      <w:proofErr w:type="gramStart"/>
      <w:r w:rsidRPr="00822C52">
        <w:t>was performed</w:t>
      </w:r>
      <w:proofErr w:type="gramEnd"/>
      <w:r w:rsidRPr="00822C52">
        <w:t xml:space="preserve"> despite the disparity in the duration of treatment and follow-up between the four studies (</w:t>
      </w:r>
      <w:r w:rsidR="003951FA">
        <w:t>Figure 4.</w:t>
      </w:r>
      <w:r w:rsidR="003951FA">
        <w:rPr>
          <w:noProof/>
        </w:rPr>
        <w:t>7</w:t>
      </w:r>
      <w:r w:rsidRPr="00822C52">
        <w:t xml:space="preserve">). There </w:t>
      </w:r>
      <w:r w:rsidRPr="00F05153">
        <w:t>was no heterogeneity between studies</w:t>
      </w:r>
      <w:r w:rsidR="002046A0">
        <w:rPr>
          <w:noProof/>
          <w:color w:val="000000"/>
          <w:highlight w:val="black"/>
        </w:rPr>
        <w:t>'' '''''''' '''''''' ''''' ''''''' ''' ''''''''''''''''' '''''''''''''''''' '''''''''' '''''''''''''''' '''''''''''''''' ''''''''''''''''''''' ''''''''' ''''' '''''''' '''''''' ''' '''''''''' ''''''''''''''''' ''''''''' ''' '''''''''''' ''''''''''''''''' ''''''''''''</w:t>
      </w:r>
      <w:r w:rsidRPr="00F05153">
        <w:t xml:space="preserve"> Overall, patients treated with an ERA and a PDE-5 inhibitor were </w:t>
      </w:r>
      <w:r w:rsidR="002046A0">
        <w:rPr>
          <w:noProof/>
          <w:color w:val="000000"/>
          <w:highlight w:val="black"/>
        </w:rPr>
        <w:t>'''''''''''''''''''''''' '''''''' ''''''''' '''''' '''''''''''' '''''''''</w:t>
      </w:r>
      <w:r w:rsidRPr="00F05153">
        <w:t xml:space="preserve"> to</w:t>
      </w:r>
      <w:r w:rsidRPr="00822C52">
        <w:t xml:space="preserve"> have a clinical worsening event compared with those treated with a </w:t>
      </w:r>
      <w:r>
        <w:t>PDE-5 inhibitor</w:t>
      </w:r>
      <w:r w:rsidRPr="00822C52">
        <w:t xml:space="preserve"> alone.</w:t>
      </w:r>
    </w:p>
    <w:p w:rsidR="0075777C" w:rsidRPr="002046A0" w:rsidRDefault="002046A0" w:rsidP="0075777C">
      <w:pPr>
        <w:tabs>
          <w:tab w:val="left" w:pos="1649"/>
          <w:tab w:val="left" w:pos="3066"/>
          <w:tab w:val="left" w:pos="4341"/>
        </w:tabs>
        <w:spacing w:after="40"/>
        <w:jc w:val="center"/>
        <w:rPr>
          <w:rFonts w:ascii="Arial Narrow" w:hAnsi="Arial Narrow" w:cs="Tahoma"/>
          <w:sz w:val="20"/>
        </w:rPr>
      </w:pPr>
      <w:r>
        <w:rPr>
          <w:rFonts w:ascii="Arial Narrow" w:hAnsi="Arial Narrow" w:cs="Tahoma"/>
          <w:noProof/>
          <w:sz w:val="20"/>
          <w:lang w:eastAsia="en-AU"/>
        </w:rPr>
        <w:drawing>
          <wp:inline distT="0" distB="0" distL="0" distR="0" wp14:anchorId="11517B44" wp14:editId="7DF28EC1">
            <wp:extent cx="6113780" cy="2973705"/>
            <wp:effectExtent l="0" t="0" r="1270" b="0"/>
            <wp:docPr id="8" name="Picture 8" descr="image redacted" title="image redacted"/>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5"/>
                    <a:stretch>
                      <a:fillRect/>
                    </a:stretch>
                  </pic:blipFill>
                  <pic:spPr>
                    <a:xfrm>
                      <a:off x="0" y="0"/>
                      <a:ext cx="6113780" cy="2973705"/>
                    </a:xfrm>
                    <a:prstGeom prst="rect">
                      <a:avLst/>
                    </a:prstGeom>
                  </pic:spPr>
                </pic:pic>
              </a:graphicData>
            </a:graphic>
          </wp:inline>
        </w:drawing>
      </w:r>
    </w:p>
    <w:p w:rsidR="0075777C" w:rsidRPr="00822C52" w:rsidRDefault="00C11A08" w:rsidP="00BC5A2B">
      <w:pPr>
        <w:pStyle w:val="Caption"/>
        <w:rPr>
          <w:rFonts w:ascii="Arial Narrow" w:hAnsi="Arial Narrow" w:cs="Tahoma"/>
          <w:u w:val="single"/>
        </w:rPr>
      </w:pPr>
      <w:bookmarkStart w:id="151" w:name="_Ref506299014"/>
      <w:bookmarkStart w:id="152" w:name="_Toc38360473"/>
      <w:r>
        <w:t>Figure 4.</w:t>
      </w:r>
      <w:r w:rsidR="003951FA">
        <w:rPr>
          <w:noProof/>
        </w:rPr>
        <w:t>7</w:t>
      </w:r>
      <w:bookmarkEnd w:id="151"/>
      <w:r>
        <w:tab/>
      </w:r>
      <w:r w:rsidR="0075777C" w:rsidRPr="00822C52">
        <w:t xml:space="preserve">Forest plot showing the RR of having a clinical worsening event while being treated with an ERA and a </w:t>
      </w:r>
      <w:r w:rsidR="0075777C">
        <w:t>PDE-5 inhibitor</w:t>
      </w:r>
      <w:r w:rsidR="0075777C" w:rsidRPr="00822C52">
        <w:t xml:space="preserve"> compared with </w:t>
      </w:r>
      <w:r w:rsidR="0075777C">
        <w:t>PDE-5 inhibitor</w:t>
      </w:r>
      <w:r w:rsidR="0075777C" w:rsidRPr="00822C52">
        <w:t xml:space="preserve"> alone in all PAH patients</w:t>
      </w:r>
      <w:bookmarkEnd w:id="152"/>
    </w:p>
    <w:p w:rsidR="007E6E6A" w:rsidRPr="00822C52" w:rsidRDefault="0075777C" w:rsidP="00C11A08">
      <w:pPr>
        <w:pStyle w:val="Tablenote"/>
      </w:pPr>
      <w:r w:rsidRPr="00822C52">
        <w:t xml:space="preserve">CI = confidence interval; ERA = </w:t>
      </w:r>
      <w:r w:rsidR="0006512A">
        <w:t>endothelin receptor</w:t>
      </w:r>
      <w:r w:rsidRPr="00822C52">
        <w:t xml:space="preserve"> antagonists; N = number of patients; </w:t>
      </w:r>
      <w:r w:rsidR="007E6E6A" w:rsidRPr="009E3B52">
        <w:t xml:space="preserve">PAH = pulmonary arterial hypertension; </w:t>
      </w:r>
      <w:r>
        <w:t xml:space="preserve">PDE-5i </w:t>
      </w:r>
      <w:r w:rsidRPr="00822C52">
        <w:t>= phosphodiesterase type-5 inhibitor; RR = relative risk</w:t>
      </w:r>
    </w:p>
    <w:p w:rsidR="0075777C" w:rsidRPr="00B607A5" w:rsidRDefault="0077344D" w:rsidP="0077344D">
      <w:pPr>
        <w:pStyle w:val="Heading6"/>
      </w:pPr>
      <w:proofErr w:type="gramStart"/>
      <w:r w:rsidRPr="00B607A5">
        <w:t>a</w:t>
      </w:r>
      <w:r w:rsidR="0075777C" w:rsidRPr="00B607A5">
        <w:t>.ii</w:t>
      </w:r>
      <w:proofErr w:type="gramEnd"/>
      <w:r w:rsidR="0075777C" w:rsidRPr="00B607A5">
        <w:tab/>
        <w:t>PAH patients with FC III or IV</w:t>
      </w:r>
    </w:p>
    <w:p w:rsidR="0075777C" w:rsidRPr="00F05153" w:rsidRDefault="0075777C" w:rsidP="0075777C">
      <w:r w:rsidRPr="00822C52">
        <w:t xml:space="preserve">Two studies reported the HR for patients with WHO FC III/IV PAH experiencing clinical worsening while taking an ERA and a </w:t>
      </w:r>
      <w:r>
        <w:t>PDE-5 inhibitor</w:t>
      </w:r>
      <w:r w:rsidRPr="00822C52">
        <w:t xml:space="preserve"> compared with </w:t>
      </w:r>
      <w:r>
        <w:t>PDE-5 inhibitor</w:t>
      </w:r>
      <w:r w:rsidRPr="00822C52">
        <w:t xml:space="preserve"> alone (</w:t>
      </w:r>
      <w:r w:rsidR="003951FA" w:rsidRPr="00F05153">
        <w:t>Table 4.</w:t>
      </w:r>
      <w:r w:rsidR="003951FA">
        <w:rPr>
          <w:noProof/>
        </w:rPr>
        <w:t>45</w:t>
      </w:r>
      <w:r w:rsidRPr="00822C52">
        <w:t xml:space="preserve">). In the COMPASS-2 trial, patients receiving bosentan and sildenafil were almost as likely to have clinical worsening as patients who received a </w:t>
      </w:r>
      <w:r>
        <w:t>PDE-5 inhibitor</w:t>
      </w:r>
      <w:r w:rsidRPr="00822C52">
        <w:t xml:space="preserve"> alone over the 1</w:t>
      </w:r>
      <w:r w:rsidR="000801F8">
        <w:t>69</w:t>
      </w:r>
      <w:r w:rsidRPr="00822C52">
        <w:t xml:space="preserve">-week study period. Over </w:t>
      </w:r>
      <w:r w:rsidR="00971455">
        <w:t>a median treatment period of 115 weeks in</w:t>
      </w:r>
      <w:r w:rsidRPr="00822C52">
        <w:t xml:space="preserve"> the SERAPHIN trial, patients with WHO FC III/IV PAH </w:t>
      </w:r>
      <w:r w:rsidRPr="00F05153">
        <w:t xml:space="preserve">treated with macitentan and a PDE-5 inhibitor were </w:t>
      </w:r>
      <w:r w:rsidR="002046A0">
        <w:rPr>
          <w:noProof/>
          <w:color w:val="000000"/>
          <w:highlight w:val="black"/>
        </w:rPr>
        <w:t>'''''''' ''''''''''''' ''''''' '''''''''</w:t>
      </w:r>
      <w:r w:rsidRPr="00F05153">
        <w:t xml:space="preserve"> to have clinical worsening than patients receiving a PDE-5 inhibitor</w:t>
      </w:r>
      <w:r w:rsidR="00B603BC" w:rsidRPr="00F05153">
        <w:t xml:space="preserve"> alone.</w:t>
      </w:r>
    </w:p>
    <w:p w:rsidR="00A50F9E" w:rsidRDefault="00A50F9E">
      <w:pPr>
        <w:spacing w:before="0" w:line="240" w:lineRule="auto"/>
        <w:rPr>
          <w:b/>
          <w:iCs/>
          <w:szCs w:val="18"/>
        </w:rPr>
      </w:pPr>
      <w:bookmarkStart w:id="153" w:name="_Ref503273780"/>
      <w:bookmarkStart w:id="154" w:name="_Toc38360342"/>
      <w:r>
        <w:br w:type="page"/>
      </w:r>
    </w:p>
    <w:p w:rsidR="0075777C" w:rsidRPr="00F05153" w:rsidRDefault="00272F8F" w:rsidP="00BC5A2B">
      <w:pPr>
        <w:pStyle w:val="Caption"/>
      </w:pPr>
      <w:r w:rsidRPr="00F05153">
        <w:t>Table 4.</w:t>
      </w:r>
      <w:r w:rsidR="003951FA">
        <w:rPr>
          <w:noProof/>
        </w:rPr>
        <w:t>45</w:t>
      </w:r>
      <w:bookmarkEnd w:id="153"/>
      <w:r w:rsidR="00EC75B2" w:rsidRPr="00F05153">
        <w:tab/>
      </w:r>
      <w:r w:rsidR="0075777C" w:rsidRPr="00F05153">
        <w:t xml:space="preserve">The effectiveness of </w:t>
      </w:r>
      <w:r w:rsidR="00EB768B" w:rsidRPr="00F05153">
        <w:t xml:space="preserve">an ERA </w:t>
      </w:r>
      <w:r w:rsidR="00385078" w:rsidRPr="00F05153">
        <w:t xml:space="preserve">in addition to a PDE-5 inhibitor compared with PDE-5 inhibitor monotherapy </w:t>
      </w:r>
      <w:r w:rsidR="0075777C" w:rsidRPr="00F05153">
        <w:t>in preventing clinical worsening in patients with WHO FC III/IV PAH</w:t>
      </w:r>
      <w:bookmarkEnd w:id="154"/>
    </w:p>
    <w:tbl>
      <w:tblPr>
        <w:tblStyle w:val="TableGrid7"/>
        <w:tblW w:w="9634" w:type="dxa"/>
        <w:tblLayout w:type="fixed"/>
        <w:tblLook w:val="04A0" w:firstRow="1" w:lastRow="0" w:firstColumn="1" w:lastColumn="0" w:noHBand="0" w:noVBand="1"/>
        <w:tblCaption w:val="The effectiveness of an ERA in addition to a PDE-5 inhibitor compared with PDE-5 inhibitor monotherapy in preventing clinical worsening in patients with WHO FC III/IV PAH"/>
      </w:tblPr>
      <w:tblGrid>
        <w:gridCol w:w="1696"/>
        <w:gridCol w:w="2268"/>
        <w:gridCol w:w="1985"/>
        <w:gridCol w:w="1984"/>
        <w:gridCol w:w="1701"/>
      </w:tblGrid>
      <w:tr w:rsidR="0075777C" w:rsidRPr="00F05153" w:rsidTr="00EC2524">
        <w:trPr>
          <w:trHeight w:val="281"/>
          <w:tblHeader/>
        </w:trPr>
        <w:tc>
          <w:tcPr>
            <w:tcW w:w="1696" w:type="dxa"/>
            <w:vMerge w:val="restart"/>
            <w:shd w:val="clear" w:color="auto" w:fill="BFBFBF" w:themeFill="background1" w:themeFillShade="BF"/>
          </w:tcPr>
          <w:p w:rsidR="0075777C" w:rsidRPr="00F05153" w:rsidRDefault="0075777C" w:rsidP="00C11A08">
            <w:pPr>
              <w:pStyle w:val="Tabletext"/>
              <w:rPr>
                <w:b/>
              </w:rPr>
            </w:pPr>
            <w:r w:rsidRPr="00F05153">
              <w:rPr>
                <w:b/>
              </w:rPr>
              <w:t>Study ID</w:t>
            </w:r>
          </w:p>
        </w:tc>
        <w:tc>
          <w:tcPr>
            <w:tcW w:w="2268" w:type="dxa"/>
            <w:vMerge w:val="restart"/>
            <w:shd w:val="clear" w:color="auto" w:fill="BFBFBF" w:themeFill="background1" w:themeFillShade="BF"/>
          </w:tcPr>
          <w:p w:rsidR="0075777C" w:rsidRPr="00F05153" w:rsidRDefault="0075777C" w:rsidP="00C11A08">
            <w:pPr>
              <w:pStyle w:val="Tabletext"/>
              <w:rPr>
                <w:b/>
              </w:rPr>
            </w:pPr>
            <w:r w:rsidRPr="00F05153">
              <w:rPr>
                <w:b/>
              </w:rPr>
              <w:t>Follow-up period</w:t>
            </w:r>
          </w:p>
          <w:p w:rsidR="0075777C" w:rsidRPr="00F05153" w:rsidRDefault="0075777C" w:rsidP="00C11A08">
            <w:pPr>
              <w:pStyle w:val="Tabletext"/>
              <w:rPr>
                <w:b/>
              </w:rPr>
            </w:pPr>
            <w:r w:rsidRPr="00F05153">
              <w:rPr>
                <w:b/>
              </w:rPr>
              <w:t>ERA/PDE-5i</w:t>
            </w:r>
          </w:p>
        </w:tc>
        <w:tc>
          <w:tcPr>
            <w:tcW w:w="3969" w:type="dxa"/>
            <w:gridSpan w:val="2"/>
            <w:shd w:val="clear" w:color="auto" w:fill="BFBFBF" w:themeFill="background1" w:themeFillShade="BF"/>
          </w:tcPr>
          <w:p w:rsidR="0075777C" w:rsidRPr="00F05153" w:rsidRDefault="0075777C" w:rsidP="00C11A08">
            <w:pPr>
              <w:pStyle w:val="Tabletext"/>
              <w:jc w:val="center"/>
              <w:rPr>
                <w:b/>
              </w:rPr>
            </w:pPr>
            <w:proofErr w:type="gramStart"/>
            <w:r w:rsidRPr="00F05153">
              <w:rPr>
                <w:b/>
              </w:rPr>
              <w:t>n/N</w:t>
            </w:r>
            <w:proofErr w:type="gramEnd"/>
            <w:r w:rsidRPr="00F05153">
              <w:rPr>
                <w:b/>
              </w:rPr>
              <w:t xml:space="preserve"> (%)</w:t>
            </w:r>
          </w:p>
        </w:tc>
        <w:tc>
          <w:tcPr>
            <w:tcW w:w="1701" w:type="dxa"/>
            <w:vMerge w:val="restart"/>
            <w:shd w:val="clear" w:color="auto" w:fill="BFBFBF" w:themeFill="background1" w:themeFillShade="BF"/>
          </w:tcPr>
          <w:p w:rsidR="0075777C" w:rsidRPr="00F05153" w:rsidRDefault="0075777C" w:rsidP="00C11A08">
            <w:pPr>
              <w:pStyle w:val="Tabletext"/>
              <w:rPr>
                <w:b/>
              </w:rPr>
            </w:pPr>
            <w:r w:rsidRPr="00F05153">
              <w:rPr>
                <w:b/>
              </w:rPr>
              <w:t>HR (95% CI)</w:t>
            </w:r>
          </w:p>
        </w:tc>
      </w:tr>
      <w:tr w:rsidR="0075777C" w:rsidRPr="00F05153" w:rsidTr="00EC75B2">
        <w:trPr>
          <w:trHeight w:val="202"/>
          <w:tblHeader/>
        </w:trPr>
        <w:tc>
          <w:tcPr>
            <w:tcW w:w="1696" w:type="dxa"/>
            <w:vMerge/>
            <w:shd w:val="clear" w:color="auto" w:fill="BFBFBF" w:themeFill="background1" w:themeFillShade="BF"/>
          </w:tcPr>
          <w:p w:rsidR="0075777C" w:rsidRPr="00F05153" w:rsidRDefault="0075777C" w:rsidP="00C11A08">
            <w:pPr>
              <w:pStyle w:val="Tabletext"/>
            </w:pPr>
          </w:p>
        </w:tc>
        <w:tc>
          <w:tcPr>
            <w:tcW w:w="2268" w:type="dxa"/>
            <w:vMerge/>
            <w:shd w:val="clear" w:color="auto" w:fill="BFBFBF" w:themeFill="background1" w:themeFillShade="BF"/>
          </w:tcPr>
          <w:p w:rsidR="0075777C" w:rsidRPr="00F05153" w:rsidRDefault="0075777C" w:rsidP="00C11A08">
            <w:pPr>
              <w:pStyle w:val="Tabletext"/>
            </w:pPr>
          </w:p>
        </w:tc>
        <w:tc>
          <w:tcPr>
            <w:tcW w:w="1985" w:type="dxa"/>
            <w:shd w:val="clear" w:color="auto" w:fill="BFBFBF" w:themeFill="background1" w:themeFillShade="BF"/>
          </w:tcPr>
          <w:p w:rsidR="0075777C" w:rsidRPr="00F05153" w:rsidRDefault="0075777C" w:rsidP="00C11A08">
            <w:pPr>
              <w:pStyle w:val="Tabletext"/>
              <w:jc w:val="center"/>
              <w:rPr>
                <w:b/>
              </w:rPr>
            </w:pPr>
            <w:r w:rsidRPr="00F05153">
              <w:rPr>
                <w:b/>
              </w:rPr>
              <w:t>ERA + PDE-5i</w:t>
            </w:r>
          </w:p>
        </w:tc>
        <w:tc>
          <w:tcPr>
            <w:tcW w:w="1984" w:type="dxa"/>
            <w:shd w:val="clear" w:color="auto" w:fill="BFBFBF" w:themeFill="background1" w:themeFillShade="BF"/>
          </w:tcPr>
          <w:p w:rsidR="0075777C" w:rsidRPr="00F05153" w:rsidRDefault="0075777C" w:rsidP="00C11A08">
            <w:pPr>
              <w:pStyle w:val="Tabletext"/>
              <w:jc w:val="center"/>
              <w:rPr>
                <w:b/>
              </w:rPr>
            </w:pPr>
            <w:r w:rsidRPr="00F05153">
              <w:rPr>
                <w:b/>
              </w:rPr>
              <w:t>PDE-5i</w:t>
            </w:r>
          </w:p>
        </w:tc>
        <w:tc>
          <w:tcPr>
            <w:tcW w:w="1701" w:type="dxa"/>
            <w:vMerge/>
            <w:shd w:val="clear" w:color="auto" w:fill="BFBFBF" w:themeFill="background1" w:themeFillShade="BF"/>
          </w:tcPr>
          <w:p w:rsidR="0075777C" w:rsidRPr="00F05153" w:rsidRDefault="0075777C" w:rsidP="00C11A08">
            <w:pPr>
              <w:pStyle w:val="Tabletext"/>
            </w:pPr>
          </w:p>
        </w:tc>
      </w:tr>
      <w:tr w:rsidR="0075777C" w:rsidRPr="00F05153" w:rsidTr="00EC75B2">
        <w:trPr>
          <w:trHeight w:val="70"/>
        </w:trPr>
        <w:tc>
          <w:tcPr>
            <w:tcW w:w="1696" w:type="dxa"/>
          </w:tcPr>
          <w:p w:rsidR="0075777C" w:rsidRPr="00F05153" w:rsidRDefault="0075777C" w:rsidP="001D34EE">
            <w:pPr>
              <w:pStyle w:val="Tabletext"/>
              <w:rPr>
                <w:rFonts w:cs="Tahoma"/>
              </w:rPr>
            </w:pPr>
            <w:r w:rsidRPr="00F05153">
              <w:rPr>
                <w:rFonts w:cs="Tahoma"/>
              </w:rPr>
              <w:t>COMPASS-2</w:t>
            </w:r>
            <w:r w:rsidR="001D34EE" w:rsidRPr="00F05153">
              <w:rPr>
                <w:rFonts w:cs="Tahoma"/>
                <w:noProof/>
                <w:vertAlign w:val="superscript"/>
              </w:rPr>
              <w:t>37</w:t>
            </w:r>
          </w:p>
        </w:tc>
        <w:tc>
          <w:tcPr>
            <w:tcW w:w="2268" w:type="dxa"/>
          </w:tcPr>
          <w:p w:rsidR="0075777C" w:rsidRPr="00F05153" w:rsidRDefault="0075777C" w:rsidP="00C11A08">
            <w:pPr>
              <w:pStyle w:val="Tabletext"/>
              <w:rPr>
                <w:rFonts w:cs="Tahoma"/>
              </w:rPr>
            </w:pPr>
            <w:r w:rsidRPr="00F05153">
              <w:rPr>
                <w:rFonts w:cs="Tahoma"/>
              </w:rPr>
              <w:t>EOS: mean 1</w:t>
            </w:r>
            <w:r w:rsidR="000801F8" w:rsidRPr="00F05153">
              <w:rPr>
                <w:rFonts w:cs="Tahoma"/>
              </w:rPr>
              <w:t>69</w:t>
            </w:r>
            <w:r w:rsidRPr="00F05153">
              <w:rPr>
                <w:rFonts w:cs="Tahoma"/>
              </w:rPr>
              <w:t xml:space="preserve"> weeks</w:t>
            </w:r>
          </w:p>
          <w:p w:rsidR="0075777C" w:rsidRPr="00F05153" w:rsidRDefault="0075777C" w:rsidP="00C11A08">
            <w:pPr>
              <w:pStyle w:val="Tabletext"/>
              <w:rPr>
                <w:rFonts w:cs="Tahoma"/>
              </w:rPr>
            </w:pPr>
            <w:r w:rsidRPr="00F05153">
              <w:rPr>
                <w:rFonts w:cs="Tahoma"/>
              </w:rPr>
              <w:t>Bosentan/sildenafil</w:t>
            </w:r>
          </w:p>
        </w:tc>
        <w:tc>
          <w:tcPr>
            <w:tcW w:w="1985" w:type="dxa"/>
          </w:tcPr>
          <w:p w:rsidR="0075777C" w:rsidRPr="00F05153" w:rsidRDefault="0075777C" w:rsidP="00C11A08">
            <w:pPr>
              <w:pStyle w:val="Tabletext"/>
              <w:jc w:val="center"/>
              <w:rPr>
                <w:rFonts w:cs="Tahoma"/>
              </w:rPr>
            </w:pPr>
            <w:r w:rsidRPr="00F05153">
              <w:rPr>
                <w:rFonts w:cs="Tahoma"/>
              </w:rPr>
              <w:t>44/88 (50%)</w:t>
            </w:r>
          </w:p>
        </w:tc>
        <w:tc>
          <w:tcPr>
            <w:tcW w:w="1984" w:type="dxa"/>
          </w:tcPr>
          <w:p w:rsidR="0075777C" w:rsidRPr="00F05153" w:rsidRDefault="0075777C" w:rsidP="00C11A08">
            <w:pPr>
              <w:pStyle w:val="Tabletext"/>
              <w:jc w:val="center"/>
              <w:rPr>
                <w:rFonts w:cs="Tahoma"/>
              </w:rPr>
            </w:pPr>
            <w:r w:rsidRPr="00F05153">
              <w:rPr>
                <w:rFonts w:cs="Tahoma"/>
              </w:rPr>
              <w:t>62/106 (59%)</w:t>
            </w:r>
          </w:p>
        </w:tc>
        <w:tc>
          <w:tcPr>
            <w:tcW w:w="1701" w:type="dxa"/>
          </w:tcPr>
          <w:p w:rsidR="0075777C" w:rsidRPr="00F05153" w:rsidRDefault="0075777C" w:rsidP="00C11A08">
            <w:pPr>
              <w:pStyle w:val="Tabletext"/>
              <w:rPr>
                <w:rFonts w:cs="Tahoma"/>
              </w:rPr>
            </w:pPr>
            <w:r w:rsidRPr="00F05153">
              <w:rPr>
                <w:rFonts w:cs="Tahoma"/>
              </w:rPr>
              <w:t>0.90 (0.61, 1.33)</w:t>
            </w:r>
          </w:p>
        </w:tc>
      </w:tr>
      <w:tr w:rsidR="0075777C" w:rsidRPr="00F05153" w:rsidTr="00EC75B2">
        <w:trPr>
          <w:trHeight w:val="70"/>
        </w:trPr>
        <w:tc>
          <w:tcPr>
            <w:tcW w:w="1696" w:type="dxa"/>
          </w:tcPr>
          <w:p w:rsidR="0075777C" w:rsidRPr="00F05153" w:rsidRDefault="0075777C" w:rsidP="00C11A08">
            <w:pPr>
              <w:pStyle w:val="Tabletext"/>
              <w:rPr>
                <w:rFonts w:cs="Tahoma"/>
              </w:rPr>
            </w:pPr>
            <w:r w:rsidRPr="00F05153">
              <w:rPr>
                <w:rFonts w:cs="Tahoma"/>
              </w:rPr>
              <w:t xml:space="preserve">SERAPHIN </w:t>
            </w:r>
            <w:r w:rsidRPr="00F05153">
              <w:rPr>
                <w:rFonts w:cs="Tahoma"/>
                <w:vertAlign w:val="superscript"/>
              </w:rPr>
              <w:t>a</w:t>
            </w:r>
            <w:r w:rsidRPr="00F05153">
              <w:rPr>
                <w:rFonts w:cs="Tahoma"/>
              </w:rPr>
              <w:t>, March 2014 submission</w:t>
            </w:r>
          </w:p>
        </w:tc>
        <w:tc>
          <w:tcPr>
            <w:tcW w:w="2268" w:type="dxa"/>
          </w:tcPr>
          <w:p w:rsidR="0075777C" w:rsidRPr="00F05153" w:rsidRDefault="0075777C" w:rsidP="00C11A08">
            <w:pPr>
              <w:pStyle w:val="Tabletext"/>
              <w:rPr>
                <w:rFonts w:cs="Tahoma"/>
              </w:rPr>
            </w:pPr>
            <w:r w:rsidRPr="00F05153">
              <w:rPr>
                <w:rFonts w:cs="Tahoma"/>
              </w:rPr>
              <w:t xml:space="preserve">EOT: </w:t>
            </w:r>
            <w:r w:rsidR="00971455" w:rsidRPr="00F05153">
              <w:rPr>
                <w:rFonts w:cs="Tahoma"/>
              </w:rPr>
              <w:t>median 115 weeks</w:t>
            </w:r>
          </w:p>
          <w:p w:rsidR="0075777C" w:rsidRPr="00F05153" w:rsidRDefault="0075777C" w:rsidP="00C11A08">
            <w:pPr>
              <w:pStyle w:val="Tabletext"/>
              <w:rPr>
                <w:rFonts w:cs="Tahoma"/>
              </w:rPr>
            </w:pPr>
            <w:r w:rsidRPr="00F05153">
              <w:rPr>
                <w:rFonts w:cs="Tahoma"/>
              </w:rPr>
              <w:t>Macitentan/any PDE-5 inhibitor</w:t>
            </w:r>
          </w:p>
        </w:tc>
        <w:tc>
          <w:tcPr>
            <w:tcW w:w="1985" w:type="dxa"/>
          </w:tcPr>
          <w:p w:rsidR="0075777C" w:rsidRPr="002046A0" w:rsidRDefault="002046A0" w:rsidP="00C11A08">
            <w:pPr>
              <w:pStyle w:val="Tabletext"/>
              <w:jc w:val="center"/>
              <w:rPr>
                <w:rFonts w:cs="Tahoma"/>
                <w:highlight w:val="black"/>
              </w:rPr>
            </w:pPr>
            <w:r>
              <w:rPr>
                <w:rFonts w:cs="Tahoma"/>
                <w:noProof/>
                <w:color w:val="000000"/>
                <w:highlight w:val="black"/>
              </w:rPr>
              <w:t>'''''''''''' '''''''''''''</w:t>
            </w:r>
          </w:p>
        </w:tc>
        <w:tc>
          <w:tcPr>
            <w:tcW w:w="1984" w:type="dxa"/>
          </w:tcPr>
          <w:p w:rsidR="0075777C" w:rsidRPr="002046A0" w:rsidRDefault="002046A0" w:rsidP="00C11A08">
            <w:pPr>
              <w:pStyle w:val="Tabletext"/>
              <w:jc w:val="center"/>
              <w:rPr>
                <w:rFonts w:cs="Tahoma"/>
                <w:highlight w:val="black"/>
              </w:rPr>
            </w:pPr>
            <w:r>
              <w:rPr>
                <w:rFonts w:cs="Tahoma"/>
                <w:noProof/>
                <w:color w:val="000000"/>
                <w:highlight w:val="black"/>
              </w:rPr>
              <w:t>'''''''''''' '''''''''''''</w:t>
            </w:r>
          </w:p>
        </w:tc>
        <w:tc>
          <w:tcPr>
            <w:tcW w:w="1701" w:type="dxa"/>
          </w:tcPr>
          <w:p w:rsidR="0075777C" w:rsidRPr="002046A0" w:rsidRDefault="002046A0" w:rsidP="00C11A08">
            <w:pPr>
              <w:pStyle w:val="Tabletext"/>
              <w:rPr>
                <w:rFonts w:cs="Tahoma"/>
                <w:highlight w:val="black"/>
              </w:rPr>
            </w:pPr>
            <w:r>
              <w:rPr>
                <w:rFonts w:cs="Tahoma"/>
                <w:noProof/>
                <w:color w:val="000000"/>
                <w:highlight w:val="black"/>
              </w:rPr>
              <w:t>'''''''''''' '''''''''''''' '''''''''''''</w:t>
            </w:r>
          </w:p>
        </w:tc>
      </w:tr>
    </w:tbl>
    <w:p w:rsidR="0075777C" w:rsidRPr="00F05153" w:rsidRDefault="0075777C" w:rsidP="00C11A08">
      <w:pPr>
        <w:pStyle w:val="Tablenote"/>
      </w:pPr>
      <w:proofErr w:type="gramStart"/>
      <w:r w:rsidRPr="00F05153">
        <w:rPr>
          <w:vertAlign w:val="superscript"/>
        </w:rPr>
        <w:t>a</w:t>
      </w:r>
      <w:proofErr w:type="gramEnd"/>
      <w:r w:rsidRPr="00F05153">
        <w:rPr>
          <w:vertAlign w:val="superscript"/>
        </w:rPr>
        <w:t xml:space="preserve"> </w:t>
      </w:r>
      <w:r w:rsidRPr="00F05153">
        <w:t xml:space="preserve">Small proportion of patients (4%) receiving </w:t>
      </w:r>
      <w:r w:rsidR="00C11A08" w:rsidRPr="00F05153">
        <w:t>prostanoids</w:t>
      </w:r>
      <w:r w:rsidRPr="00F05153">
        <w:t xml:space="preserve"> or receiving doublet background therapy</w:t>
      </w:r>
    </w:p>
    <w:p w:rsidR="0075777C" w:rsidRPr="00F05153" w:rsidRDefault="0075777C" w:rsidP="00C11A08">
      <w:pPr>
        <w:pStyle w:val="Tablenote"/>
      </w:pPr>
      <w:r w:rsidRPr="00F05153">
        <w:t xml:space="preserve">CI = confidence interval; EOS = end of study; EOT = end of treatment; ERA = endothelin receptor antagonist; FC = functional class; HR = hazard ratio; n = number of </w:t>
      </w:r>
      <w:r w:rsidR="00D3683E" w:rsidRPr="00F05153">
        <w:t xml:space="preserve">patients with </w:t>
      </w:r>
      <w:r w:rsidRPr="00F05153">
        <w:t>events; N = number of patients; PAH = pulmonary arterial hypertension; PDE-5i = phosphodiesterase type-5 inhibitor; WHO = World Health Organization</w:t>
      </w:r>
    </w:p>
    <w:p w:rsidR="0075777C" w:rsidRPr="00F05153" w:rsidRDefault="0075777C" w:rsidP="0075777C">
      <w:r w:rsidRPr="00F05153">
        <w:t>A meta-analysis of the RR of patients with WHO FC III/IV PAH having clinical worsening when being treated with an ERA and a PDE-5 inhibitor compared with PDE-5 inhibitor alone in patients with WHO FC III/IV PAH was performed (</w:t>
      </w:r>
      <w:r w:rsidR="003951FA">
        <w:t>Figure 4.8</w:t>
      </w:r>
      <w:r w:rsidRPr="00F05153">
        <w:t>). There was moderate heterogeneity between the two studies</w:t>
      </w:r>
      <w:r w:rsidR="002046A0">
        <w:rPr>
          <w:noProof/>
          <w:color w:val="000000"/>
          <w:highlight w:val="black"/>
        </w:rPr>
        <w:t>'' '''''''' ''''''' '''''''''''' ''''''''' '''''''''''''''' '''''''''''' ''''''''''''''''' ''''''''''''''''''' '''''''' ''''' '''''''' '''''''' ''' '''''''''''' ''''''''''''''' '''''''' ''' '''''''''''' ''''''''''''''''' ''''''''''' ''''''' '''''''''''' '''' '''''''''' ''''''''''''' '''''''''''''''''''''</w:t>
      </w:r>
    </w:p>
    <w:p w:rsidR="0075777C" w:rsidRPr="002046A0" w:rsidRDefault="002046A0" w:rsidP="0075777C">
      <w:pPr>
        <w:tabs>
          <w:tab w:val="left" w:pos="1649"/>
          <w:tab w:val="left" w:pos="3066"/>
          <w:tab w:val="left" w:pos="4341"/>
        </w:tabs>
        <w:spacing w:after="40"/>
        <w:jc w:val="center"/>
        <w:rPr>
          <w:rFonts w:ascii="Arial Narrow" w:hAnsi="Arial Narrow" w:cs="Tahoma"/>
          <w:sz w:val="20"/>
        </w:rPr>
      </w:pPr>
      <w:r>
        <w:rPr>
          <w:rFonts w:ascii="Arial Narrow" w:hAnsi="Arial Narrow" w:cs="Tahoma"/>
          <w:noProof/>
          <w:sz w:val="20"/>
          <w:lang w:eastAsia="en-AU"/>
        </w:rPr>
        <w:drawing>
          <wp:inline distT="0" distB="0" distL="0" distR="0" wp14:anchorId="5D5B8503" wp14:editId="1B0AAA85">
            <wp:extent cx="6109335" cy="2906395"/>
            <wp:effectExtent l="0" t="0" r="5715" b="8255"/>
            <wp:docPr id="7" name="Picture 7" descr="image redacted" title="image redacted"/>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5"/>
                    <a:stretch>
                      <a:fillRect/>
                    </a:stretch>
                  </pic:blipFill>
                  <pic:spPr>
                    <a:xfrm>
                      <a:off x="0" y="0"/>
                      <a:ext cx="6109335" cy="2906395"/>
                    </a:xfrm>
                    <a:prstGeom prst="rect">
                      <a:avLst/>
                    </a:prstGeom>
                  </pic:spPr>
                </pic:pic>
              </a:graphicData>
            </a:graphic>
          </wp:inline>
        </w:drawing>
      </w:r>
    </w:p>
    <w:p w:rsidR="0075777C" w:rsidRPr="00DD7790" w:rsidRDefault="00EC75B2" w:rsidP="00BC5A2B">
      <w:pPr>
        <w:pStyle w:val="Caption"/>
        <w:rPr>
          <w:rFonts w:ascii="Arial Narrow" w:hAnsi="Arial Narrow" w:cs="Tahoma"/>
          <w:u w:val="single"/>
        </w:rPr>
      </w:pPr>
      <w:bookmarkStart w:id="155" w:name="_Ref506299684"/>
      <w:bookmarkStart w:id="156" w:name="_Toc38360474"/>
      <w:r>
        <w:t>Figure 4.</w:t>
      </w:r>
      <w:r w:rsidR="003951FA">
        <w:rPr>
          <w:noProof/>
        </w:rPr>
        <w:t>8</w:t>
      </w:r>
      <w:bookmarkEnd w:id="155"/>
      <w:r>
        <w:tab/>
      </w:r>
      <w:r w:rsidR="0075777C" w:rsidRPr="00DD7790">
        <w:t xml:space="preserve">Forest plot showing the RR of </w:t>
      </w:r>
      <w:r>
        <w:t>experiencing</w:t>
      </w:r>
      <w:r w:rsidR="0075777C" w:rsidRPr="00DD7790">
        <w:t xml:space="preserve"> clinical worsening with an ERA and a PDE-5 inhibitor compared with PDE-5 inhibitor alone in patients</w:t>
      </w:r>
      <w:r w:rsidR="0075777C" w:rsidRPr="0015525F">
        <w:t xml:space="preserve"> with WHO FC III/IV PAH</w:t>
      </w:r>
      <w:bookmarkEnd w:id="156"/>
    </w:p>
    <w:p w:rsidR="00D3683E" w:rsidRPr="00822C52" w:rsidRDefault="0075777C" w:rsidP="00EC75B2">
      <w:pPr>
        <w:pStyle w:val="Tablenote"/>
      </w:pPr>
      <w:r w:rsidRPr="00822C52">
        <w:t xml:space="preserve">CI = confidence interval; ERA = </w:t>
      </w:r>
      <w:r w:rsidR="0006512A">
        <w:t>endothelin receptor</w:t>
      </w:r>
      <w:r w:rsidRPr="00822C52">
        <w:t xml:space="preserve"> antagonists; </w:t>
      </w:r>
      <w:r w:rsidR="00D3683E" w:rsidRPr="00D3683E">
        <w:t xml:space="preserve">FC = functional class; </w:t>
      </w:r>
      <w:r w:rsidRPr="00822C52">
        <w:t xml:space="preserve">N = number of patients; </w:t>
      </w:r>
      <w:r w:rsidR="00D3683E" w:rsidRPr="00D3683E">
        <w:t xml:space="preserve">PAH = pulmonary arterial hypertension; </w:t>
      </w:r>
      <w:r>
        <w:t>PDE-5i</w:t>
      </w:r>
      <w:r w:rsidRPr="00822C52">
        <w:t xml:space="preserve"> = phosphodiesterase type-5 inhibitor; RR = relative risk</w:t>
      </w:r>
      <w:r w:rsidR="00D3683E" w:rsidRPr="00D3683E">
        <w:t>; WHO = World Health Organization</w:t>
      </w:r>
    </w:p>
    <w:p w:rsidR="0075777C" w:rsidRPr="00B607A5" w:rsidRDefault="0077344D" w:rsidP="0077344D">
      <w:pPr>
        <w:pStyle w:val="Heading6"/>
      </w:pPr>
      <w:proofErr w:type="gramStart"/>
      <w:r w:rsidRPr="00B607A5">
        <w:t>a</w:t>
      </w:r>
      <w:r w:rsidR="0075777C" w:rsidRPr="00B607A5">
        <w:t>.iii</w:t>
      </w:r>
      <w:proofErr w:type="gramEnd"/>
      <w:r w:rsidR="0075777C" w:rsidRPr="00B607A5">
        <w:tab/>
        <w:t>PAH patients with different disease aetiologies</w:t>
      </w:r>
    </w:p>
    <w:p w:rsidR="0075777C" w:rsidRPr="00822C52" w:rsidRDefault="0075777C" w:rsidP="0075777C">
      <w:r w:rsidRPr="00822C52">
        <w:t xml:space="preserve">Two studies reported the HR for patients with different PAH aetiologies experiencing clinical worsening while taking an ERA and a </w:t>
      </w:r>
      <w:r>
        <w:t>PDE-5 inhibitor</w:t>
      </w:r>
      <w:r w:rsidRPr="00822C52">
        <w:t xml:space="preserve"> compared with </w:t>
      </w:r>
      <w:r>
        <w:t>PDE-5 inhibitor</w:t>
      </w:r>
      <w:r w:rsidRPr="00822C52">
        <w:t xml:space="preserve"> alone (</w:t>
      </w:r>
      <w:r w:rsidR="003951FA">
        <w:t>Table 4.</w:t>
      </w:r>
      <w:r w:rsidR="003951FA">
        <w:rPr>
          <w:noProof/>
        </w:rPr>
        <w:t>46</w:t>
      </w:r>
      <w:r w:rsidRPr="00822C52">
        <w:t xml:space="preserve">). Both the COMPASS-2 and the AMBITION trials reported on PAH-CTD patients treated with an ERA and a </w:t>
      </w:r>
      <w:r>
        <w:t>PDE-5 inhibitor</w:t>
      </w:r>
      <w:r w:rsidRPr="00822C52">
        <w:t xml:space="preserve"> compared with a </w:t>
      </w:r>
      <w:r>
        <w:t>PDE-5 inhibitor</w:t>
      </w:r>
      <w:r w:rsidRPr="00822C52">
        <w:t xml:space="preserve"> alone, but only the AMBITION study found a statistically significant effect, a 60% decrease in events favouring combination over monotherapy over a 74-week period. PAH-CTD patients in the COMPASS-2 trial were on combination therapy were just as likely to have an event as those on </w:t>
      </w:r>
      <w:proofErr w:type="gramStart"/>
      <w:r w:rsidRPr="00822C52">
        <w:t>monotherapy</w:t>
      </w:r>
      <w:proofErr w:type="gramEnd"/>
      <w:r w:rsidRPr="00822C52">
        <w:t xml:space="preserve"> over the 1</w:t>
      </w:r>
      <w:r w:rsidR="000801F8">
        <w:t>69</w:t>
      </w:r>
      <w:r w:rsidRPr="00822C52">
        <w:t>-week study period.</w:t>
      </w:r>
      <w:r>
        <w:t xml:space="preserve"> Meta-analysis of the HRs</w:t>
      </w:r>
      <w:r w:rsidRPr="00787827">
        <w:t xml:space="preserve"> of patients with PAH</w:t>
      </w:r>
      <w:r>
        <w:t>-CTD</w:t>
      </w:r>
      <w:r w:rsidRPr="00787827">
        <w:t xml:space="preserve"> having clinical worsening when </w:t>
      </w:r>
      <w:proofErr w:type="gramStart"/>
      <w:r w:rsidRPr="00787827">
        <w:t>being treated</w:t>
      </w:r>
      <w:proofErr w:type="gramEnd"/>
      <w:r w:rsidRPr="00787827">
        <w:t xml:space="preserve"> with an ERA and a PDE-5 inhibitor compared with PDE-5 inhibitor alone was performed (</w:t>
      </w:r>
      <w:r w:rsidR="003951FA">
        <w:t>Figure 4.</w:t>
      </w:r>
      <w:r w:rsidR="003951FA">
        <w:rPr>
          <w:noProof/>
        </w:rPr>
        <w:t>9</w:t>
      </w:r>
      <w:r w:rsidRPr="00787827">
        <w:t>). There was moderate heterogeneity between the two studies, and the pooled point estimate, which favoured treatment with an ERA and a PDE-5 inhibitor</w:t>
      </w:r>
      <w:r w:rsidR="00BC4B63" w:rsidRPr="00BC4B63">
        <w:t xml:space="preserve">, showing a 40% reduction in the likelihood of having an event, </w:t>
      </w:r>
      <w:r w:rsidRPr="00787827">
        <w:t>over a PDE-5 inhibitor alone, failed to reach clinical significance</w:t>
      </w:r>
      <w:r>
        <w:t xml:space="preserve"> (pooled HR</w:t>
      </w:r>
      <w:r w:rsidR="00B60655">
        <w:t> </w:t>
      </w:r>
      <w:r>
        <w:t>=</w:t>
      </w:r>
      <w:r w:rsidR="00B60655">
        <w:t> </w:t>
      </w:r>
      <w:r>
        <w:t>0.59; 95% CI 0.12, 1.07)</w:t>
      </w:r>
      <w:r w:rsidRPr="00787827">
        <w:t>.</w:t>
      </w:r>
    </w:p>
    <w:p w:rsidR="0075777C" w:rsidRPr="00822C52" w:rsidRDefault="0075777C" w:rsidP="0075777C">
      <w:r w:rsidRPr="00822C52">
        <w:t>The COMPASS-2 study also reported on patients with either IPAH or HPAH, and on patients with PAH-CHD. The point estimate showed a 20% and 40% reduction, respectively, in the likelihood of having an event while receiving combination therapy compared with monotherapy over the 1</w:t>
      </w:r>
      <w:r w:rsidR="000801F8">
        <w:t>69</w:t>
      </w:r>
      <w:r w:rsidRPr="00822C52">
        <w:t>-week study period, but these differences did not reach statistical significance.</w:t>
      </w:r>
      <w:r>
        <w:t xml:space="preserve"> </w:t>
      </w:r>
    </w:p>
    <w:p w:rsidR="0075777C" w:rsidRPr="00DD7790" w:rsidRDefault="00272F8F" w:rsidP="00BC5A2B">
      <w:pPr>
        <w:pStyle w:val="Caption"/>
      </w:pPr>
      <w:bookmarkStart w:id="157" w:name="_Ref503276239"/>
      <w:bookmarkStart w:id="158" w:name="_Toc38360343"/>
      <w:r>
        <w:t>Table 4.</w:t>
      </w:r>
      <w:r w:rsidR="003951FA">
        <w:rPr>
          <w:noProof/>
        </w:rPr>
        <w:t>46</w:t>
      </w:r>
      <w:bookmarkEnd w:id="157"/>
      <w:r w:rsidR="00B60655">
        <w:tab/>
      </w:r>
      <w:r w:rsidR="0075777C" w:rsidRPr="00DD7790">
        <w:t xml:space="preserve">The effectiveness of </w:t>
      </w:r>
      <w:r w:rsidR="00EB768B">
        <w:t xml:space="preserve">an </w:t>
      </w:r>
      <w:r w:rsidR="00EB768B" w:rsidRPr="00A32D31">
        <w:t xml:space="preserve">ERA </w:t>
      </w:r>
      <w:r w:rsidR="00385078" w:rsidRPr="00385078">
        <w:t>in addition to a PDE-5 inhibitor compared with PDE-5 inhibitor monotherapy</w:t>
      </w:r>
      <w:r w:rsidR="0075777C" w:rsidRPr="00DD7790">
        <w:t xml:space="preserve"> in preventing clinical worsening in patients with different PAH aetiologies</w:t>
      </w:r>
      <w:bookmarkEnd w:id="158"/>
    </w:p>
    <w:tbl>
      <w:tblPr>
        <w:tblStyle w:val="TableGrid7"/>
        <w:tblW w:w="9634" w:type="dxa"/>
        <w:tblLayout w:type="fixed"/>
        <w:tblLook w:val="04A0" w:firstRow="1" w:lastRow="0" w:firstColumn="1" w:lastColumn="0" w:noHBand="0" w:noVBand="1"/>
        <w:tblCaption w:val="The effectiveness of an ERA in addition to a PDE-5 inhibitor compared with PDE-5 inhibitor monotherapy in preventing clinical worsening in patients with different PAH aetiologies"/>
      </w:tblPr>
      <w:tblGrid>
        <w:gridCol w:w="1696"/>
        <w:gridCol w:w="2127"/>
        <w:gridCol w:w="1913"/>
        <w:gridCol w:w="1914"/>
        <w:gridCol w:w="1984"/>
      </w:tblGrid>
      <w:tr w:rsidR="0075777C" w:rsidRPr="00822C52" w:rsidTr="00EC75B2">
        <w:trPr>
          <w:trHeight w:val="177"/>
          <w:tblHeader/>
        </w:trPr>
        <w:tc>
          <w:tcPr>
            <w:tcW w:w="1696" w:type="dxa"/>
            <w:vMerge w:val="restart"/>
            <w:shd w:val="clear" w:color="auto" w:fill="BFBFBF" w:themeFill="background1" w:themeFillShade="BF"/>
          </w:tcPr>
          <w:p w:rsidR="0075777C" w:rsidRPr="00EC75B2" w:rsidRDefault="0075777C" w:rsidP="00EC75B2">
            <w:pPr>
              <w:pStyle w:val="Tabletext"/>
              <w:rPr>
                <w:b/>
              </w:rPr>
            </w:pPr>
            <w:r w:rsidRPr="00EC75B2">
              <w:rPr>
                <w:b/>
              </w:rPr>
              <w:t>Study ID</w:t>
            </w:r>
          </w:p>
          <w:p w:rsidR="0075777C" w:rsidRPr="00EC75B2" w:rsidRDefault="0075777C" w:rsidP="00EC75B2">
            <w:pPr>
              <w:pStyle w:val="Tabletext"/>
              <w:rPr>
                <w:b/>
              </w:rPr>
            </w:pPr>
            <w:r w:rsidRPr="00EC75B2">
              <w:rPr>
                <w:b/>
              </w:rPr>
              <w:t>ERA/PDE-5i</w:t>
            </w:r>
          </w:p>
        </w:tc>
        <w:tc>
          <w:tcPr>
            <w:tcW w:w="2127" w:type="dxa"/>
            <w:vMerge w:val="restart"/>
            <w:shd w:val="clear" w:color="auto" w:fill="BFBFBF" w:themeFill="background1" w:themeFillShade="BF"/>
          </w:tcPr>
          <w:p w:rsidR="0075777C" w:rsidRPr="00EC75B2" w:rsidRDefault="0075777C" w:rsidP="00EC75B2">
            <w:pPr>
              <w:pStyle w:val="Tabletext"/>
              <w:rPr>
                <w:b/>
              </w:rPr>
            </w:pPr>
            <w:r w:rsidRPr="00EC75B2">
              <w:rPr>
                <w:b/>
              </w:rPr>
              <w:t>Follow-up period</w:t>
            </w:r>
          </w:p>
          <w:p w:rsidR="0075777C" w:rsidRPr="00EC75B2" w:rsidRDefault="0075777C" w:rsidP="00EC75B2">
            <w:pPr>
              <w:pStyle w:val="Tabletext"/>
              <w:rPr>
                <w:b/>
              </w:rPr>
            </w:pPr>
            <w:r w:rsidRPr="00EC75B2">
              <w:rPr>
                <w:b/>
              </w:rPr>
              <w:t>PAH aetiology</w:t>
            </w:r>
          </w:p>
        </w:tc>
        <w:tc>
          <w:tcPr>
            <w:tcW w:w="3827" w:type="dxa"/>
            <w:gridSpan w:val="2"/>
            <w:shd w:val="clear" w:color="auto" w:fill="BFBFBF" w:themeFill="background1" w:themeFillShade="BF"/>
          </w:tcPr>
          <w:p w:rsidR="0075777C" w:rsidRPr="00EC75B2" w:rsidRDefault="0075777C" w:rsidP="00EC75B2">
            <w:pPr>
              <w:pStyle w:val="Tabletext"/>
              <w:jc w:val="center"/>
              <w:rPr>
                <w:b/>
              </w:rPr>
            </w:pPr>
            <w:proofErr w:type="gramStart"/>
            <w:r w:rsidRPr="00EC75B2">
              <w:rPr>
                <w:b/>
              </w:rPr>
              <w:t>n/N</w:t>
            </w:r>
            <w:proofErr w:type="gramEnd"/>
            <w:r w:rsidRPr="00EC75B2">
              <w:rPr>
                <w:b/>
              </w:rPr>
              <w:t xml:space="preserve"> (%)</w:t>
            </w:r>
          </w:p>
        </w:tc>
        <w:tc>
          <w:tcPr>
            <w:tcW w:w="1984" w:type="dxa"/>
            <w:vMerge w:val="restart"/>
            <w:shd w:val="clear" w:color="auto" w:fill="BFBFBF" w:themeFill="background1" w:themeFillShade="BF"/>
          </w:tcPr>
          <w:p w:rsidR="0075777C" w:rsidRPr="00EC75B2" w:rsidRDefault="0075777C" w:rsidP="00EC75B2">
            <w:pPr>
              <w:pStyle w:val="Tabletext"/>
              <w:rPr>
                <w:b/>
              </w:rPr>
            </w:pPr>
            <w:r w:rsidRPr="00EC75B2">
              <w:rPr>
                <w:b/>
              </w:rPr>
              <w:t>HR (95% CI)</w:t>
            </w:r>
          </w:p>
        </w:tc>
      </w:tr>
      <w:tr w:rsidR="0075777C" w:rsidRPr="00822C52" w:rsidTr="00EC75B2">
        <w:trPr>
          <w:trHeight w:val="202"/>
          <w:tblHeader/>
        </w:trPr>
        <w:tc>
          <w:tcPr>
            <w:tcW w:w="1696" w:type="dxa"/>
            <w:vMerge/>
            <w:tcBorders>
              <w:bottom w:val="single" w:sz="4" w:space="0" w:color="auto"/>
            </w:tcBorders>
            <w:shd w:val="clear" w:color="auto" w:fill="BFBFBF" w:themeFill="background1" w:themeFillShade="BF"/>
          </w:tcPr>
          <w:p w:rsidR="0075777C" w:rsidRPr="00822C52" w:rsidRDefault="0075777C" w:rsidP="00EC75B2">
            <w:pPr>
              <w:pStyle w:val="Tabletext"/>
            </w:pPr>
          </w:p>
        </w:tc>
        <w:tc>
          <w:tcPr>
            <w:tcW w:w="2127" w:type="dxa"/>
            <w:vMerge/>
            <w:tcBorders>
              <w:bottom w:val="single" w:sz="4" w:space="0" w:color="auto"/>
            </w:tcBorders>
            <w:shd w:val="clear" w:color="auto" w:fill="BFBFBF" w:themeFill="background1" w:themeFillShade="BF"/>
          </w:tcPr>
          <w:p w:rsidR="0075777C" w:rsidRPr="00822C52" w:rsidRDefault="0075777C" w:rsidP="00EC75B2">
            <w:pPr>
              <w:pStyle w:val="Tabletext"/>
            </w:pPr>
          </w:p>
        </w:tc>
        <w:tc>
          <w:tcPr>
            <w:tcW w:w="1913" w:type="dxa"/>
            <w:tcBorders>
              <w:bottom w:val="single" w:sz="4" w:space="0" w:color="auto"/>
            </w:tcBorders>
            <w:shd w:val="clear" w:color="auto" w:fill="BFBFBF" w:themeFill="background1" w:themeFillShade="BF"/>
          </w:tcPr>
          <w:p w:rsidR="0075777C" w:rsidRPr="00EC75B2" w:rsidRDefault="0075777C" w:rsidP="00EC75B2">
            <w:pPr>
              <w:pStyle w:val="Tabletext"/>
              <w:jc w:val="center"/>
              <w:rPr>
                <w:b/>
              </w:rPr>
            </w:pPr>
            <w:r w:rsidRPr="00EC75B2">
              <w:rPr>
                <w:b/>
              </w:rPr>
              <w:t>ERA + PDE-5i</w:t>
            </w:r>
          </w:p>
        </w:tc>
        <w:tc>
          <w:tcPr>
            <w:tcW w:w="1914" w:type="dxa"/>
            <w:tcBorders>
              <w:bottom w:val="single" w:sz="4" w:space="0" w:color="auto"/>
            </w:tcBorders>
            <w:shd w:val="clear" w:color="auto" w:fill="BFBFBF" w:themeFill="background1" w:themeFillShade="BF"/>
          </w:tcPr>
          <w:p w:rsidR="0075777C" w:rsidRPr="00EC75B2" w:rsidRDefault="0075777C" w:rsidP="00EC75B2">
            <w:pPr>
              <w:pStyle w:val="Tabletext"/>
              <w:jc w:val="center"/>
              <w:rPr>
                <w:b/>
              </w:rPr>
            </w:pPr>
            <w:r w:rsidRPr="00EC75B2">
              <w:rPr>
                <w:b/>
              </w:rPr>
              <w:t>PDE-5i</w:t>
            </w:r>
          </w:p>
        </w:tc>
        <w:tc>
          <w:tcPr>
            <w:tcW w:w="1984" w:type="dxa"/>
            <w:vMerge/>
            <w:tcBorders>
              <w:bottom w:val="single" w:sz="4" w:space="0" w:color="auto"/>
            </w:tcBorders>
            <w:shd w:val="clear" w:color="auto" w:fill="BFBFBF" w:themeFill="background1" w:themeFillShade="BF"/>
          </w:tcPr>
          <w:p w:rsidR="0075777C" w:rsidRPr="00822C52" w:rsidRDefault="0075777C" w:rsidP="00EC75B2">
            <w:pPr>
              <w:pStyle w:val="Tabletext"/>
            </w:pPr>
          </w:p>
        </w:tc>
      </w:tr>
      <w:tr w:rsidR="0075777C" w:rsidRPr="00822C52" w:rsidTr="00EC75B2">
        <w:trPr>
          <w:trHeight w:val="70"/>
        </w:trPr>
        <w:tc>
          <w:tcPr>
            <w:tcW w:w="1696" w:type="dxa"/>
            <w:tcBorders>
              <w:bottom w:val="single" w:sz="4" w:space="0" w:color="auto"/>
            </w:tcBorders>
          </w:tcPr>
          <w:p w:rsidR="0075777C" w:rsidRPr="00822C52" w:rsidRDefault="0075777C" w:rsidP="00EC75B2">
            <w:pPr>
              <w:pStyle w:val="Tabletext"/>
              <w:rPr>
                <w:rFonts w:cs="Tahoma"/>
              </w:rPr>
            </w:pPr>
            <w:r w:rsidRPr="00822C52">
              <w:rPr>
                <w:rFonts w:cs="Tahoma"/>
              </w:rPr>
              <w:t>COMPASS-2</w:t>
            </w:r>
            <w:r w:rsidR="001D34EE" w:rsidRPr="001A1C44">
              <w:rPr>
                <w:rFonts w:cs="Tahoma"/>
                <w:noProof/>
                <w:vertAlign w:val="superscript"/>
              </w:rPr>
              <w:t>37</w:t>
            </w:r>
          </w:p>
          <w:p w:rsidR="0075777C" w:rsidRPr="00822C52" w:rsidRDefault="00EC75B2" w:rsidP="00EC75B2">
            <w:pPr>
              <w:pStyle w:val="Tabletext"/>
              <w:rPr>
                <w:rFonts w:cs="Tahoma"/>
              </w:rPr>
            </w:pPr>
            <w:r>
              <w:rPr>
                <w:rFonts w:cs="Tahoma"/>
              </w:rPr>
              <w:t>Bosentan/</w:t>
            </w:r>
            <w:r w:rsidR="0075777C" w:rsidRPr="00822C52">
              <w:rPr>
                <w:rFonts w:cs="Tahoma"/>
              </w:rPr>
              <w:t>sildenafil</w:t>
            </w:r>
          </w:p>
        </w:tc>
        <w:tc>
          <w:tcPr>
            <w:tcW w:w="2127" w:type="dxa"/>
            <w:tcBorders>
              <w:bottom w:val="single" w:sz="4" w:space="0" w:color="auto"/>
            </w:tcBorders>
          </w:tcPr>
          <w:p w:rsidR="0075777C" w:rsidRPr="00822C52" w:rsidRDefault="0075777C" w:rsidP="00EC75B2">
            <w:pPr>
              <w:pStyle w:val="Tabletext"/>
              <w:rPr>
                <w:rFonts w:cs="Tahoma"/>
              </w:rPr>
            </w:pPr>
            <w:r w:rsidRPr="00822C52">
              <w:rPr>
                <w:rFonts w:cs="Tahoma"/>
              </w:rPr>
              <w:t>EOS: mean 1</w:t>
            </w:r>
            <w:r w:rsidR="000801F8">
              <w:rPr>
                <w:rFonts w:cs="Tahoma"/>
              </w:rPr>
              <w:t>69</w:t>
            </w:r>
            <w:r w:rsidRPr="00822C52">
              <w:rPr>
                <w:rFonts w:cs="Tahoma"/>
              </w:rPr>
              <w:t xml:space="preserve"> weeks</w:t>
            </w:r>
          </w:p>
          <w:p w:rsidR="0075777C" w:rsidRPr="00822C52" w:rsidRDefault="0075777C" w:rsidP="00EC75B2">
            <w:pPr>
              <w:pStyle w:val="Tabletext"/>
              <w:rPr>
                <w:rFonts w:cs="Tahoma"/>
              </w:rPr>
            </w:pPr>
            <w:r w:rsidRPr="00822C52">
              <w:rPr>
                <w:rFonts w:cs="Tahoma"/>
              </w:rPr>
              <w:t>IPAH</w:t>
            </w:r>
            <w:r w:rsidR="00B923F1">
              <w:rPr>
                <w:rFonts w:cs="Tahoma"/>
              </w:rPr>
              <w:t>/HPAH</w:t>
            </w:r>
            <w:r w:rsidRPr="00822C52">
              <w:rPr>
                <w:rFonts w:cs="Tahoma"/>
              </w:rPr>
              <w:t xml:space="preserve"> or PAH-DT</w:t>
            </w:r>
          </w:p>
          <w:p w:rsidR="0075777C" w:rsidRPr="00822C52" w:rsidRDefault="0075777C" w:rsidP="00EC75B2">
            <w:pPr>
              <w:pStyle w:val="Tabletext"/>
            </w:pPr>
            <w:r w:rsidRPr="00822C52">
              <w:t>PAH-CTD</w:t>
            </w:r>
          </w:p>
          <w:p w:rsidR="0075777C" w:rsidRPr="00822C52" w:rsidRDefault="0075777C" w:rsidP="00EC75B2">
            <w:pPr>
              <w:pStyle w:val="Tabletext"/>
              <w:rPr>
                <w:rFonts w:cs="Tahoma"/>
              </w:rPr>
            </w:pPr>
            <w:r w:rsidRPr="00822C52">
              <w:rPr>
                <w:rFonts w:cs="Tahoma"/>
              </w:rPr>
              <w:t>PAH-CHD</w:t>
            </w:r>
          </w:p>
        </w:tc>
        <w:tc>
          <w:tcPr>
            <w:tcW w:w="1913" w:type="dxa"/>
            <w:tcBorders>
              <w:bottom w:val="single" w:sz="4" w:space="0" w:color="auto"/>
            </w:tcBorders>
          </w:tcPr>
          <w:p w:rsidR="0075777C" w:rsidRPr="00822C52" w:rsidRDefault="0075777C" w:rsidP="00EC75B2">
            <w:pPr>
              <w:pStyle w:val="Tabletext"/>
              <w:jc w:val="center"/>
              <w:rPr>
                <w:rFonts w:cs="Tahoma"/>
              </w:rPr>
            </w:pPr>
          </w:p>
          <w:p w:rsidR="0075777C" w:rsidRPr="00822C52" w:rsidRDefault="0075777C" w:rsidP="00EC75B2">
            <w:pPr>
              <w:pStyle w:val="Tabletext"/>
              <w:jc w:val="center"/>
              <w:rPr>
                <w:rFonts w:cs="Tahoma"/>
              </w:rPr>
            </w:pPr>
            <w:r w:rsidRPr="00822C52">
              <w:rPr>
                <w:rFonts w:cs="Tahoma"/>
              </w:rPr>
              <w:t>44/107 (41%)</w:t>
            </w:r>
          </w:p>
          <w:p w:rsidR="0075777C" w:rsidRPr="00822C52" w:rsidRDefault="0075777C" w:rsidP="00EC75B2">
            <w:pPr>
              <w:pStyle w:val="Tabletext"/>
              <w:jc w:val="center"/>
              <w:rPr>
                <w:rFonts w:cs="Tahoma"/>
              </w:rPr>
            </w:pPr>
            <w:r w:rsidRPr="00822C52">
              <w:rPr>
                <w:rFonts w:cs="Tahoma"/>
              </w:rPr>
              <w:t>22/43 (51%)</w:t>
            </w:r>
          </w:p>
          <w:p w:rsidR="0075777C" w:rsidRPr="00822C52" w:rsidRDefault="0075777C" w:rsidP="00EC75B2">
            <w:pPr>
              <w:pStyle w:val="Tabletext"/>
              <w:jc w:val="center"/>
              <w:rPr>
                <w:rFonts w:cs="Tahoma"/>
              </w:rPr>
            </w:pPr>
            <w:r w:rsidRPr="00822C52">
              <w:rPr>
                <w:rFonts w:cs="Tahoma"/>
              </w:rPr>
              <w:t>2/9 (22%)</w:t>
            </w:r>
          </w:p>
        </w:tc>
        <w:tc>
          <w:tcPr>
            <w:tcW w:w="1914" w:type="dxa"/>
            <w:tcBorders>
              <w:bottom w:val="single" w:sz="4" w:space="0" w:color="auto"/>
            </w:tcBorders>
          </w:tcPr>
          <w:p w:rsidR="0075777C" w:rsidRPr="00822C52" w:rsidRDefault="0075777C" w:rsidP="00EC75B2">
            <w:pPr>
              <w:pStyle w:val="Tabletext"/>
              <w:jc w:val="center"/>
              <w:rPr>
                <w:rFonts w:cs="Tahoma"/>
              </w:rPr>
            </w:pPr>
          </w:p>
          <w:p w:rsidR="0075777C" w:rsidRPr="00822C52" w:rsidRDefault="0075777C" w:rsidP="00EC75B2">
            <w:pPr>
              <w:pStyle w:val="Tabletext"/>
              <w:jc w:val="center"/>
              <w:rPr>
                <w:rFonts w:cs="Tahoma"/>
              </w:rPr>
            </w:pPr>
            <w:r w:rsidRPr="00822C52">
              <w:rPr>
                <w:rFonts w:cs="Tahoma"/>
              </w:rPr>
              <w:t>60/119 (50%)</w:t>
            </w:r>
          </w:p>
          <w:p w:rsidR="0075777C" w:rsidRPr="00822C52" w:rsidRDefault="0075777C" w:rsidP="00EC75B2">
            <w:pPr>
              <w:pStyle w:val="Tabletext"/>
              <w:jc w:val="center"/>
              <w:rPr>
                <w:rFonts w:cs="Tahoma"/>
              </w:rPr>
            </w:pPr>
            <w:r w:rsidRPr="00822C52">
              <w:rPr>
                <w:rFonts w:cs="Tahoma"/>
              </w:rPr>
              <w:t>26/45 (58%)</w:t>
            </w:r>
          </w:p>
          <w:p w:rsidR="0075777C" w:rsidRPr="00822C52" w:rsidRDefault="0075777C" w:rsidP="00EC75B2">
            <w:pPr>
              <w:pStyle w:val="Tabletext"/>
              <w:jc w:val="center"/>
              <w:rPr>
                <w:rFonts w:cs="Tahoma"/>
                <w:highlight w:val="cyan"/>
              </w:rPr>
            </w:pPr>
            <w:r w:rsidRPr="00822C52">
              <w:rPr>
                <w:rFonts w:cs="Tahoma"/>
              </w:rPr>
              <w:t>4/11 (36%)</w:t>
            </w:r>
          </w:p>
        </w:tc>
        <w:tc>
          <w:tcPr>
            <w:tcW w:w="1984" w:type="dxa"/>
            <w:tcBorders>
              <w:bottom w:val="single" w:sz="4" w:space="0" w:color="auto"/>
            </w:tcBorders>
          </w:tcPr>
          <w:p w:rsidR="0075777C" w:rsidRPr="00822C52" w:rsidRDefault="0075777C" w:rsidP="00EC75B2">
            <w:pPr>
              <w:pStyle w:val="Tabletext"/>
              <w:rPr>
                <w:rFonts w:cs="Tahoma"/>
              </w:rPr>
            </w:pPr>
          </w:p>
          <w:p w:rsidR="0075777C" w:rsidRPr="00822C52" w:rsidRDefault="0075777C" w:rsidP="00EC75B2">
            <w:pPr>
              <w:pStyle w:val="Tabletext"/>
              <w:rPr>
                <w:rFonts w:cs="Tahoma"/>
              </w:rPr>
            </w:pPr>
            <w:r w:rsidRPr="00822C52">
              <w:rPr>
                <w:rFonts w:cs="Tahoma"/>
              </w:rPr>
              <w:t>0.82 (0.55, 1.21)</w:t>
            </w:r>
          </w:p>
          <w:p w:rsidR="0075777C" w:rsidRPr="00822C52" w:rsidRDefault="0075777C" w:rsidP="00EC75B2">
            <w:pPr>
              <w:pStyle w:val="Tabletext"/>
              <w:rPr>
                <w:rFonts w:cs="Tahoma"/>
              </w:rPr>
            </w:pPr>
            <w:r w:rsidRPr="00822C52">
              <w:rPr>
                <w:rFonts w:cs="Tahoma"/>
              </w:rPr>
              <w:t>0.90 (0.51, 1.60)</w:t>
            </w:r>
          </w:p>
          <w:p w:rsidR="0075777C" w:rsidRPr="00822C52" w:rsidRDefault="0075777C" w:rsidP="00EC75B2">
            <w:pPr>
              <w:pStyle w:val="Tabletext"/>
              <w:rPr>
                <w:rFonts w:cs="Tahoma"/>
                <w:highlight w:val="cyan"/>
              </w:rPr>
            </w:pPr>
            <w:r w:rsidRPr="00822C52">
              <w:rPr>
                <w:rFonts w:cs="Tahoma"/>
              </w:rPr>
              <w:t>0.57 (0.10, 3.17)</w:t>
            </w:r>
          </w:p>
        </w:tc>
      </w:tr>
      <w:tr w:rsidR="0075777C" w:rsidRPr="00822C52" w:rsidTr="00EC75B2">
        <w:trPr>
          <w:trHeight w:val="70"/>
        </w:trPr>
        <w:tc>
          <w:tcPr>
            <w:tcW w:w="1696" w:type="dxa"/>
            <w:tcBorders>
              <w:top w:val="single" w:sz="4" w:space="0" w:color="auto"/>
            </w:tcBorders>
          </w:tcPr>
          <w:p w:rsidR="0075777C" w:rsidRPr="00822C52" w:rsidRDefault="0075777C" w:rsidP="00EC75B2">
            <w:pPr>
              <w:pStyle w:val="Tabletext"/>
              <w:rPr>
                <w:rFonts w:cs="Tahoma"/>
              </w:rPr>
            </w:pPr>
            <w:r w:rsidRPr="00822C52">
              <w:rPr>
                <w:rFonts w:cs="Tahoma"/>
              </w:rPr>
              <w:t>AMBITION</w:t>
            </w:r>
            <w:r w:rsidR="001D34EE" w:rsidRPr="001A1C44">
              <w:rPr>
                <w:rFonts w:cs="Tahoma"/>
                <w:noProof/>
                <w:vertAlign w:val="superscript"/>
              </w:rPr>
              <w:t>31</w:t>
            </w:r>
          </w:p>
          <w:p w:rsidR="0075777C" w:rsidRPr="00822C52" w:rsidRDefault="00EC75B2" w:rsidP="00EC75B2">
            <w:pPr>
              <w:pStyle w:val="Tabletext"/>
              <w:rPr>
                <w:rFonts w:cs="Tahoma"/>
              </w:rPr>
            </w:pPr>
            <w:r>
              <w:rPr>
                <w:rFonts w:cs="Tahoma"/>
              </w:rPr>
              <w:t>Ambrisentan/</w:t>
            </w:r>
            <w:r w:rsidR="0075777C" w:rsidRPr="00822C52">
              <w:rPr>
                <w:rFonts w:cs="Tahoma"/>
              </w:rPr>
              <w:t>tadalafil</w:t>
            </w:r>
          </w:p>
        </w:tc>
        <w:tc>
          <w:tcPr>
            <w:tcW w:w="2127" w:type="dxa"/>
            <w:tcBorders>
              <w:top w:val="single" w:sz="4" w:space="0" w:color="auto"/>
            </w:tcBorders>
          </w:tcPr>
          <w:p w:rsidR="0075777C" w:rsidRPr="00822C52" w:rsidRDefault="0075777C" w:rsidP="00EC75B2">
            <w:pPr>
              <w:pStyle w:val="Tabletext"/>
              <w:rPr>
                <w:rFonts w:cs="Tahoma"/>
              </w:rPr>
            </w:pPr>
            <w:r w:rsidRPr="00822C52">
              <w:rPr>
                <w:rFonts w:cs="Tahoma"/>
              </w:rPr>
              <w:t>FAV: mean 74 weeks</w:t>
            </w:r>
          </w:p>
          <w:p w:rsidR="0075777C" w:rsidRPr="00822C52" w:rsidRDefault="0075777C" w:rsidP="00EC75B2">
            <w:pPr>
              <w:pStyle w:val="Tabletext"/>
              <w:rPr>
                <w:rFonts w:cs="Tahoma"/>
              </w:rPr>
            </w:pPr>
            <w:r w:rsidRPr="00822C52">
              <w:rPr>
                <w:rFonts w:cs="Tahoma"/>
              </w:rPr>
              <w:t>PAH-CTD</w:t>
            </w:r>
          </w:p>
        </w:tc>
        <w:tc>
          <w:tcPr>
            <w:tcW w:w="1913" w:type="dxa"/>
            <w:tcBorders>
              <w:top w:val="single" w:sz="4" w:space="0" w:color="auto"/>
            </w:tcBorders>
          </w:tcPr>
          <w:p w:rsidR="0075777C" w:rsidRPr="00822C52" w:rsidRDefault="0075777C" w:rsidP="00EC75B2">
            <w:pPr>
              <w:pStyle w:val="Tabletext"/>
              <w:jc w:val="center"/>
              <w:rPr>
                <w:rFonts w:cs="Tahoma"/>
              </w:rPr>
            </w:pPr>
          </w:p>
          <w:p w:rsidR="0075777C" w:rsidRPr="00822C52" w:rsidRDefault="0075777C" w:rsidP="00EC75B2">
            <w:pPr>
              <w:pStyle w:val="Tabletext"/>
              <w:jc w:val="center"/>
              <w:rPr>
                <w:rFonts w:cs="Tahoma"/>
              </w:rPr>
            </w:pPr>
            <w:r w:rsidRPr="00822C52">
              <w:rPr>
                <w:rFonts w:cs="Tahoma"/>
              </w:rPr>
              <w:t>20/103 (19%)</w:t>
            </w:r>
          </w:p>
        </w:tc>
        <w:tc>
          <w:tcPr>
            <w:tcW w:w="1914" w:type="dxa"/>
            <w:tcBorders>
              <w:top w:val="single" w:sz="4" w:space="0" w:color="auto"/>
            </w:tcBorders>
          </w:tcPr>
          <w:p w:rsidR="0075777C" w:rsidRPr="00822C52" w:rsidRDefault="0075777C" w:rsidP="00EC75B2">
            <w:pPr>
              <w:pStyle w:val="Tabletext"/>
              <w:jc w:val="center"/>
              <w:rPr>
                <w:rFonts w:cs="Tahoma"/>
              </w:rPr>
            </w:pPr>
          </w:p>
          <w:p w:rsidR="0075777C" w:rsidRPr="00822C52" w:rsidRDefault="0075777C" w:rsidP="00EC75B2">
            <w:pPr>
              <w:pStyle w:val="Tabletext"/>
              <w:jc w:val="center"/>
              <w:rPr>
                <w:rFonts w:cs="Tahoma"/>
              </w:rPr>
            </w:pPr>
            <w:r w:rsidRPr="00822C52">
              <w:rPr>
                <w:rFonts w:cs="Tahoma"/>
              </w:rPr>
              <w:t>NR/40</w:t>
            </w:r>
          </w:p>
        </w:tc>
        <w:tc>
          <w:tcPr>
            <w:tcW w:w="1984" w:type="dxa"/>
            <w:tcBorders>
              <w:top w:val="single" w:sz="4" w:space="0" w:color="auto"/>
            </w:tcBorders>
          </w:tcPr>
          <w:p w:rsidR="0075777C" w:rsidRPr="00822C52" w:rsidRDefault="0075777C" w:rsidP="00EC75B2">
            <w:pPr>
              <w:pStyle w:val="Tabletext"/>
              <w:rPr>
                <w:rFonts w:cs="Tahoma"/>
              </w:rPr>
            </w:pPr>
          </w:p>
          <w:p w:rsidR="0075777C" w:rsidRPr="00822C52" w:rsidRDefault="0075777C" w:rsidP="00EC75B2">
            <w:pPr>
              <w:pStyle w:val="Tabletext"/>
              <w:rPr>
                <w:rFonts w:cs="Tahoma"/>
              </w:rPr>
            </w:pPr>
            <w:r w:rsidRPr="00822C52">
              <w:rPr>
                <w:rFonts w:cs="Tahoma"/>
              </w:rPr>
              <w:t>0.40 (0.20, 0.77)</w:t>
            </w:r>
          </w:p>
        </w:tc>
      </w:tr>
    </w:tbl>
    <w:p w:rsidR="00A50F9E" w:rsidRDefault="0075777C" w:rsidP="00EC75B2">
      <w:pPr>
        <w:pStyle w:val="Tablenote"/>
      </w:pPr>
      <w:proofErr w:type="gramStart"/>
      <w:r w:rsidRPr="00822C52">
        <w:t xml:space="preserve">CI = confidence interval; EOS = end of study; ERA = endothelin receptor antagonist; FAV = final assessment visit; </w:t>
      </w:r>
      <w:r w:rsidR="00B923F1">
        <w:t xml:space="preserve">HPAH = heritable PAH; </w:t>
      </w:r>
      <w:r w:rsidRPr="00822C52">
        <w:t>HR = hazard ratio; I</w:t>
      </w:r>
      <w:r w:rsidR="00B923F1">
        <w:t>PA</w:t>
      </w:r>
      <w:r w:rsidRPr="00822C52">
        <w:t xml:space="preserve">H = idiopathic </w:t>
      </w:r>
      <w:r w:rsidR="00B923F1">
        <w:t>PAH</w:t>
      </w:r>
      <w:r w:rsidRPr="00822C52">
        <w:t xml:space="preserve">; n = number of </w:t>
      </w:r>
      <w:r w:rsidR="00D3683E">
        <w:t xml:space="preserve">patients with </w:t>
      </w:r>
      <w:r w:rsidRPr="00822C52">
        <w:t xml:space="preserve">events; N = number of patients; NR = not reported; PAH = pulmonary arterial hypertension; </w:t>
      </w:r>
      <w:r w:rsidR="00B923F1">
        <w:t>PAH-</w:t>
      </w:r>
      <w:r w:rsidR="00B923F1" w:rsidRPr="00822C52">
        <w:t xml:space="preserve">CHD = </w:t>
      </w:r>
      <w:r w:rsidR="00B923F1">
        <w:t xml:space="preserve">PAH associated with </w:t>
      </w:r>
      <w:r w:rsidR="00B923F1" w:rsidRPr="00822C52">
        <w:t xml:space="preserve">congenital heart disease; </w:t>
      </w:r>
      <w:r w:rsidR="00B923F1">
        <w:t>PAH-</w:t>
      </w:r>
      <w:r w:rsidR="00B923F1" w:rsidRPr="00822C52">
        <w:t xml:space="preserve">CTD = </w:t>
      </w:r>
      <w:r w:rsidR="00B923F1">
        <w:t xml:space="preserve">PAH associated with </w:t>
      </w:r>
      <w:r w:rsidR="00B923F1" w:rsidRPr="00822C52">
        <w:t xml:space="preserve">connective tissue disease; </w:t>
      </w:r>
      <w:r w:rsidR="009B47AA" w:rsidRPr="009B47AA">
        <w:t xml:space="preserve">PAH-DT = drug/toxin-induced pulmonary arterial hypertension; </w:t>
      </w:r>
      <w:r>
        <w:t xml:space="preserve">PDE-5i </w:t>
      </w:r>
      <w:r w:rsidRPr="00822C52">
        <w:t>= phosphodiesterase type-5 inhibitor</w:t>
      </w:r>
      <w:proofErr w:type="gramEnd"/>
    </w:p>
    <w:p w:rsidR="00A50F9E" w:rsidRDefault="00A50F9E">
      <w:pPr>
        <w:spacing w:before="0" w:line="240" w:lineRule="auto"/>
        <w:rPr>
          <w:rFonts w:ascii="Arial" w:eastAsiaTheme="minorEastAsia" w:hAnsi="Arial" w:cs="Baskerville"/>
          <w:sz w:val="18"/>
          <w:szCs w:val="20"/>
          <w:lang w:eastAsia="en-AU"/>
        </w:rPr>
      </w:pPr>
      <w:r>
        <w:br w:type="page"/>
      </w:r>
    </w:p>
    <w:p w:rsidR="0075777C" w:rsidRDefault="0075777C" w:rsidP="00EC75B2">
      <w:pPr>
        <w:pStyle w:val="Tablenote"/>
      </w:pPr>
    </w:p>
    <w:p w:rsidR="0075777C" w:rsidRDefault="0075777C" w:rsidP="007E3E71">
      <w:pPr>
        <w:spacing w:after="40" w:line="240" w:lineRule="auto"/>
      </w:pPr>
      <w:r>
        <w:rPr>
          <w:noProof/>
          <w:lang w:eastAsia="en-AU"/>
        </w:rPr>
        <w:drawing>
          <wp:inline distT="0" distB="0" distL="0" distR="0" wp14:anchorId="033C6F69" wp14:editId="408AC05F">
            <wp:extent cx="6107373" cy="2503434"/>
            <wp:effectExtent l="0" t="0" r="8255" b="0"/>
            <wp:docPr id="48" name="Picture 48" descr="The estimated HR from the meta-analysis was 0.59 (95% CI 0.12, 1.07)" title="Forest plot showing the HR of experiencing clinical worsening with an ERA and a PDE-5 inhibitor compared with PDE-5 inhibitor alone in patients with PAH-C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01" t="6300" r="1596" b="4830"/>
                    <a:stretch/>
                  </pic:blipFill>
                  <pic:spPr bwMode="auto">
                    <a:xfrm>
                      <a:off x="0" y="0"/>
                      <a:ext cx="6282840" cy="2575359"/>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DD7790" w:rsidRDefault="00EC75B2" w:rsidP="00BC5A2B">
      <w:pPr>
        <w:pStyle w:val="Caption"/>
        <w:rPr>
          <w:rFonts w:ascii="Arial Narrow" w:hAnsi="Arial Narrow" w:cs="Tahoma"/>
          <w:u w:val="single"/>
        </w:rPr>
      </w:pPr>
      <w:bookmarkStart w:id="159" w:name="_Ref506477287"/>
      <w:bookmarkStart w:id="160" w:name="_Toc38360475"/>
      <w:r>
        <w:t>Figure 4.</w:t>
      </w:r>
      <w:r w:rsidR="003951FA">
        <w:rPr>
          <w:noProof/>
        </w:rPr>
        <w:t>9</w:t>
      </w:r>
      <w:bookmarkEnd w:id="159"/>
      <w:r>
        <w:tab/>
      </w:r>
      <w:r w:rsidR="0075777C" w:rsidRPr="00DD7790">
        <w:t xml:space="preserve">Forest plot showing the </w:t>
      </w:r>
      <w:r w:rsidR="0075777C">
        <w:t>H</w:t>
      </w:r>
      <w:r w:rsidR="0075777C" w:rsidRPr="00DD7790">
        <w:t xml:space="preserve">R of </w:t>
      </w:r>
      <w:r>
        <w:t>experiencing</w:t>
      </w:r>
      <w:r w:rsidR="0075777C" w:rsidRPr="00DD7790">
        <w:t xml:space="preserve"> clinical worsening with an ERA and a PDE-5 inhibitor compared with PDE-5 inhibitor alone in patients</w:t>
      </w:r>
      <w:r w:rsidR="0075777C" w:rsidRPr="0015525F">
        <w:t xml:space="preserve"> with </w:t>
      </w:r>
      <w:r w:rsidR="0075777C">
        <w:t>PAH-CTD</w:t>
      </w:r>
      <w:bookmarkEnd w:id="160"/>
    </w:p>
    <w:p w:rsidR="0075777C" w:rsidRPr="00822C52" w:rsidRDefault="0075777C" w:rsidP="00EC75B2">
      <w:pPr>
        <w:pStyle w:val="Tablenote"/>
      </w:pPr>
      <w:r w:rsidRPr="00822C52">
        <w:t xml:space="preserve">CI = confidence interval; ERA = </w:t>
      </w:r>
      <w:r w:rsidR="0006512A">
        <w:t>endothelin receptor</w:t>
      </w:r>
      <w:r w:rsidRPr="00822C52">
        <w:t xml:space="preserve"> antagonists; </w:t>
      </w:r>
      <w:r>
        <w:t>H</w:t>
      </w:r>
      <w:r w:rsidRPr="00822C52">
        <w:t xml:space="preserve">R = </w:t>
      </w:r>
      <w:r>
        <w:t>hazard ratio;</w:t>
      </w:r>
      <w:r w:rsidRPr="00822C52">
        <w:t xml:space="preserve"> N = number of patients;</w:t>
      </w:r>
      <w:r w:rsidR="00B923F1" w:rsidRPr="00B923F1">
        <w:t xml:space="preserve"> PAH-CTD = </w:t>
      </w:r>
      <w:r w:rsidR="00B923F1">
        <w:t>pulmonary arterial hypertension</w:t>
      </w:r>
      <w:r w:rsidR="00B923F1" w:rsidRPr="00B923F1">
        <w:t xml:space="preserve"> associated with connective tissue disease; </w:t>
      </w:r>
      <w:r>
        <w:t>PDE-5i</w:t>
      </w:r>
      <w:r w:rsidRPr="00822C52">
        <w:t xml:space="preserve"> = phosp</w:t>
      </w:r>
      <w:r>
        <w:t>hodiesterase type-5 inhibitor</w:t>
      </w:r>
    </w:p>
    <w:p w:rsidR="0075777C" w:rsidRPr="00822C52" w:rsidRDefault="0077344D" w:rsidP="0075777C">
      <w:pPr>
        <w:pStyle w:val="Heading5"/>
      </w:pPr>
      <w:r>
        <w:t>b.</w:t>
      </w:r>
      <w:r w:rsidR="0066218C">
        <w:tab/>
      </w:r>
      <w:r w:rsidR="00C828F9">
        <w:t>All-cause m</w:t>
      </w:r>
      <w:r w:rsidR="00C828F9" w:rsidRPr="006316DF">
        <w:t>ortality</w:t>
      </w:r>
    </w:p>
    <w:p w:rsidR="0075777C" w:rsidRPr="00B607A5" w:rsidRDefault="0077344D" w:rsidP="0077344D">
      <w:pPr>
        <w:pStyle w:val="Heading6"/>
      </w:pPr>
      <w:proofErr w:type="gramStart"/>
      <w:r w:rsidRPr="00B607A5">
        <w:t>b</w:t>
      </w:r>
      <w:r w:rsidR="0075777C" w:rsidRPr="00B607A5">
        <w:t>.i</w:t>
      </w:r>
      <w:proofErr w:type="gramEnd"/>
      <w:r w:rsidR="0075777C" w:rsidRPr="00B607A5">
        <w:tab/>
        <w:t>PAH patients, irrespective of disease severity or aetiology</w:t>
      </w:r>
    </w:p>
    <w:p w:rsidR="0075777C" w:rsidRPr="00F05153" w:rsidRDefault="0075777C" w:rsidP="0075777C">
      <w:r w:rsidRPr="00F05153">
        <w:t>All four RCTs reported on the proportion of PAH patients, irrespective of disease severity or aetiology, who died while taking both an ERA and a PDE-5 inhibitor compared with a placebo plus a PDE-5 inhibitor (</w:t>
      </w:r>
      <w:r w:rsidR="003951FA" w:rsidRPr="00F05153">
        <w:t>Table 4.</w:t>
      </w:r>
      <w:r w:rsidR="003951FA">
        <w:t>47</w:t>
      </w:r>
      <w:r w:rsidRPr="00F05153">
        <w:t xml:space="preserve">). In the EARLY trial, </w:t>
      </w:r>
      <w:r w:rsidR="002046A0">
        <w:rPr>
          <w:noProof/>
          <w:color w:val="000000"/>
          <w:highlight w:val="black"/>
        </w:rPr>
        <w:t xml:space="preserve">'''''''' ''''''' '''''''''''''' '''''''''''''''''' ''''''''''''''''''' '''''''' ''''''''''''''''''' </w:t>
      </w:r>
      <w:r w:rsidRPr="00F05153">
        <w:t xml:space="preserve">died over the 26-week study period, and a HR was not reported. </w:t>
      </w:r>
      <w:r w:rsidR="002046A0">
        <w:rPr>
          <w:noProof/>
          <w:color w:val="000000"/>
          <w:highlight w:val="black"/>
        </w:rPr>
        <w:t>''''''' ''''''' '''''''''''''''''' ''''' ''''''' '''''''''''''''''' '''''''''' '''''''''' '''''''''''''' ''' '''''''' ''''' ''''''''''''''''' '''''''''''''''''''''' ''''''''''''''''' ''''''' '''''''''' ''' '''''</w:t>
      </w:r>
      <w:r w:rsidRPr="00F05153">
        <w:t xml:space="preserve"> </w:t>
      </w:r>
      <w:r w:rsidR="002046A0">
        <w:rPr>
          <w:noProof/>
          <w:color w:val="000000"/>
          <w:highlight w:val="black"/>
        </w:rPr>
        <w:t>''''''''''''''' ''''''''''''''' ''''''''''' ''''''''''' '''''''''''''''''''''' '''''''''''''''' '''''''''''''''''''''' ''''''''''''''' '''''''''' '''''''''''' '''''''''''''''''' ''''''''''''''''''''''''''' '''''''''''' ''''''' '''''''''' '''''''''''''''''</w:t>
      </w:r>
      <w:r w:rsidRPr="00F05153">
        <w:t xml:space="preserve"> </w:t>
      </w:r>
    </w:p>
    <w:p w:rsidR="0075777C" w:rsidRPr="00F05153" w:rsidRDefault="00272F8F" w:rsidP="00BC5A2B">
      <w:pPr>
        <w:pStyle w:val="Caption"/>
      </w:pPr>
      <w:bookmarkStart w:id="161" w:name="_Ref503277868"/>
      <w:bookmarkStart w:id="162" w:name="_Toc38360344"/>
      <w:r w:rsidRPr="00F05153">
        <w:t>Table 4.</w:t>
      </w:r>
      <w:r w:rsidR="003951FA">
        <w:rPr>
          <w:noProof/>
        </w:rPr>
        <w:t>47</w:t>
      </w:r>
      <w:bookmarkEnd w:id="161"/>
      <w:r w:rsidR="00EC75B2" w:rsidRPr="00F05153">
        <w:tab/>
      </w:r>
      <w:r w:rsidR="0075777C" w:rsidRPr="00F05153">
        <w:t xml:space="preserve">Mortality rates for </w:t>
      </w:r>
      <w:r w:rsidR="00EB768B" w:rsidRPr="00F05153">
        <w:t xml:space="preserve">an ERA </w:t>
      </w:r>
      <w:r w:rsidR="00385078" w:rsidRPr="00F05153">
        <w:t>in addition to a PDE-5 inhibitor compared with PDE-5 inhibitor monotherapy</w:t>
      </w:r>
      <w:r w:rsidR="0075777C" w:rsidRPr="00F05153">
        <w:t xml:space="preserve"> in all PAH patients</w:t>
      </w:r>
      <w:bookmarkEnd w:id="162"/>
    </w:p>
    <w:tbl>
      <w:tblPr>
        <w:tblStyle w:val="TableGrid7"/>
        <w:tblW w:w="9634" w:type="dxa"/>
        <w:tblLayout w:type="fixed"/>
        <w:tblLook w:val="04A0" w:firstRow="1" w:lastRow="0" w:firstColumn="1" w:lastColumn="0" w:noHBand="0" w:noVBand="1"/>
        <w:tblCaption w:val="Mortality rates for an ERA in addition to a PDE-5 inhibitor compared with PDE-5 inhibitor monotherapy in all PAH patients"/>
      </w:tblPr>
      <w:tblGrid>
        <w:gridCol w:w="1413"/>
        <w:gridCol w:w="2551"/>
        <w:gridCol w:w="1630"/>
        <w:gridCol w:w="1631"/>
        <w:gridCol w:w="2409"/>
      </w:tblGrid>
      <w:tr w:rsidR="0075777C" w:rsidRPr="00F05153" w:rsidTr="00EC75B2">
        <w:trPr>
          <w:trHeight w:val="160"/>
          <w:tblHeader/>
        </w:trPr>
        <w:tc>
          <w:tcPr>
            <w:tcW w:w="1413" w:type="dxa"/>
            <w:vMerge w:val="restart"/>
            <w:shd w:val="clear" w:color="auto" w:fill="BFBFBF" w:themeFill="background1" w:themeFillShade="BF"/>
          </w:tcPr>
          <w:p w:rsidR="0075777C" w:rsidRPr="00F05153" w:rsidRDefault="0075777C" w:rsidP="00EC75B2">
            <w:pPr>
              <w:pStyle w:val="Tabletext"/>
              <w:rPr>
                <w:b/>
              </w:rPr>
            </w:pPr>
            <w:r w:rsidRPr="00F05153">
              <w:rPr>
                <w:b/>
              </w:rPr>
              <w:t>Study ID</w:t>
            </w:r>
          </w:p>
        </w:tc>
        <w:tc>
          <w:tcPr>
            <w:tcW w:w="2551" w:type="dxa"/>
            <w:vMerge w:val="restart"/>
            <w:shd w:val="clear" w:color="auto" w:fill="BFBFBF" w:themeFill="background1" w:themeFillShade="BF"/>
          </w:tcPr>
          <w:p w:rsidR="0075777C" w:rsidRPr="00F05153" w:rsidRDefault="0075777C" w:rsidP="00EC75B2">
            <w:pPr>
              <w:pStyle w:val="Tabletext"/>
              <w:rPr>
                <w:b/>
              </w:rPr>
            </w:pPr>
            <w:r w:rsidRPr="00F05153">
              <w:rPr>
                <w:b/>
              </w:rPr>
              <w:t>ERA/PDE-5i</w:t>
            </w:r>
          </w:p>
          <w:p w:rsidR="0075777C" w:rsidRPr="00F05153" w:rsidRDefault="0075777C" w:rsidP="00EC75B2">
            <w:pPr>
              <w:pStyle w:val="Tabletext"/>
              <w:rPr>
                <w:b/>
              </w:rPr>
            </w:pPr>
            <w:r w:rsidRPr="00F05153">
              <w:rPr>
                <w:b/>
              </w:rPr>
              <w:t>Follow-up period</w:t>
            </w:r>
          </w:p>
        </w:tc>
        <w:tc>
          <w:tcPr>
            <w:tcW w:w="3261" w:type="dxa"/>
            <w:gridSpan w:val="2"/>
            <w:shd w:val="clear" w:color="auto" w:fill="BFBFBF" w:themeFill="background1" w:themeFillShade="BF"/>
          </w:tcPr>
          <w:p w:rsidR="0075777C" w:rsidRPr="00F05153" w:rsidRDefault="0075777C" w:rsidP="00EC75B2">
            <w:pPr>
              <w:pStyle w:val="Tabletext"/>
              <w:jc w:val="center"/>
              <w:rPr>
                <w:b/>
              </w:rPr>
            </w:pPr>
            <w:proofErr w:type="gramStart"/>
            <w:r w:rsidRPr="00F05153">
              <w:rPr>
                <w:b/>
              </w:rPr>
              <w:t>n/N</w:t>
            </w:r>
            <w:proofErr w:type="gramEnd"/>
            <w:r w:rsidRPr="00F05153">
              <w:rPr>
                <w:b/>
              </w:rPr>
              <w:t xml:space="preserve"> (%)</w:t>
            </w:r>
          </w:p>
        </w:tc>
        <w:tc>
          <w:tcPr>
            <w:tcW w:w="2409" w:type="dxa"/>
            <w:vMerge w:val="restart"/>
            <w:shd w:val="clear" w:color="auto" w:fill="BFBFBF" w:themeFill="background1" w:themeFillShade="BF"/>
          </w:tcPr>
          <w:p w:rsidR="0075777C" w:rsidRPr="00F05153" w:rsidRDefault="0075777C" w:rsidP="00EC75B2">
            <w:pPr>
              <w:pStyle w:val="Tabletext"/>
              <w:rPr>
                <w:b/>
              </w:rPr>
            </w:pPr>
            <w:r w:rsidRPr="00F05153">
              <w:rPr>
                <w:b/>
              </w:rPr>
              <w:t>HR (95% CI)</w:t>
            </w:r>
          </w:p>
        </w:tc>
      </w:tr>
      <w:tr w:rsidR="0075777C" w:rsidRPr="00F05153" w:rsidTr="00EC75B2">
        <w:trPr>
          <w:trHeight w:val="202"/>
          <w:tblHeader/>
        </w:trPr>
        <w:tc>
          <w:tcPr>
            <w:tcW w:w="1413" w:type="dxa"/>
            <w:vMerge/>
            <w:shd w:val="clear" w:color="auto" w:fill="BFBFBF" w:themeFill="background1" w:themeFillShade="BF"/>
          </w:tcPr>
          <w:p w:rsidR="0075777C" w:rsidRPr="00F05153" w:rsidRDefault="0075777C" w:rsidP="00EC75B2">
            <w:pPr>
              <w:pStyle w:val="Tabletext"/>
            </w:pPr>
          </w:p>
        </w:tc>
        <w:tc>
          <w:tcPr>
            <w:tcW w:w="2551" w:type="dxa"/>
            <w:vMerge/>
            <w:shd w:val="clear" w:color="auto" w:fill="BFBFBF" w:themeFill="background1" w:themeFillShade="BF"/>
          </w:tcPr>
          <w:p w:rsidR="0075777C" w:rsidRPr="00F05153" w:rsidRDefault="0075777C" w:rsidP="00EC75B2">
            <w:pPr>
              <w:pStyle w:val="Tabletext"/>
            </w:pPr>
          </w:p>
        </w:tc>
        <w:tc>
          <w:tcPr>
            <w:tcW w:w="1630" w:type="dxa"/>
            <w:shd w:val="clear" w:color="auto" w:fill="BFBFBF" w:themeFill="background1" w:themeFillShade="BF"/>
          </w:tcPr>
          <w:p w:rsidR="0075777C" w:rsidRPr="00F05153" w:rsidRDefault="0075777C" w:rsidP="00EC75B2">
            <w:pPr>
              <w:pStyle w:val="Tabletext"/>
              <w:jc w:val="center"/>
              <w:rPr>
                <w:b/>
              </w:rPr>
            </w:pPr>
            <w:r w:rsidRPr="00F05153">
              <w:rPr>
                <w:b/>
              </w:rPr>
              <w:t>ERA + PDE-5i</w:t>
            </w:r>
          </w:p>
        </w:tc>
        <w:tc>
          <w:tcPr>
            <w:tcW w:w="1631" w:type="dxa"/>
            <w:shd w:val="clear" w:color="auto" w:fill="BFBFBF" w:themeFill="background1" w:themeFillShade="BF"/>
          </w:tcPr>
          <w:p w:rsidR="0075777C" w:rsidRPr="00F05153" w:rsidRDefault="0075777C" w:rsidP="00EC75B2">
            <w:pPr>
              <w:pStyle w:val="Tabletext"/>
              <w:jc w:val="center"/>
              <w:rPr>
                <w:b/>
              </w:rPr>
            </w:pPr>
            <w:r w:rsidRPr="00F05153">
              <w:rPr>
                <w:b/>
              </w:rPr>
              <w:t>PDE-5i</w:t>
            </w:r>
          </w:p>
        </w:tc>
        <w:tc>
          <w:tcPr>
            <w:tcW w:w="2409" w:type="dxa"/>
            <w:vMerge/>
            <w:shd w:val="clear" w:color="auto" w:fill="BFBFBF" w:themeFill="background1" w:themeFillShade="BF"/>
          </w:tcPr>
          <w:p w:rsidR="0075777C" w:rsidRPr="00F05153" w:rsidRDefault="0075777C" w:rsidP="00EC75B2">
            <w:pPr>
              <w:pStyle w:val="Tabletext"/>
            </w:pPr>
          </w:p>
        </w:tc>
      </w:tr>
      <w:tr w:rsidR="0075777C" w:rsidRPr="00F05153" w:rsidTr="00EC75B2">
        <w:trPr>
          <w:trHeight w:val="70"/>
        </w:trPr>
        <w:tc>
          <w:tcPr>
            <w:tcW w:w="1413" w:type="dxa"/>
          </w:tcPr>
          <w:p w:rsidR="0075777C" w:rsidRPr="00F05153" w:rsidRDefault="0075777C" w:rsidP="00EC75B2">
            <w:pPr>
              <w:pStyle w:val="Tabletext"/>
              <w:rPr>
                <w:rFonts w:cs="Tahoma"/>
              </w:rPr>
            </w:pPr>
            <w:r w:rsidRPr="00F05153">
              <w:rPr>
                <w:rFonts w:cs="Tahoma"/>
              </w:rPr>
              <w:t>EARLY CSR</w:t>
            </w:r>
          </w:p>
        </w:tc>
        <w:tc>
          <w:tcPr>
            <w:tcW w:w="2551" w:type="dxa"/>
          </w:tcPr>
          <w:p w:rsidR="0075777C" w:rsidRPr="00F05153" w:rsidRDefault="0075777C" w:rsidP="00EC75B2">
            <w:pPr>
              <w:pStyle w:val="Tabletext"/>
              <w:rPr>
                <w:rFonts w:cs="Tahoma"/>
              </w:rPr>
            </w:pPr>
            <w:r w:rsidRPr="00F05153">
              <w:rPr>
                <w:rFonts w:cs="Tahoma"/>
              </w:rPr>
              <w:t>Bosentan/sildenafil</w:t>
            </w:r>
          </w:p>
          <w:p w:rsidR="0075777C" w:rsidRPr="00F05153" w:rsidRDefault="0075777C" w:rsidP="00EC75B2">
            <w:pPr>
              <w:pStyle w:val="Tabletext"/>
              <w:rPr>
                <w:rFonts w:cs="Tahoma"/>
              </w:rPr>
            </w:pPr>
            <w:r w:rsidRPr="00F05153">
              <w:rPr>
                <w:rFonts w:cs="Tahoma"/>
              </w:rPr>
              <w:t>26 weeks</w:t>
            </w:r>
          </w:p>
        </w:tc>
        <w:tc>
          <w:tcPr>
            <w:tcW w:w="1630" w:type="dxa"/>
          </w:tcPr>
          <w:p w:rsidR="0075777C" w:rsidRPr="002046A0" w:rsidRDefault="002046A0" w:rsidP="00EC75B2">
            <w:pPr>
              <w:pStyle w:val="Tabletext"/>
              <w:jc w:val="center"/>
              <w:rPr>
                <w:rFonts w:cs="Tahoma"/>
                <w:highlight w:val="black"/>
              </w:rPr>
            </w:pPr>
            <w:r>
              <w:rPr>
                <w:rFonts w:cs="Tahoma"/>
                <w:noProof/>
                <w:color w:val="000000"/>
                <w:highlight w:val="black"/>
              </w:rPr>
              <w:t>''''''''''' ''''''''''''</w:t>
            </w:r>
          </w:p>
        </w:tc>
        <w:tc>
          <w:tcPr>
            <w:tcW w:w="1631" w:type="dxa"/>
          </w:tcPr>
          <w:p w:rsidR="0075777C" w:rsidRPr="002046A0" w:rsidRDefault="002046A0" w:rsidP="00EC75B2">
            <w:pPr>
              <w:pStyle w:val="Tabletext"/>
              <w:jc w:val="center"/>
              <w:rPr>
                <w:rFonts w:cs="Tahoma"/>
                <w:highlight w:val="black"/>
              </w:rPr>
            </w:pPr>
            <w:r>
              <w:rPr>
                <w:rFonts w:cs="Tahoma"/>
                <w:noProof/>
                <w:color w:val="000000"/>
                <w:highlight w:val="black"/>
              </w:rPr>
              <w:t>''''''''''' ''''''''''''</w:t>
            </w:r>
          </w:p>
        </w:tc>
        <w:tc>
          <w:tcPr>
            <w:tcW w:w="2409" w:type="dxa"/>
          </w:tcPr>
          <w:p w:rsidR="0075777C" w:rsidRPr="00F05153" w:rsidRDefault="0075777C" w:rsidP="00EC75B2">
            <w:pPr>
              <w:pStyle w:val="Tabletext"/>
              <w:rPr>
                <w:rFonts w:cs="Tahoma"/>
              </w:rPr>
            </w:pPr>
            <w:r w:rsidRPr="00F05153">
              <w:rPr>
                <w:rFonts w:cs="Tahoma"/>
              </w:rPr>
              <w:t>NR</w:t>
            </w:r>
          </w:p>
        </w:tc>
      </w:tr>
      <w:tr w:rsidR="0075777C" w:rsidRPr="00F05153" w:rsidTr="00EC75B2">
        <w:trPr>
          <w:trHeight w:val="70"/>
        </w:trPr>
        <w:tc>
          <w:tcPr>
            <w:tcW w:w="1413" w:type="dxa"/>
          </w:tcPr>
          <w:p w:rsidR="0075777C" w:rsidRPr="00F05153" w:rsidRDefault="0075777C" w:rsidP="001D34EE">
            <w:pPr>
              <w:pStyle w:val="Tabletext"/>
              <w:rPr>
                <w:rFonts w:cs="Tahoma"/>
              </w:rPr>
            </w:pPr>
            <w:r w:rsidRPr="00F05153">
              <w:rPr>
                <w:rFonts w:cs="Tahoma"/>
              </w:rPr>
              <w:t>COMPASS-2</w:t>
            </w:r>
            <w:r w:rsidR="001D34EE" w:rsidRPr="00F05153">
              <w:rPr>
                <w:rFonts w:cs="Tahoma"/>
                <w:noProof/>
                <w:vertAlign w:val="superscript"/>
              </w:rPr>
              <w:t>37</w:t>
            </w:r>
          </w:p>
        </w:tc>
        <w:tc>
          <w:tcPr>
            <w:tcW w:w="2551" w:type="dxa"/>
          </w:tcPr>
          <w:p w:rsidR="0075777C" w:rsidRPr="00F05153" w:rsidRDefault="0075777C" w:rsidP="00EC75B2">
            <w:pPr>
              <w:pStyle w:val="Tabletext"/>
              <w:rPr>
                <w:rFonts w:cs="Tahoma"/>
              </w:rPr>
            </w:pPr>
            <w:r w:rsidRPr="00F05153">
              <w:rPr>
                <w:rFonts w:cs="Tahoma"/>
              </w:rPr>
              <w:t>Bosentan/sildenafil</w:t>
            </w:r>
          </w:p>
          <w:p w:rsidR="0075777C" w:rsidRPr="00F05153" w:rsidRDefault="0075777C" w:rsidP="000801F8">
            <w:pPr>
              <w:pStyle w:val="Tabletext"/>
              <w:rPr>
                <w:rFonts w:cs="Tahoma"/>
              </w:rPr>
            </w:pPr>
            <w:r w:rsidRPr="00F05153">
              <w:rPr>
                <w:rFonts w:cs="Tahoma"/>
              </w:rPr>
              <w:t>EOS: mean 1</w:t>
            </w:r>
            <w:r w:rsidR="000801F8" w:rsidRPr="00F05153">
              <w:rPr>
                <w:rFonts w:cs="Tahoma"/>
              </w:rPr>
              <w:t>69</w:t>
            </w:r>
            <w:r w:rsidRPr="00F05153">
              <w:rPr>
                <w:rFonts w:cs="Tahoma"/>
              </w:rPr>
              <w:t xml:space="preserve"> weeks</w:t>
            </w:r>
          </w:p>
        </w:tc>
        <w:tc>
          <w:tcPr>
            <w:tcW w:w="1630" w:type="dxa"/>
          </w:tcPr>
          <w:p w:rsidR="0075777C" w:rsidRPr="00F05153" w:rsidRDefault="0075777C" w:rsidP="00EC75B2">
            <w:pPr>
              <w:pStyle w:val="Tabletext"/>
              <w:jc w:val="center"/>
              <w:rPr>
                <w:rFonts w:cs="Tahoma"/>
              </w:rPr>
            </w:pPr>
            <w:r w:rsidRPr="00F05153">
              <w:rPr>
                <w:rFonts w:cs="Tahoma"/>
              </w:rPr>
              <w:t>33/159 (21%)</w:t>
            </w:r>
          </w:p>
        </w:tc>
        <w:tc>
          <w:tcPr>
            <w:tcW w:w="1631" w:type="dxa"/>
          </w:tcPr>
          <w:p w:rsidR="0075777C" w:rsidRPr="00F05153" w:rsidRDefault="0075777C" w:rsidP="00EC75B2">
            <w:pPr>
              <w:pStyle w:val="Tabletext"/>
              <w:jc w:val="center"/>
              <w:rPr>
                <w:rFonts w:cs="Tahoma"/>
              </w:rPr>
            </w:pPr>
            <w:r w:rsidRPr="00F05153">
              <w:rPr>
                <w:rFonts w:cs="Tahoma"/>
              </w:rPr>
              <w:t>44/175 (25%)</w:t>
            </w:r>
          </w:p>
        </w:tc>
        <w:tc>
          <w:tcPr>
            <w:tcW w:w="2409" w:type="dxa"/>
          </w:tcPr>
          <w:p w:rsidR="0075777C" w:rsidRPr="00F05153" w:rsidRDefault="0075777C" w:rsidP="00EC75B2">
            <w:pPr>
              <w:pStyle w:val="Tabletext"/>
              <w:rPr>
                <w:rFonts w:cs="Tahoma"/>
              </w:rPr>
            </w:pPr>
            <w:r w:rsidRPr="00F05153">
              <w:rPr>
                <w:rFonts w:cs="Tahoma"/>
              </w:rPr>
              <w:t>0.86 (0.54, 1.34), p=0.4974</w:t>
            </w:r>
          </w:p>
        </w:tc>
      </w:tr>
      <w:tr w:rsidR="0075777C" w:rsidRPr="00F05153" w:rsidTr="00EC75B2">
        <w:trPr>
          <w:trHeight w:val="70"/>
        </w:trPr>
        <w:tc>
          <w:tcPr>
            <w:tcW w:w="1413" w:type="dxa"/>
          </w:tcPr>
          <w:p w:rsidR="0075777C" w:rsidRPr="00F05153" w:rsidRDefault="0075777C" w:rsidP="00EC75B2">
            <w:pPr>
              <w:pStyle w:val="Tabletext"/>
              <w:rPr>
                <w:rFonts w:cs="Tahoma"/>
              </w:rPr>
            </w:pPr>
            <w:r w:rsidRPr="00F05153">
              <w:rPr>
                <w:rFonts w:cs="Tahoma"/>
              </w:rPr>
              <w:t xml:space="preserve">SERAPHIN </w:t>
            </w:r>
            <w:r w:rsidRPr="00F05153">
              <w:rPr>
                <w:rFonts w:cs="Tahoma"/>
                <w:vertAlign w:val="superscript"/>
              </w:rPr>
              <w:t>a</w:t>
            </w:r>
            <w:r w:rsidRPr="00F05153">
              <w:rPr>
                <w:rFonts w:cs="Tahoma"/>
              </w:rPr>
              <w:t>, March 2014 submission</w:t>
            </w:r>
          </w:p>
        </w:tc>
        <w:tc>
          <w:tcPr>
            <w:tcW w:w="2551" w:type="dxa"/>
          </w:tcPr>
          <w:p w:rsidR="0075777C" w:rsidRPr="00F05153" w:rsidRDefault="0075777C" w:rsidP="00EC75B2">
            <w:pPr>
              <w:pStyle w:val="Tabletext"/>
              <w:rPr>
                <w:rFonts w:cs="Tahoma"/>
              </w:rPr>
            </w:pPr>
            <w:r w:rsidRPr="00F05153">
              <w:rPr>
                <w:rFonts w:cs="Tahoma"/>
              </w:rPr>
              <w:t>Macitentan/any PDE-5</w:t>
            </w:r>
            <w:r w:rsidR="004F7BBE" w:rsidRPr="00F05153">
              <w:rPr>
                <w:rFonts w:cs="Tahoma"/>
              </w:rPr>
              <w:t>i</w:t>
            </w:r>
          </w:p>
          <w:p w:rsidR="0075777C" w:rsidRPr="00F05153" w:rsidRDefault="00123C1B" w:rsidP="00EC75B2">
            <w:pPr>
              <w:pStyle w:val="Tabletext"/>
              <w:rPr>
                <w:rFonts w:cs="Tahoma"/>
              </w:rPr>
            </w:pPr>
            <w:r w:rsidRPr="00F05153">
              <w:rPr>
                <w:rFonts w:cs="Tahoma"/>
              </w:rPr>
              <w:t>EOS: median 129 weeks</w:t>
            </w:r>
          </w:p>
        </w:tc>
        <w:tc>
          <w:tcPr>
            <w:tcW w:w="1630" w:type="dxa"/>
          </w:tcPr>
          <w:p w:rsidR="0075777C" w:rsidRPr="002046A0" w:rsidRDefault="002046A0" w:rsidP="00123C1B">
            <w:pPr>
              <w:pStyle w:val="Tabletext"/>
              <w:jc w:val="center"/>
              <w:rPr>
                <w:rFonts w:cs="Tahoma"/>
                <w:highlight w:val="black"/>
              </w:rPr>
            </w:pPr>
            <w:r>
              <w:rPr>
                <w:rFonts w:cs="Tahoma"/>
                <w:noProof/>
                <w:color w:val="000000"/>
                <w:highlight w:val="black"/>
              </w:rPr>
              <w:t>'''''''''''''''''' ''''''''''''''''</w:t>
            </w:r>
          </w:p>
        </w:tc>
        <w:tc>
          <w:tcPr>
            <w:tcW w:w="1631" w:type="dxa"/>
          </w:tcPr>
          <w:p w:rsidR="0075777C" w:rsidRPr="002046A0" w:rsidRDefault="002046A0" w:rsidP="00123C1B">
            <w:pPr>
              <w:pStyle w:val="Tabletext"/>
              <w:jc w:val="center"/>
              <w:rPr>
                <w:rFonts w:cs="Tahoma"/>
                <w:highlight w:val="black"/>
              </w:rPr>
            </w:pPr>
            <w:r>
              <w:rPr>
                <w:rFonts w:cs="Tahoma"/>
                <w:noProof/>
                <w:color w:val="000000"/>
                <w:highlight w:val="black"/>
              </w:rPr>
              <w:t>''''''''''''''''' '''''''''''''''</w:t>
            </w:r>
          </w:p>
        </w:tc>
        <w:tc>
          <w:tcPr>
            <w:tcW w:w="2409" w:type="dxa"/>
          </w:tcPr>
          <w:p w:rsidR="0075777C" w:rsidRPr="002046A0" w:rsidRDefault="002046A0" w:rsidP="00EC75B2">
            <w:pPr>
              <w:pStyle w:val="Tabletext"/>
              <w:rPr>
                <w:rFonts w:cs="Tahoma"/>
                <w:highlight w:val="black"/>
              </w:rPr>
            </w:pPr>
            <w:r>
              <w:rPr>
                <w:rFonts w:cs="Tahoma"/>
                <w:noProof/>
                <w:color w:val="000000"/>
                <w:highlight w:val="black"/>
              </w:rPr>
              <w:t>'''''''''' ''''''''''''' ''''''''''''</w:t>
            </w:r>
          </w:p>
        </w:tc>
      </w:tr>
      <w:tr w:rsidR="0075777C" w:rsidRPr="00F05153" w:rsidTr="00EC75B2">
        <w:trPr>
          <w:trHeight w:val="70"/>
        </w:trPr>
        <w:tc>
          <w:tcPr>
            <w:tcW w:w="1413" w:type="dxa"/>
          </w:tcPr>
          <w:p w:rsidR="0075777C" w:rsidRPr="00F05153" w:rsidRDefault="0075777C" w:rsidP="001D34EE">
            <w:pPr>
              <w:pStyle w:val="Tabletext"/>
              <w:rPr>
                <w:rFonts w:cs="Tahoma"/>
              </w:rPr>
            </w:pPr>
            <w:r w:rsidRPr="00F05153">
              <w:rPr>
                <w:rFonts w:cs="Tahoma"/>
              </w:rPr>
              <w:t>AMBITION</w:t>
            </w:r>
            <w:r w:rsidR="001D34EE" w:rsidRPr="00F05153">
              <w:rPr>
                <w:rFonts w:cs="Tahoma"/>
                <w:noProof/>
                <w:vertAlign w:val="superscript"/>
              </w:rPr>
              <w:t>32</w:t>
            </w:r>
          </w:p>
        </w:tc>
        <w:tc>
          <w:tcPr>
            <w:tcW w:w="2551" w:type="dxa"/>
          </w:tcPr>
          <w:p w:rsidR="0075777C" w:rsidRPr="00F05153" w:rsidRDefault="0075777C" w:rsidP="00EC75B2">
            <w:pPr>
              <w:pStyle w:val="Tabletext"/>
              <w:rPr>
                <w:rFonts w:cs="Tahoma"/>
              </w:rPr>
            </w:pPr>
            <w:r w:rsidRPr="00F05153">
              <w:rPr>
                <w:rFonts w:cs="Tahoma"/>
              </w:rPr>
              <w:t>Ambrisentan/tadalafil</w:t>
            </w:r>
          </w:p>
          <w:p w:rsidR="0075777C" w:rsidRPr="00F05153" w:rsidRDefault="0075777C" w:rsidP="003B436F">
            <w:pPr>
              <w:pStyle w:val="Tabletext"/>
              <w:rPr>
                <w:rFonts w:cs="Tahoma"/>
              </w:rPr>
            </w:pPr>
            <w:r w:rsidRPr="00F05153">
              <w:rPr>
                <w:rFonts w:cs="Tahoma"/>
              </w:rPr>
              <w:t>FAV: mean 74 weeks</w:t>
            </w:r>
            <w:r w:rsidR="003B436F" w:rsidRPr="00F05153">
              <w:rPr>
                <w:rFonts w:cs="Tahoma"/>
              </w:rPr>
              <w:t xml:space="preserve">, </w:t>
            </w:r>
            <w:r w:rsidRPr="00F05153">
              <w:rPr>
                <w:rFonts w:cs="Tahoma"/>
              </w:rPr>
              <w:t>ITT</w:t>
            </w:r>
          </w:p>
        </w:tc>
        <w:tc>
          <w:tcPr>
            <w:tcW w:w="1630" w:type="dxa"/>
          </w:tcPr>
          <w:p w:rsidR="0075777C" w:rsidRPr="00F05153" w:rsidRDefault="0075777C" w:rsidP="00EC75B2">
            <w:pPr>
              <w:pStyle w:val="Tabletext"/>
              <w:jc w:val="center"/>
              <w:rPr>
                <w:rFonts w:cs="Tahoma"/>
              </w:rPr>
            </w:pPr>
            <w:r w:rsidRPr="00F05153">
              <w:rPr>
                <w:rFonts w:cs="Tahoma"/>
              </w:rPr>
              <w:t>18/302 (6%)</w:t>
            </w:r>
          </w:p>
        </w:tc>
        <w:tc>
          <w:tcPr>
            <w:tcW w:w="1631" w:type="dxa"/>
          </w:tcPr>
          <w:p w:rsidR="0075777C" w:rsidRPr="00F05153" w:rsidRDefault="0075777C" w:rsidP="00EC75B2">
            <w:pPr>
              <w:pStyle w:val="Tabletext"/>
              <w:jc w:val="center"/>
              <w:rPr>
                <w:rFonts w:cs="Tahoma"/>
              </w:rPr>
            </w:pPr>
            <w:r w:rsidRPr="00F05153">
              <w:rPr>
                <w:rFonts w:cs="Tahoma"/>
              </w:rPr>
              <w:t>15/151 (10%)</w:t>
            </w:r>
          </w:p>
        </w:tc>
        <w:tc>
          <w:tcPr>
            <w:tcW w:w="2409" w:type="dxa"/>
          </w:tcPr>
          <w:p w:rsidR="0075777C" w:rsidRPr="00F05153" w:rsidRDefault="0075777C" w:rsidP="00EC75B2">
            <w:pPr>
              <w:pStyle w:val="Tabletext"/>
              <w:rPr>
                <w:rFonts w:cs="Tahoma"/>
              </w:rPr>
            </w:pPr>
            <w:r w:rsidRPr="00F05153">
              <w:rPr>
                <w:rFonts w:cs="Tahoma"/>
              </w:rPr>
              <w:t>0.54 (0.27, 1.07), p=0.07</w:t>
            </w:r>
          </w:p>
        </w:tc>
      </w:tr>
    </w:tbl>
    <w:p w:rsidR="0075777C" w:rsidRPr="00F05153" w:rsidRDefault="0075777C" w:rsidP="00EC75B2">
      <w:pPr>
        <w:pStyle w:val="Tablenote"/>
      </w:pPr>
      <w:proofErr w:type="gramStart"/>
      <w:r w:rsidRPr="00F05153">
        <w:rPr>
          <w:vertAlign w:val="superscript"/>
        </w:rPr>
        <w:t>a</w:t>
      </w:r>
      <w:proofErr w:type="gramEnd"/>
      <w:r w:rsidRPr="00F05153">
        <w:t xml:space="preserve"> Small proportion of patients (4%) receiving </w:t>
      </w:r>
      <w:r w:rsidR="00EC75B2" w:rsidRPr="00F05153">
        <w:t>prostanoids</w:t>
      </w:r>
      <w:r w:rsidRPr="00F05153">
        <w:t xml:space="preserve"> or receiving doublet background therapy</w:t>
      </w:r>
    </w:p>
    <w:p w:rsidR="0075777C" w:rsidRPr="00F05153" w:rsidRDefault="0075777C" w:rsidP="00EC75B2">
      <w:pPr>
        <w:pStyle w:val="Tablenote"/>
      </w:pPr>
      <w:r w:rsidRPr="00F05153">
        <w:t xml:space="preserve">CI = confidence interval; </w:t>
      </w:r>
      <w:r w:rsidR="00D3683E" w:rsidRPr="00F05153">
        <w:t xml:space="preserve">CSR = clinical study report; </w:t>
      </w:r>
      <w:r w:rsidRPr="00F05153">
        <w:t xml:space="preserve">EOS = end of study; EOT = end of treatment; ERA = endothelin receptor antagonist; FAV = final assessment visit; HR = hazard ratio; </w:t>
      </w:r>
      <w:r w:rsidR="00D3683E" w:rsidRPr="00F05153">
        <w:t xml:space="preserve">ITT = intention-to-treat; </w:t>
      </w:r>
      <w:r w:rsidRPr="00F05153">
        <w:t xml:space="preserve">n = number of </w:t>
      </w:r>
      <w:r w:rsidR="00D3683E" w:rsidRPr="00F05153">
        <w:t xml:space="preserve">patients with </w:t>
      </w:r>
      <w:r w:rsidRPr="00F05153">
        <w:t>events; N = number of patients; NR = not reported; PAH = pulmonary arterial hypertension; PDE-5i = phosphodiesterase type-5 inhibitor</w:t>
      </w:r>
    </w:p>
    <w:p w:rsidR="0075777C" w:rsidRPr="002046A0" w:rsidRDefault="0075777C" w:rsidP="0075777C">
      <w:r w:rsidRPr="00F05153">
        <w:t>A meta-analysis of the RR of patients with PAH who died while being treated with an ERA and a PDE-5 inhibitor compared with PDE-5 inhibitor alone was performed (</w:t>
      </w:r>
      <w:r w:rsidR="003951FA" w:rsidRPr="00F05153">
        <w:t>Figure 4.</w:t>
      </w:r>
      <w:r w:rsidR="003951FA">
        <w:t>10</w:t>
      </w:r>
      <w:r w:rsidRPr="00F05153">
        <w:t>). There was low heterogeneity between the studies</w:t>
      </w:r>
      <w:r w:rsidR="002046A0">
        <w:rPr>
          <w:noProof/>
          <w:color w:val="000000"/>
          <w:highlight w:val="black"/>
        </w:rPr>
        <w:t>'' ''''''' ''''''''''''' ''''''''''' '''''''''''''''''' '''''''''''''''' '''''''''''''''''' ''''''''' ''''' ''''''' '''''''' ''' '''''''''' '''''''''''''' ''''''''' '' ''''''''''' '''''''''''''''' ''''''''''''' ''''''' '''''' '''''''' '''''''''' ''''''''''''''''' ''''''''''''''''''''''''</w:t>
      </w:r>
    </w:p>
    <w:p w:rsidR="0075777C" w:rsidRPr="002046A0" w:rsidRDefault="002046A0" w:rsidP="004F7BBE">
      <w:pPr>
        <w:tabs>
          <w:tab w:val="left" w:pos="1649"/>
          <w:tab w:val="left" w:pos="3066"/>
          <w:tab w:val="left" w:pos="4341"/>
        </w:tabs>
        <w:spacing w:after="40" w:line="240" w:lineRule="auto"/>
        <w:jc w:val="center"/>
        <w:rPr>
          <w:rFonts w:ascii="Arial Narrow" w:hAnsi="Arial Narrow" w:cs="Tahoma"/>
          <w:sz w:val="20"/>
        </w:rPr>
      </w:pPr>
      <w:r>
        <w:rPr>
          <w:rFonts w:ascii="Arial Narrow" w:hAnsi="Arial Narrow" w:cs="Tahoma"/>
          <w:noProof/>
          <w:sz w:val="20"/>
          <w:lang w:eastAsia="en-AU"/>
        </w:rPr>
        <w:drawing>
          <wp:inline distT="0" distB="0" distL="0" distR="0" wp14:anchorId="2602E351" wp14:editId="57D76CFF">
            <wp:extent cx="6127750" cy="2773045"/>
            <wp:effectExtent l="0" t="0" r="6350" b="8255"/>
            <wp:docPr id="6" name="Picture 6" descr="image redacted" title="image redacted"/>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5"/>
                    <a:stretch>
                      <a:fillRect/>
                    </a:stretch>
                  </pic:blipFill>
                  <pic:spPr>
                    <a:xfrm>
                      <a:off x="0" y="0"/>
                      <a:ext cx="6127750" cy="2773045"/>
                    </a:xfrm>
                    <a:prstGeom prst="rect">
                      <a:avLst/>
                    </a:prstGeom>
                  </pic:spPr>
                </pic:pic>
              </a:graphicData>
            </a:graphic>
          </wp:inline>
        </w:drawing>
      </w:r>
    </w:p>
    <w:p w:rsidR="0075777C" w:rsidRPr="00F05153" w:rsidRDefault="004F7BBE" w:rsidP="00BC5A2B">
      <w:pPr>
        <w:pStyle w:val="Caption"/>
        <w:rPr>
          <w:rFonts w:ascii="Arial Narrow" w:hAnsi="Arial Narrow" w:cs="Tahoma"/>
          <w:u w:val="single"/>
        </w:rPr>
      </w:pPr>
      <w:bookmarkStart w:id="163" w:name="_Ref506300245"/>
      <w:bookmarkStart w:id="164" w:name="_Toc38360476"/>
      <w:r w:rsidRPr="00F05153">
        <w:t>Figure 4.</w:t>
      </w:r>
      <w:r w:rsidR="003951FA">
        <w:rPr>
          <w:noProof/>
        </w:rPr>
        <w:t>10</w:t>
      </w:r>
      <w:bookmarkEnd w:id="163"/>
      <w:r w:rsidRPr="00F05153">
        <w:tab/>
      </w:r>
      <w:r w:rsidR="0075777C" w:rsidRPr="00F05153">
        <w:t xml:space="preserve">Forest plot showing the RR of mortality while </w:t>
      </w:r>
      <w:proofErr w:type="gramStart"/>
      <w:r w:rsidR="0075777C" w:rsidRPr="00F05153">
        <w:t>being treated</w:t>
      </w:r>
      <w:proofErr w:type="gramEnd"/>
      <w:r w:rsidR="0075777C" w:rsidRPr="00F05153">
        <w:t xml:space="preserve"> with an ERA and a PDE-5 inhibitor compared with PDE-5 inhibitor alone in all PAH patients</w:t>
      </w:r>
      <w:bookmarkEnd w:id="164"/>
    </w:p>
    <w:p w:rsidR="00D3683E" w:rsidRPr="00F05153" w:rsidRDefault="0075777C" w:rsidP="004F7BBE">
      <w:pPr>
        <w:pStyle w:val="Tablenote"/>
      </w:pPr>
      <w:r w:rsidRPr="00F05153">
        <w:t xml:space="preserve">CI = confidence interval; ERA = </w:t>
      </w:r>
      <w:r w:rsidR="0006512A" w:rsidRPr="00F05153">
        <w:t>endothelin receptor</w:t>
      </w:r>
      <w:r w:rsidRPr="00F05153">
        <w:t xml:space="preserve"> antagonists; N = number of patients; </w:t>
      </w:r>
      <w:r w:rsidR="00D3683E" w:rsidRPr="00F05153">
        <w:t xml:space="preserve">PAH = pulmonary arterial hypertension; </w:t>
      </w:r>
      <w:r w:rsidRPr="00F05153">
        <w:t>PDE-5i = phosphodiesterase type-5 inhibitor; RR = relative risk</w:t>
      </w:r>
    </w:p>
    <w:p w:rsidR="0075777C" w:rsidRPr="00F05153" w:rsidRDefault="0077344D" w:rsidP="0077344D">
      <w:pPr>
        <w:pStyle w:val="Heading6"/>
      </w:pPr>
      <w:proofErr w:type="gramStart"/>
      <w:r w:rsidRPr="00F05153">
        <w:t>b</w:t>
      </w:r>
      <w:r w:rsidR="0075777C" w:rsidRPr="00F05153">
        <w:t>.ii</w:t>
      </w:r>
      <w:proofErr w:type="gramEnd"/>
      <w:r w:rsidR="0075777C" w:rsidRPr="00F05153">
        <w:tab/>
        <w:t>PAH patients with FC III or IV</w:t>
      </w:r>
    </w:p>
    <w:p w:rsidR="0075777C" w:rsidRPr="00F05153" w:rsidRDefault="0075777C" w:rsidP="0075777C">
      <w:r w:rsidRPr="00F05153">
        <w:t xml:space="preserve">The SERAPHIN trial reported that patients with WHO FC III/IV PAH taking ERA:PDE-5 inhibitor combination therapy were </w:t>
      </w:r>
      <w:r w:rsidR="002046A0">
        <w:rPr>
          <w:noProof/>
          <w:color w:val="000000"/>
          <w:highlight w:val="black"/>
        </w:rPr>
        <w:t>'''''''''''''''' ''''''' '''''''''</w:t>
      </w:r>
      <w:r w:rsidRPr="00F05153">
        <w:t xml:space="preserve"> to die than those taking PDE-5 inhibitor monotherapy over the study period, but </w:t>
      </w:r>
      <w:r w:rsidR="002046A0">
        <w:rPr>
          <w:noProof/>
          <w:color w:val="000000"/>
          <w:highlight w:val="black"/>
        </w:rPr>
        <w:t>''''''' ''''''''''''''''''' '''''''' '''''' '''''''''''''''''''' ''''''''''''''''''''</w:t>
      </w:r>
      <w:r w:rsidRPr="00F05153">
        <w:t xml:space="preserve"> (</w:t>
      </w:r>
      <w:r w:rsidR="003951FA" w:rsidRPr="00F05153">
        <w:t>Table 4.</w:t>
      </w:r>
      <w:r w:rsidR="003951FA">
        <w:t>48</w:t>
      </w:r>
      <w:r w:rsidRPr="00F05153">
        <w:t>).</w:t>
      </w:r>
    </w:p>
    <w:p w:rsidR="0075777C" w:rsidRPr="00F05153" w:rsidRDefault="00272F8F" w:rsidP="00BC5A2B">
      <w:pPr>
        <w:pStyle w:val="Caption"/>
      </w:pPr>
      <w:bookmarkStart w:id="165" w:name="_Ref505252590"/>
      <w:bookmarkStart w:id="166" w:name="_Toc38360345"/>
      <w:r w:rsidRPr="00F05153">
        <w:t>Table 4.</w:t>
      </w:r>
      <w:r w:rsidR="003951FA">
        <w:rPr>
          <w:noProof/>
        </w:rPr>
        <w:t>48</w:t>
      </w:r>
      <w:bookmarkEnd w:id="165"/>
      <w:r w:rsidR="004F7BBE" w:rsidRPr="00F05153">
        <w:tab/>
      </w:r>
      <w:r w:rsidR="0075777C" w:rsidRPr="00F05153">
        <w:t xml:space="preserve">Mortality rates for </w:t>
      </w:r>
      <w:r w:rsidR="00EB768B" w:rsidRPr="00F05153">
        <w:t xml:space="preserve">an ERA </w:t>
      </w:r>
      <w:r w:rsidR="00385078" w:rsidRPr="00F05153">
        <w:t>in addition to a PDE-5 inhibitor compared with PDE-5 inhibitor monotherapy</w:t>
      </w:r>
      <w:r w:rsidR="0075777C" w:rsidRPr="00F05153">
        <w:t xml:space="preserve"> in patients with WHO FC III/IV PAH</w:t>
      </w:r>
      <w:bookmarkEnd w:id="166"/>
    </w:p>
    <w:tbl>
      <w:tblPr>
        <w:tblStyle w:val="TableGrid7"/>
        <w:tblW w:w="9634" w:type="dxa"/>
        <w:tblLayout w:type="fixed"/>
        <w:tblLook w:val="04A0" w:firstRow="1" w:lastRow="0" w:firstColumn="1" w:lastColumn="0" w:noHBand="0" w:noVBand="1"/>
        <w:tblCaption w:val="Mortality rates for an ERA in addition to a PDE-5 inhibitor compared with PDE-5 inhibitor monotherapy in patients with WHO FC III/IV PAH"/>
      </w:tblPr>
      <w:tblGrid>
        <w:gridCol w:w="1555"/>
        <w:gridCol w:w="2551"/>
        <w:gridCol w:w="1701"/>
        <w:gridCol w:w="1985"/>
        <w:gridCol w:w="1842"/>
      </w:tblGrid>
      <w:tr w:rsidR="0075777C" w:rsidRPr="00F05153" w:rsidTr="00EC2524">
        <w:trPr>
          <w:trHeight w:val="143"/>
          <w:tblHeader/>
        </w:trPr>
        <w:tc>
          <w:tcPr>
            <w:tcW w:w="1555" w:type="dxa"/>
            <w:vMerge w:val="restart"/>
            <w:shd w:val="clear" w:color="auto" w:fill="BFBFBF" w:themeFill="background1" w:themeFillShade="BF"/>
          </w:tcPr>
          <w:p w:rsidR="0075777C" w:rsidRPr="00F05153" w:rsidRDefault="0075777C" w:rsidP="004F7BBE">
            <w:pPr>
              <w:pStyle w:val="Tabletext"/>
              <w:rPr>
                <w:b/>
              </w:rPr>
            </w:pPr>
            <w:r w:rsidRPr="00F05153">
              <w:rPr>
                <w:b/>
              </w:rPr>
              <w:t>Study ID</w:t>
            </w:r>
          </w:p>
        </w:tc>
        <w:tc>
          <w:tcPr>
            <w:tcW w:w="2551" w:type="dxa"/>
            <w:vMerge w:val="restart"/>
            <w:shd w:val="clear" w:color="auto" w:fill="BFBFBF" w:themeFill="background1" w:themeFillShade="BF"/>
          </w:tcPr>
          <w:p w:rsidR="0075777C" w:rsidRPr="00F05153" w:rsidRDefault="0075777C" w:rsidP="004F7BBE">
            <w:pPr>
              <w:pStyle w:val="Tabletext"/>
              <w:rPr>
                <w:b/>
              </w:rPr>
            </w:pPr>
            <w:r w:rsidRPr="00F05153">
              <w:rPr>
                <w:b/>
              </w:rPr>
              <w:t>ERA/PDE-5i</w:t>
            </w:r>
          </w:p>
          <w:p w:rsidR="0075777C" w:rsidRPr="00F05153" w:rsidRDefault="0075777C" w:rsidP="004F7BBE">
            <w:pPr>
              <w:pStyle w:val="Tabletext"/>
              <w:rPr>
                <w:b/>
              </w:rPr>
            </w:pPr>
            <w:r w:rsidRPr="00F05153">
              <w:rPr>
                <w:b/>
              </w:rPr>
              <w:t>Follow-up period</w:t>
            </w:r>
          </w:p>
        </w:tc>
        <w:tc>
          <w:tcPr>
            <w:tcW w:w="3686" w:type="dxa"/>
            <w:gridSpan w:val="2"/>
            <w:shd w:val="clear" w:color="auto" w:fill="BFBFBF" w:themeFill="background1" w:themeFillShade="BF"/>
          </w:tcPr>
          <w:p w:rsidR="0075777C" w:rsidRPr="00F05153" w:rsidRDefault="0075777C" w:rsidP="004F7BBE">
            <w:pPr>
              <w:pStyle w:val="Tabletext"/>
              <w:jc w:val="center"/>
              <w:rPr>
                <w:b/>
              </w:rPr>
            </w:pPr>
            <w:proofErr w:type="gramStart"/>
            <w:r w:rsidRPr="00F05153">
              <w:rPr>
                <w:b/>
              </w:rPr>
              <w:t>n/N</w:t>
            </w:r>
            <w:proofErr w:type="gramEnd"/>
            <w:r w:rsidRPr="00F05153">
              <w:rPr>
                <w:b/>
              </w:rPr>
              <w:t xml:space="preserve"> (%)</w:t>
            </w:r>
          </w:p>
        </w:tc>
        <w:tc>
          <w:tcPr>
            <w:tcW w:w="1842" w:type="dxa"/>
            <w:vMerge w:val="restart"/>
            <w:shd w:val="clear" w:color="auto" w:fill="BFBFBF" w:themeFill="background1" w:themeFillShade="BF"/>
          </w:tcPr>
          <w:p w:rsidR="0075777C" w:rsidRPr="00F05153" w:rsidRDefault="0075777C" w:rsidP="004F7BBE">
            <w:pPr>
              <w:pStyle w:val="Tabletext"/>
              <w:rPr>
                <w:b/>
              </w:rPr>
            </w:pPr>
            <w:r w:rsidRPr="00F05153">
              <w:rPr>
                <w:b/>
              </w:rPr>
              <w:t>HR (95% CI)</w:t>
            </w:r>
          </w:p>
        </w:tc>
      </w:tr>
      <w:tr w:rsidR="0075777C" w:rsidRPr="00F05153" w:rsidTr="004F7BBE">
        <w:trPr>
          <w:trHeight w:val="202"/>
          <w:tblHeader/>
        </w:trPr>
        <w:tc>
          <w:tcPr>
            <w:tcW w:w="1555" w:type="dxa"/>
            <w:vMerge/>
            <w:shd w:val="clear" w:color="auto" w:fill="BFBFBF" w:themeFill="background1" w:themeFillShade="BF"/>
          </w:tcPr>
          <w:p w:rsidR="0075777C" w:rsidRPr="00F05153" w:rsidRDefault="0075777C" w:rsidP="004F7BBE">
            <w:pPr>
              <w:pStyle w:val="Tabletext"/>
            </w:pPr>
          </w:p>
        </w:tc>
        <w:tc>
          <w:tcPr>
            <w:tcW w:w="2551" w:type="dxa"/>
            <w:vMerge/>
            <w:shd w:val="clear" w:color="auto" w:fill="BFBFBF" w:themeFill="background1" w:themeFillShade="BF"/>
          </w:tcPr>
          <w:p w:rsidR="0075777C" w:rsidRPr="00F05153" w:rsidRDefault="0075777C" w:rsidP="004F7BBE">
            <w:pPr>
              <w:pStyle w:val="Tabletext"/>
            </w:pPr>
          </w:p>
        </w:tc>
        <w:tc>
          <w:tcPr>
            <w:tcW w:w="1701" w:type="dxa"/>
            <w:shd w:val="clear" w:color="auto" w:fill="BFBFBF" w:themeFill="background1" w:themeFillShade="BF"/>
          </w:tcPr>
          <w:p w:rsidR="0075777C" w:rsidRPr="00F05153" w:rsidRDefault="0075777C" w:rsidP="004F7BBE">
            <w:pPr>
              <w:pStyle w:val="Tabletext"/>
              <w:jc w:val="center"/>
              <w:rPr>
                <w:b/>
              </w:rPr>
            </w:pPr>
            <w:r w:rsidRPr="00F05153">
              <w:rPr>
                <w:b/>
              </w:rPr>
              <w:t>ERA + PDE-5i</w:t>
            </w:r>
          </w:p>
        </w:tc>
        <w:tc>
          <w:tcPr>
            <w:tcW w:w="1985" w:type="dxa"/>
            <w:shd w:val="clear" w:color="auto" w:fill="BFBFBF" w:themeFill="background1" w:themeFillShade="BF"/>
          </w:tcPr>
          <w:p w:rsidR="0075777C" w:rsidRPr="00F05153" w:rsidRDefault="0075777C" w:rsidP="004F7BBE">
            <w:pPr>
              <w:pStyle w:val="Tabletext"/>
              <w:jc w:val="center"/>
              <w:rPr>
                <w:b/>
              </w:rPr>
            </w:pPr>
            <w:r w:rsidRPr="00F05153">
              <w:rPr>
                <w:b/>
              </w:rPr>
              <w:t>PDE-5i</w:t>
            </w:r>
          </w:p>
        </w:tc>
        <w:tc>
          <w:tcPr>
            <w:tcW w:w="1842" w:type="dxa"/>
            <w:vMerge/>
            <w:shd w:val="clear" w:color="auto" w:fill="BFBFBF" w:themeFill="background1" w:themeFillShade="BF"/>
          </w:tcPr>
          <w:p w:rsidR="0075777C" w:rsidRPr="00F05153" w:rsidRDefault="0075777C" w:rsidP="004F7BBE">
            <w:pPr>
              <w:pStyle w:val="Tabletext"/>
            </w:pPr>
          </w:p>
        </w:tc>
      </w:tr>
      <w:tr w:rsidR="0075777C" w:rsidRPr="00F05153" w:rsidTr="004F7BBE">
        <w:trPr>
          <w:trHeight w:val="70"/>
        </w:trPr>
        <w:tc>
          <w:tcPr>
            <w:tcW w:w="1555" w:type="dxa"/>
          </w:tcPr>
          <w:p w:rsidR="0075777C" w:rsidRPr="00F05153" w:rsidRDefault="0075777C" w:rsidP="004F7BBE">
            <w:pPr>
              <w:pStyle w:val="Tabletext"/>
              <w:rPr>
                <w:rFonts w:cs="Tahoma"/>
              </w:rPr>
            </w:pPr>
            <w:r w:rsidRPr="00F05153">
              <w:rPr>
                <w:rFonts w:cs="Tahoma"/>
              </w:rPr>
              <w:t xml:space="preserve">SERAPHIN </w:t>
            </w:r>
            <w:r w:rsidRPr="00F05153">
              <w:rPr>
                <w:rFonts w:cs="Tahoma"/>
                <w:vertAlign w:val="superscript"/>
              </w:rPr>
              <w:t>a</w:t>
            </w:r>
            <w:r w:rsidRPr="00F05153">
              <w:rPr>
                <w:rFonts w:cs="Tahoma"/>
              </w:rPr>
              <w:t>, March 2014 submission</w:t>
            </w:r>
          </w:p>
        </w:tc>
        <w:tc>
          <w:tcPr>
            <w:tcW w:w="2551" w:type="dxa"/>
          </w:tcPr>
          <w:p w:rsidR="0075777C" w:rsidRPr="00F05153" w:rsidRDefault="0075777C" w:rsidP="004F7BBE">
            <w:pPr>
              <w:pStyle w:val="Tabletext"/>
              <w:rPr>
                <w:rFonts w:cs="Tahoma"/>
              </w:rPr>
            </w:pPr>
            <w:r w:rsidRPr="00F05153">
              <w:rPr>
                <w:rFonts w:cs="Tahoma"/>
              </w:rPr>
              <w:t>Macitentan/any PDE-5i</w:t>
            </w:r>
          </w:p>
          <w:p w:rsidR="004F7BBE" w:rsidRPr="00F05153" w:rsidRDefault="0075777C" w:rsidP="004F7BBE">
            <w:pPr>
              <w:pStyle w:val="Tabletext"/>
              <w:rPr>
                <w:rFonts w:cs="Tahoma"/>
              </w:rPr>
            </w:pPr>
            <w:r w:rsidRPr="00F05153">
              <w:rPr>
                <w:rFonts w:cs="Tahoma"/>
              </w:rPr>
              <w:t>EOS: median 129 weeks</w:t>
            </w:r>
          </w:p>
          <w:p w:rsidR="004F7BBE" w:rsidRPr="00F05153" w:rsidRDefault="004F7BBE" w:rsidP="004F7BBE">
            <w:pPr>
              <w:pStyle w:val="Tabletext"/>
            </w:pPr>
            <w:r w:rsidRPr="00F05153">
              <w:t>Death due to PAH</w:t>
            </w:r>
          </w:p>
          <w:p w:rsidR="0075777C" w:rsidRPr="00F05153" w:rsidRDefault="004F7BBE" w:rsidP="004F7BBE">
            <w:pPr>
              <w:pStyle w:val="Tabletext"/>
              <w:rPr>
                <w:rFonts w:cs="Tahoma"/>
              </w:rPr>
            </w:pPr>
            <w:r w:rsidRPr="00F05153">
              <w:rPr>
                <w:rFonts w:cs="Tahoma"/>
              </w:rPr>
              <w:t>All-cause mortality</w:t>
            </w:r>
          </w:p>
        </w:tc>
        <w:tc>
          <w:tcPr>
            <w:tcW w:w="1701" w:type="dxa"/>
          </w:tcPr>
          <w:p w:rsidR="0075777C" w:rsidRPr="00F05153" w:rsidRDefault="0075777C" w:rsidP="004F7BBE">
            <w:pPr>
              <w:pStyle w:val="Tabletext"/>
              <w:jc w:val="center"/>
              <w:rPr>
                <w:rFonts w:cs="Tahoma"/>
              </w:rPr>
            </w:pPr>
          </w:p>
          <w:p w:rsidR="0075777C" w:rsidRPr="00F05153" w:rsidRDefault="0075777C" w:rsidP="004F7BBE">
            <w:pPr>
              <w:pStyle w:val="Tabletext"/>
              <w:jc w:val="center"/>
              <w:rPr>
                <w:rFonts w:cs="Tahoma"/>
              </w:rPr>
            </w:pPr>
          </w:p>
          <w:p w:rsidR="0075777C" w:rsidRPr="002046A0" w:rsidRDefault="002046A0" w:rsidP="004F7BBE">
            <w:pPr>
              <w:pStyle w:val="Tabletext"/>
              <w:jc w:val="center"/>
              <w:rPr>
                <w:rFonts w:cs="Tahoma"/>
                <w:highlight w:val="black"/>
              </w:rPr>
            </w:pPr>
            <w:r>
              <w:rPr>
                <w:rFonts w:cs="Tahoma"/>
                <w:noProof/>
                <w:color w:val="000000"/>
                <w:highlight w:val="black"/>
              </w:rPr>
              <w:t>'''''''''' '''''''''''''</w:t>
            </w:r>
          </w:p>
          <w:p w:rsidR="0075777C" w:rsidRPr="002046A0" w:rsidRDefault="002046A0" w:rsidP="004F7BBE">
            <w:pPr>
              <w:pStyle w:val="Tabletext"/>
              <w:jc w:val="center"/>
              <w:rPr>
                <w:rFonts w:cs="Tahoma"/>
                <w:highlight w:val="black"/>
              </w:rPr>
            </w:pPr>
            <w:r>
              <w:rPr>
                <w:rFonts w:cs="Tahoma"/>
                <w:noProof/>
                <w:color w:val="000000"/>
                <w:highlight w:val="black"/>
              </w:rPr>
              <w:t>''''''''''''' '''''''''''''</w:t>
            </w:r>
          </w:p>
        </w:tc>
        <w:tc>
          <w:tcPr>
            <w:tcW w:w="1985" w:type="dxa"/>
          </w:tcPr>
          <w:p w:rsidR="0075777C" w:rsidRPr="00F05153" w:rsidRDefault="0075777C" w:rsidP="004F7BBE">
            <w:pPr>
              <w:pStyle w:val="Tabletext"/>
              <w:jc w:val="center"/>
              <w:rPr>
                <w:rFonts w:cs="Tahoma"/>
              </w:rPr>
            </w:pPr>
          </w:p>
          <w:p w:rsidR="004F7BBE" w:rsidRPr="00F05153" w:rsidRDefault="004F7BBE" w:rsidP="004F7BBE">
            <w:pPr>
              <w:pStyle w:val="Tabletext"/>
              <w:jc w:val="center"/>
              <w:rPr>
                <w:rFonts w:cs="Tahoma"/>
              </w:rPr>
            </w:pPr>
          </w:p>
          <w:p w:rsidR="0075777C" w:rsidRPr="002046A0" w:rsidRDefault="002046A0" w:rsidP="004F7BBE">
            <w:pPr>
              <w:pStyle w:val="Tabletext"/>
              <w:jc w:val="center"/>
              <w:rPr>
                <w:rFonts w:cs="Tahoma"/>
                <w:highlight w:val="black"/>
              </w:rPr>
            </w:pPr>
            <w:r>
              <w:rPr>
                <w:rFonts w:cs="Tahoma"/>
                <w:noProof/>
                <w:color w:val="000000"/>
                <w:highlight w:val="black"/>
              </w:rPr>
              <w:t>'''''''''' '''''''''''''</w:t>
            </w:r>
          </w:p>
          <w:p w:rsidR="0075777C" w:rsidRPr="002046A0" w:rsidRDefault="002046A0" w:rsidP="004F7BBE">
            <w:pPr>
              <w:pStyle w:val="Tabletext"/>
              <w:jc w:val="center"/>
              <w:rPr>
                <w:rFonts w:cs="Tahoma"/>
                <w:highlight w:val="black"/>
              </w:rPr>
            </w:pPr>
            <w:r>
              <w:rPr>
                <w:rFonts w:cs="Tahoma"/>
                <w:noProof/>
                <w:color w:val="000000"/>
                <w:highlight w:val="black"/>
              </w:rPr>
              <w:t>''''''''''''' ''''''''''''''''</w:t>
            </w:r>
          </w:p>
        </w:tc>
        <w:tc>
          <w:tcPr>
            <w:tcW w:w="1842" w:type="dxa"/>
          </w:tcPr>
          <w:p w:rsidR="0075777C" w:rsidRPr="00F05153" w:rsidRDefault="0075777C" w:rsidP="004F7BBE">
            <w:pPr>
              <w:pStyle w:val="Tabletext"/>
              <w:rPr>
                <w:rFonts w:cs="Tahoma"/>
              </w:rPr>
            </w:pPr>
          </w:p>
          <w:p w:rsidR="0075777C" w:rsidRPr="00F05153" w:rsidRDefault="0075777C" w:rsidP="004F7BBE">
            <w:pPr>
              <w:pStyle w:val="Tabletext"/>
              <w:rPr>
                <w:rFonts w:cs="Tahoma"/>
              </w:rPr>
            </w:pPr>
          </w:p>
          <w:p w:rsidR="0075777C" w:rsidRPr="002046A0" w:rsidRDefault="002046A0" w:rsidP="004F7BBE">
            <w:pPr>
              <w:pStyle w:val="Tabletext"/>
              <w:rPr>
                <w:rFonts w:cs="Tahoma"/>
                <w:highlight w:val="black"/>
              </w:rPr>
            </w:pPr>
            <w:r>
              <w:rPr>
                <w:rFonts w:cs="Tahoma"/>
                <w:noProof/>
                <w:color w:val="000000"/>
                <w:highlight w:val="black"/>
              </w:rPr>
              <w:t>''''''''''' ''''''''''''' '''''''''''''</w:t>
            </w:r>
          </w:p>
          <w:p w:rsidR="0075777C" w:rsidRPr="002046A0" w:rsidRDefault="002046A0" w:rsidP="004F7BBE">
            <w:pPr>
              <w:pStyle w:val="Tabletext"/>
              <w:rPr>
                <w:rFonts w:cs="Tahoma"/>
                <w:highlight w:val="black"/>
              </w:rPr>
            </w:pPr>
            <w:r>
              <w:rPr>
                <w:rFonts w:cs="Tahoma"/>
                <w:noProof/>
                <w:color w:val="000000"/>
                <w:highlight w:val="black"/>
              </w:rPr>
              <w:t>''''''''''' '''''''''''''' '''''''''''</w:t>
            </w:r>
          </w:p>
        </w:tc>
      </w:tr>
    </w:tbl>
    <w:p w:rsidR="0075777C" w:rsidRPr="00F05153" w:rsidRDefault="0075777C" w:rsidP="004F7BBE">
      <w:pPr>
        <w:pStyle w:val="Tablenote"/>
      </w:pPr>
      <w:proofErr w:type="gramStart"/>
      <w:r w:rsidRPr="00F05153">
        <w:rPr>
          <w:vertAlign w:val="superscript"/>
        </w:rPr>
        <w:t>a</w:t>
      </w:r>
      <w:proofErr w:type="gramEnd"/>
      <w:r w:rsidRPr="00F05153">
        <w:t xml:space="preserve"> Small proportion of patients (4%) receiving </w:t>
      </w:r>
      <w:r w:rsidR="0017012F" w:rsidRPr="00F05153">
        <w:t>prostanoids</w:t>
      </w:r>
      <w:r w:rsidRPr="00F05153">
        <w:t xml:space="preserve"> or receiving doublet background therapy</w:t>
      </w:r>
    </w:p>
    <w:p w:rsidR="0075777C" w:rsidRPr="00822C52" w:rsidRDefault="0075777C" w:rsidP="004F7BBE">
      <w:pPr>
        <w:pStyle w:val="Tablenote"/>
      </w:pPr>
      <w:r w:rsidRPr="00F05153">
        <w:t>CI = confidence interval; EOS = end of study; ERA = endothelin receptor antagonist; FC = functional class; HR = hazard</w:t>
      </w:r>
      <w:r w:rsidRPr="00822C52">
        <w:t xml:space="preserve"> ratio; n = number of </w:t>
      </w:r>
      <w:r w:rsidR="00D3683E">
        <w:t xml:space="preserve">patients with </w:t>
      </w:r>
      <w:r w:rsidRPr="00822C52">
        <w:t xml:space="preserve">events; N = number of patients; PAH = pulmonary arterial hypertension; </w:t>
      </w:r>
      <w:r>
        <w:t>PDE-5i</w:t>
      </w:r>
      <w:r w:rsidRPr="00822C52">
        <w:t xml:space="preserve"> = phosphodiesterase type-5 inhibitor; WHO = World Health Organization</w:t>
      </w:r>
    </w:p>
    <w:p w:rsidR="0075777C" w:rsidRPr="00822C52" w:rsidRDefault="0077344D" w:rsidP="0075777C">
      <w:pPr>
        <w:pStyle w:val="Heading5"/>
      </w:pPr>
      <w:r>
        <w:t>c.</w:t>
      </w:r>
      <w:r w:rsidR="0066218C">
        <w:tab/>
      </w:r>
      <w:r w:rsidR="00C828F9" w:rsidRPr="006316DF">
        <w:t>Hospitalisation</w:t>
      </w:r>
      <w:r w:rsidR="00C828F9" w:rsidRPr="0046652B">
        <w:t xml:space="preserve"> due to worsening PAH</w:t>
      </w:r>
    </w:p>
    <w:p w:rsidR="0075777C" w:rsidRPr="00B607A5" w:rsidRDefault="0077344D" w:rsidP="0077344D">
      <w:pPr>
        <w:pStyle w:val="Heading6"/>
      </w:pPr>
      <w:proofErr w:type="gramStart"/>
      <w:r w:rsidRPr="00B607A5">
        <w:t>c</w:t>
      </w:r>
      <w:r w:rsidR="0075777C" w:rsidRPr="00B607A5">
        <w:t>.i</w:t>
      </w:r>
      <w:proofErr w:type="gramEnd"/>
      <w:r w:rsidR="0075777C" w:rsidRPr="00B607A5">
        <w:tab/>
        <w:t>PAH patients, irrespective of disease severity or aetiology</w:t>
      </w:r>
    </w:p>
    <w:p w:rsidR="0075777C" w:rsidRPr="00822C52" w:rsidRDefault="0075777C" w:rsidP="0075777C">
      <w:r w:rsidRPr="00822C52">
        <w:t xml:space="preserve">Two RCTs reported on the proportion of PAH patients, irrespective of disease severity or aetiology, who were hospitalised </w:t>
      </w:r>
      <w:r w:rsidR="00951198">
        <w:t xml:space="preserve">due to worsening PAH </w:t>
      </w:r>
      <w:r w:rsidRPr="00822C52">
        <w:t xml:space="preserve">while taking both an ERA and a </w:t>
      </w:r>
      <w:r>
        <w:t>PDE-5 inhibitor</w:t>
      </w:r>
      <w:r w:rsidRPr="00822C52">
        <w:t xml:space="preserve"> compared with a placebo plus a </w:t>
      </w:r>
      <w:r>
        <w:t>PDE-5 inhibitor</w:t>
      </w:r>
      <w:r w:rsidRPr="00822C52">
        <w:t xml:space="preserve"> (</w:t>
      </w:r>
      <w:r w:rsidR="003951FA">
        <w:t>Table 4.</w:t>
      </w:r>
      <w:r w:rsidR="003951FA">
        <w:rPr>
          <w:noProof/>
        </w:rPr>
        <w:t>49</w:t>
      </w:r>
      <w:r w:rsidRPr="00822C52">
        <w:t xml:space="preserve">). The pooled </w:t>
      </w:r>
      <w:r w:rsidR="00767852">
        <w:t>RR</w:t>
      </w:r>
      <w:r w:rsidR="00767852" w:rsidRPr="00822C52">
        <w:t xml:space="preserve"> </w:t>
      </w:r>
      <w:r>
        <w:t>show</w:t>
      </w:r>
      <w:r w:rsidR="00767852">
        <w:t>s</w:t>
      </w:r>
      <w:r>
        <w:t xml:space="preserve"> a </w:t>
      </w:r>
      <w:r w:rsidR="00767852">
        <w:t xml:space="preserve">statistically </w:t>
      </w:r>
      <w:r w:rsidRPr="00822C52">
        <w:t xml:space="preserve">significant </w:t>
      </w:r>
      <w:r>
        <w:t>difference</w:t>
      </w:r>
      <w:r w:rsidR="00767852">
        <w:t xml:space="preserve"> favouring combination therapy over monotherapy</w:t>
      </w:r>
      <w:r w:rsidR="00BC4B63">
        <w:t xml:space="preserve"> with those on combination having a 30% reduction in the likelihood of being hospitalised for worsening PAH</w:t>
      </w:r>
      <w:r>
        <w:t xml:space="preserve">; there </w:t>
      </w:r>
      <w:r w:rsidRPr="00822C52">
        <w:t xml:space="preserve">was </w:t>
      </w:r>
      <w:r w:rsidR="00EE4DF7">
        <w:t>low</w:t>
      </w:r>
      <w:r w:rsidRPr="00822C52">
        <w:t xml:space="preserve"> heterogeneity between the two studies</w:t>
      </w:r>
      <w:r w:rsidR="003D29FB">
        <w:t xml:space="preserve"> </w:t>
      </w:r>
      <w:r w:rsidR="00767852">
        <w:t>(</w:t>
      </w:r>
      <w:r w:rsidR="003951FA">
        <w:t>Figure 4.</w:t>
      </w:r>
      <w:r w:rsidR="003951FA">
        <w:rPr>
          <w:noProof/>
        </w:rPr>
        <w:t>11</w:t>
      </w:r>
      <w:r w:rsidR="00767852">
        <w:t>)</w:t>
      </w:r>
      <w:r w:rsidRPr="00822C52">
        <w:t>.</w:t>
      </w:r>
    </w:p>
    <w:p w:rsidR="0075777C" w:rsidRPr="00DD7790" w:rsidRDefault="00272F8F" w:rsidP="00BC5A2B">
      <w:pPr>
        <w:pStyle w:val="Caption"/>
      </w:pPr>
      <w:bookmarkStart w:id="167" w:name="_Ref503520803"/>
      <w:bookmarkStart w:id="168" w:name="_Toc38360346"/>
      <w:r>
        <w:t>Table 4.</w:t>
      </w:r>
      <w:r w:rsidR="003951FA">
        <w:rPr>
          <w:noProof/>
        </w:rPr>
        <w:t>49</w:t>
      </w:r>
      <w:bookmarkEnd w:id="167"/>
      <w:r w:rsidR="004F7BBE">
        <w:tab/>
      </w:r>
      <w:r w:rsidR="0075777C">
        <w:t xml:space="preserve">Hospitalisation </w:t>
      </w:r>
      <w:r w:rsidR="003507C5">
        <w:t xml:space="preserve">due to PAH </w:t>
      </w:r>
      <w:r w:rsidR="0075777C">
        <w:t xml:space="preserve">for </w:t>
      </w:r>
      <w:r w:rsidR="00EB768B">
        <w:t xml:space="preserve">an </w:t>
      </w:r>
      <w:r w:rsidR="00EB768B" w:rsidRPr="00A32D31">
        <w:t xml:space="preserve">ERA </w:t>
      </w:r>
      <w:r w:rsidR="00385078">
        <w:t>in addition to</w:t>
      </w:r>
      <w:r w:rsidR="00385078" w:rsidRPr="00A32D31">
        <w:t xml:space="preserve"> </w:t>
      </w:r>
      <w:r w:rsidR="00385078">
        <w:t xml:space="preserve">a </w:t>
      </w:r>
      <w:r w:rsidR="00385078" w:rsidRPr="00A32D31">
        <w:t xml:space="preserve">PDE-5 inhibitor compared with PDE-5 inhibitor </w:t>
      </w:r>
      <w:r w:rsidR="00385078">
        <w:t xml:space="preserve">monotherapy </w:t>
      </w:r>
      <w:r w:rsidR="0075777C" w:rsidRPr="00DD7790">
        <w:t>in all patients with PAH</w:t>
      </w:r>
      <w:bookmarkEnd w:id="168"/>
    </w:p>
    <w:tbl>
      <w:tblPr>
        <w:tblStyle w:val="TableGrid7"/>
        <w:tblW w:w="9634" w:type="dxa"/>
        <w:tblLayout w:type="fixed"/>
        <w:tblLook w:val="04A0" w:firstRow="1" w:lastRow="0" w:firstColumn="1" w:lastColumn="0" w:noHBand="0" w:noVBand="1"/>
        <w:tblCaption w:val="Hospitalisation due to PAH for an ERA in addition to a PDE-5 inhibitor compared with PDE-5 inhibitor monotherapy in all patients with PAH"/>
      </w:tblPr>
      <w:tblGrid>
        <w:gridCol w:w="1271"/>
        <w:gridCol w:w="2268"/>
        <w:gridCol w:w="1843"/>
        <w:gridCol w:w="1984"/>
        <w:gridCol w:w="2268"/>
      </w:tblGrid>
      <w:tr w:rsidR="0075777C" w:rsidRPr="00822C52" w:rsidTr="00EC2524">
        <w:trPr>
          <w:trHeight w:val="144"/>
          <w:tblHeader/>
        </w:trPr>
        <w:tc>
          <w:tcPr>
            <w:tcW w:w="1271" w:type="dxa"/>
            <w:vMerge w:val="restart"/>
            <w:shd w:val="clear" w:color="auto" w:fill="BFBFBF" w:themeFill="background1" w:themeFillShade="BF"/>
          </w:tcPr>
          <w:p w:rsidR="0075777C" w:rsidRPr="004F7BBE" w:rsidRDefault="0075777C" w:rsidP="004F7BBE">
            <w:pPr>
              <w:pStyle w:val="Tabletext"/>
              <w:rPr>
                <w:b/>
              </w:rPr>
            </w:pPr>
            <w:r w:rsidRPr="004F7BBE">
              <w:rPr>
                <w:b/>
              </w:rPr>
              <w:t>Study ID</w:t>
            </w:r>
          </w:p>
          <w:p w:rsidR="0075777C" w:rsidRPr="004F7BBE" w:rsidRDefault="0075777C" w:rsidP="004F7BBE">
            <w:pPr>
              <w:pStyle w:val="Tabletext"/>
              <w:rPr>
                <w:b/>
              </w:rPr>
            </w:pPr>
            <w:r w:rsidRPr="004F7BBE">
              <w:rPr>
                <w:b/>
              </w:rPr>
              <w:t>Author year</w:t>
            </w:r>
          </w:p>
        </w:tc>
        <w:tc>
          <w:tcPr>
            <w:tcW w:w="2268" w:type="dxa"/>
            <w:vMerge w:val="restart"/>
            <w:shd w:val="clear" w:color="auto" w:fill="BFBFBF" w:themeFill="background1" w:themeFillShade="BF"/>
          </w:tcPr>
          <w:p w:rsidR="0075777C" w:rsidRPr="004F7BBE" w:rsidRDefault="0075777C" w:rsidP="004F7BBE">
            <w:pPr>
              <w:pStyle w:val="Tabletext"/>
              <w:rPr>
                <w:b/>
              </w:rPr>
            </w:pPr>
            <w:r w:rsidRPr="004F7BBE">
              <w:rPr>
                <w:b/>
              </w:rPr>
              <w:t>Follow-up period</w:t>
            </w:r>
          </w:p>
          <w:p w:rsidR="0075777C" w:rsidRPr="004F7BBE" w:rsidRDefault="0075777C" w:rsidP="004F7BBE">
            <w:pPr>
              <w:pStyle w:val="Tabletext"/>
              <w:rPr>
                <w:b/>
              </w:rPr>
            </w:pPr>
            <w:r w:rsidRPr="004F7BBE">
              <w:rPr>
                <w:b/>
              </w:rPr>
              <w:t>ERA/PDE-5i</w:t>
            </w:r>
          </w:p>
        </w:tc>
        <w:tc>
          <w:tcPr>
            <w:tcW w:w="3827" w:type="dxa"/>
            <w:gridSpan w:val="2"/>
            <w:shd w:val="clear" w:color="auto" w:fill="BFBFBF" w:themeFill="background1" w:themeFillShade="BF"/>
          </w:tcPr>
          <w:p w:rsidR="0075777C" w:rsidRPr="004F7BBE" w:rsidRDefault="0075777C" w:rsidP="004F7BBE">
            <w:pPr>
              <w:pStyle w:val="Tabletext"/>
              <w:jc w:val="center"/>
              <w:rPr>
                <w:b/>
              </w:rPr>
            </w:pPr>
            <w:proofErr w:type="gramStart"/>
            <w:r w:rsidRPr="004F7BBE">
              <w:rPr>
                <w:b/>
              </w:rPr>
              <w:t>n/N</w:t>
            </w:r>
            <w:proofErr w:type="gramEnd"/>
            <w:r w:rsidRPr="004F7BBE">
              <w:rPr>
                <w:b/>
              </w:rPr>
              <w:t xml:space="preserve"> (%)</w:t>
            </w:r>
          </w:p>
        </w:tc>
        <w:tc>
          <w:tcPr>
            <w:tcW w:w="2268" w:type="dxa"/>
            <w:vMerge w:val="restart"/>
            <w:shd w:val="clear" w:color="auto" w:fill="BFBFBF" w:themeFill="background1" w:themeFillShade="BF"/>
          </w:tcPr>
          <w:p w:rsidR="0075777C" w:rsidRPr="004F7BBE" w:rsidRDefault="0075777C" w:rsidP="004F7BBE">
            <w:pPr>
              <w:pStyle w:val="Tabletext"/>
              <w:rPr>
                <w:b/>
              </w:rPr>
            </w:pPr>
            <w:r w:rsidRPr="004F7BBE">
              <w:rPr>
                <w:b/>
              </w:rPr>
              <w:t>HR (95% CI)</w:t>
            </w:r>
          </w:p>
        </w:tc>
      </w:tr>
      <w:tr w:rsidR="0075777C" w:rsidRPr="00822C52" w:rsidTr="004F7BBE">
        <w:trPr>
          <w:trHeight w:val="202"/>
          <w:tblHeader/>
        </w:trPr>
        <w:tc>
          <w:tcPr>
            <w:tcW w:w="1271" w:type="dxa"/>
            <w:vMerge/>
            <w:shd w:val="clear" w:color="auto" w:fill="BFBFBF" w:themeFill="background1" w:themeFillShade="BF"/>
          </w:tcPr>
          <w:p w:rsidR="0075777C" w:rsidRPr="00822C52" w:rsidRDefault="0075777C" w:rsidP="004F7BBE">
            <w:pPr>
              <w:pStyle w:val="Tabletext"/>
            </w:pPr>
          </w:p>
        </w:tc>
        <w:tc>
          <w:tcPr>
            <w:tcW w:w="2268" w:type="dxa"/>
            <w:vMerge/>
            <w:shd w:val="clear" w:color="auto" w:fill="BFBFBF" w:themeFill="background1" w:themeFillShade="BF"/>
          </w:tcPr>
          <w:p w:rsidR="0075777C" w:rsidRPr="00822C52" w:rsidRDefault="0075777C" w:rsidP="004F7BBE">
            <w:pPr>
              <w:pStyle w:val="Tabletext"/>
            </w:pPr>
          </w:p>
        </w:tc>
        <w:tc>
          <w:tcPr>
            <w:tcW w:w="1843" w:type="dxa"/>
            <w:shd w:val="clear" w:color="auto" w:fill="BFBFBF" w:themeFill="background1" w:themeFillShade="BF"/>
          </w:tcPr>
          <w:p w:rsidR="0075777C" w:rsidRPr="004F7BBE" w:rsidRDefault="0075777C" w:rsidP="004F7BBE">
            <w:pPr>
              <w:pStyle w:val="Tabletext"/>
              <w:jc w:val="center"/>
              <w:rPr>
                <w:b/>
              </w:rPr>
            </w:pPr>
            <w:r w:rsidRPr="004F7BBE">
              <w:rPr>
                <w:b/>
              </w:rPr>
              <w:t>ERA + PDE-5i</w:t>
            </w:r>
          </w:p>
        </w:tc>
        <w:tc>
          <w:tcPr>
            <w:tcW w:w="1984" w:type="dxa"/>
            <w:shd w:val="clear" w:color="auto" w:fill="BFBFBF" w:themeFill="background1" w:themeFillShade="BF"/>
          </w:tcPr>
          <w:p w:rsidR="0075777C" w:rsidRPr="004F7BBE" w:rsidRDefault="0075777C" w:rsidP="004F7BBE">
            <w:pPr>
              <w:pStyle w:val="Tabletext"/>
              <w:jc w:val="center"/>
              <w:rPr>
                <w:b/>
              </w:rPr>
            </w:pPr>
            <w:r w:rsidRPr="004F7BBE">
              <w:rPr>
                <w:b/>
              </w:rPr>
              <w:t>PDE-5i</w:t>
            </w:r>
          </w:p>
        </w:tc>
        <w:tc>
          <w:tcPr>
            <w:tcW w:w="2268" w:type="dxa"/>
            <w:vMerge/>
            <w:shd w:val="clear" w:color="auto" w:fill="BFBFBF" w:themeFill="background1" w:themeFillShade="BF"/>
          </w:tcPr>
          <w:p w:rsidR="0075777C" w:rsidRPr="00822C52" w:rsidRDefault="0075777C" w:rsidP="004F7BBE">
            <w:pPr>
              <w:pStyle w:val="Tabletext"/>
            </w:pPr>
          </w:p>
        </w:tc>
      </w:tr>
      <w:tr w:rsidR="0075777C" w:rsidRPr="00822C52" w:rsidTr="004F7BBE">
        <w:trPr>
          <w:trHeight w:val="70"/>
        </w:trPr>
        <w:tc>
          <w:tcPr>
            <w:tcW w:w="1271" w:type="dxa"/>
          </w:tcPr>
          <w:p w:rsidR="0075777C" w:rsidRPr="00822C52" w:rsidRDefault="0075777C" w:rsidP="004F7BBE">
            <w:pPr>
              <w:pStyle w:val="Tabletext"/>
              <w:rPr>
                <w:rFonts w:cs="Tahoma"/>
              </w:rPr>
            </w:pPr>
            <w:r w:rsidRPr="00822C52">
              <w:rPr>
                <w:rFonts w:cs="Tahoma"/>
              </w:rPr>
              <w:t>SERAPHIN</w:t>
            </w:r>
            <w:r>
              <w:rPr>
                <w:rFonts w:cs="Tahoma"/>
              </w:rPr>
              <w:t xml:space="preserve"> </w:t>
            </w:r>
            <w:r w:rsidRPr="004D0C0E">
              <w:rPr>
                <w:rFonts w:cs="Tahoma"/>
                <w:vertAlign w:val="superscript"/>
              </w:rPr>
              <w:t>a</w:t>
            </w:r>
          </w:p>
          <w:p w:rsidR="0075777C" w:rsidRPr="00822C52" w:rsidRDefault="0075777C" w:rsidP="001D34EE">
            <w:pPr>
              <w:pStyle w:val="Tabletext"/>
              <w:rPr>
                <w:rFonts w:cs="Tahoma"/>
              </w:rPr>
            </w:pPr>
            <w:r w:rsidRPr="00822C52">
              <w:t>Channick et al. (2015)</w:t>
            </w:r>
            <w:r w:rsidR="001D34EE" w:rsidRPr="001A1C44">
              <w:rPr>
                <w:noProof/>
                <w:vertAlign w:val="superscript"/>
              </w:rPr>
              <w:t>46</w:t>
            </w:r>
          </w:p>
        </w:tc>
        <w:tc>
          <w:tcPr>
            <w:tcW w:w="2268" w:type="dxa"/>
          </w:tcPr>
          <w:p w:rsidR="0075777C" w:rsidRPr="00822C52" w:rsidRDefault="0075777C" w:rsidP="004F7BBE">
            <w:pPr>
              <w:pStyle w:val="Tabletext"/>
              <w:rPr>
                <w:rFonts w:cs="Tahoma"/>
              </w:rPr>
            </w:pPr>
            <w:r w:rsidRPr="00822C52">
              <w:rPr>
                <w:rFonts w:cs="Tahoma"/>
              </w:rPr>
              <w:t xml:space="preserve">EOT: </w:t>
            </w:r>
            <w:r w:rsidR="00971455" w:rsidRPr="00971455">
              <w:rPr>
                <w:rFonts w:cs="Tahoma"/>
              </w:rPr>
              <w:t>median 115 weeks</w:t>
            </w:r>
          </w:p>
          <w:p w:rsidR="0075777C" w:rsidRPr="00822C52" w:rsidRDefault="0075777C" w:rsidP="004F7BBE">
            <w:pPr>
              <w:pStyle w:val="Tabletext"/>
              <w:rPr>
                <w:rFonts w:cs="Tahoma"/>
                <w:highlight w:val="cyan"/>
              </w:rPr>
            </w:pPr>
            <w:r w:rsidRPr="00822C52">
              <w:rPr>
                <w:rFonts w:cs="Tahoma"/>
              </w:rPr>
              <w:t xml:space="preserve">Macitentan/any </w:t>
            </w:r>
            <w:r w:rsidR="004F7BBE">
              <w:rPr>
                <w:rFonts w:cs="Tahoma"/>
              </w:rPr>
              <w:t>PDE-5i</w:t>
            </w:r>
          </w:p>
        </w:tc>
        <w:tc>
          <w:tcPr>
            <w:tcW w:w="1843" w:type="dxa"/>
          </w:tcPr>
          <w:p w:rsidR="0075777C" w:rsidRPr="00822C52" w:rsidRDefault="0050638A" w:rsidP="004F7BBE">
            <w:pPr>
              <w:pStyle w:val="Tabletext"/>
              <w:jc w:val="center"/>
            </w:pPr>
            <w:r>
              <w:t>35/154 (23</w:t>
            </w:r>
            <w:r w:rsidR="0075777C" w:rsidRPr="00822C52">
              <w:t>%)</w:t>
            </w:r>
          </w:p>
        </w:tc>
        <w:tc>
          <w:tcPr>
            <w:tcW w:w="1984" w:type="dxa"/>
          </w:tcPr>
          <w:p w:rsidR="0075777C" w:rsidRPr="00822C52" w:rsidRDefault="0050638A" w:rsidP="004F7BBE">
            <w:pPr>
              <w:pStyle w:val="Tabletext"/>
              <w:jc w:val="center"/>
            </w:pPr>
            <w:r>
              <w:t>48/154 (31</w:t>
            </w:r>
            <w:r w:rsidR="0075777C" w:rsidRPr="00822C52">
              <w:t>%)</w:t>
            </w:r>
          </w:p>
        </w:tc>
        <w:tc>
          <w:tcPr>
            <w:tcW w:w="2268" w:type="dxa"/>
          </w:tcPr>
          <w:p w:rsidR="0075777C" w:rsidRPr="00822C52" w:rsidRDefault="0075777C" w:rsidP="004F7BBE">
            <w:pPr>
              <w:pStyle w:val="Tabletext"/>
            </w:pPr>
            <w:r w:rsidRPr="00822C52">
              <w:t>NR</w:t>
            </w:r>
          </w:p>
        </w:tc>
      </w:tr>
      <w:tr w:rsidR="0075777C" w:rsidRPr="00822C52" w:rsidTr="004F7BBE">
        <w:trPr>
          <w:trHeight w:val="70"/>
        </w:trPr>
        <w:tc>
          <w:tcPr>
            <w:tcW w:w="1271" w:type="dxa"/>
          </w:tcPr>
          <w:p w:rsidR="0075777C" w:rsidRPr="00822C52" w:rsidRDefault="0075777C" w:rsidP="001D34EE">
            <w:pPr>
              <w:pStyle w:val="Tabletext"/>
              <w:rPr>
                <w:rFonts w:cs="Tahoma"/>
              </w:rPr>
            </w:pPr>
            <w:r w:rsidRPr="00822C52">
              <w:rPr>
                <w:rFonts w:cs="Tahoma"/>
              </w:rPr>
              <w:t>AMBITION</w:t>
            </w:r>
            <w:r w:rsidR="001D34EE" w:rsidRPr="001A1C44">
              <w:rPr>
                <w:rFonts w:cs="Tahoma"/>
                <w:noProof/>
                <w:vertAlign w:val="superscript"/>
              </w:rPr>
              <w:t>30</w:t>
            </w:r>
          </w:p>
        </w:tc>
        <w:tc>
          <w:tcPr>
            <w:tcW w:w="2268" w:type="dxa"/>
          </w:tcPr>
          <w:p w:rsidR="0075777C" w:rsidRPr="00822C52" w:rsidRDefault="0075777C" w:rsidP="004F7BBE">
            <w:pPr>
              <w:pStyle w:val="Tabletext"/>
              <w:rPr>
                <w:rFonts w:cs="Tahoma"/>
              </w:rPr>
            </w:pPr>
            <w:r w:rsidRPr="00822C52">
              <w:rPr>
                <w:rFonts w:cs="Tahoma"/>
              </w:rPr>
              <w:t>FAV: mean 74 weeks</w:t>
            </w:r>
            <w:r w:rsidR="00123C1B">
              <w:rPr>
                <w:rFonts w:cs="Tahoma"/>
              </w:rPr>
              <w:t xml:space="preserve">, </w:t>
            </w:r>
            <w:r w:rsidRPr="00822C52">
              <w:rPr>
                <w:rFonts w:cs="Tahoma"/>
              </w:rPr>
              <w:t>ITT</w:t>
            </w:r>
          </w:p>
          <w:p w:rsidR="0075777C" w:rsidRPr="00822C52" w:rsidRDefault="0075777C" w:rsidP="004F7BBE">
            <w:pPr>
              <w:pStyle w:val="Tabletext"/>
            </w:pPr>
            <w:r w:rsidRPr="00822C52">
              <w:t>Ambrisentan/tadalafil</w:t>
            </w:r>
          </w:p>
        </w:tc>
        <w:tc>
          <w:tcPr>
            <w:tcW w:w="1843" w:type="dxa"/>
          </w:tcPr>
          <w:p w:rsidR="0075777C" w:rsidRPr="00822C52" w:rsidRDefault="0075777C" w:rsidP="004F7BBE">
            <w:pPr>
              <w:pStyle w:val="Tabletext"/>
              <w:jc w:val="center"/>
            </w:pPr>
            <w:r w:rsidRPr="00822C52">
              <w:t>24/302 (8%)</w:t>
            </w:r>
          </w:p>
        </w:tc>
        <w:tc>
          <w:tcPr>
            <w:tcW w:w="1984" w:type="dxa"/>
          </w:tcPr>
          <w:p w:rsidR="0075777C" w:rsidRPr="00822C52" w:rsidRDefault="0075777C" w:rsidP="004F7BBE">
            <w:pPr>
              <w:pStyle w:val="Tabletext"/>
              <w:jc w:val="center"/>
            </w:pPr>
            <w:r w:rsidRPr="00822C52">
              <w:t>23/151 (15%)</w:t>
            </w:r>
          </w:p>
        </w:tc>
        <w:tc>
          <w:tcPr>
            <w:tcW w:w="2268" w:type="dxa"/>
          </w:tcPr>
          <w:p w:rsidR="0075777C" w:rsidRPr="00822C52" w:rsidRDefault="0075777C" w:rsidP="004F7BBE">
            <w:pPr>
              <w:pStyle w:val="Tabletext"/>
            </w:pPr>
            <w:r w:rsidRPr="00822C52">
              <w:t>0.44 (0.25, 0.79), p=0.004</w:t>
            </w:r>
          </w:p>
        </w:tc>
      </w:tr>
    </w:tbl>
    <w:p w:rsidR="0075777C" w:rsidRPr="00822C52" w:rsidRDefault="0075777C" w:rsidP="004F7BBE">
      <w:pPr>
        <w:pStyle w:val="Tablenote"/>
      </w:pPr>
      <w:proofErr w:type="gramStart"/>
      <w:r w:rsidRPr="004D0C0E">
        <w:rPr>
          <w:vertAlign w:val="superscript"/>
        </w:rPr>
        <w:t>a</w:t>
      </w:r>
      <w:proofErr w:type="gramEnd"/>
      <w:r>
        <w:t xml:space="preserve"> </w:t>
      </w:r>
      <w:r w:rsidRPr="00822C52">
        <w:t xml:space="preserve">Small proportion of patients </w:t>
      </w:r>
      <w:r>
        <w:t xml:space="preserve">(4%) </w:t>
      </w:r>
      <w:r w:rsidRPr="00822C52">
        <w:t>receiving prost</w:t>
      </w:r>
      <w:r w:rsidR="004F7BBE">
        <w:t>a</w:t>
      </w:r>
      <w:r w:rsidRPr="00822C52">
        <w:t>noids or receiving doublet background therapy</w:t>
      </w:r>
    </w:p>
    <w:p w:rsidR="0075777C" w:rsidRPr="00822C52" w:rsidRDefault="0075777C" w:rsidP="004F7BBE">
      <w:pPr>
        <w:pStyle w:val="Tablenote"/>
      </w:pPr>
      <w:r w:rsidRPr="00822C52">
        <w:t xml:space="preserve">CI = confidence interval; EOT = end of treatment; ERA = endothelin receptor antagonist; FAV = final assessment visit; HR = hazard ratio; </w:t>
      </w:r>
      <w:r w:rsidR="00D3683E">
        <w:t xml:space="preserve">ITT = intention-to-treat; </w:t>
      </w:r>
      <w:r w:rsidRPr="00822C52">
        <w:t xml:space="preserve">n = number of </w:t>
      </w:r>
      <w:r w:rsidR="00D3683E">
        <w:t xml:space="preserve">patients with </w:t>
      </w:r>
      <w:r w:rsidRPr="00822C52">
        <w:t xml:space="preserve">events; N = number of patients; NR = not reported; PAH = pulmonary arterial hypertension; </w:t>
      </w:r>
      <w:r>
        <w:t>PDE-5i</w:t>
      </w:r>
      <w:r w:rsidRPr="00822C52">
        <w:t xml:space="preserve"> = phosphodiesterase type-5 inhibitor</w:t>
      </w:r>
    </w:p>
    <w:p w:rsidR="0075777C" w:rsidRPr="00822C52" w:rsidRDefault="00123C1B" w:rsidP="004F7BBE">
      <w:pPr>
        <w:spacing w:after="40" w:line="240" w:lineRule="auto"/>
        <w:rPr>
          <w:sz w:val="20"/>
        </w:rPr>
      </w:pPr>
      <w:r>
        <w:rPr>
          <w:noProof/>
          <w:sz w:val="20"/>
          <w:lang w:eastAsia="en-AU"/>
        </w:rPr>
        <w:drawing>
          <wp:inline distT="0" distB="0" distL="0" distR="0" wp14:anchorId="7E7D52EB" wp14:editId="28E2EADF">
            <wp:extent cx="6105479" cy="2558955"/>
            <wp:effectExtent l="0" t="0" r="0" b="0"/>
            <wp:docPr id="30" name="Picture 30" descr="The estimated RR from the meta-analysis was 0.67 (95% CI 0.45, 0.98)" title="Forest plot showing the RR of being hospitalised due to worsening PAH while being treated with an ERA and a PDE-5 inhibitor compared with PDE-5 inhibitor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98" t="3978" r="1642" b="2630"/>
                    <a:stretch/>
                  </pic:blipFill>
                  <pic:spPr bwMode="auto">
                    <a:xfrm>
                      <a:off x="0" y="0"/>
                      <a:ext cx="6120755" cy="2565357"/>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DD7790" w:rsidRDefault="004F7BBE" w:rsidP="00BC5A2B">
      <w:pPr>
        <w:pStyle w:val="Caption"/>
        <w:rPr>
          <w:rFonts w:ascii="Arial Narrow" w:hAnsi="Arial Narrow" w:cs="Tahoma"/>
          <w:u w:val="single"/>
        </w:rPr>
      </w:pPr>
      <w:bookmarkStart w:id="169" w:name="_Ref506300492"/>
      <w:bookmarkStart w:id="170" w:name="_Toc38360477"/>
      <w:r>
        <w:t>Figure 4.</w:t>
      </w:r>
      <w:r w:rsidR="003951FA">
        <w:rPr>
          <w:noProof/>
        </w:rPr>
        <w:t>11</w:t>
      </w:r>
      <w:bookmarkEnd w:id="169"/>
      <w:r>
        <w:tab/>
      </w:r>
      <w:r w:rsidR="0075777C" w:rsidRPr="00DD7790">
        <w:t xml:space="preserve">Forest plot showing the RR of being hospitalised </w:t>
      </w:r>
      <w:r w:rsidR="007E3E71">
        <w:t>due to worsening PAH</w:t>
      </w:r>
      <w:r w:rsidR="002F2F6D">
        <w:t xml:space="preserve"> </w:t>
      </w:r>
      <w:r w:rsidR="0075777C" w:rsidRPr="00DD7790">
        <w:t>while being treated with an ERA and a PDE-5 inhibitor compared with PDE-5 inhibitor alone in all PAH patients</w:t>
      </w:r>
      <w:bookmarkEnd w:id="170"/>
    </w:p>
    <w:p w:rsidR="00D60D8E" w:rsidRDefault="0075777C" w:rsidP="004F7BBE">
      <w:pPr>
        <w:pStyle w:val="Tablenote"/>
      </w:pPr>
      <w:r w:rsidRPr="00822C52">
        <w:t xml:space="preserve">CI = confidence interval; ERA = </w:t>
      </w:r>
      <w:r w:rsidR="0006512A">
        <w:t>endothelin receptor</w:t>
      </w:r>
      <w:r w:rsidRPr="00822C52">
        <w:t xml:space="preserve"> antagonists; N = number of patients; </w:t>
      </w:r>
      <w:r>
        <w:t>PDE-5i</w:t>
      </w:r>
      <w:r w:rsidRPr="00822C52">
        <w:t xml:space="preserve"> = phosphodiesterase type-5 inhibitor; RR = relative risk</w:t>
      </w:r>
    </w:p>
    <w:p w:rsidR="0075777C" w:rsidRPr="00D60D8E" w:rsidRDefault="0075777C" w:rsidP="00D60D8E">
      <w:pPr>
        <w:rPr>
          <w:lang w:eastAsia="en-AU"/>
        </w:rPr>
      </w:pPr>
    </w:p>
    <w:p w:rsidR="0075777C" w:rsidRPr="00A3015F" w:rsidRDefault="0077344D" w:rsidP="0075777C">
      <w:pPr>
        <w:pStyle w:val="Heading5"/>
      </w:pPr>
      <w:r>
        <w:t>d.</w:t>
      </w:r>
      <w:r w:rsidR="0066218C">
        <w:tab/>
      </w:r>
      <w:r w:rsidR="0075777C" w:rsidRPr="00A3015F">
        <w:t xml:space="preserve">Change in WHO </w:t>
      </w:r>
      <w:r w:rsidR="0075777C">
        <w:t>FC</w:t>
      </w:r>
      <w:r w:rsidR="007B6C7C">
        <w:t xml:space="preserve"> from baseline</w:t>
      </w:r>
    </w:p>
    <w:p w:rsidR="0075777C" w:rsidRPr="00B607A5" w:rsidRDefault="0077344D" w:rsidP="0077344D">
      <w:pPr>
        <w:pStyle w:val="Heading6"/>
      </w:pPr>
      <w:proofErr w:type="gramStart"/>
      <w:r w:rsidRPr="00B607A5">
        <w:t>d</w:t>
      </w:r>
      <w:r w:rsidR="0075777C" w:rsidRPr="00B607A5">
        <w:t>.i</w:t>
      </w:r>
      <w:proofErr w:type="gramEnd"/>
      <w:r w:rsidR="0075777C" w:rsidRPr="00B607A5">
        <w:tab/>
        <w:t>PAH patients, irrespective of disease severity or aetiology</w:t>
      </w:r>
    </w:p>
    <w:p w:rsidR="0075777C" w:rsidRPr="00822C52" w:rsidRDefault="0075777C" w:rsidP="0075777C">
      <w:r w:rsidRPr="00822C52">
        <w:t xml:space="preserve">Two RCTs reported on the proportion of PAH patients, irrespective of disease severity or aetiology, whose PAH WHO FC either improved or worsened while taking both an ERA and a </w:t>
      </w:r>
      <w:r>
        <w:t>PDE-5 inhibitor</w:t>
      </w:r>
      <w:r w:rsidRPr="00822C52">
        <w:t xml:space="preserve"> compared with a placebo plus a </w:t>
      </w:r>
      <w:r>
        <w:t>PDE-5 inhibitor</w:t>
      </w:r>
      <w:r w:rsidRPr="00822C52">
        <w:t xml:space="preserve"> (</w:t>
      </w:r>
      <w:r w:rsidR="003951FA">
        <w:t>Table 4.</w:t>
      </w:r>
      <w:r w:rsidR="003951FA">
        <w:rPr>
          <w:noProof/>
        </w:rPr>
        <w:t>50</w:t>
      </w:r>
      <w:r w:rsidRPr="00822C52">
        <w:t xml:space="preserve">). There was no significant difference in the proportion of patients receiving ERA </w:t>
      </w:r>
      <w:proofErr w:type="gramStart"/>
      <w:r w:rsidRPr="00822C52">
        <w:t>plus</w:t>
      </w:r>
      <w:proofErr w:type="gramEnd"/>
      <w:r w:rsidRPr="00822C52">
        <w:t xml:space="preserve"> </w:t>
      </w:r>
      <w:r>
        <w:t>PDE-5 inhibitor</w:t>
      </w:r>
      <w:r w:rsidRPr="00822C52">
        <w:t xml:space="preserve"> combination therapy compared with </w:t>
      </w:r>
      <w:r>
        <w:t>PDE-5 inhibitor</w:t>
      </w:r>
      <w:r w:rsidRPr="00822C52">
        <w:t xml:space="preserve"> monotherapy whose WHO FC improved or worsened over a 16-24 week period. The</w:t>
      </w:r>
      <w:r>
        <w:t xml:space="preserve"> </w:t>
      </w:r>
      <w:r w:rsidRPr="00822C52">
        <w:t>pooled estimates also showed no difference between the two therapy groups</w:t>
      </w:r>
      <w:r>
        <w:t>.</w:t>
      </w:r>
      <w:r w:rsidRPr="00822C52">
        <w:t xml:space="preserve"> There was no heterogeneity between the two studies (</w:t>
      </w:r>
      <w:r w:rsidR="003951FA">
        <w:t>Figure 4.</w:t>
      </w:r>
      <w:r w:rsidR="003951FA">
        <w:rPr>
          <w:noProof/>
        </w:rPr>
        <w:t>12</w:t>
      </w:r>
      <w:r w:rsidRPr="00822C52">
        <w:t>).</w:t>
      </w:r>
    </w:p>
    <w:p w:rsidR="0075777C" w:rsidRPr="00DD7790" w:rsidRDefault="00272F8F" w:rsidP="00BC5A2B">
      <w:pPr>
        <w:pStyle w:val="Caption"/>
      </w:pPr>
      <w:bookmarkStart w:id="171" w:name="_Ref503527085"/>
      <w:bookmarkStart w:id="172" w:name="_Toc38360347"/>
      <w:r>
        <w:t>Table 4.</w:t>
      </w:r>
      <w:r w:rsidR="003951FA">
        <w:rPr>
          <w:noProof/>
        </w:rPr>
        <w:t>50</w:t>
      </w:r>
      <w:bookmarkEnd w:id="171"/>
      <w:r w:rsidR="001A1C44">
        <w:rPr>
          <w:noProof/>
        </w:rPr>
        <w:tab/>
      </w:r>
      <w:r w:rsidR="0075777C" w:rsidRPr="00DD7790">
        <w:t xml:space="preserve">The effectiveness of </w:t>
      </w:r>
      <w:r w:rsidR="00EB768B">
        <w:t xml:space="preserve">an </w:t>
      </w:r>
      <w:r w:rsidR="00EB768B" w:rsidRPr="00A32D31">
        <w:t xml:space="preserve">ERA </w:t>
      </w:r>
      <w:r w:rsidR="00385078">
        <w:t>in addition to</w:t>
      </w:r>
      <w:r w:rsidR="00385078" w:rsidRPr="00A32D31">
        <w:t xml:space="preserve"> </w:t>
      </w:r>
      <w:r w:rsidR="00385078">
        <w:t xml:space="preserve">a </w:t>
      </w:r>
      <w:r w:rsidR="00385078" w:rsidRPr="00A32D31">
        <w:t xml:space="preserve">PDE-5 inhibitor compared with PDE-5 inhibitor </w:t>
      </w:r>
      <w:r w:rsidR="00385078">
        <w:t>monotherapy</w:t>
      </w:r>
      <w:r w:rsidR="0075777C" w:rsidRPr="00DD7790">
        <w:t xml:space="preserve"> in improving WHO FC</w:t>
      </w:r>
      <w:r w:rsidR="00715D78" w:rsidRPr="00715D78">
        <w:t xml:space="preserve"> in all PAH patients</w:t>
      </w:r>
      <w:bookmarkEnd w:id="172"/>
    </w:p>
    <w:tbl>
      <w:tblPr>
        <w:tblStyle w:val="TableGrid7"/>
        <w:tblW w:w="9634" w:type="dxa"/>
        <w:tblLayout w:type="fixed"/>
        <w:tblLook w:val="04A0" w:firstRow="1" w:lastRow="0" w:firstColumn="1" w:lastColumn="0" w:noHBand="0" w:noVBand="1"/>
        <w:tblCaption w:val="The effectiveness of an ERA in addition to a PDE-5 inhibitor compared with PDE-5 inhibitor monotherapy in improving WHO FC in all PAH patients"/>
      </w:tblPr>
      <w:tblGrid>
        <w:gridCol w:w="1980"/>
        <w:gridCol w:w="1559"/>
        <w:gridCol w:w="1985"/>
        <w:gridCol w:w="1842"/>
        <w:gridCol w:w="2268"/>
      </w:tblGrid>
      <w:tr w:rsidR="0075777C" w:rsidRPr="00822C52" w:rsidTr="00EC2524">
        <w:trPr>
          <w:trHeight w:val="405"/>
          <w:tblHeader/>
        </w:trPr>
        <w:tc>
          <w:tcPr>
            <w:tcW w:w="1980" w:type="dxa"/>
            <w:vMerge w:val="restart"/>
            <w:shd w:val="clear" w:color="auto" w:fill="BFBFBF" w:themeFill="background1" w:themeFillShade="BF"/>
          </w:tcPr>
          <w:p w:rsidR="0075777C" w:rsidRPr="004F7BBE" w:rsidRDefault="0075777C" w:rsidP="004F7BBE">
            <w:pPr>
              <w:pStyle w:val="Tabletext"/>
              <w:rPr>
                <w:b/>
              </w:rPr>
            </w:pPr>
            <w:r w:rsidRPr="004F7BBE">
              <w:rPr>
                <w:b/>
              </w:rPr>
              <w:t>Study ID</w:t>
            </w:r>
          </w:p>
          <w:p w:rsidR="0075777C" w:rsidRPr="004F7BBE" w:rsidRDefault="0075777C" w:rsidP="004F7BBE">
            <w:pPr>
              <w:pStyle w:val="Tabletext"/>
              <w:rPr>
                <w:b/>
              </w:rPr>
            </w:pPr>
            <w:r w:rsidRPr="004F7BBE">
              <w:rPr>
                <w:b/>
              </w:rPr>
              <w:t>Follow-up period</w:t>
            </w:r>
          </w:p>
          <w:p w:rsidR="0075777C" w:rsidRPr="004F7BBE" w:rsidRDefault="0075777C" w:rsidP="004F7BBE">
            <w:pPr>
              <w:pStyle w:val="Tabletext"/>
              <w:rPr>
                <w:b/>
              </w:rPr>
            </w:pPr>
            <w:r w:rsidRPr="004F7BBE">
              <w:rPr>
                <w:b/>
              </w:rPr>
              <w:t>ERA/PDE-5i</w:t>
            </w:r>
          </w:p>
        </w:tc>
        <w:tc>
          <w:tcPr>
            <w:tcW w:w="1559" w:type="dxa"/>
            <w:vMerge w:val="restart"/>
            <w:shd w:val="clear" w:color="auto" w:fill="BFBFBF" w:themeFill="background1" w:themeFillShade="BF"/>
          </w:tcPr>
          <w:p w:rsidR="0075777C" w:rsidRPr="004F7BBE" w:rsidRDefault="0075777C" w:rsidP="004F7BBE">
            <w:pPr>
              <w:pStyle w:val="Tabletext"/>
              <w:rPr>
                <w:b/>
              </w:rPr>
            </w:pPr>
            <w:r w:rsidRPr="004F7BBE">
              <w:rPr>
                <w:b/>
              </w:rPr>
              <w:t>Change in WHO FC</w:t>
            </w:r>
          </w:p>
        </w:tc>
        <w:tc>
          <w:tcPr>
            <w:tcW w:w="3827" w:type="dxa"/>
            <w:gridSpan w:val="2"/>
            <w:shd w:val="clear" w:color="auto" w:fill="BFBFBF" w:themeFill="background1" w:themeFillShade="BF"/>
          </w:tcPr>
          <w:p w:rsidR="0075777C" w:rsidRPr="004F7BBE" w:rsidRDefault="0075777C" w:rsidP="004F7BBE">
            <w:pPr>
              <w:pStyle w:val="Tabletext"/>
              <w:jc w:val="center"/>
              <w:rPr>
                <w:b/>
              </w:rPr>
            </w:pPr>
            <w:proofErr w:type="gramStart"/>
            <w:r w:rsidRPr="004F7BBE">
              <w:rPr>
                <w:b/>
              </w:rPr>
              <w:t>n/N</w:t>
            </w:r>
            <w:proofErr w:type="gramEnd"/>
            <w:r w:rsidRPr="004F7BBE">
              <w:rPr>
                <w:b/>
              </w:rPr>
              <w:t xml:space="preserve"> (%)</w:t>
            </w:r>
          </w:p>
        </w:tc>
        <w:tc>
          <w:tcPr>
            <w:tcW w:w="2268" w:type="dxa"/>
            <w:vMerge w:val="restart"/>
            <w:shd w:val="clear" w:color="auto" w:fill="BFBFBF" w:themeFill="background1" w:themeFillShade="BF"/>
          </w:tcPr>
          <w:p w:rsidR="0075777C" w:rsidRPr="004F7BBE" w:rsidRDefault="0075777C" w:rsidP="004F7BBE">
            <w:pPr>
              <w:pStyle w:val="Tabletext"/>
              <w:rPr>
                <w:b/>
              </w:rPr>
            </w:pPr>
            <w:r w:rsidRPr="004F7BBE">
              <w:rPr>
                <w:b/>
              </w:rPr>
              <w:t>RR (95% CI)</w:t>
            </w:r>
          </w:p>
        </w:tc>
      </w:tr>
      <w:tr w:rsidR="0075777C" w:rsidRPr="00822C52" w:rsidTr="004F7BBE">
        <w:trPr>
          <w:trHeight w:val="202"/>
          <w:tblHeader/>
        </w:trPr>
        <w:tc>
          <w:tcPr>
            <w:tcW w:w="1980" w:type="dxa"/>
            <w:vMerge/>
            <w:shd w:val="clear" w:color="auto" w:fill="BFBFBF" w:themeFill="background1" w:themeFillShade="BF"/>
          </w:tcPr>
          <w:p w:rsidR="0075777C" w:rsidRPr="00822C52" w:rsidRDefault="0075777C" w:rsidP="004F7BBE">
            <w:pPr>
              <w:pStyle w:val="Tabletext"/>
            </w:pPr>
          </w:p>
        </w:tc>
        <w:tc>
          <w:tcPr>
            <w:tcW w:w="1559" w:type="dxa"/>
            <w:vMerge/>
            <w:shd w:val="clear" w:color="auto" w:fill="BFBFBF" w:themeFill="background1" w:themeFillShade="BF"/>
          </w:tcPr>
          <w:p w:rsidR="0075777C" w:rsidRPr="00822C52" w:rsidRDefault="0075777C" w:rsidP="004F7BBE">
            <w:pPr>
              <w:pStyle w:val="Tabletext"/>
            </w:pPr>
          </w:p>
        </w:tc>
        <w:tc>
          <w:tcPr>
            <w:tcW w:w="1985" w:type="dxa"/>
            <w:shd w:val="clear" w:color="auto" w:fill="BFBFBF" w:themeFill="background1" w:themeFillShade="BF"/>
          </w:tcPr>
          <w:p w:rsidR="0075777C" w:rsidRPr="004F7BBE" w:rsidRDefault="0075777C" w:rsidP="004F7BBE">
            <w:pPr>
              <w:pStyle w:val="Tabletext"/>
              <w:jc w:val="center"/>
              <w:rPr>
                <w:b/>
              </w:rPr>
            </w:pPr>
            <w:r w:rsidRPr="004F7BBE">
              <w:rPr>
                <w:b/>
              </w:rPr>
              <w:t>ERA + PDE-5i</w:t>
            </w:r>
          </w:p>
        </w:tc>
        <w:tc>
          <w:tcPr>
            <w:tcW w:w="1842" w:type="dxa"/>
            <w:shd w:val="clear" w:color="auto" w:fill="BFBFBF" w:themeFill="background1" w:themeFillShade="BF"/>
          </w:tcPr>
          <w:p w:rsidR="0075777C" w:rsidRPr="004F7BBE" w:rsidRDefault="0075777C" w:rsidP="004F7BBE">
            <w:pPr>
              <w:pStyle w:val="Tabletext"/>
              <w:jc w:val="center"/>
              <w:rPr>
                <w:b/>
              </w:rPr>
            </w:pPr>
            <w:r w:rsidRPr="004F7BBE">
              <w:rPr>
                <w:b/>
              </w:rPr>
              <w:t>PDE-5i</w:t>
            </w:r>
          </w:p>
        </w:tc>
        <w:tc>
          <w:tcPr>
            <w:tcW w:w="2268" w:type="dxa"/>
            <w:vMerge/>
            <w:shd w:val="clear" w:color="auto" w:fill="BFBFBF" w:themeFill="background1" w:themeFillShade="BF"/>
          </w:tcPr>
          <w:p w:rsidR="0075777C" w:rsidRPr="00822C52" w:rsidRDefault="0075777C" w:rsidP="004F7BBE">
            <w:pPr>
              <w:pStyle w:val="Tabletext"/>
            </w:pPr>
          </w:p>
        </w:tc>
      </w:tr>
      <w:tr w:rsidR="0075777C" w:rsidRPr="00822C52" w:rsidTr="004F7BBE">
        <w:trPr>
          <w:trHeight w:val="70"/>
        </w:trPr>
        <w:tc>
          <w:tcPr>
            <w:tcW w:w="1980" w:type="dxa"/>
            <w:vMerge w:val="restart"/>
          </w:tcPr>
          <w:p w:rsidR="0075777C" w:rsidRPr="00822C52" w:rsidRDefault="0075777C" w:rsidP="004F7BBE">
            <w:pPr>
              <w:pStyle w:val="Tabletext"/>
            </w:pPr>
            <w:r w:rsidRPr="00822C52">
              <w:t>COMPASS-2</w:t>
            </w:r>
            <w:r w:rsidR="001D34EE" w:rsidRPr="001A1C44">
              <w:rPr>
                <w:noProof/>
                <w:vertAlign w:val="superscript"/>
              </w:rPr>
              <w:t>37</w:t>
            </w:r>
          </w:p>
          <w:p w:rsidR="0075777C" w:rsidRPr="00822C52" w:rsidRDefault="0075777C" w:rsidP="004F7BBE">
            <w:pPr>
              <w:pStyle w:val="Tabletext"/>
            </w:pPr>
            <w:r w:rsidRPr="00822C52">
              <w:t>16 weeks</w:t>
            </w:r>
          </w:p>
          <w:p w:rsidR="0075777C" w:rsidRPr="00822C52" w:rsidRDefault="0075777C" w:rsidP="004F7BBE">
            <w:pPr>
              <w:pStyle w:val="Tabletext"/>
              <w:rPr>
                <w:rFonts w:cs="Tahoma"/>
              </w:rPr>
            </w:pPr>
            <w:r w:rsidRPr="00822C52">
              <w:rPr>
                <w:rFonts w:cs="Tahoma"/>
              </w:rPr>
              <w:t>Bosentan/sildenafil</w:t>
            </w:r>
          </w:p>
        </w:tc>
        <w:tc>
          <w:tcPr>
            <w:tcW w:w="1559" w:type="dxa"/>
          </w:tcPr>
          <w:p w:rsidR="0075777C" w:rsidRPr="00822C52" w:rsidRDefault="0075777C" w:rsidP="004F7BBE">
            <w:pPr>
              <w:pStyle w:val="Tabletext"/>
              <w:rPr>
                <w:rFonts w:cs="Tahoma"/>
              </w:rPr>
            </w:pPr>
            <w:r w:rsidRPr="00822C52">
              <w:rPr>
                <w:rFonts w:cs="Tahoma"/>
              </w:rPr>
              <w:t>Improved</w:t>
            </w:r>
          </w:p>
        </w:tc>
        <w:tc>
          <w:tcPr>
            <w:tcW w:w="1985" w:type="dxa"/>
          </w:tcPr>
          <w:p w:rsidR="0075777C" w:rsidRPr="00822C52" w:rsidRDefault="0075777C" w:rsidP="004F7BBE">
            <w:pPr>
              <w:pStyle w:val="Tabletext"/>
              <w:jc w:val="center"/>
              <w:rPr>
                <w:rFonts w:cs="Tahoma"/>
              </w:rPr>
            </w:pPr>
            <w:r w:rsidRPr="00822C52">
              <w:rPr>
                <w:rFonts w:cs="Tahoma"/>
              </w:rPr>
              <w:t>25/159 (16%)</w:t>
            </w:r>
          </w:p>
        </w:tc>
        <w:tc>
          <w:tcPr>
            <w:tcW w:w="1842" w:type="dxa"/>
          </w:tcPr>
          <w:p w:rsidR="0075777C" w:rsidRPr="00822C52" w:rsidRDefault="0075777C" w:rsidP="004F7BBE">
            <w:pPr>
              <w:pStyle w:val="Tabletext"/>
              <w:jc w:val="center"/>
              <w:rPr>
                <w:rFonts w:cs="Tahoma"/>
              </w:rPr>
            </w:pPr>
            <w:r w:rsidRPr="00822C52">
              <w:rPr>
                <w:rFonts w:cs="Tahoma"/>
              </w:rPr>
              <w:t>28/175 (16%)</w:t>
            </w:r>
          </w:p>
        </w:tc>
        <w:tc>
          <w:tcPr>
            <w:tcW w:w="2268" w:type="dxa"/>
          </w:tcPr>
          <w:p w:rsidR="0075777C" w:rsidRPr="00822C52" w:rsidRDefault="0075777C" w:rsidP="004F7BBE">
            <w:pPr>
              <w:pStyle w:val="Tabletext"/>
              <w:rPr>
                <w:rFonts w:cs="Tahoma"/>
              </w:rPr>
            </w:pPr>
            <w:r w:rsidRPr="00822C52">
              <w:rPr>
                <w:rFonts w:cs="Tahoma"/>
              </w:rPr>
              <w:t>0.98 (0.69, 1.61)</w:t>
            </w:r>
          </w:p>
        </w:tc>
      </w:tr>
      <w:tr w:rsidR="0075777C" w:rsidRPr="00822C52" w:rsidTr="004F7BBE">
        <w:trPr>
          <w:trHeight w:val="70"/>
        </w:trPr>
        <w:tc>
          <w:tcPr>
            <w:tcW w:w="1980" w:type="dxa"/>
            <w:vMerge/>
          </w:tcPr>
          <w:p w:rsidR="0075777C" w:rsidRPr="00822C52" w:rsidRDefault="0075777C" w:rsidP="004F7BBE">
            <w:pPr>
              <w:pStyle w:val="Tabletext"/>
              <w:rPr>
                <w:rFonts w:cs="Tahoma"/>
              </w:rPr>
            </w:pPr>
          </w:p>
        </w:tc>
        <w:tc>
          <w:tcPr>
            <w:tcW w:w="1559" w:type="dxa"/>
          </w:tcPr>
          <w:p w:rsidR="0075777C" w:rsidRPr="00822C52" w:rsidRDefault="0075777C" w:rsidP="004F7BBE">
            <w:pPr>
              <w:pStyle w:val="Tabletext"/>
              <w:rPr>
                <w:rFonts w:cs="Tahoma"/>
              </w:rPr>
            </w:pPr>
            <w:r w:rsidRPr="00822C52">
              <w:rPr>
                <w:rFonts w:cs="Tahoma"/>
              </w:rPr>
              <w:t>Worsened</w:t>
            </w:r>
          </w:p>
        </w:tc>
        <w:tc>
          <w:tcPr>
            <w:tcW w:w="1985" w:type="dxa"/>
          </w:tcPr>
          <w:p w:rsidR="0075777C" w:rsidRPr="00822C52" w:rsidRDefault="0075777C" w:rsidP="004F7BBE">
            <w:pPr>
              <w:pStyle w:val="Tabletext"/>
              <w:jc w:val="center"/>
              <w:rPr>
                <w:rFonts w:cs="Tahoma"/>
              </w:rPr>
            </w:pPr>
            <w:r w:rsidRPr="00822C52">
              <w:rPr>
                <w:rFonts w:cs="Tahoma"/>
              </w:rPr>
              <w:t>13/159 (8%)</w:t>
            </w:r>
          </w:p>
        </w:tc>
        <w:tc>
          <w:tcPr>
            <w:tcW w:w="1842" w:type="dxa"/>
          </w:tcPr>
          <w:p w:rsidR="0075777C" w:rsidRPr="00822C52" w:rsidRDefault="0075777C" w:rsidP="004F7BBE">
            <w:pPr>
              <w:pStyle w:val="Tabletext"/>
              <w:jc w:val="center"/>
              <w:rPr>
                <w:rFonts w:cs="Tahoma"/>
              </w:rPr>
            </w:pPr>
            <w:r w:rsidRPr="00822C52">
              <w:rPr>
                <w:rFonts w:cs="Tahoma"/>
              </w:rPr>
              <w:t>17/175 (10%)</w:t>
            </w:r>
          </w:p>
        </w:tc>
        <w:tc>
          <w:tcPr>
            <w:tcW w:w="2268" w:type="dxa"/>
          </w:tcPr>
          <w:p w:rsidR="0075777C" w:rsidRPr="00822C52" w:rsidRDefault="0075777C" w:rsidP="004F7BBE">
            <w:pPr>
              <w:pStyle w:val="Tabletext"/>
              <w:rPr>
                <w:rFonts w:cs="Tahoma"/>
              </w:rPr>
            </w:pPr>
            <w:r w:rsidRPr="00822C52">
              <w:rPr>
                <w:rFonts w:cs="Tahoma"/>
              </w:rPr>
              <w:t>0.84 (0.42, 1.68)</w:t>
            </w:r>
          </w:p>
        </w:tc>
      </w:tr>
      <w:tr w:rsidR="0075777C" w:rsidRPr="00822C52" w:rsidTr="004F7BBE">
        <w:trPr>
          <w:trHeight w:val="70"/>
        </w:trPr>
        <w:tc>
          <w:tcPr>
            <w:tcW w:w="1980" w:type="dxa"/>
            <w:vMerge w:val="restart"/>
          </w:tcPr>
          <w:p w:rsidR="0075777C" w:rsidRPr="00822C52" w:rsidRDefault="0075777C" w:rsidP="004F7BBE">
            <w:pPr>
              <w:pStyle w:val="Tabletext"/>
            </w:pPr>
            <w:r w:rsidRPr="00822C52">
              <w:t>AMBITION</w:t>
            </w:r>
            <w:r w:rsidR="001D34EE" w:rsidRPr="001A1C44">
              <w:rPr>
                <w:noProof/>
                <w:vertAlign w:val="superscript"/>
              </w:rPr>
              <w:t>30</w:t>
            </w:r>
          </w:p>
          <w:p w:rsidR="0075777C" w:rsidRPr="00822C52" w:rsidRDefault="0075777C" w:rsidP="004F7BBE">
            <w:pPr>
              <w:pStyle w:val="Tabletext"/>
            </w:pPr>
            <w:r w:rsidRPr="00822C52">
              <w:t>24 weeks</w:t>
            </w:r>
          </w:p>
          <w:p w:rsidR="0075777C" w:rsidRPr="00822C52" w:rsidRDefault="0075777C" w:rsidP="004F7BBE">
            <w:pPr>
              <w:pStyle w:val="Tabletext"/>
              <w:rPr>
                <w:rFonts w:cs="Tahoma"/>
              </w:rPr>
            </w:pPr>
            <w:r w:rsidRPr="00822C52">
              <w:rPr>
                <w:rFonts w:cs="Tahoma"/>
              </w:rPr>
              <w:t>Ambrisentan/ tadalafil</w:t>
            </w:r>
          </w:p>
        </w:tc>
        <w:tc>
          <w:tcPr>
            <w:tcW w:w="1559" w:type="dxa"/>
          </w:tcPr>
          <w:p w:rsidR="0075777C" w:rsidRPr="00822C52" w:rsidRDefault="0075777C" w:rsidP="004F7BBE">
            <w:pPr>
              <w:pStyle w:val="Tabletext"/>
              <w:rPr>
                <w:rFonts w:cs="Tahoma"/>
              </w:rPr>
            </w:pPr>
            <w:r w:rsidRPr="00822C52">
              <w:rPr>
                <w:rFonts w:cs="Tahoma"/>
              </w:rPr>
              <w:t>Improved</w:t>
            </w:r>
          </w:p>
        </w:tc>
        <w:tc>
          <w:tcPr>
            <w:tcW w:w="1985" w:type="dxa"/>
          </w:tcPr>
          <w:p w:rsidR="0075777C" w:rsidRPr="00822C52" w:rsidRDefault="0075777C" w:rsidP="004F7BBE">
            <w:pPr>
              <w:pStyle w:val="Tabletext"/>
              <w:jc w:val="center"/>
              <w:rPr>
                <w:rFonts w:cs="Tahoma"/>
              </w:rPr>
            </w:pPr>
            <w:r w:rsidRPr="00822C52">
              <w:rPr>
                <w:rFonts w:cs="Tahoma"/>
              </w:rPr>
              <w:t>94/252 (37%)</w:t>
            </w:r>
          </w:p>
        </w:tc>
        <w:tc>
          <w:tcPr>
            <w:tcW w:w="1842" w:type="dxa"/>
          </w:tcPr>
          <w:p w:rsidR="0075777C" w:rsidRPr="00822C52" w:rsidRDefault="0075777C" w:rsidP="004F7BBE">
            <w:pPr>
              <w:pStyle w:val="Tabletext"/>
              <w:jc w:val="center"/>
              <w:rPr>
                <w:rFonts w:cs="Tahoma"/>
              </w:rPr>
            </w:pPr>
            <w:r w:rsidRPr="00822C52">
              <w:rPr>
                <w:rFonts w:cs="Tahoma"/>
              </w:rPr>
              <w:t>39/120 (33%)</w:t>
            </w:r>
          </w:p>
        </w:tc>
        <w:tc>
          <w:tcPr>
            <w:tcW w:w="2268" w:type="dxa"/>
          </w:tcPr>
          <w:p w:rsidR="0075777C" w:rsidRPr="00822C52" w:rsidRDefault="0075777C" w:rsidP="004F7BBE">
            <w:pPr>
              <w:pStyle w:val="Tabletext"/>
              <w:rPr>
                <w:rFonts w:cs="Tahoma"/>
              </w:rPr>
            </w:pPr>
            <w:r w:rsidRPr="00822C52">
              <w:rPr>
                <w:rFonts w:cs="Tahoma"/>
              </w:rPr>
              <w:t>1.15 (0.85, 1.55)</w:t>
            </w:r>
          </w:p>
        </w:tc>
      </w:tr>
      <w:tr w:rsidR="0075777C" w:rsidRPr="00822C52" w:rsidTr="004F7BBE">
        <w:trPr>
          <w:trHeight w:val="70"/>
        </w:trPr>
        <w:tc>
          <w:tcPr>
            <w:tcW w:w="1980" w:type="dxa"/>
            <w:vMerge/>
          </w:tcPr>
          <w:p w:rsidR="0075777C" w:rsidRPr="00822C52" w:rsidRDefault="0075777C" w:rsidP="004F7BBE">
            <w:pPr>
              <w:pStyle w:val="Tabletext"/>
              <w:rPr>
                <w:rFonts w:cs="Tahoma"/>
              </w:rPr>
            </w:pPr>
          </w:p>
        </w:tc>
        <w:tc>
          <w:tcPr>
            <w:tcW w:w="1559" w:type="dxa"/>
          </w:tcPr>
          <w:p w:rsidR="0075777C" w:rsidRPr="00822C52" w:rsidRDefault="0075777C" w:rsidP="004F7BBE">
            <w:pPr>
              <w:pStyle w:val="Tabletext"/>
              <w:rPr>
                <w:rFonts w:cs="Tahoma"/>
              </w:rPr>
            </w:pPr>
            <w:r w:rsidRPr="00822C52">
              <w:rPr>
                <w:rFonts w:cs="Tahoma"/>
              </w:rPr>
              <w:t>Worsened</w:t>
            </w:r>
          </w:p>
        </w:tc>
        <w:tc>
          <w:tcPr>
            <w:tcW w:w="1985" w:type="dxa"/>
          </w:tcPr>
          <w:p w:rsidR="0075777C" w:rsidRPr="00822C52" w:rsidRDefault="0075777C" w:rsidP="004F7BBE">
            <w:pPr>
              <w:pStyle w:val="Tabletext"/>
              <w:jc w:val="center"/>
              <w:rPr>
                <w:rFonts w:cs="Tahoma"/>
              </w:rPr>
            </w:pPr>
            <w:r w:rsidRPr="00822C52">
              <w:rPr>
                <w:rFonts w:cs="Tahoma"/>
              </w:rPr>
              <w:t>12/252 (5%)</w:t>
            </w:r>
          </w:p>
        </w:tc>
        <w:tc>
          <w:tcPr>
            <w:tcW w:w="1842" w:type="dxa"/>
          </w:tcPr>
          <w:p w:rsidR="0075777C" w:rsidRPr="00822C52" w:rsidRDefault="0075777C" w:rsidP="004F7BBE">
            <w:pPr>
              <w:pStyle w:val="Tabletext"/>
              <w:jc w:val="center"/>
              <w:rPr>
                <w:rFonts w:cs="Tahoma"/>
              </w:rPr>
            </w:pPr>
            <w:r w:rsidRPr="00822C52">
              <w:rPr>
                <w:rFonts w:cs="Tahoma"/>
              </w:rPr>
              <w:t>7/120 (6%)</w:t>
            </w:r>
          </w:p>
        </w:tc>
        <w:tc>
          <w:tcPr>
            <w:tcW w:w="2268" w:type="dxa"/>
          </w:tcPr>
          <w:p w:rsidR="0075777C" w:rsidRPr="00822C52" w:rsidRDefault="0075777C" w:rsidP="004F7BBE">
            <w:pPr>
              <w:pStyle w:val="Tabletext"/>
              <w:rPr>
                <w:rFonts w:cs="Tahoma"/>
              </w:rPr>
            </w:pPr>
            <w:r w:rsidRPr="00822C52">
              <w:rPr>
                <w:rFonts w:cs="Tahoma"/>
              </w:rPr>
              <w:t>1.35 (0.55, 3.33)</w:t>
            </w:r>
          </w:p>
        </w:tc>
      </w:tr>
    </w:tbl>
    <w:p w:rsidR="00A50F9E" w:rsidRDefault="0075777C" w:rsidP="004F7BBE">
      <w:pPr>
        <w:pStyle w:val="Tablenote"/>
      </w:pPr>
      <w:r w:rsidRPr="00822C52">
        <w:t xml:space="preserve">CI = confidence interval; ERA = endothelin receptor antagonist; FC = functional class; n = number of </w:t>
      </w:r>
      <w:r w:rsidR="00715D78">
        <w:t xml:space="preserve">patients with </w:t>
      </w:r>
      <w:r w:rsidRPr="00822C52">
        <w:t xml:space="preserve">events; N = number of patients; </w:t>
      </w:r>
      <w:r w:rsidR="00715D78" w:rsidRPr="009E3B52">
        <w:t xml:space="preserve">PAH = pulmonary arterial hypertension; </w:t>
      </w:r>
      <w:r>
        <w:t xml:space="preserve">PDE-5i </w:t>
      </w:r>
      <w:r w:rsidRPr="00822C52">
        <w:t>= phosphodiesterase type-5</w:t>
      </w:r>
      <w:r>
        <w:t xml:space="preserve"> </w:t>
      </w:r>
      <w:r w:rsidRPr="00822C52">
        <w:t xml:space="preserve">inhibitor; </w:t>
      </w:r>
      <w:r w:rsidR="00715D78" w:rsidRPr="00822C52">
        <w:t xml:space="preserve">RR = relative risk; </w:t>
      </w:r>
      <w:r w:rsidRPr="00822C52">
        <w:t>WHO = World Health Organization</w:t>
      </w:r>
    </w:p>
    <w:p w:rsidR="00A50F9E" w:rsidRDefault="00A50F9E">
      <w:pPr>
        <w:spacing w:before="0" w:line="240" w:lineRule="auto"/>
        <w:rPr>
          <w:rFonts w:ascii="Arial" w:eastAsiaTheme="minorEastAsia" w:hAnsi="Arial" w:cs="Baskerville"/>
          <w:sz w:val="18"/>
          <w:szCs w:val="20"/>
          <w:lang w:eastAsia="en-AU"/>
        </w:rPr>
      </w:pPr>
      <w:r>
        <w:br w:type="page"/>
      </w:r>
    </w:p>
    <w:p w:rsidR="00715D78" w:rsidRPr="00822C52" w:rsidRDefault="00715D78" w:rsidP="004F7BBE">
      <w:pPr>
        <w:pStyle w:val="Tablenote"/>
      </w:pPr>
    </w:p>
    <w:p w:rsidR="0075777C" w:rsidRDefault="0075777C" w:rsidP="004F7BBE">
      <w:pPr>
        <w:spacing w:after="40" w:line="240" w:lineRule="auto"/>
      </w:pPr>
      <w:r>
        <w:rPr>
          <w:noProof/>
          <w:lang w:eastAsia="en-AU"/>
        </w:rPr>
        <w:drawing>
          <wp:inline distT="0" distB="0" distL="0" distR="0" wp14:anchorId="24593D43" wp14:editId="0E8FFB6D">
            <wp:extent cx="6114197" cy="3335203"/>
            <wp:effectExtent l="0" t="0" r="1270" b="0"/>
            <wp:docPr id="46" name="Picture 46" descr="The estimated RR for improved WHO FC from the meta-analysis was 1.10 (95% CI 0.85, 1.42). The estimated RR for worsened WHO FC from the meta-analysis was 1.00 (95% CI 0.58, 1.73)." title="Forest plot showing the RR of improving or worsening in WHO FC while being treated with an ERA and a PDE-5 inhibitor compared with PDE-5 inhibitor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169692" cy="3365475"/>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DD7790" w:rsidRDefault="004F7BBE" w:rsidP="00BC5A2B">
      <w:pPr>
        <w:pStyle w:val="Caption"/>
        <w:rPr>
          <w:rFonts w:ascii="Arial Narrow" w:hAnsi="Arial Narrow" w:cs="Tahoma"/>
          <w:u w:val="single"/>
        </w:rPr>
      </w:pPr>
      <w:bookmarkStart w:id="173" w:name="_Ref506300632"/>
      <w:bookmarkStart w:id="174" w:name="_Toc38360478"/>
      <w:r>
        <w:t>Figure 4.</w:t>
      </w:r>
      <w:r w:rsidR="003951FA">
        <w:rPr>
          <w:noProof/>
        </w:rPr>
        <w:t>12</w:t>
      </w:r>
      <w:bookmarkEnd w:id="173"/>
      <w:r>
        <w:tab/>
      </w:r>
      <w:r w:rsidR="0075777C" w:rsidRPr="00DD7790">
        <w:t xml:space="preserve">Forest plot showing the RR of improving or worsening in WHO FC while </w:t>
      </w:r>
      <w:proofErr w:type="gramStart"/>
      <w:r w:rsidR="0075777C" w:rsidRPr="00DD7790">
        <w:t>being treated</w:t>
      </w:r>
      <w:proofErr w:type="gramEnd"/>
      <w:r w:rsidR="0075777C" w:rsidRPr="00DD7790">
        <w:t xml:space="preserve"> with an ERA and a PDE-5 inhibitor compared with PDE-5 inhibitor alone in all PAH patients</w:t>
      </w:r>
      <w:bookmarkEnd w:id="174"/>
    </w:p>
    <w:p w:rsidR="00715D78" w:rsidRPr="00822C52" w:rsidRDefault="0075777C" w:rsidP="004F7BBE">
      <w:pPr>
        <w:pStyle w:val="Tablenote"/>
      </w:pPr>
      <w:r w:rsidRPr="00822C52">
        <w:t xml:space="preserve">CI = confidence interval; ERA = </w:t>
      </w:r>
      <w:r w:rsidR="0006512A">
        <w:t>endothelin receptor</w:t>
      </w:r>
      <w:r w:rsidRPr="00822C52">
        <w:t xml:space="preserve"> antagonists; </w:t>
      </w:r>
      <w:r w:rsidR="00715D78" w:rsidRPr="006F774E">
        <w:t xml:space="preserve">FC = functional class; </w:t>
      </w:r>
      <w:r w:rsidRPr="00822C52">
        <w:t xml:space="preserve">N = number of patients; </w:t>
      </w:r>
      <w:r w:rsidR="00715D78" w:rsidRPr="00715D78">
        <w:t xml:space="preserve">PAH = pulmonary arterial hypertension; </w:t>
      </w:r>
      <w:r>
        <w:t>PDE-5i</w:t>
      </w:r>
      <w:r w:rsidRPr="00822C52">
        <w:t xml:space="preserve"> = phosphodiesterase type-5 inhibitor; RR = relative risk</w:t>
      </w:r>
      <w:r w:rsidR="00715D78" w:rsidRPr="00F20C66">
        <w:t xml:space="preserve">; </w:t>
      </w:r>
      <w:r w:rsidR="00715D78" w:rsidRPr="009E3B52">
        <w:t>WHO = World Health Organization</w:t>
      </w:r>
    </w:p>
    <w:p w:rsidR="0075777C" w:rsidRPr="00822C52" w:rsidRDefault="007B6C7C" w:rsidP="0075777C">
      <w:pPr>
        <w:pStyle w:val="Heading5"/>
      </w:pPr>
      <w:r>
        <w:t>e</w:t>
      </w:r>
      <w:r w:rsidR="0077344D">
        <w:t>.</w:t>
      </w:r>
      <w:r>
        <w:tab/>
      </w:r>
      <w:r w:rsidR="0075777C" w:rsidRPr="00822C52">
        <w:t xml:space="preserve">Change in 6MWD from baseline </w:t>
      </w:r>
    </w:p>
    <w:p w:rsidR="0075777C" w:rsidRPr="00B607A5" w:rsidRDefault="007B6C7C" w:rsidP="0077344D">
      <w:pPr>
        <w:pStyle w:val="Heading6"/>
      </w:pPr>
      <w:proofErr w:type="gramStart"/>
      <w:r w:rsidRPr="00B607A5">
        <w:t>e</w:t>
      </w:r>
      <w:r w:rsidR="0075777C" w:rsidRPr="00B607A5">
        <w:t>.i</w:t>
      </w:r>
      <w:proofErr w:type="gramEnd"/>
      <w:r w:rsidR="0075777C" w:rsidRPr="00B607A5">
        <w:tab/>
        <w:t>PAH patients, irrespective of disease severity or aetiology</w:t>
      </w:r>
    </w:p>
    <w:p w:rsidR="00D60D8E" w:rsidRDefault="0075777C">
      <w:pPr>
        <w:spacing w:before="0" w:line="240" w:lineRule="auto"/>
      </w:pPr>
      <w:r w:rsidRPr="00822C52">
        <w:t xml:space="preserve">All four RCTs reported on the change in 6MWD in patients receiving ERA + </w:t>
      </w:r>
      <w:r>
        <w:t>PDE-5 inhibitor</w:t>
      </w:r>
      <w:r w:rsidRPr="00822C52">
        <w:t xml:space="preserve"> combination therapy compared to those receiving </w:t>
      </w:r>
      <w:r>
        <w:t>PDE-5 inhibitor</w:t>
      </w:r>
      <w:r w:rsidRPr="00822C52">
        <w:t xml:space="preserve"> monotherapy over the study period</w:t>
      </w:r>
      <w:r>
        <w:t xml:space="preserve"> (</w:t>
      </w:r>
      <w:r w:rsidR="006D5751">
        <w:t>Table 4.51</w:t>
      </w:r>
      <w:r>
        <w:t>)</w:t>
      </w:r>
      <w:r w:rsidRPr="00822C52">
        <w:t>. All studies</w:t>
      </w:r>
      <w:r w:rsidR="007162D0">
        <w:t>, except the EARLY study,</w:t>
      </w:r>
      <w:r w:rsidRPr="00822C52">
        <w:t xml:space="preserve"> showed a greater improvement in patients receiving combination therapy than those on monotherapy. In the EARLY study, one patient out of 14 in ERA+</w:t>
      </w:r>
      <w:r>
        <w:t>PDE-5 inhibitor</w:t>
      </w:r>
      <w:r w:rsidRPr="00822C52">
        <w:t xml:space="preserve"> subgroup died, and </w:t>
      </w:r>
      <w:proofErr w:type="gramStart"/>
      <w:r w:rsidRPr="00822C52">
        <w:t>was deemed</w:t>
      </w:r>
      <w:proofErr w:type="gramEnd"/>
      <w:r w:rsidRPr="00822C52">
        <w:t xml:space="preserve"> to have 6MWD of 0</w:t>
      </w:r>
      <w:r w:rsidR="00B60655">
        <w:t> </w:t>
      </w:r>
      <w:r>
        <w:t>m</w:t>
      </w:r>
      <w:r w:rsidRPr="00822C52">
        <w:t xml:space="preserve">. This had a large impact on the small </w:t>
      </w:r>
      <w:proofErr w:type="gramStart"/>
      <w:r w:rsidRPr="00822C52">
        <w:t>subgroup,</w:t>
      </w:r>
      <w:proofErr w:type="gramEnd"/>
      <w:r w:rsidRPr="00822C52">
        <w:t xml:space="preserve"> hence, the median difference in 6MWD, which favoured combination therapy, may be a more accurate reflection of the study outcome. The mean difference reached statistical significance in two RCTs</w:t>
      </w:r>
      <w:r>
        <w:t xml:space="preserve"> but it was not clinically important in any of them (see Section 4.</w:t>
      </w:r>
      <w:r w:rsidR="0002253F">
        <w:t>3.5</w:t>
      </w:r>
      <w:r>
        <w:t>)</w:t>
      </w:r>
      <w:r w:rsidRPr="00822C52">
        <w:t>.</w:t>
      </w:r>
      <w:bookmarkStart w:id="175" w:name="_Ref505252135"/>
    </w:p>
    <w:p w:rsidR="005267B0" w:rsidRPr="00D60D8E" w:rsidRDefault="00D60D8E">
      <w:pPr>
        <w:spacing w:before="0" w:line="240" w:lineRule="auto"/>
      </w:pPr>
      <w:r>
        <w:br w:type="page"/>
      </w:r>
    </w:p>
    <w:p w:rsidR="0075777C" w:rsidRDefault="00272F8F" w:rsidP="00BC5A2B">
      <w:pPr>
        <w:pStyle w:val="Caption"/>
      </w:pPr>
      <w:bookmarkStart w:id="176" w:name="_Toc38360348"/>
      <w:r>
        <w:t>Table 4.</w:t>
      </w:r>
      <w:r w:rsidR="003951FA">
        <w:rPr>
          <w:noProof/>
        </w:rPr>
        <w:t>51</w:t>
      </w:r>
      <w:bookmarkEnd w:id="175"/>
      <w:r w:rsidR="004F7BBE">
        <w:tab/>
      </w:r>
      <w:r w:rsidR="0075777C" w:rsidRPr="00DD7790">
        <w:t xml:space="preserve">The effectiveness of </w:t>
      </w:r>
      <w:r w:rsidR="00EB768B">
        <w:t xml:space="preserve">an </w:t>
      </w:r>
      <w:r w:rsidR="00EB768B" w:rsidRPr="00A32D31">
        <w:t xml:space="preserve">ERA </w:t>
      </w:r>
      <w:r w:rsidR="00385078">
        <w:t>in addition to</w:t>
      </w:r>
      <w:r w:rsidR="00385078" w:rsidRPr="00A32D31">
        <w:t xml:space="preserve"> </w:t>
      </w:r>
      <w:r w:rsidR="00385078">
        <w:t xml:space="preserve">a </w:t>
      </w:r>
      <w:r w:rsidR="00385078" w:rsidRPr="00A32D31">
        <w:t xml:space="preserve">PDE-5 inhibitor compared with PDE-5 inhibitor </w:t>
      </w:r>
      <w:r w:rsidR="00385078">
        <w:t xml:space="preserve">monotherapy </w:t>
      </w:r>
      <w:r w:rsidR="0075777C" w:rsidRPr="00DD7790">
        <w:t>in improving 6MWD in all PAH patients</w:t>
      </w:r>
      <w:bookmarkEnd w:id="176"/>
    </w:p>
    <w:tbl>
      <w:tblPr>
        <w:tblStyle w:val="TableGrid"/>
        <w:tblW w:w="9634" w:type="dxa"/>
        <w:tblLayout w:type="fixed"/>
        <w:tblLook w:val="04A0" w:firstRow="1" w:lastRow="0" w:firstColumn="1" w:lastColumn="0" w:noHBand="0" w:noVBand="1"/>
        <w:tblCaption w:val="The effectiveness of an ERA in addition to a PDE-5 inhibitor compared with PDE-5 inhibitor monotherapy in improving 6MWD in all PAH patients"/>
      </w:tblPr>
      <w:tblGrid>
        <w:gridCol w:w="1555"/>
        <w:gridCol w:w="850"/>
        <w:gridCol w:w="1417"/>
        <w:gridCol w:w="1418"/>
        <w:gridCol w:w="1417"/>
        <w:gridCol w:w="1418"/>
        <w:gridCol w:w="1559"/>
      </w:tblGrid>
      <w:tr w:rsidR="0075777C" w:rsidTr="00F0201F">
        <w:trPr>
          <w:cnfStyle w:val="100000000000" w:firstRow="1" w:lastRow="0" w:firstColumn="0" w:lastColumn="0" w:oddVBand="0" w:evenVBand="0" w:oddHBand="0" w:evenHBand="0" w:firstRowFirstColumn="0" w:firstRowLastColumn="0" w:lastRowFirstColumn="0" w:lastRowLastColumn="0"/>
        </w:trPr>
        <w:tc>
          <w:tcPr>
            <w:tcW w:w="1555" w:type="dxa"/>
            <w:vMerge w:val="restart"/>
            <w:shd w:val="clear" w:color="auto" w:fill="BFBFBF" w:themeFill="background1" w:themeFillShade="BF"/>
          </w:tcPr>
          <w:p w:rsidR="0075777C" w:rsidRPr="004F7BBE" w:rsidRDefault="0075777C" w:rsidP="004F7BBE">
            <w:pPr>
              <w:pStyle w:val="Tabletext"/>
              <w:rPr>
                <w:b/>
              </w:rPr>
            </w:pPr>
            <w:r w:rsidRPr="004F7BBE">
              <w:rPr>
                <w:b/>
              </w:rPr>
              <w:t>Study ID</w:t>
            </w:r>
          </w:p>
          <w:p w:rsidR="0075777C" w:rsidRPr="004F7BBE" w:rsidRDefault="0075777C" w:rsidP="004F7BBE">
            <w:pPr>
              <w:pStyle w:val="Tabletext"/>
              <w:rPr>
                <w:b/>
              </w:rPr>
            </w:pPr>
            <w:r w:rsidRPr="004F7BBE">
              <w:rPr>
                <w:b/>
              </w:rPr>
              <w:t>ERA/PDE-5i</w:t>
            </w:r>
          </w:p>
        </w:tc>
        <w:tc>
          <w:tcPr>
            <w:tcW w:w="850" w:type="dxa"/>
            <w:vMerge w:val="restart"/>
            <w:shd w:val="clear" w:color="auto" w:fill="BFBFBF" w:themeFill="background1" w:themeFillShade="BF"/>
          </w:tcPr>
          <w:p w:rsidR="0075777C" w:rsidRPr="004F7BBE" w:rsidRDefault="0075777C" w:rsidP="004F7BBE">
            <w:pPr>
              <w:pStyle w:val="Tabletext"/>
              <w:rPr>
                <w:b/>
              </w:rPr>
            </w:pPr>
            <w:r w:rsidRPr="004F7BBE">
              <w:rPr>
                <w:b/>
              </w:rPr>
              <w:t>N</w:t>
            </w:r>
          </w:p>
          <w:p w:rsidR="0075777C" w:rsidRPr="004F7BBE" w:rsidRDefault="0075777C" w:rsidP="004F7BBE">
            <w:pPr>
              <w:pStyle w:val="Tabletext"/>
              <w:rPr>
                <w:b/>
              </w:rPr>
            </w:pPr>
            <w:r w:rsidRPr="004F7BBE">
              <w:rPr>
                <w:b/>
              </w:rPr>
              <w:t>Time point</w:t>
            </w:r>
          </w:p>
        </w:tc>
        <w:tc>
          <w:tcPr>
            <w:tcW w:w="2835" w:type="dxa"/>
            <w:gridSpan w:val="2"/>
            <w:shd w:val="clear" w:color="auto" w:fill="BFBFBF" w:themeFill="background1" w:themeFillShade="BF"/>
          </w:tcPr>
          <w:p w:rsidR="0075777C" w:rsidRPr="004F7BBE" w:rsidRDefault="00EC2524" w:rsidP="00EC2524">
            <w:pPr>
              <w:pStyle w:val="Tabletext"/>
              <w:jc w:val="center"/>
              <w:rPr>
                <w:b/>
              </w:rPr>
            </w:pPr>
            <w:r>
              <w:rPr>
                <w:b/>
              </w:rPr>
              <w:t>M</w:t>
            </w:r>
            <w:r w:rsidR="0075777C" w:rsidRPr="004F7BBE">
              <w:rPr>
                <w:b/>
              </w:rPr>
              <w:t xml:space="preserve">ean ± SD (95% CI) </w:t>
            </w:r>
            <w:r>
              <w:rPr>
                <w:b/>
              </w:rPr>
              <w:t>b</w:t>
            </w:r>
            <w:r w:rsidRPr="004F7BBE">
              <w:rPr>
                <w:b/>
              </w:rPr>
              <w:t>aseline</w:t>
            </w:r>
            <w:r>
              <w:rPr>
                <w:b/>
              </w:rPr>
              <w:t xml:space="preserve"> 6MWD,</w:t>
            </w:r>
            <w:r w:rsidRPr="004F7BBE">
              <w:rPr>
                <w:b/>
              </w:rPr>
              <w:t xml:space="preserve"> </w:t>
            </w:r>
            <w:r w:rsidR="00503643">
              <w:rPr>
                <w:b/>
              </w:rPr>
              <w:t>metres</w:t>
            </w:r>
          </w:p>
        </w:tc>
        <w:tc>
          <w:tcPr>
            <w:tcW w:w="2835" w:type="dxa"/>
            <w:gridSpan w:val="2"/>
            <w:shd w:val="clear" w:color="auto" w:fill="BFBFBF" w:themeFill="background1" w:themeFillShade="BF"/>
          </w:tcPr>
          <w:p w:rsidR="0075777C" w:rsidRPr="004F7BBE" w:rsidRDefault="0075777C" w:rsidP="00EC2524">
            <w:pPr>
              <w:pStyle w:val="Tabletext"/>
              <w:jc w:val="center"/>
              <w:rPr>
                <w:b/>
              </w:rPr>
            </w:pPr>
            <w:r w:rsidRPr="004F7BBE">
              <w:rPr>
                <w:b/>
              </w:rPr>
              <w:t>Mean c</w:t>
            </w:r>
            <w:r w:rsidRPr="004F7BBE">
              <w:rPr>
                <w:rFonts w:asciiTheme="minorHAnsi" w:hAnsiTheme="minorHAnsi"/>
                <w:b/>
              </w:rPr>
              <w:t>hange from baseline ± SD (95% CI),</w:t>
            </w:r>
            <w:r w:rsidRPr="004F7BBE">
              <w:rPr>
                <w:b/>
              </w:rPr>
              <w:t xml:space="preserve"> </w:t>
            </w:r>
            <w:r w:rsidR="00503643">
              <w:rPr>
                <w:b/>
              </w:rPr>
              <w:t>metres</w:t>
            </w:r>
          </w:p>
        </w:tc>
        <w:tc>
          <w:tcPr>
            <w:tcW w:w="1559" w:type="dxa"/>
            <w:vMerge w:val="restart"/>
            <w:shd w:val="clear" w:color="auto" w:fill="BFBFBF" w:themeFill="background1" w:themeFillShade="BF"/>
          </w:tcPr>
          <w:p w:rsidR="0075777C" w:rsidRPr="004F7BBE" w:rsidRDefault="0075777C" w:rsidP="00595E34">
            <w:pPr>
              <w:pStyle w:val="Tabletext"/>
              <w:rPr>
                <w:b/>
              </w:rPr>
            </w:pPr>
            <w:r w:rsidRPr="004F7BBE">
              <w:rPr>
                <w:rFonts w:asciiTheme="minorHAnsi" w:hAnsiTheme="minorHAnsi"/>
                <w:b/>
              </w:rPr>
              <w:t xml:space="preserve">Mean difference </w:t>
            </w:r>
            <w:r w:rsidRPr="004F7BBE">
              <w:rPr>
                <w:b/>
              </w:rPr>
              <w:t>(95% CI), m</w:t>
            </w:r>
            <w:r w:rsidR="00595E34">
              <w:rPr>
                <w:b/>
              </w:rPr>
              <w:t>etres</w:t>
            </w:r>
          </w:p>
        </w:tc>
      </w:tr>
      <w:tr w:rsidR="0075777C" w:rsidTr="00F0201F">
        <w:tc>
          <w:tcPr>
            <w:tcW w:w="1555" w:type="dxa"/>
            <w:vMerge/>
          </w:tcPr>
          <w:p w:rsidR="0075777C" w:rsidRDefault="0075777C" w:rsidP="004F7BBE">
            <w:pPr>
              <w:pStyle w:val="Tabletext"/>
            </w:pPr>
          </w:p>
        </w:tc>
        <w:tc>
          <w:tcPr>
            <w:tcW w:w="850" w:type="dxa"/>
            <w:vMerge/>
          </w:tcPr>
          <w:p w:rsidR="0075777C" w:rsidRDefault="0075777C" w:rsidP="004F7BBE">
            <w:pPr>
              <w:pStyle w:val="Tabletext"/>
            </w:pPr>
          </w:p>
        </w:tc>
        <w:tc>
          <w:tcPr>
            <w:tcW w:w="1417" w:type="dxa"/>
            <w:shd w:val="clear" w:color="auto" w:fill="BFBFBF" w:themeFill="background1" w:themeFillShade="BF"/>
          </w:tcPr>
          <w:p w:rsidR="0075777C" w:rsidRPr="004F7BBE" w:rsidRDefault="0075777C" w:rsidP="004F7BBE">
            <w:pPr>
              <w:pStyle w:val="Tabletext"/>
              <w:jc w:val="center"/>
              <w:rPr>
                <w:b/>
              </w:rPr>
            </w:pPr>
            <w:r w:rsidRPr="004F7BBE">
              <w:rPr>
                <w:rFonts w:asciiTheme="minorHAnsi" w:hAnsiTheme="minorHAnsi"/>
                <w:b/>
              </w:rPr>
              <w:t>ERA + PDE-5i</w:t>
            </w:r>
          </w:p>
        </w:tc>
        <w:tc>
          <w:tcPr>
            <w:tcW w:w="1418" w:type="dxa"/>
            <w:shd w:val="clear" w:color="auto" w:fill="BFBFBF" w:themeFill="background1" w:themeFillShade="BF"/>
          </w:tcPr>
          <w:p w:rsidR="0075777C" w:rsidRPr="004F7BBE" w:rsidRDefault="0075777C" w:rsidP="004F7BBE">
            <w:pPr>
              <w:pStyle w:val="Tabletext"/>
              <w:jc w:val="center"/>
              <w:rPr>
                <w:b/>
              </w:rPr>
            </w:pPr>
            <w:r w:rsidRPr="004F7BBE">
              <w:rPr>
                <w:rFonts w:asciiTheme="minorHAnsi" w:hAnsiTheme="minorHAnsi"/>
                <w:b/>
              </w:rPr>
              <w:t>PDE-5i</w:t>
            </w:r>
          </w:p>
        </w:tc>
        <w:tc>
          <w:tcPr>
            <w:tcW w:w="1417" w:type="dxa"/>
            <w:shd w:val="clear" w:color="auto" w:fill="BFBFBF" w:themeFill="background1" w:themeFillShade="BF"/>
          </w:tcPr>
          <w:p w:rsidR="0075777C" w:rsidRPr="004F7BBE" w:rsidRDefault="0075777C" w:rsidP="004F7BBE">
            <w:pPr>
              <w:pStyle w:val="Tabletext"/>
              <w:jc w:val="center"/>
              <w:rPr>
                <w:b/>
              </w:rPr>
            </w:pPr>
            <w:r w:rsidRPr="004F7BBE">
              <w:rPr>
                <w:rFonts w:asciiTheme="minorHAnsi" w:hAnsiTheme="minorHAnsi"/>
                <w:b/>
              </w:rPr>
              <w:t>ERA + PDE-5i</w:t>
            </w:r>
          </w:p>
        </w:tc>
        <w:tc>
          <w:tcPr>
            <w:tcW w:w="1418" w:type="dxa"/>
            <w:shd w:val="clear" w:color="auto" w:fill="BFBFBF" w:themeFill="background1" w:themeFillShade="BF"/>
          </w:tcPr>
          <w:p w:rsidR="0075777C" w:rsidRPr="004F7BBE" w:rsidRDefault="0075777C" w:rsidP="004F7BBE">
            <w:pPr>
              <w:pStyle w:val="Tabletext"/>
              <w:jc w:val="center"/>
              <w:rPr>
                <w:b/>
              </w:rPr>
            </w:pPr>
            <w:r w:rsidRPr="004F7BBE">
              <w:rPr>
                <w:rFonts w:asciiTheme="minorHAnsi" w:hAnsiTheme="minorHAnsi"/>
                <w:b/>
              </w:rPr>
              <w:t>PDE-5i</w:t>
            </w:r>
          </w:p>
        </w:tc>
        <w:tc>
          <w:tcPr>
            <w:tcW w:w="1559" w:type="dxa"/>
            <w:vMerge/>
          </w:tcPr>
          <w:p w:rsidR="0075777C" w:rsidRDefault="0075777C" w:rsidP="004F7BBE">
            <w:pPr>
              <w:pStyle w:val="Tabletext"/>
            </w:pPr>
          </w:p>
        </w:tc>
      </w:tr>
      <w:tr w:rsidR="0075777C" w:rsidTr="00F0201F">
        <w:tc>
          <w:tcPr>
            <w:tcW w:w="1555" w:type="dxa"/>
          </w:tcPr>
          <w:p w:rsidR="0075777C" w:rsidRPr="00F05153" w:rsidRDefault="0075777C" w:rsidP="004F7BBE">
            <w:pPr>
              <w:pStyle w:val="Tabletext"/>
              <w:rPr>
                <w:rFonts w:cs="Tahoma"/>
              </w:rPr>
            </w:pPr>
            <w:r w:rsidRPr="00F05153">
              <w:rPr>
                <w:rFonts w:cs="Tahoma"/>
              </w:rPr>
              <w:t xml:space="preserve">EARLY </w:t>
            </w:r>
            <w:r w:rsidRPr="00F05153">
              <w:rPr>
                <w:rFonts w:cs="Tahoma"/>
                <w:vertAlign w:val="superscript"/>
              </w:rPr>
              <w:t>a</w:t>
            </w:r>
          </w:p>
          <w:p w:rsidR="0075777C" w:rsidRPr="00F05153" w:rsidRDefault="0075777C" w:rsidP="004F7BBE">
            <w:pPr>
              <w:pStyle w:val="Tabletext"/>
              <w:rPr>
                <w:rFonts w:cs="Tahoma"/>
              </w:rPr>
            </w:pPr>
            <w:r w:rsidRPr="00F05153">
              <w:rPr>
                <w:rFonts w:cs="Tahoma"/>
              </w:rPr>
              <w:t>Galiè et al. (2008)</w:t>
            </w:r>
            <w:r w:rsidR="001D34EE" w:rsidRPr="00F05153">
              <w:rPr>
                <w:rFonts w:cs="Tahoma"/>
                <w:noProof/>
                <w:vertAlign w:val="superscript"/>
              </w:rPr>
              <w:t>9</w:t>
            </w:r>
            <w:r w:rsidRPr="00F05153">
              <w:rPr>
                <w:rFonts w:cs="Tahoma"/>
              </w:rPr>
              <w:t xml:space="preserve"> and CSR</w:t>
            </w:r>
          </w:p>
          <w:p w:rsidR="0075777C" w:rsidRPr="00F05153" w:rsidRDefault="0075777C" w:rsidP="004F7BBE">
            <w:pPr>
              <w:pStyle w:val="Tabletext"/>
              <w:rPr>
                <w:rFonts w:cs="Tahoma"/>
              </w:rPr>
            </w:pPr>
            <w:r w:rsidRPr="00F05153">
              <w:rPr>
                <w:rFonts w:cs="Tahoma"/>
              </w:rPr>
              <w:t>WHO FC II</w:t>
            </w:r>
          </w:p>
          <w:p w:rsidR="0075777C" w:rsidRPr="00F05153" w:rsidRDefault="0075777C" w:rsidP="004F7BBE">
            <w:pPr>
              <w:pStyle w:val="Tabletext"/>
            </w:pPr>
            <w:r w:rsidRPr="00F05153">
              <w:rPr>
                <w:rFonts w:cs="Tahoma"/>
              </w:rPr>
              <w:t>Bosentan/ sildenafil</w:t>
            </w:r>
          </w:p>
        </w:tc>
        <w:tc>
          <w:tcPr>
            <w:tcW w:w="850" w:type="dxa"/>
          </w:tcPr>
          <w:p w:rsidR="0075777C" w:rsidRPr="00F05153" w:rsidRDefault="0075777C" w:rsidP="004F7BBE">
            <w:pPr>
              <w:pStyle w:val="Tabletext"/>
              <w:rPr>
                <w:rFonts w:cs="Tahoma"/>
              </w:rPr>
            </w:pPr>
            <w:r w:rsidRPr="00F05153">
              <w:rPr>
                <w:rFonts w:cs="Tahoma"/>
              </w:rPr>
              <w:t>N=28</w:t>
            </w:r>
          </w:p>
          <w:p w:rsidR="0075777C" w:rsidRPr="00F05153" w:rsidRDefault="0075777C" w:rsidP="004F7BBE">
            <w:pPr>
              <w:pStyle w:val="Tabletext"/>
            </w:pPr>
            <w:r w:rsidRPr="00F05153">
              <w:rPr>
                <w:rFonts w:cs="Tahoma"/>
              </w:rPr>
              <w:t>26 weeks</w:t>
            </w:r>
          </w:p>
        </w:tc>
        <w:tc>
          <w:tcPr>
            <w:tcW w:w="1417" w:type="dxa"/>
          </w:tcPr>
          <w:p w:rsidR="0075777C" w:rsidRPr="00F05153" w:rsidRDefault="0075777C" w:rsidP="004F7BBE">
            <w:pPr>
              <w:pStyle w:val="Tabletext"/>
              <w:jc w:val="center"/>
              <w:rPr>
                <w:rFonts w:cs="Tahoma"/>
              </w:rPr>
            </w:pPr>
            <w:r w:rsidRPr="00F05153">
              <w:rPr>
                <w:rFonts w:cs="Tahoma"/>
              </w:rPr>
              <w:t>Mean:</w:t>
            </w:r>
          </w:p>
          <w:p w:rsidR="0075777C" w:rsidRPr="002046A0" w:rsidRDefault="002046A0" w:rsidP="004F7BBE">
            <w:pPr>
              <w:pStyle w:val="Tabletext"/>
              <w:jc w:val="center"/>
              <w:rPr>
                <w:rFonts w:cs="Tahoma"/>
                <w:highlight w:val="black"/>
              </w:rPr>
            </w:pPr>
            <w:r>
              <w:rPr>
                <w:rFonts w:cs="Tahoma"/>
                <w:noProof/>
                <w:color w:val="000000"/>
                <w:highlight w:val="black"/>
              </w:rPr>
              <w:t>''''''''''''''</w:t>
            </w:r>
            <w:r>
              <w:rPr>
                <w:rFonts w:cs="Tahoma"/>
                <w:noProof/>
                <w:color w:val="000000"/>
                <w:highlight w:val="black"/>
              </w:rPr>
              <w:br/>
              <w:t>'''''''''''''''' ''''''''''''''</w:t>
            </w:r>
          </w:p>
          <w:p w:rsidR="0075777C" w:rsidRPr="00F05153" w:rsidRDefault="0075777C" w:rsidP="004F7BBE">
            <w:pPr>
              <w:pStyle w:val="Tabletext"/>
              <w:jc w:val="center"/>
              <w:rPr>
                <w:rFonts w:cs="Tahoma"/>
              </w:rPr>
            </w:pPr>
            <w:r w:rsidRPr="00F05153">
              <w:rPr>
                <w:rFonts w:cs="Tahoma"/>
              </w:rPr>
              <w:t>Median:</w:t>
            </w:r>
          </w:p>
          <w:p w:rsidR="0075777C" w:rsidRPr="002046A0" w:rsidRDefault="002046A0" w:rsidP="00F0201F">
            <w:pPr>
              <w:pStyle w:val="Tabletext"/>
              <w:jc w:val="center"/>
              <w:rPr>
                <w:highlight w:val="black"/>
              </w:rPr>
            </w:pPr>
            <w:r>
              <w:rPr>
                <w:rFonts w:cs="Tahoma"/>
                <w:noProof/>
                <w:color w:val="000000"/>
                <w:highlight w:val="black"/>
              </w:rPr>
              <w:t>'''''''''''''</w:t>
            </w:r>
            <w:r>
              <w:rPr>
                <w:rFonts w:cs="Tahoma"/>
                <w:noProof/>
                <w:color w:val="000000"/>
                <w:highlight w:val="black"/>
              </w:rPr>
              <w:br/>
              <w:t>''''''''''''''''' ''''''''''''''</w:t>
            </w:r>
          </w:p>
        </w:tc>
        <w:tc>
          <w:tcPr>
            <w:tcW w:w="1418" w:type="dxa"/>
          </w:tcPr>
          <w:p w:rsidR="0075777C" w:rsidRPr="00F05153" w:rsidRDefault="0075777C" w:rsidP="004F7BBE">
            <w:pPr>
              <w:pStyle w:val="Tabletext"/>
              <w:jc w:val="center"/>
              <w:rPr>
                <w:rFonts w:cs="Tahoma"/>
              </w:rPr>
            </w:pPr>
            <w:r w:rsidRPr="00F05153">
              <w:rPr>
                <w:rFonts w:cs="Tahoma"/>
              </w:rPr>
              <w:t>Mean:</w:t>
            </w:r>
          </w:p>
          <w:p w:rsidR="0075777C" w:rsidRPr="002046A0" w:rsidRDefault="002046A0" w:rsidP="004F7BBE">
            <w:pPr>
              <w:pStyle w:val="Tabletext"/>
              <w:jc w:val="center"/>
              <w:rPr>
                <w:rFonts w:cs="Tahoma"/>
                <w:highlight w:val="black"/>
              </w:rPr>
            </w:pPr>
            <w:r>
              <w:rPr>
                <w:rFonts w:cs="Tahoma"/>
                <w:noProof/>
                <w:color w:val="000000"/>
                <w:highlight w:val="black"/>
              </w:rPr>
              <w:t>'''''''''''''</w:t>
            </w:r>
            <w:r>
              <w:rPr>
                <w:rFonts w:cs="Tahoma"/>
                <w:noProof/>
                <w:color w:val="000000"/>
                <w:highlight w:val="black"/>
              </w:rPr>
              <w:br/>
              <w:t>'''''''''''''''' '''''''''''''''</w:t>
            </w:r>
          </w:p>
          <w:p w:rsidR="0075777C" w:rsidRPr="00F05153" w:rsidRDefault="0075777C" w:rsidP="004F7BBE">
            <w:pPr>
              <w:pStyle w:val="Tabletext"/>
              <w:jc w:val="center"/>
              <w:rPr>
                <w:rFonts w:cs="Tahoma"/>
              </w:rPr>
            </w:pPr>
            <w:r w:rsidRPr="00F05153">
              <w:rPr>
                <w:rFonts w:cs="Tahoma"/>
              </w:rPr>
              <w:t>Median:</w:t>
            </w:r>
          </w:p>
          <w:p w:rsidR="0075777C" w:rsidRPr="00F05153" w:rsidRDefault="002046A0" w:rsidP="00F0201F">
            <w:pPr>
              <w:pStyle w:val="Tabletext"/>
              <w:jc w:val="center"/>
            </w:pPr>
            <w:r>
              <w:rPr>
                <w:rFonts w:cs="Tahoma"/>
                <w:noProof/>
                <w:color w:val="000000"/>
                <w:highlight w:val="black"/>
              </w:rPr>
              <w:t>'''''''''''''</w:t>
            </w:r>
            <w:r>
              <w:rPr>
                <w:rFonts w:cs="Tahoma"/>
                <w:noProof/>
                <w:color w:val="000000"/>
                <w:highlight w:val="black"/>
              </w:rPr>
              <w:br/>
              <w:t xml:space="preserve">'''''''''''''''''' </w:t>
            </w:r>
            <w:r w:rsidR="00C91397">
              <w:rPr>
                <w:rFonts w:cs="Tahoma"/>
                <w:noProof/>
                <w:color w:val="000000"/>
                <w:highlight w:val="black"/>
              </w:rPr>
              <w:t>''''''''''''''''</w:t>
            </w:r>
          </w:p>
        </w:tc>
        <w:tc>
          <w:tcPr>
            <w:tcW w:w="1417" w:type="dxa"/>
          </w:tcPr>
          <w:p w:rsidR="0075777C" w:rsidRPr="00F05153" w:rsidRDefault="0075777C" w:rsidP="004F7BBE">
            <w:pPr>
              <w:pStyle w:val="Tabletext"/>
              <w:jc w:val="center"/>
              <w:rPr>
                <w:rFonts w:cs="Tahoma"/>
              </w:rPr>
            </w:pPr>
            <w:r w:rsidRPr="00F05153">
              <w:rPr>
                <w:rFonts w:cs="Tahoma"/>
              </w:rPr>
              <w:t>Mean:</w:t>
            </w:r>
          </w:p>
          <w:p w:rsidR="0075777C" w:rsidRPr="00F05153" w:rsidRDefault="002046A0" w:rsidP="004F7BBE">
            <w:pPr>
              <w:pStyle w:val="Tabletext"/>
              <w:jc w:val="center"/>
              <w:rPr>
                <w:rFonts w:cs="Tahoma"/>
              </w:rPr>
            </w:pPr>
            <w:r>
              <w:rPr>
                <w:rFonts w:cs="Tahoma"/>
                <w:noProof/>
                <w:color w:val="000000"/>
                <w:highlight w:val="black"/>
              </w:rPr>
              <w:t>'''''''''''''''</w:t>
            </w:r>
            <w:r>
              <w:rPr>
                <w:rFonts w:cs="Tahoma"/>
                <w:noProof/>
                <w:color w:val="000000"/>
                <w:highlight w:val="black"/>
              </w:rPr>
              <w:br/>
              <w:t xml:space="preserve">'''''''''''''''''''' </w:t>
            </w:r>
            <w:r w:rsidR="00C91397">
              <w:rPr>
                <w:rFonts w:cs="Tahoma"/>
                <w:noProof/>
                <w:color w:val="000000"/>
                <w:highlight w:val="black"/>
              </w:rPr>
              <w:t>'''''''''''''</w:t>
            </w:r>
          </w:p>
          <w:p w:rsidR="0075777C" w:rsidRPr="00F05153" w:rsidRDefault="0075777C" w:rsidP="004F7BBE">
            <w:pPr>
              <w:pStyle w:val="Tabletext"/>
              <w:jc w:val="center"/>
              <w:rPr>
                <w:rFonts w:cs="Tahoma"/>
              </w:rPr>
            </w:pPr>
            <w:r w:rsidRPr="00F05153">
              <w:rPr>
                <w:rFonts w:cs="Tahoma"/>
              </w:rPr>
              <w:t>Median:</w:t>
            </w:r>
          </w:p>
          <w:p w:rsidR="0075777C" w:rsidRPr="002046A0" w:rsidRDefault="002046A0" w:rsidP="00F0201F">
            <w:pPr>
              <w:pStyle w:val="Tabletext"/>
              <w:jc w:val="center"/>
              <w:rPr>
                <w:highlight w:val="black"/>
              </w:rPr>
            </w:pPr>
            <w:r>
              <w:rPr>
                <w:rFonts w:cs="Tahoma"/>
                <w:noProof/>
                <w:color w:val="000000"/>
                <w:highlight w:val="black"/>
              </w:rPr>
              <w:t>''''''''''</w:t>
            </w:r>
            <w:r>
              <w:rPr>
                <w:rFonts w:cs="Tahoma"/>
                <w:noProof/>
                <w:color w:val="000000"/>
                <w:highlight w:val="black"/>
              </w:rPr>
              <w:br/>
              <w:t>''''''''''''''''' '''''''''''''</w:t>
            </w:r>
          </w:p>
        </w:tc>
        <w:tc>
          <w:tcPr>
            <w:tcW w:w="1418" w:type="dxa"/>
          </w:tcPr>
          <w:p w:rsidR="0075777C" w:rsidRPr="00F05153" w:rsidRDefault="0075777C" w:rsidP="004F7BBE">
            <w:pPr>
              <w:pStyle w:val="Tabletext"/>
              <w:jc w:val="center"/>
              <w:rPr>
                <w:rFonts w:cs="Tahoma"/>
              </w:rPr>
            </w:pPr>
            <w:r w:rsidRPr="00F05153">
              <w:rPr>
                <w:rFonts w:cs="Tahoma"/>
              </w:rPr>
              <w:t>Mean:</w:t>
            </w:r>
          </w:p>
          <w:p w:rsidR="0075777C" w:rsidRPr="002046A0" w:rsidRDefault="002046A0" w:rsidP="004F7BBE">
            <w:pPr>
              <w:pStyle w:val="Tabletext"/>
              <w:jc w:val="center"/>
              <w:rPr>
                <w:rFonts w:cs="Tahoma"/>
                <w:highlight w:val="black"/>
              </w:rPr>
            </w:pPr>
            <w:r>
              <w:rPr>
                <w:rFonts w:cs="Tahoma"/>
                <w:noProof/>
                <w:color w:val="000000"/>
                <w:highlight w:val="black"/>
              </w:rPr>
              <w:t>'''''''''''</w:t>
            </w:r>
            <w:r>
              <w:rPr>
                <w:rFonts w:cs="Tahoma"/>
                <w:noProof/>
                <w:color w:val="000000"/>
                <w:highlight w:val="black"/>
              </w:rPr>
              <w:br/>
              <w:t>''''''''''''''''' '''''''''''''</w:t>
            </w:r>
          </w:p>
          <w:p w:rsidR="0075777C" w:rsidRPr="00F05153" w:rsidRDefault="0075777C" w:rsidP="004F7BBE">
            <w:pPr>
              <w:pStyle w:val="Tabletext"/>
              <w:jc w:val="center"/>
              <w:rPr>
                <w:rFonts w:cs="Tahoma"/>
              </w:rPr>
            </w:pPr>
            <w:r w:rsidRPr="00F05153">
              <w:rPr>
                <w:rFonts w:cs="Tahoma"/>
              </w:rPr>
              <w:t>Median:</w:t>
            </w:r>
          </w:p>
          <w:p w:rsidR="0075777C" w:rsidRPr="00F05153" w:rsidRDefault="002046A0" w:rsidP="00F0201F">
            <w:pPr>
              <w:pStyle w:val="Tabletext"/>
              <w:jc w:val="center"/>
            </w:pPr>
            <w:r>
              <w:rPr>
                <w:rFonts w:cs="Tahoma"/>
                <w:noProof/>
                <w:color w:val="000000"/>
                <w:highlight w:val="black"/>
              </w:rPr>
              <w:t>'''''''</w:t>
            </w:r>
            <w:r>
              <w:rPr>
                <w:rFonts w:cs="Tahoma"/>
                <w:noProof/>
                <w:color w:val="000000"/>
                <w:highlight w:val="black"/>
              </w:rPr>
              <w:br/>
              <w:t xml:space="preserve">'''''''''''''''' </w:t>
            </w:r>
            <w:r w:rsidR="00C91397">
              <w:rPr>
                <w:rFonts w:cs="Tahoma"/>
                <w:noProof/>
                <w:color w:val="000000"/>
                <w:highlight w:val="black"/>
              </w:rPr>
              <w:t>''''''''''''''''</w:t>
            </w:r>
          </w:p>
        </w:tc>
        <w:tc>
          <w:tcPr>
            <w:tcW w:w="1559" w:type="dxa"/>
          </w:tcPr>
          <w:p w:rsidR="0075777C" w:rsidRPr="00F05153" w:rsidRDefault="0075777C" w:rsidP="004F7BBE">
            <w:pPr>
              <w:pStyle w:val="Tabletext"/>
              <w:rPr>
                <w:rFonts w:cs="Tahoma"/>
              </w:rPr>
            </w:pPr>
            <w:r w:rsidRPr="00F05153">
              <w:rPr>
                <w:rFonts w:cs="Tahoma"/>
              </w:rPr>
              <w:t>Mean:</w:t>
            </w:r>
          </w:p>
          <w:p w:rsidR="00503643" w:rsidRDefault="0075777C" w:rsidP="004F7BBE">
            <w:pPr>
              <w:pStyle w:val="Tabletext"/>
              <w:rPr>
                <w:rFonts w:cs="Tahoma"/>
              </w:rPr>
            </w:pPr>
            <w:r w:rsidRPr="00F05153">
              <w:rPr>
                <w:rFonts w:cs="Tahoma"/>
              </w:rPr>
              <w:t>−17.3</w:t>
            </w:r>
            <w:r w:rsidR="00F0201F" w:rsidRPr="00F05153">
              <w:rPr>
                <w:rFonts w:cs="Tahoma"/>
              </w:rPr>
              <w:t xml:space="preserve"> </w:t>
            </w:r>
          </w:p>
          <w:p w:rsidR="0075777C" w:rsidRPr="00F05153" w:rsidRDefault="0075777C" w:rsidP="004F7BBE">
            <w:pPr>
              <w:pStyle w:val="Tabletext"/>
              <w:rPr>
                <w:rFonts w:cs="Tahoma"/>
              </w:rPr>
            </w:pPr>
            <w:r w:rsidRPr="00F05153">
              <w:rPr>
                <w:rFonts w:cs="Tahoma"/>
              </w:rPr>
              <w:t>(−105.7, 71.1)</w:t>
            </w:r>
          </w:p>
          <w:p w:rsidR="0075777C" w:rsidRPr="00F05153" w:rsidRDefault="0075777C" w:rsidP="004F7BBE">
            <w:pPr>
              <w:pStyle w:val="Tabletext"/>
              <w:rPr>
                <w:rFonts w:cs="Tahoma"/>
              </w:rPr>
            </w:pPr>
            <w:r w:rsidRPr="00F05153">
              <w:rPr>
                <w:rFonts w:cs="Tahoma"/>
              </w:rPr>
              <w:t>Median:</w:t>
            </w:r>
          </w:p>
          <w:p w:rsidR="00503643" w:rsidRDefault="0075777C" w:rsidP="00F0201F">
            <w:pPr>
              <w:pStyle w:val="Tabletext"/>
              <w:rPr>
                <w:rFonts w:cs="Tahoma"/>
              </w:rPr>
            </w:pPr>
            <w:r w:rsidRPr="00F05153">
              <w:rPr>
                <w:rFonts w:cs="Tahoma"/>
              </w:rPr>
              <w:t>5.0</w:t>
            </w:r>
            <w:r w:rsidR="00F0201F" w:rsidRPr="00F05153">
              <w:rPr>
                <w:rFonts w:cs="Tahoma"/>
              </w:rPr>
              <w:t xml:space="preserve"> </w:t>
            </w:r>
          </w:p>
          <w:p w:rsidR="0075777C" w:rsidRDefault="0075777C" w:rsidP="00F0201F">
            <w:pPr>
              <w:pStyle w:val="Tabletext"/>
            </w:pPr>
            <w:r w:rsidRPr="00F05153">
              <w:rPr>
                <w:rFonts w:cs="Tahoma"/>
              </w:rPr>
              <w:t>(−43.1, 53.9</w:t>
            </w:r>
            <w:r w:rsidR="006B2A7D" w:rsidRPr="00F05153">
              <w:rPr>
                <w:rFonts w:cs="Tahoma"/>
              </w:rPr>
              <w:t>)</w:t>
            </w:r>
          </w:p>
        </w:tc>
      </w:tr>
      <w:tr w:rsidR="0075777C" w:rsidTr="00F0201F">
        <w:tc>
          <w:tcPr>
            <w:tcW w:w="1555" w:type="dxa"/>
          </w:tcPr>
          <w:p w:rsidR="0075777C" w:rsidRPr="00822C52" w:rsidRDefault="0075777C" w:rsidP="004F7BBE">
            <w:pPr>
              <w:pStyle w:val="Tabletext"/>
              <w:rPr>
                <w:rFonts w:cs="Tahoma"/>
              </w:rPr>
            </w:pPr>
            <w:r w:rsidRPr="00822C52">
              <w:rPr>
                <w:rFonts w:cs="Tahoma"/>
              </w:rPr>
              <w:t>COMPASS-2</w:t>
            </w:r>
            <w:r w:rsidR="001D34EE" w:rsidRPr="001A1C44">
              <w:rPr>
                <w:rFonts w:cs="Tahoma"/>
                <w:noProof/>
                <w:vertAlign w:val="superscript"/>
              </w:rPr>
              <w:t>37</w:t>
            </w:r>
          </w:p>
          <w:p w:rsidR="0075777C" w:rsidRDefault="0075777C" w:rsidP="004F7BBE">
            <w:pPr>
              <w:pStyle w:val="Tabletext"/>
            </w:pPr>
            <w:r w:rsidRPr="00822C52">
              <w:rPr>
                <w:rFonts w:cs="Tahoma"/>
              </w:rPr>
              <w:t>Bosentan/ sildenafil</w:t>
            </w:r>
          </w:p>
        </w:tc>
        <w:tc>
          <w:tcPr>
            <w:tcW w:w="850" w:type="dxa"/>
          </w:tcPr>
          <w:p w:rsidR="0075777C" w:rsidRPr="00822C52" w:rsidRDefault="0075777C" w:rsidP="004F7BBE">
            <w:pPr>
              <w:pStyle w:val="Tabletext"/>
              <w:rPr>
                <w:rFonts w:cs="Tahoma"/>
              </w:rPr>
            </w:pPr>
            <w:r w:rsidRPr="00822C52">
              <w:rPr>
                <w:rFonts w:cs="Tahoma"/>
              </w:rPr>
              <w:t>N=334</w:t>
            </w:r>
          </w:p>
          <w:p w:rsidR="0075777C" w:rsidRDefault="0075777C" w:rsidP="004F7BBE">
            <w:pPr>
              <w:pStyle w:val="Tabletext"/>
            </w:pPr>
            <w:r w:rsidRPr="00822C52">
              <w:rPr>
                <w:rFonts w:cs="Tahoma"/>
              </w:rPr>
              <w:t>16 weeks</w:t>
            </w:r>
          </w:p>
        </w:tc>
        <w:tc>
          <w:tcPr>
            <w:tcW w:w="1417" w:type="dxa"/>
          </w:tcPr>
          <w:p w:rsidR="0075777C" w:rsidRDefault="0075777C" w:rsidP="004F7BBE">
            <w:pPr>
              <w:pStyle w:val="Tabletext"/>
              <w:jc w:val="center"/>
            </w:pPr>
            <w:r w:rsidRPr="00822C52">
              <w:rPr>
                <w:rFonts w:cs="Tahoma"/>
              </w:rPr>
              <w:t>363.1 ± 78.5</w:t>
            </w:r>
          </w:p>
        </w:tc>
        <w:tc>
          <w:tcPr>
            <w:tcW w:w="1418" w:type="dxa"/>
          </w:tcPr>
          <w:p w:rsidR="0075777C" w:rsidRDefault="0075777C" w:rsidP="004F7BBE">
            <w:pPr>
              <w:pStyle w:val="Tabletext"/>
              <w:jc w:val="center"/>
            </w:pPr>
            <w:r w:rsidRPr="00822C52">
              <w:rPr>
                <w:rFonts w:cs="Tahoma"/>
              </w:rPr>
              <w:t>357.6 ± 73.1</w:t>
            </w:r>
          </w:p>
        </w:tc>
        <w:tc>
          <w:tcPr>
            <w:tcW w:w="1417" w:type="dxa"/>
          </w:tcPr>
          <w:p w:rsidR="0075777C" w:rsidRDefault="0075777C" w:rsidP="004F7BBE">
            <w:pPr>
              <w:pStyle w:val="Tabletext"/>
              <w:jc w:val="center"/>
            </w:pPr>
            <w:r w:rsidRPr="00822C52">
              <w:rPr>
                <w:rFonts w:cs="Tahoma"/>
              </w:rPr>
              <w:t>7.2 ± 66.0</w:t>
            </w:r>
          </w:p>
        </w:tc>
        <w:tc>
          <w:tcPr>
            <w:tcW w:w="1418" w:type="dxa"/>
          </w:tcPr>
          <w:p w:rsidR="0075777C" w:rsidRDefault="0075777C" w:rsidP="004F7BBE">
            <w:pPr>
              <w:pStyle w:val="Tabletext"/>
              <w:jc w:val="center"/>
            </w:pPr>
            <w:r>
              <w:rPr>
                <w:rFonts w:cs="Tahoma"/>
              </w:rPr>
              <w:t>−</w:t>
            </w:r>
            <w:r w:rsidRPr="00822C52">
              <w:rPr>
                <w:rFonts w:cs="Tahoma"/>
              </w:rPr>
              <w:t>14.6 ± 80.4</w:t>
            </w:r>
          </w:p>
        </w:tc>
        <w:tc>
          <w:tcPr>
            <w:tcW w:w="1559" w:type="dxa"/>
          </w:tcPr>
          <w:p w:rsidR="0075777C" w:rsidRPr="0002253F" w:rsidRDefault="0075777C" w:rsidP="0002253F">
            <w:pPr>
              <w:pStyle w:val="Tabletext"/>
              <w:rPr>
                <w:rFonts w:cs="Tahoma"/>
              </w:rPr>
            </w:pPr>
            <w:r w:rsidRPr="00822C52">
              <w:rPr>
                <w:rFonts w:cs="Tahoma"/>
              </w:rPr>
              <w:t>21.8 (5.9, 37.8)</w:t>
            </w:r>
          </w:p>
        </w:tc>
      </w:tr>
      <w:tr w:rsidR="0075777C" w:rsidTr="00F0201F">
        <w:tc>
          <w:tcPr>
            <w:tcW w:w="1555" w:type="dxa"/>
          </w:tcPr>
          <w:p w:rsidR="0075777C" w:rsidRPr="00822C52" w:rsidRDefault="0075777C" w:rsidP="004F7BBE">
            <w:pPr>
              <w:pStyle w:val="Tabletext"/>
              <w:rPr>
                <w:rFonts w:cs="Tahoma"/>
              </w:rPr>
            </w:pPr>
            <w:r w:rsidRPr="00822C52">
              <w:rPr>
                <w:rFonts w:cs="Tahoma"/>
              </w:rPr>
              <w:t>SERAPHIN</w:t>
            </w:r>
            <w:r w:rsidR="001D34EE" w:rsidRPr="001D34EE">
              <w:rPr>
                <w:rFonts w:cs="Tahoma"/>
                <w:noProof/>
                <w:vertAlign w:val="superscript"/>
              </w:rPr>
              <w:t>7</w:t>
            </w:r>
          </w:p>
          <w:p w:rsidR="0075777C" w:rsidRDefault="0075777C" w:rsidP="00F0201F">
            <w:pPr>
              <w:pStyle w:val="Tabletext"/>
            </w:pPr>
            <w:r w:rsidRPr="00822C52">
              <w:rPr>
                <w:rFonts w:cs="Tahoma"/>
              </w:rPr>
              <w:t xml:space="preserve">Macitentan/any </w:t>
            </w:r>
            <w:r w:rsidR="00F0201F">
              <w:rPr>
                <w:rFonts w:cs="Tahoma"/>
              </w:rPr>
              <w:t>PDE-5i</w:t>
            </w:r>
            <w:r w:rsidR="00E25FAA" w:rsidRPr="00E25FAA">
              <w:rPr>
                <w:rFonts w:cs="Tahoma"/>
                <w:vertAlign w:val="superscript"/>
              </w:rPr>
              <w:t>b</w:t>
            </w:r>
          </w:p>
        </w:tc>
        <w:tc>
          <w:tcPr>
            <w:tcW w:w="850" w:type="dxa"/>
          </w:tcPr>
          <w:p w:rsidR="0075777C" w:rsidRPr="00822C52" w:rsidRDefault="0075777C" w:rsidP="004F7BBE">
            <w:pPr>
              <w:pStyle w:val="Tabletext"/>
              <w:rPr>
                <w:rFonts w:cs="Tahoma"/>
              </w:rPr>
            </w:pPr>
            <w:r w:rsidRPr="00822C52">
              <w:rPr>
                <w:rFonts w:cs="Tahoma"/>
              </w:rPr>
              <w:t>N=308</w:t>
            </w:r>
          </w:p>
          <w:p w:rsidR="0075777C" w:rsidRDefault="0075777C" w:rsidP="004F7BBE">
            <w:pPr>
              <w:pStyle w:val="Tabletext"/>
            </w:pPr>
            <w:r w:rsidRPr="00822C52">
              <w:rPr>
                <w:rFonts w:cs="Tahoma"/>
              </w:rPr>
              <w:t>26 weeks</w:t>
            </w:r>
          </w:p>
        </w:tc>
        <w:tc>
          <w:tcPr>
            <w:tcW w:w="1417" w:type="dxa"/>
          </w:tcPr>
          <w:p w:rsidR="0075777C" w:rsidRPr="0002253F" w:rsidRDefault="0075777C" w:rsidP="004F7BBE">
            <w:pPr>
              <w:pStyle w:val="Tabletext"/>
              <w:jc w:val="center"/>
              <w:rPr>
                <w:rFonts w:cs="Tahoma"/>
              </w:rPr>
            </w:pPr>
            <w:r w:rsidRPr="0002253F">
              <w:rPr>
                <w:rFonts w:cs="Tahoma"/>
              </w:rPr>
              <w:t>364 ± 96.7</w:t>
            </w:r>
          </w:p>
        </w:tc>
        <w:tc>
          <w:tcPr>
            <w:tcW w:w="1418" w:type="dxa"/>
          </w:tcPr>
          <w:p w:rsidR="0075777C" w:rsidRPr="0002253F" w:rsidRDefault="0075777C" w:rsidP="004F7BBE">
            <w:pPr>
              <w:pStyle w:val="Tabletext"/>
              <w:jc w:val="center"/>
              <w:rPr>
                <w:rFonts w:cs="Tahoma"/>
              </w:rPr>
            </w:pPr>
            <w:r w:rsidRPr="0002253F">
              <w:rPr>
                <w:rFonts w:cs="Tahoma"/>
              </w:rPr>
              <w:t>360 ± 110.5</w:t>
            </w:r>
          </w:p>
        </w:tc>
        <w:tc>
          <w:tcPr>
            <w:tcW w:w="1417" w:type="dxa"/>
          </w:tcPr>
          <w:p w:rsidR="0075777C" w:rsidRPr="0002253F" w:rsidRDefault="0075777C" w:rsidP="004F7BBE">
            <w:pPr>
              <w:pStyle w:val="Tabletext"/>
              <w:jc w:val="center"/>
              <w:rPr>
                <w:rFonts w:cs="Tahoma"/>
              </w:rPr>
            </w:pPr>
            <w:r w:rsidRPr="0002253F">
              <w:rPr>
                <w:rFonts w:cs="Tahoma"/>
              </w:rPr>
              <w:t>17.9 ± 82.3</w:t>
            </w:r>
          </w:p>
        </w:tc>
        <w:tc>
          <w:tcPr>
            <w:tcW w:w="1418" w:type="dxa"/>
          </w:tcPr>
          <w:p w:rsidR="0075777C" w:rsidRPr="0002253F" w:rsidRDefault="0075777C" w:rsidP="004F7BBE">
            <w:pPr>
              <w:pStyle w:val="Tabletext"/>
              <w:jc w:val="center"/>
              <w:rPr>
                <w:rFonts w:cs="Tahoma"/>
              </w:rPr>
            </w:pPr>
            <w:r>
              <w:rPr>
                <w:rFonts w:cs="Tahoma"/>
              </w:rPr>
              <w:t>−</w:t>
            </w:r>
            <w:r w:rsidRPr="0002253F">
              <w:rPr>
                <w:rFonts w:cs="Tahoma"/>
              </w:rPr>
              <w:t>7.8 ± 84.8</w:t>
            </w:r>
          </w:p>
        </w:tc>
        <w:tc>
          <w:tcPr>
            <w:tcW w:w="1559" w:type="dxa"/>
          </w:tcPr>
          <w:p w:rsidR="0075777C" w:rsidRPr="0002253F" w:rsidRDefault="0075777C" w:rsidP="0002253F">
            <w:pPr>
              <w:pStyle w:val="Tabletext"/>
              <w:rPr>
                <w:rFonts w:cs="Tahoma"/>
              </w:rPr>
            </w:pPr>
            <w:r w:rsidRPr="0002253F">
              <w:rPr>
                <w:rFonts w:cs="Tahoma"/>
              </w:rPr>
              <w:t>25.7</w:t>
            </w:r>
          </w:p>
        </w:tc>
      </w:tr>
      <w:tr w:rsidR="0075777C" w:rsidTr="00F0201F">
        <w:tc>
          <w:tcPr>
            <w:tcW w:w="1555" w:type="dxa"/>
          </w:tcPr>
          <w:p w:rsidR="0075777C" w:rsidRPr="00822C52" w:rsidRDefault="0075777C" w:rsidP="004F7BBE">
            <w:pPr>
              <w:pStyle w:val="Tabletext"/>
              <w:rPr>
                <w:rFonts w:cs="Tahoma"/>
              </w:rPr>
            </w:pPr>
            <w:r w:rsidRPr="00822C52">
              <w:rPr>
                <w:rFonts w:cs="Tahoma"/>
              </w:rPr>
              <w:t>AMBITION</w:t>
            </w:r>
            <w:r w:rsidR="001D34EE" w:rsidRPr="001A1C44">
              <w:rPr>
                <w:rFonts w:cs="Tahoma"/>
                <w:noProof/>
                <w:vertAlign w:val="superscript"/>
              </w:rPr>
              <w:t>30</w:t>
            </w:r>
          </w:p>
          <w:p w:rsidR="0075777C" w:rsidRDefault="0075777C" w:rsidP="004F7BBE">
            <w:pPr>
              <w:pStyle w:val="Tabletext"/>
            </w:pPr>
            <w:r w:rsidRPr="00822C52">
              <w:rPr>
                <w:rFonts w:cs="Tahoma"/>
              </w:rPr>
              <w:t>Ambrisentan/tadalafil</w:t>
            </w:r>
          </w:p>
        </w:tc>
        <w:tc>
          <w:tcPr>
            <w:tcW w:w="850" w:type="dxa"/>
          </w:tcPr>
          <w:p w:rsidR="0075777C" w:rsidRPr="00822C52" w:rsidRDefault="0075777C" w:rsidP="004F7BBE">
            <w:pPr>
              <w:pStyle w:val="Tabletext"/>
              <w:rPr>
                <w:rFonts w:cs="Tahoma"/>
              </w:rPr>
            </w:pPr>
            <w:r w:rsidRPr="00822C52">
              <w:rPr>
                <w:rFonts w:cs="Tahoma"/>
              </w:rPr>
              <w:t>N=374</w:t>
            </w:r>
          </w:p>
          <w:p w:rsidR="0075777C" w:rsidRDefault="0075777C" w:rsidP="004F7BBE">
            <w:pPr>
              <w:pStyle w:val="Tabletext"/>
            </w:pPr>
            <w:r w:rsidRPr="00822C52">
              <w:rPr>
                <w:rFonts w:cs="Tahoma"/>
              </w:rPr>
              <w:t>24 weeks</w:t>
            </w:r>
          </w:p>
        </w:tc>
        <w:tc>
          <w:tcPr>
            <w:tcW w:w="1417" w:type="dxa"/>
          </w:tcPr>
          <w:p w:rsidR="0075777C" w:rsidRPr="0002253F" w:rsidRDefault="0075777C" w:rsidP="004F7BBE">
            <w:pPr>
              <w:pStyle w:val="Tabletext"/>
              <w:jc w:val="center"/>
              <w:rPr>
                <w:rFonts w:cs="Tahoma"/>
              </w:rPr>
            </w:pPr>
            <w:r w:rsidRPr="0002253F">
              <w:rPr>
                <w:rFonts w:cs="Tahoma"/>
              </w:rPr>
              <w:t>357.0 (IQR 292.0–425.3)</w:t>
            </w:r>
          </w:p>
        </w:tc>
        <w:tc>
          <w:tcPr>
            <w:tcW w:w="1418" w:type="dxa"/>
          </w:tcPr>
          <w:p w:rsidR="0075777C" w:rsidRPr="0002253F" w:rsidRDefault="0075777C" w:rsidP="004F7BBE">
            <w:pPr>
              <w:pStyle w:val="Tabletext"/>
              <w:jc w:val="center"/>
              <w:rPr>
                <w:rFonts w:cs="Tahoma"/>
              </w:rPr>
            </w:pPr>
            <w:r w:rsidRPr="0002253F">
              <w:rPr>
                <w:rFonts w:cs="Tahoma"/>
              </w:rPr>
              <w:t>363.3 (IQR 287.0–421.5)</w:t>
            </w:r>
          </w:p>
        </w:tc>
        <w:tc>
          <w:tcPr>
            <w:tcW w:w="1417" w:type="dxa"/>
          </w:tcPr>
          <w:p w:rsidR="0075777C" w:rsidRPr="0002253F" w:rsidRDefault="0075777C" w:rsidP="004F7BBE">
            <w:pPr>
              <w:pStyle w:val="Tabletext"/>
              <w:jc w:val="center"/>
              <w:rPr>
                <w:rFonts w:cs="Tahoma"/>
              </w:rPr>
            </w:pPr>
            <w:r w:rsidRPr="0002253F">
              <w:rPr>
                <w:rFonts w:cs="Tahoma"/>
              </w:rPr>
              <w:t>49.0 (IQR 4.6–85.8)</w:t>
            </w:r>
          </w:p>
        </w:tc>
        <w:tc>
          <w:tcPr>
            <w:tcW w:w="1418" w:type="dxa"/>
          </w:tcPr>
          <w:p w:rsidR="0075777C" w:rsidRPr="0002253F" w:rsidRDefault="0075777C" w:rsidP="004F7BBE">
            <w:pPr>
              <w:pStyle w:val="Tabletext"/>
              <w:jc w:val="center"/>
              <w:rPr>
                <w:rFonts w:cs="Tahoma"/>
              </w:rPr>
            </w:pPr>
            <w:r w:rsidRPr="0002253F">
              <w:rPr>
                <w:rFonts w:cs="Tahoma"/>
              </w:rPr>
              <w:t xml:space="preserve">22.7 (IQR </w:t>
            </w:r>
            <w:r w:rsidRPr="0002253F">
              <w:rPr>
                <w:rFonts w:cs="Tahoma"/>
              </w:rPr>
              <w:br/>
            </w:r>
            <w:r>
              <w:rPr>
                <w:rFonts w:cs="Tahoma"/>
              </w:rPr>
              <w:t>−</w:t>
            </w:r>
            <w:r w:rsidRPr="0002253F">
              <w:rPr>
                <w:rFonts w:cs="Tahoma"/>
              </w:rPr>
              <w:t>8.3–66.0)</w:t>
            </w:r>
          </w:p>
        </w:tc>
        <w:tc>
          <w:tcPr>
            <w:tcW w:w="1559" w:type="dxa"/>
          </w:tcPr>
          <w:p w:rsidR="0075777C" w:rsidRPr="0002253F" w:rsidRDefault="0075777C" w:rsidP="0002253F">
            <w:pPr>
              <w:pStyle w:val="Tabletext"/>
              <w:rPr>
                <w:rFonts w:cs="Tahoma"/>
              </w:rPr>
            </w:pPr>
            <w:r w:rsidRPr="0002253F">
              <w:rPr>
                <w:rFonts w:cs="Tahoma"/>
              </w:rPr>
              <w:t>26.3, p=0.003</w:t>
            </w:r>
          </w:p>
        </w:tc>
      </w:tr>
    </w:tbl>
    <w:p w:rsidR="0075777C" w:rsidRPr="00822C52" w:rsidRDefault="0075777C" w:rsidP="00F0201F">
      <w:pPr>
        <w:pStyle w:val="Tablenote"/>
      </w:pPr>
      <w:proofErr w:type="gramStart"/>
      <w:r w:rsidRPr="004D0C0E">
        <w:rPr>
          <w:vertAlign w:val="superscript"/>
        </w:rPr>
        <w:t>a</w:t>
      </w:r>
      <w:proofErr w:type="gramEnd"/>
      <w:r>
        <w:t xml:space="preserve"> </w:t>
      </w:r>
      <w:r w:rsidRPr="00822C52">
        <w:t>1/14 patients in ERA+</w:t>
      </w:r>
      <w:r>
        <w:t>PDE-5i</w:t>
      </w:r>
      <w:r w:rsidRPr="00822C52">
        <w:t xml:space="preserve"> subgroup died, and was deemed to have 6MWD of 0, thus median may be more informative for this subgroup</w:t>
      </w:r>
    </w:p>
    <w:p w:rsidR="0075777C" w:rsidRPr="00822C52" w:rsidRDefault="00E25FAA" w:rsidP="00F0201F">
      <w:pPr>
        <w:pStyle w:val="Tablenote"/>
      </w:pPr>
      <w:proofErr w:type="gramStart"/>
      <w:r w:rsidRPr="00E25FAA">
        <w:rPr>
          <w:vertAlign w:val="superscript"/>
        </w:rPr>
        <w:t>b</w:t>
      </w:r>
      <w:proofErr w:type="gramEnd"/>
      <w:r>
        <w:t xml:space="preserve"> </w:t>
      </w:r>
      <w:r w:rsidR="0075777C" w:rsidRPr="00822C52">
        <w:t xml:space="preserve">Small proportion of patients receiving </w:t>
      </w:r>
      <w:r w:rsidR="00F0201F" w:rsidRPr="00822C52">
        <w:t>prostanoids</w:t>
      </w:r>
      <w:r w:rsidR="0075777C" w:rsidRPr="00822C52">
        <w:t xml:space="preserve"> or receiving doublet background therapy</w:t>
      </w:r>
    </w:p>
    <w:p w:rsidR="00715D78" w:rsidRPr="00822C52" w:rsidRDefault="0075777C" w:rsidP="00F0201F">
      <w:pPr>
        <w:pStyle w:val="Tablenote"/>
      </w:pPr>
      <w:r w:rsidRPr="00822C52">
        <w:t xml:space="preserve">6MWD = 6-minute </w:t>
      </w:r>
      <w:r w:rsidR="0082368E">
        <w:t>walk distance</w:t>
      </w:r>
      <w:r w:rsidRPr="00822C52">
        <w:t xml:space="preserve">; CI = confidence interval; </w:t>
      </w:r>
      <w:r w:rsidR="00715D78">
        <w:t xml:space="preserve">CSR = clinical study report; </w:t>
      </w:r>
      <w:r w:rsidRPr="00822C52">
        <w:t xml:space="preserve">ERA = endothelin receptor antagonist; FC = functional class; HR = hazard ratio; IQR = interquartile range; N = number of patients; PAH = pulmonary arterial hypertension; </w:t>
      </w:r>
      <w:r>
        <w:t>PDE-5i</w:t>
      </w:r>
      <w:r w:rsidRPr="00822C52">
        <w:t xml:space="preserve"> = phosphodiesterase type-5 inhibitor; SD = standard deviation; WHO = World Health Organization</w:t>
      </w:r>
    </w:p>
    <w:p w:rsidR="0075777C" w:rsidRPr="00822C52" w:rsidRDefault="007B6C7C" w:rsidP="0075777C">
      <w:pPr>
        <w:pStyle w:val="Heading5"/>
      </w:pPr>
      <w:r>
        <w:t>f</w:t>
      </w:r>
      <w:r w:rsidR="0077344D">
        <w:t>.</w:t>
      </w:r>
      <w:r>
        <w:tab/>
        <w:t>Change in QoL from baseline</w:t>
      </w:r>
    </w:p>
    <w:p w:rsidR="0075777C" w:rsidRPr="00B607A5" w:rsidRDefault="007B6C7C" w:rsidP="0077344D">
      <w:pPr>
        <w:pStyle w:val="Heading6"/>
      </w:pPr>
      <w:proofErr w:type="gramStart"/>
      <w:r w:rsidRPr="00B607A5">
        <w:t>f</w:t>
      </w:r>
      <w:r w:rsidR="0075777C" w:rsidRPr="00B607A5">
        <w:t>.i</w:t>
      </w:r>
      <w:proofErr w:type="gramEnd"/>
      <w:r w:rsidR="0075777C" w:rsidRPr="00B607A5">
        <w:tab/>
        <w:t>PAH patients, irrespective of disease severity or aetiology</w:t>
      </w:r>
    </w:p>
    <w:p w:rsidR="005E097C" w:rsidRDefault="0075777C" w:rsidP="00DF4B37">
      <w:r w:rsidRPr="00822C52">
        <w:t xml:space="preserve">The SERAPHIN study reported on the change in QoL in patients receiving ERA + </w:t>
      </w:r>
      <w:r>
        <w:t>PDE-5 inhibitor</w:t>
      </w:r>
      <w:r w:rsidRPr="00822C52">
        <w:t xml:space="preserve"> combination therapy compared to those receiving </w:t>
      </w:r>
      <w:r>
        <w:t>PDE-5 inhibitor</w:t>
      </w:r>
      <w:r w:rsidRPr="00822C52">
        <w:t xml:space="preserve"> monotherapy over a 2</w:t>
      </w:r>
      <w:r w:rsidR="00AA1206">
        <w:t>6</w:t>
      </w:r>
      <w:r w:rsidRPr="00822C52">
        <w:t>-week period</w:t>
      </w:r>
      <w:r>
        <w:t xml:space="preserve"> (</w:t>
      </w:r>
      <w:r w:rsidR="003951FA">
        <w:t>Table 4.</w:t>
      </w:r>
      <w:r w:rsidR="003951FA">
        <w:rPr>
          <w:noProof/>
        </w:rPr>
        <w:t>52</w:t>
      </w:r>
      <w:r>
        <w:t>)</w:t>
      </w:r>
      <w:r w:rsidRPr="00822C52">
        <w:t xml:space="preserve">. </w:t>
      </w:r>
      <w:r w:rsidR="00557DAB">
        <w:t>Mehta et al (2017)</w:t>
      </w:r>
      <w:r w:rsidR="001D34EE" w:rsidRPr="001D34EE">
        <w:rPr>
          <w:noProof/>
          <w:vertAlign w:val="superscript"/>
        </w:rPr>
        <w:t>47</w:t>
      </w:r>
      <w:r w:rsidR="00557DAB" w:rsidRPr="00822C52">
        <w:t xml:space="preserve"> </w:t>
      </w:r>
      <w:r w:rsidR="00557DAB">
        <w:t>converted the domain and component summary scores to norm-based scores based on the 1998 US general population (scale 0−100). A higher SF-36 score denotes better QoL.</w:t>
      </w:r>
      <w:r w:rsidR="00557DAB" w:rsidRPr="00822C52">
        <w:t xml:space="preserve"> </w:t>
      </w:r>
      <w:r w:rsidR="00DF4B37">
        <w:t xml:space="preserve">The authors </w:t>
      </w:r>
      <w:r w:rsidR="00557DAB" w:rsidRPr="00822C52">
        <w:t xml:space="preserve">reported that the minimum clinically important difference </w:t>
      </w:r>
      <w:r w:rsidR="00557DAB">
        <w:t>varies across diseases with the generally accepted threshold being 2−3 norm-based points</w:t>
      </w:r>
      <w:r w:rsidR="00557DAB" w:rsidRPr="005E097C">
        <w:t xml:space="preserve"> </w:t>
      </w:r>
      <w:r w:rsidR="00557DAB">
        <w:t xml:space="preserve">for </w:t>
      </w:r>
      <w:r w:rsidR="00DF4B37">
        <w:t xml:space="preserve">the physical component score </w:t>
      </w:r>
      <w:r w:rsidR="00557DAB">
        <w:t xml:space="preserve">and three for </w:t>
      </w:r>
      <w:r w:rsidR="00DF4B37">
        <w:t>mental component score</w:t>
      </w:r>
      <w:r w:rsidR="00557DAB">
        <w:t>.</w:t>
      </w:r>
      <w:r w:rsidR="00557DAB" w:rsidRPr="005E097C">
        <w:t xml:space="preserve"> </w:t>
      </w:r>
      <w:r w:rsidR="00557DAB">
        <w:t xml:space="preserve">In the absence of a </w:t>
      </w:r>
      <w:r w:rsidR="00557DAB" w:rsidRPr="005E097C">
        <w:t xml:space="preserve">norm-based </w:t>
      </w:r>
      <w:r w:rsidR="00557DAB">
        <w:t xml:space="preserve">PAH-specific minimal important difference, a three-point threshold </w:t>
      </w:r>
      <w:proofErr w:type="gramStart"/>
      <w:r w:rsidR="00557DAB">
        <w:t>was used</w:t>
      </w:r>
      <w:proofErr w:type="gramEnd"/>
      <w:r w:rsidR="00557DAB">
        <w:t xml:space="preserve">. </w:t>
      </w:r>
      <w:r w:rsidRPr="00822C52">
        <w:t>Although there was a</w:t>
      </w:r>
      <w:r w:rsidR="00557DAB">
        <w:t>n</w:t>
      </w:r>
      <w:r w:rsidRPr="00822C52">
        <w:t xml:space="preserve"> improvement in the SF-36 scores of most domains for patients receiving combination therapy over those receiving monotherapy, the difference were not clinically </w:t>
      </w:r>
      <w:r>
        <w:t>important</w:t>
      </w:r>
      <w:r w:rsidRPr="00822C52">
        <w:t xml:space="preserve">. </w:t>
      </w:r>
      <w:r w:rsidR="00DF4B37">
        <w:t xml:space="preserve">Thus, the </w:t>
      </w:r>
      <w:r w:rsidR="0058444D">
        <w:t xml:space="preserve">norm-based </w:t>
      </w:r>
      <w:r w:rsidR="00DF4B37">
        <w:t>difference only reached clinical importance for the SF-36 domain for vitality</w:t>
      </w:r>
      <w:r w:rsidR="0058444D">
        <w:t xml:space="preserve"> (score 3.1)</w:t>
      </w:r>
      <w:r w:rsidR="00DF4B37">
        <w:t xml:space="preserve">. The physical functioning and role-physical domains may be of clinical importance as the </w:t>
      </w:r>
      <w:r w:rsidR="0058444D">
        <w:t xml:space="preserve">norm-based </w:t>
      </w:r>
      <w:r w:rsidR="00DF4B37">
        <w:t>difference between combination therapy and monotherapy was &gt;</w:t>
      </w:r>
      <w:proofErr w:type="gramStart"/>
      <w:r w:rsidR="00DF4B37">
        <w:t>2</w:t>
      </w:r>
      <w:proofErr w:type="gramEnd"/>
      <w:r w:rsidR="00DF4B37">
        <w:t>.</w:t>
      </w:r>
    </w:p>
    <w:p w:rsidR="0075777C" w:rsidRDefault="00272F8F" w:rsidP="00BC5A2B">
      <w:pPr>
        <w:pStyle w:val="Caption"/>
      </w:pPr>
      <w:bookmarkStart w:id="177" w:name="_Ref505252114"/>
      <w:bookmarkStart w:id="178" w:name="_Toc38360349"/>
      <w:r>
        <w:t>Table 4.</w:t>
      </w:r>
      <w:r w:rsidR="003951FA">
        <w:rPr>
          <w:noProof/>
        </w:rPr>
        <w:t>52</w:t>
      </w:r>
      <w:bookmarkEnd w:id="177"/>
      <w:r w:rsidR="00F0201F">
        <w:tab/>
      </w:r>
      <w:r w:rsidR="0075777C" w:rsidRPr="00DD7790">
        <w:t xml:space="preserve">The effectiveness of </w:t>
      </w:r>
      <w:r w:rsidR="00EB768B">
        <w:t xml:space="preserve">an </w:t>
      </w:r>
      <w:r w:rsidR="00EB768B" w:rsidRPr="00A32D31">
        <w:t xml:space="preserve">ERA </w:t>
      </w:r>
      <w:r w:rsidR="00385078" w:rsidRPr="00385078">
        <w:t xml:space="preserve">in addition to a PDE-5 inhibitor compared with PDE-5 inhibitor monotherapy </w:t>
      </w:r>
      <w:r w:rsidR="0075777C" w:rsidRPr="00DD7790">
        <w:t>in improving QoL in all PAH patients</w:t>
      </w:r>
      <w:bookmarkEnd w:id="178"/>
    </w:p>
    <w:tbl>
      <w:tblPr>
        <w:tblStyle w:val="TableGrid"/>
        <w:tblW w:w="9634" w:type="dxa"/>
        <w:tblLook w:val="04A0" w:firstRow="1" w:lastRow="0" w:firstColumn="1" w:lastColumn="0" w:noHBand="0" w:noVBand="1"/>
        <w:tblCaption w:val="The effectiveness of an ERA in addition to a PDE-5 inhibitor compared with PDE-5 inhibitor monotherapy in improving QoL in all PAH patients"/>
      </w:tblPr>
      <w:tblGrid>
        <w:gridCol w:w="1555"/>
        <w:gridCol w:w="2409"/>
        <w:gridCol w:w="2694"/>
        <w:gridCol w:w="2976"/>
      </w:tblGrid>
      <w:tr w:rsidR="0075777C" w:rsidTr="00F0201F">
        <w:trPr>
          <w:cnfStyle w:val="100000000000" w:firstRow="1" w:lastRow="0" w:firstColumn="0" w:lastColumn="0" w:oddVBand="0" w:evenVBand="0" w:oddHBand="0" w:evenHBand="0" w:firstRowFirstColumn="0" w:firstRowLastColumn="0" w:lastRowFirstColumn="0" w:lastRowLastColumn="0"/>
        </w:trPr>
        <w:tc>
          <w:tcPr>
            <w:tcW w:w="1555" w:type="dxa"/>
            <w:shd w:val="clear" w:color="auto" w:fill="BFBFBF" w:themeFill="background1" w:themeFillShade="BF"/>
          </w:tcPr>
          <w:p w:rsidR="0075777C" w:rsidRPr="00F0201F" w:rsidRDefault="0075777C" w:rsidP="00F0201F">
            <w:pPr>
              <w:pStyle w:val="Tabletext"/>
              <w:rPr>
                <w:b/>
              </w:rPr>
            </w:pPr>
            <w:r w:rsidRPr="00F0201F">
              <w:rPr>
                <w:b/>
              </w:rPr>
              <w:t>Study ID</w:t>
            </w:r>
          </w:p>
          <w:p w:rsidR="0075777C" w:rsidRPr="00F0201F" w:rsidRDefault="00AE77DC" w:rsidP="00F0201F">
            <w:pPr>
              <w:pStyle w:val="Tabletext"/>
              <w:rPr>
                <w:b/>
              </w:rPr>
            </w:pPr>
            <w:r w:rsidRPr="00F0201F">
              <w:rPr>
                <w:b/>
              </w:rPr>
              <w:t>Questionnaire</w:t>
            </w:r>
          </w:p>
        </w:tc>
        <w:tc>
          <w:tcPr>
            <w:tcW w:w="2409" w:type="dxa"/>
            <w:shd w:val="clear" w:color="auto" w:fill="BFBFBF" w:themeFill="background1" w:themeFillShade="BF"/>
          </w:tcPr>
          <w:p w:rsidR="0075777C" w:rsidRPr="00F0201F" w:rsidRDefault="0075777C" w:rsidP="00F0201F">
            <w:pPr>
              <w:pStyle w:val="Tabletext"/>
              <w:rPr>
                <w:rFonts w:cs="Tahoma"/>
                <w:b/>
              </w:rPr>
            </w:pPr>
            <w:r w:rsidRPr="00F0201F">
              <w:rPr>
                <w:b/>
              </w:rPr>
              <w:t>ERA/PDE-5 inhibitor</w:t>
            </w:r>
          </w:p>
          <w:p w:rsidR="0075777C" w:rsidRPr="00F0201F" w:rsidRDefault="0075777C" w:rsidP="00F0201F">
            <w:pPr>
              <w:pStyle w:val="Tabletext"/>
              <w:rPr>
                <w:b/>
              </w:rPr>
            </w:pPr>
            <w:r w:rsidRPr="00F0201F">
              <w:rPr>
                <w:rFonts w:cs="Tahoma"/>
                <w:b/>
              </w:rPr>
              <w:t>Follow-up period</w:t>
            </w:r>
          </w:p>
        </w:tc>
        <w:tc>
          <w:tcPr>
            <w:tcW w:w="2694" w:type="dxa"/>
            <w:shd w:val="clear" w:color="auto" w:fill="BFBFBF" w:themeFill="background1" w:themeFillShade="BF"/>
          </w:tcPr>
          <w:p w:rsidR="0075777C" w:rsidRPr="00F0201F" w:rsidRDefault="0075777C" w:rsidP="00F0201F">
            <w:pPr>
              <w:pStyle w:val="Tabletext"/>
              <w:rPr>
                <w:b/>
              </w:rPr>
            </w:pPr>
            <w:r w:rsidRPr="00F0201F">
              <w:rPr>
                <w:b/>
              </w:rPr>
              <w:t>Domain</w:t>
            </w:r>
          </w:p>
        </w:tc>
        <w:tc>
          <w:tcPr>
            <w:tcW w:w="2976" w:type="dxa"/>
            <w:shd w:val="clear" w:color="auto" w:fill="BFBFBF" w:themeFill="background1" w:themeFillShade="BF"/>
          </w:tcPr>
          <w:p w:rsidR="0075777C" w:rsidRPr="00F0201F" w:rsidRDefault="00AA1206" w:rsidP="00AA1206">
            <w:pPr>
              <w:pStyle w:val="Tabletext"/>
              <w:rPr>
                <w:b/>
              </w:rPr>
            </w:pPr>
            <w:r>
              <w:rPr>
                <w:b/>
              </w:rPr>
              <w:t xml:space="preserve">Median monotherapy-corrected </w:t>
            </w:r>
            <w:r w:rsidR="00557DAB">
              <w:rPr>
                <w:b/>
              </w:rPr>
              <w:t xml:space="preserve">norm-based </w:t>
            </w:r>
            <w:r>
              <w:rPr>
                <w:b/>
              </w:rPr>
              <w:t>change from baseline</w:t>
            </w:r>
            <w:r w:rsidR="0075777C" w:rsidRPr="00F0201F">
              <w:rPr>
                <w:b/>
              </w:rPr>
              <w:t xml:space="preserve"> (95% CI)</w:t>
            </w:r>
          </w:p>
        </w:tc>
      </w:tr>
      <w:tr w:rsidR="0075777C" w:rsidTr="00F0201F">
        <w:tc>
          <w:tcPr>
            <w:tcW w:w="1555" w:type="dxa"/>
          </w:tcPr>
          <w:p w:rsidR="0075777C" w:rsidRPr="00822C52" w:rsidRDefault="0075777C" w:rsidP="00F0201F">
            <w:pPr>
              <w:pStyle w:val="Tabletext"/>
              <w:rPr>
                <w:rFonts w:cs="Tahoma"/>
              </w:rPr>
            </w:pPr>
            <w:r w:rsidRPr="00822C52">
              <w:rPr>
                <w:rFonts w:cs="Tahoma"/>
              </w:rPr>
              <w:t>SERAPHIN</w:t>
            </w:r>
            <w:r>
              <w:rPr>
                <w:rFonts w:cs="Tahoma"/>
              </w:rPr>
              <w:t xml:space="preserve"> </w:t>
            </w:r>
            <w:r w:rsidRPr="004D0C0E">
              <w:rPr>
                <w:rFonts w:cs="Tahoma"/>
                <w:vertAlign w:val="superscript"/>
              </w:rPr>
              <w:t>a</w:t>
            </w:r>
          </w:p>
          <w:p w:rsidR="0075777C" w:rsidRDefault="0075777C" w:rsidP="00F0201F">
            <w:pPr>
              <w:pStyle w:val="Tabletext"/>
              <w:rPr>
                <w:rFonts w:cs="Tahoma"/>
              </w:rPr>
            </w:pPr>
            <w:r w:rsidRPr="00822C52">
              <w:rPr>
                <w:rFonts w:cs="Tahoma"/>
              </w:rPr>
              <w:t>Mehta et al. 2017</w:t>
            </w:r>
            <w:r w:rsidR="001D34EE" w:rsidRPr="001A1C44">
              <w:rPr>
                <w:rFonts w:cs="Tahoma"/>
                <w:noProof/>
                <w:vertAlign w:val="superscript"/>
              </w:rPr>
              <w:t>47</w:t>
            </w:r>
          </w:p>
          <w:p w:rsidR="0075777C" w:rsidRDefault="0075777C" w:rsidP="00F0201F">
            <w:pPr>
              <w:pStyle w:val="Tabletext"/>
            </w:pPr>
            <w:r>
              <w:rPr>
                <w:rFonts w:cs="Tahoma"/>
              </w:rPr>
              <w:t>SF-36</w:t>
            </w:r>
          </w:p>
        </w:tc>
        <w:tc>
          <w:tcPr>
            <w:tcW w:w="2409" w:type="dxa"/>
          </w:tcPr>
          <w:p w:rsidR="0075777C" w:rsidRPr="00822C52" w:rsidRDefault="0075777C" w:rsidP="00F0201F">
            <w:pPr>
              <w:pStyle w:val="Tabletext"/>
              <w:rPr>
                <w:rFonts w:cs="Tahoma"/>
              </w:rPr>
            </w:pPr>
            <w:r w:rsidRPr="00822C52">
              <w:rPr>
                <w:rFonts w:cs="Tahoma"/>
              </w:rPr>
              <w:t xml:space="preserve">Macitentan/any </w:t>
            </w:r>
            <w:r>
              <w:rPr>
                <w:rFonts w:cs="Tahoma"/>
              </w:rPr>
              <w:t>PDE-5 inhibitor</w:t>
            </w:r>
          </w:p>
          <w:p w:rsidR="0075777C" w:rsidRPr="00822C52" w:rsidRDefault="00AA1206" w:rsidP="00F0201F">
            <w:pPr>
              <w:pStyle w:val="Tabletext"/>
              <w:rPr>
                <w:rFonts w:cs="Tahoma"/>
              </w:rPr>
            </w:pPr>
            <w:r>
              <w:rPr>
                <w:rFonts w:cs="Tahoma"/>
              </w:rPr>
              <w:t>26</w:t>
            </w:r>
            <w:r w:rsidR="0075777C" w:rsidRPr="00822C52">
              <w:rPr>
                <w:rFonts w:cs="Tahoma"/>
              </w:rPr>
              <w:t xml:space="preserve"> weeks</w:t>
            </w:r>
          </w:p>
          <w:p w:rsidR="0075777C" w:rsidRPr="00822C52" w:rsidRDefault="0075777C" w:rsidP="00F0201F">
            <w:pPr>
              <w:pStyle w:val="Tabletext"/>
            </w:pPr>
            <w:r w:rsidRPr="00822C52">
              <w:rPr>
                <w:rFonts w:cs="Tahoma"/>
              </w:rPr>
              <w:t xml:space="preserve">ERA + </w:t>
            </w:r>
            <w:r>
              <w:rPr>
                <w:rFonts w:cs="Tahoma"/>
              </w:rPr>
              <w:t>PDE-5 inhibitor</w:t>
            </w:r>
            <w:r w:rsidRPr="00822C52">
              <w:rPr>
                <w:rFonts w:cs="Tahoma"/>
              </w:rPr>
              <w:t xml:space="preserve"> (</w:t>
            </w:r>
            <w:r w:rsidRPr="00822C52">
              <w:t>n=150)</w:t>
            </w:r>
          </w:p>
          <w:p w:rsidR="0075777C" w:rsidRDefault="0075777C" w:rsidP="00F0201F">
            <w:pPr>
              <w:pStyle w:val="Tabletext"/>
            </w:pPr>
            <w:r w:rsidRPr="00822C52">
              <w:t xml:space="preserve">Placebo + </w:t>
            </w:r>
            <w:r>
              <w:t>PDE-5 inhibitor</w:t>
            </w:r>
            <w:r w:rsidRPr="00822C52">
              <w:t xml:space="preserve"> (n=149)</w:t>
            </w:r>
          </w:p>
        </w:tc>
        <w:tc>
          <w:tcPr>
            <w:tcW w:w="2694" w:type="dxa"/>
          </w:tcPr>
          <w:p w:rsidR="0075777C" w:rsidRPr="00822C52" w:rsidRDefault="0075777C" w:rsidP="00F0201F">
            <w:pPr>
              <w:pStyle w:val="Tabletext"/>
              <w:rPr>
                <w:rFonts w:cs="Tahoma"/>
              </w:rPr>
            </w:pPr>
            <w:r w:rsidRPr="00822C52">
              <w:rPr>
                <w:rFonts w:cs="Tahoma"/>
              </w:rPr>
              <w:t>SF-36 summary components</w:t>
            </w:r>
            <w:r w:rsidR="004273EA">
              <w:rPr>
                <w:rFonts w:cs="Tahoma"/>
              </w:rPr>
              <w:t xml:space="preserve"> </w:t>
            </w:r>
            <w:r w:rsidR="004273EA" w:rsidRPr="004273EA">
              <w:rPr>
                <w:rFonts w:cs="Tahoma"/>
                <w:vertAlign w:val="superscript"/>
              </w:rPr>
              <w:t>b</w:t>
            </w:r>
          </w:p>
          <w:p w:rsidR="0075777C" w:rsidRPr="00822C52" w:rsidRDefault="0075777C" w:rsidP="00E1509D">
            <w:pPr>
              <w:pStyle w:val="Tabletext"/>
              <w:ind w:left="227"/>
              <w:rPr>
                <w:rFonts w:cs="Tahoma"/>
              </w:rPr>
            </w:pPr>
            <w:r w:rsidRPr="00822C52">
              <w:rPr>
                <w:rFonts w:cs="Tahoma"/>
              </w:rPr>
              <w:t>Physical component</w:t>
            </w:r>
          </w:p>
          <w:p w:rsidR="0075777C" w:rsidRPr="00822C52" w:rsidRDefault="0075777C" w:rsidP="00E1509D">
            <w:pPr>
              <w:pStyle w:val="Tabletext"/>
              <w:ind w:left="227"/>
              <w:rPr>
                <w:rFonts w:cs="Tahoma"/>
              </w:rPr>
            </w:pPr>
            <w:r w:rsidRPr="00822C52">
              <w:rPr>
                <w:rFonts w:cs="Tahoma"/>
              </w:rPr>
              <w:t>Mental component</w:t>
            </w:r>
          </w:p>
          <w:p w:rsidR="0075777C" w:rsidRPr="00822C52" w:rsidRDefault="0075777C" w:rsidP="00F0201F">
            <w:pPr>
              <w:pStyle w:val="Tabletext"/>
            </w:pPr>
            <w:r w:rsidRPr="00822C52">
              <w:rPr>
                <w:rFonts w:cs="Tahoma"/>
              </w:rPr>
              <w:t>SF-36 domains</w:t>
            </w:r>
            <w:r w:rsidR="004273EA">
              <w:rPr>
                <w:rFonts w:cs="Tahoma"/>
              </w:rPr>
              <w:t xml:space="preserve"> </w:t>
            </w:r>
            <w:r w:rsidR="004273EA" w:rsidRPr="004273EA">
              <w:rPr>
                <w:rFonts w:cs="Tahoma"/>
                <w:vertAlign w:val="superscript"/>
              </w:rPr>
              <w:t>b</w:t>
            </w:r>
          </w:p>
          <w:p w:rsidR="0075777C" w:rsidRPr="00822C52" w:rsidRDefault="0075777C" w:rsidP="00E1509D">
            <w:pPr>
              <w:pStyle w:val="Tabletext"/>
              <w:ind w:left="227"/>
            </w:pPr>
            <w:r w:rsidRPr="00822C52">
              <w:t>Physical functioning</w:t>
            </w:r>
          </w:p>
          <w:p w:rsidR="0075777C" w:rsidRPr="00822C52" w:rsidRDefault="0075777C" w:rsidP="00E1509D">
            <w:pPr>
              <w:pStyle w:val="Tabletext"/>
              <w:ind w:left="227"/>
            </w:pPr>
            <w:r w:rsidRPr="00822C52">
              <w:t>Role-physical</w:t>
            </w:r>
          </w:p>
          <w:p w:rsidR="0075777C" w:rsidRPr="00822C52" w:rsidRDefault="0075777C" w:rsidP="00E1509D">
            <w:pPr>
              <w:pStyle w:val="Tabletext"/>
              <w:ind w:left="227"/>
            </w:pPr>
            <w:r w:rsidRPr="00822C52">
              <w:t>Bodily pain</w:t>
            </w:r>
          </w:p>
          <w:p w:rsidR="0075777C" w:rsidRPr="00822C52" w:rsidRDefault="0075777C" w:rsidP="00E1509D">
            <w:pPr>
              <w:pStyle w:val="Tabletext"/>
              <w:ind w:left="227"/>
            </w:pPr>
            <w:r w:rsidRPr="00822C52">
              <w:t>General health</w:t>
            </w:r>
          </w:p>
          <w:p w:rsidR="0075777C" w:rsidRPr="00822C52" w:rsidRDefault="0075777C" w:rsidP="00E1509D">
            <w:pPr>
              <w:pStyle w:val="Tabletext"/>
              <w:ind w:left="227"/>
            </w:pPr>
            <w:r w:rsidRPr="00822C52">
              <w:t>Vitality</w:t>
            </w:r>
          </w:p>
          <w:p w:rsidR="0075777C" w:rsidRPr="00822C52" w:rsidRDefault="0075777C" w:rsidP="00E1509D">
            <w:pPr>
              <w:pStyle w:val="Tabletext"/>
              <w:ind w:left="227"/>
            </w:pPr>
            <w:r w:rsidRPr="00822C52">
              <w:t>Social functioning</w:t>
            </w:r>
          </w:p>
          <w:p w:rsidR="0075777C" w:rsidRPr="00822C52" w:rsidRDefault="0075777C" w:rsidP="00E1509D">
            <w:pPr>
              <w:pStyle w:val="Tabletext"/>
              <w:ind w:left="227"/>
            </w:pPr>
            <w:r w:rsidRPr="00822C52">
              <w:t>Role emotional</w:t>
            </w:r>
          </w:p>
          <w:p w:rsidR="0075777C" w:rsidRDefault="0075777C" w:rsidP="00E1509D">
            <w:pPr>
              <w:pStyle w:val="Tabletext"/>
              <w:ind w:left="227"/>
            </w:pPr>
            <w:r w:rsidRPr="00822C52">
              <w:t>Mental health</w:t>
            </w:r>
          </w:p>
        </w:tc>
        <w:tc>
          <w:tcPr>
            <w:tcW w:w="2976" w:type="dxa"/>
          </w:tcPr>
          <w:p w:rsidR="0075777C" w:rsidRPr="00822C52" w:rsidRDefault="0075777C" w:rsidP="00503643">
            <w:pPr>
              <w:pStyle w:val="Tabletext"/>
              <w:ind w:left="222"/>
            </w:pPr>
          </w:p>
          <w:p w:rsidR="0075777C" w:rsidRPr="00822C52" w:rsidRDefault="0075777C" w:rsidP="00503643">
            <w:pPr>
              <w:pStyle w:val="Tabletext"/>
              <w:ind w:left="222"/>
            </w:pPr>
            <w:r w:rsidRPr="00822C52">
              <w:t>1.4 (0.0, 2.9)</w:t>
            </w:r>
          </w:p>
          <w:p w:rsidR="0075777C" w:rsidRPr="00822C52" w:rsidRDefault="0075777C" w:rsidP="00503643">
            <w:pPr>
              <w:pStyle w:val="Tabletext"/>
              <w:ind w:left="222"/>
            </w:pPr>
            <w:r w:rsidRPr="00822C52">
              <w:t>1.5 (-0.5, 3.8)</w:t>
            </w:r>
          </w:p>
          <w:p w:rsidR="0075777C" w:rsidRPr="00822C52" w:rsidRDefault="0075777C" w:rsidP="00503643">
            <w:pPr>
              <w:pStyle w:val="Tabletext"/>
              <w:ind w:left="222"/>
            </w:pPr>
          </w:p>
          <w:p w:rsidR="0075777C" w:rsidRPr="00822C52" w:rsidRDefault="0075777C" w:rsidP="00503643">
            <w:pPr>
              <w:pStyle w:val="Tabletext"/>
              <w:ind w:left="222"/>
            </w:pPr>
            <w:r w:rsidRPr="00822C52">
              <w:t>2.1 (0.0, 4.2)</w:t>
            </w:r>
          </w:p>
          <w:p w:rsidR="0075777C" w:rsidRPr="00822C52" w:rsidRDefault="0075777C" w:rsidP="00503643">
            <w:pPr>
              <w:pStyle w:val="Tabletext"/>
              <w:ind w:left="222"/>
            </w:pPr>
            <w:r w:rsidRPr="00822C52">
              <w:t>2.4 (0.0, 2.4)</w:t>
            </w:r>
          </w:p>
          <w:p w:rsidR="0075777C" w:rsidRPr="00822C52" w:rsidRDefault="0075777C" w:rsidP="00503643">
            <w:pPr>
              <w:pStyle w:val="Tabletext"/>
              <w:ind w:left="222"/>
            </w:pPr>
            <w:r w:rsidRPr="00822C52">
              <w:t>0.8 (0.0, 4.6)</w:t>
            </w:r>
          </w:p>
          <w:p w:rsidR="0075777C" w:rsidRPr="00822C52" w:rsidRDefault="0075777C" w:rsidP="00503643">
            <w:pPr>
              <w:pStyle w:val="Tabletext"/>
              <w:ind w:left="222"/>
            </w:pPr>
            <w:r w:rsidRPr="00822C52">
              <w:t>1.4 (0.0, 2.4)</w:t>
            </w:r>
          </w:p>
          <w:p w:rsidR="0075777C" w:rsidRPr="00822C52" w:rsidRDefault="0075777C" w:rsidP="00503643">
            <w:pPr>
              <w:pStyle w:val="Tabletext"/>
              <w:ind w:left="222"/>
            </w:pPr>
            <w:r w:rsidRPr="00822C52">
              <w:t>3.1 (0.0, 3.1)</w:t>
            </w:r>
          </w:p>
          <w:p w:rsidR="0075777C" w:rsidRPr="00822C52" w:rsidRDefault="0075777C" w:rsidP="00503643">
            <w:pPr>
              <w:pStyle w:val="Tabletext"/>
              <w:ind w:left="222"/>
            </w:pPr>
            <w:r w:rsidRPr="00822C52">
              <w:t>0.0 (0.0, 5.5)</w:t>
            </w:r>
          </w:p>
          <w:p w:rsidR="0075777C" w:rsidRPr="00822C52" w:rsidRDefault="0075777C" w:rsidP="00503643">
            <w:pPr>
              <w:pStyle w:val="Tabletext"/>
              <w:ind w:left="222"/>
            </w:pPr>
            <w:r w:rsidRPr="00822C52">
              <w:t>0.0 (0.0, 3.9)</w:t>
            </w:r>
          </w:p>
          <w:p w:rsidR="0075777C" w:rsidRDefault="0075777C" w:rsidP="00503643">
            <w:pPr>
              <w:pStyle w:val="Tabletext"/>
              <w:ind w:left="222"/>
            </w:pPr>
            <w:r w:rsidRPr="00822C52">
              <w:t>1.4 (0.0, 2.8)</w:t>
            </w:r>
          </w:p>
        </w:tc>
      </w:tr>
    </w:tbl>
    <w:p w:rsidR="0075777C" w:rsidRDefault="0075777C" w:rsidP="00F0201F">
      <w:pPr>
        <w:pStyle w:val="Tablenote"/>
      </w:pPr>
      <w:proofErr w:type="gramStart"/>
      <w:r w:rsidRPr="004D0C0E">
        <w:rPr>
          <w:vertAlign w:val="superscript"/>
        </w:rPr>
        <w:t>a</w:t>
      </w:r>
      <w:proofErr w:type="gramEnd"/>
      <w:r>
        <w:t xml:space="preserve"> </w:t>
      </w:r>
      <w:r w:rsidRPr="00822C52">
        <w:t xml:space="preserve">Small proportion of patients </w:t>
      </w:r>
      <w:r>
        <w:t xml:space="preserve">(4%) </w:t>
      </w:r>
      <w:r w:rsidRPr="00822C52">
        <w:t xml:space="preserve">receiving </w:t>
      </w:r>
      <w:r w:rsidR="0017012F" w:rsidRPr="00822C52">
        <w:t>prostanoids</w:t>
      </w:r>
      <w:r w:rsidRPr="00822C52">
        <w:t xml:space="preserve"> or receiving doublet background therapy</w:t>
      </w:r>
    </w:p>
    <w:p w:rsidR="004273EA" w:rsidRPr="00822C52" w:rsidRDefault="005A2984" w:rsidP="00F0201F">
      <w:pPr>
        <w:pStyle w:val="Tablenote"/>
      </w:pPr>
      <w:proofErr w:type="gramStart"/>
      <w:r>
        <w:rPr>
          <w:vertAlign w:val="superscript"/>
        </w:rPr>
        <w:t>b</w:t>
      </w:r>
      <w:proofErr w:type="gramEnd"/>
      <w:r w:rsidR="004273EA" w:rsidRPr="004273EA">
        <w:t xml:space="preserve"> SF-36 component summary scores </w:t>
      </w:r>
      <w:r>
        <w:t xml:space="preserve">and domain scores </w:t>
      </w:r>
      <w:r w:rsidR="004273EA" w:rsidRPr="004273EA">
        <w:t>range from 0 to 100. A higher score indicates better QoL.</w:t>
      </w:r>
    </w:p>
    <w:p w:rsidR="00715D78" w:rsidRPr="00822C52" w:rsidRDefault="0075777C" w:rsidP="00F0201F">
      <w:pPr>
        <w:pStyle w:val="Tablenote"/>
      </w:pPr>
      <w:r w:rsidRPr="00822C52">
        <w:t xml:space="preserve">CI = confidence interval; ERA = endothelin receptor antagonist; </w:t>
      </w:r>
      <w:r w:rsidR="00715D78" w:rsidRPr="00715D78">
        <w:t xml:space="preserve">PAH = pulmonary arterial hypertension; </w:t>
      </w:r>
      <w:r>
        <w:t xml:space="preserve">PDE-5 </w:t>
      </w:r>
      <w:r w:rsidRPr="00822C52">
        <w:t>= phosphodiesterase type-5; QoL = quality of life; SF-36 = short form 36</w:t>
      </w:r>
    </w:p>
    <w:p w:rsidR="007B6C7C" w:rsidRDefault="007B6C7C" w:rsidP="007B6C7C">
      <w:pPr>
        <w:pStyle w:val="Heading5"/>
      </w:pPr>
      <w:r>
        <w:t>g.</w:t>
      </w:r>
      <w:r>
        <w:tab/>
      </w:r>
      <w:r w:rsidRPr="006316DF">
        <w:t xml:space="preserve">Change in </w:t>
      </w:r>
      <w:r>
        <w:t>haemodynamic parameters</w:t>
      </w:r>
      <w:r w:rsidRPr="006316DF">
        <w:t xml:space="preserve"> from baseline</w:t>
      </w:r>
    </w:p>
    <w:p w:rsidR="007B6C7C" w:rsidRPr="002E22DB" w:rsidRDefault="007B6C7C" w:rsidP="007B6C7C">
      <w:r>
        <w:t>None of the studies reported on haemodynamic outcomes for the subgroups of interest.</w:t>
      </w:r>
    </w:p>
    <w:p w:rsidR="0075777C" w:rsidRPr="00822C52" w:rsidRDefault="007B6C7C" w:rsidP="0075777C">
      <w:pPr>
        <w:pStyle w:val="Heading5"/>
      </w:pPr>
      <w:r>
        <w:t>h</w:t>
      </w:r>
      <w:r w:rsidR="0077344D">
        <w:t>.</w:t>
      </w:r>
      <w:r>
        <w:tab/>
      </w:r>
      <w:r w:rsidR="0075777C">
        <w:t>Comparative s</w:t>
      </w:r>
      <w:r w:rsidR="0075777C" w:rsidRPr="00822C52">
        <w:t>afety</w:t>
      </w:r>
    </w:p>
    <w:p w:rsidR="0075777C" w:rsidRPr="00822C52" w:rsidRDefault="0075777C" w:rsidP="0075777C">
      <w:r>
        <w:t xml:space="preserve">Three RCTs reported on the comparative safety of treatment with an ERA </w:t>
      </w:r>
      <w:proofErr w:type="gramStart"/>
      <w:r>
        <w:t>plus</w:t>
      </w:r>
      <w:proofErr w:type="gramEnd"/>
      <w:r>
        <w:t xml:space="preserve"> a PDE-5 inhibitor compared with a PDE-5 inhibitor</w:t>
      </w:r>
      <w:r w:rsidR="00D60D8E">
        <w:t xml:space="preserve"> alone in any patient with PAH.</w:t>
      </w:r>
    </w:p>
    <w:p w:rsidR="0075777C" w:rsidRDefault="0075777C" w:rsidP="0075777C">
      <w:r>
        <w:t>McLaughlin et al (2015)</w:t>
      </w:r>
      <w:r w:rsidR="001D34EE" w:rsidRPr="001A1C44">
        <w:rPr>
          <w:noProof/>
          <w:vertAlign w:val="superscript"/>
        </w:rPr>
        <w:t>37</w:t>
      </w:r>
      <w:r>
        <w:t xml:space="preserve"> reported on the number of patients who had any AE, serious AEs and AEs that led to discontinuation of double-blind treatment over the study period</w:t>
      </w:r>
      <w:r w:rsidRPr="00E73CE4">
        <w:t xml:space="preserve"> </w:t>
      </w:r>
      <w:r>
        <w:t xml:space="preserve">from the </w:t>
      </w:r>
      <w:r w:rsidRPr="00822C52">
        <w:t>COMPASS-2</w:t>
      </w:r>
      <w:r>
        <w:t xml:space="preserve"> trial. The mean e</w:t>
      </w:r>
      <w:r w:rsidRPr="00B92BE3">
        <w:t>xposure</w:t>
      </w:r>
      <w:r>
        <w:t xml:space="preserve"> period</w:t>
      </w:r>
      <w:r w:rsidRPr="00B92BE3">
        <w:t xml:space="preserve"> to </w:t>
      </w:r>
      <w:r>
        <w:t xml:space="preserve">the </w:t>
      </w:r>
      <w:r w:rsidRPr="00B92BE3">
        <w:t xml:space="preserve">double-blind study drug </w:t>
      </w:r>
      <w:r>
        <w:t>was 26.4</w:t>
      </w:r>
      <w:r w:rsidR="00B60655">
        <w:t> </w:t>
      </w:r>
      <w:r>
        <w:t>±</w:t>
      </w:r>
      <w:r w:rsidR="00B60655">
        <w:t> </w:t>
      </w:r>
      <w:r>
        <w:t xml:space="preserve">20.99 </w:t>
      </w:r>
      <w:r w:rsidRPr="00B92BE3">
        <w:t>months</w:t>
      </w:r>
      <w:r>
        <w:t xml:space="preserve"> for bosentan and 30.7</w:t>
      </w:r>
      <w:r w:rsidR="00B60655">
        <w:t> </w:t>
      </w:r>
      <w:r>
        <w:t>±</w:t>
      </w:r>
      <w:r w:rsidR="00B60655">
        <w:t> </w:t>
      </w:r>
      <w:r>
        <w:t>24.31 months for the placebo.</w:t>
      </w:r>
    </w:p>
    <w:p w:rsidR="0075777C" w:rsidRPr="00822C52" w:rsidRDefault="0075777C" w:rsidP="0075777C">
      <w:r>
        <w:t xml:space="preserve">The number of patients who had oedema-related AEs, haemoglobin decrease-related AEs, hypotension-related AEs and abnormal liver function-related AEs during combination therapy compared with those receiving monotherapy from the </w:t>
      </w:r>
      <w:r w:rsidRPr="00822C52">
        <w:t>SERAPHIN</w:t>
      </w:r>
      <w:r>
        <w:t xml:space="preserve"> trial was presented to PBAC in the </w:t>
      </w:r>
      <w:r w:rsidRPr="005A3362">
        <w:t>March 2014 submission</w:t>
      </w:r>
      <w:r w:rsidR="00D60D8E">
        <w:t>.</w:t>
      </w:r>
    </w:p>
    <w:p w:rsidR="0075777C" w:rsidRDefault="0075777C" w:rsidP="0075777C">
      <w:r w:rsidRPr="00E73CE4">
        <w:t>Galie</w:t>
      </w:r>
      <w:r>
        <w:t xml:space="preserve"> et al</w:t>
      </w:r>
      <w:r w:rsidRPr="00E73CE4">
        <w:t xml:space="preserve"> </w:t>
      </w:r>
      <w:r>
        <w:t>(</w:t>
      </w:r>
      <w:r w:rsidRPr="00E73CE4">
        <w:t>2015</w:t>
      </w:r>
      <w:r>
        <w:t>)</w:t>
      </w:r>
      <w:r w:rsidR="001D34EE" w:rsidRPr="001A1C44">
        <w:rPr>
          <w:noProof/>
          <w:vertAlign w:val="superscript"/>
        </w:rPr>
        <w:t>30</w:t>
      </w:r>
      <w:r w:rsidRPr="005A3362">
        <w:t xml:space="preserve"> </w:t>
      </w:r>
      <w:r>
        <w:t>reported the number of serious AEs</w:t>
      </w:r>
      <w:r w:rsidRPr="00E73CE4">
        <w:t xml:space="preserve"> </w:t>
      </w:r>
      <w:r>
        <w:t>and the number of AEs leading to discontinuation of blinded treatment from the AMBITION trial.</w:t>
      </w:r>
    </w:p>
    <w:p w:rsidR="0075777C" w:rsidRPr="00B607A5" w:rsidRDefault="0077344D" w:rsidP="0077344D">
      <w:pPr>
        <w:pStyle w:val="Heading6"/>
      </w:pPr>
      <w:proofErr w:type="gramStart"/>
      <w:r w:rsidRPr="00B607A5">
        <w:t>h</w:t>
      </w:r>
      <w:r w:rsidR="0075777C" w:rsidRPr="00B607A5">
        <w:t>.i</w:t>
      </w:r>
      <w:proofErr w:type="gramEnd"/>
      <w:r w:rsidR="0075777C" w:rsidRPr="00B607A5">
        <w:tab/>
        <w:t>PAH patients, irrespective of disease severity or aetiology</w:t>
      </w:r>
    </w:p>
    <w:p w:rsidR="0075777C" w:rsidRPr="00F05153" w:rsidRDefault="0075777C" w:rsidP="0075777C">
      <w:r>
        <w:t xml:space="preserve">The important AEs reported in the COMPASS-2, SERAPHIN and AMBITION trials </w:t>
      </w:r>
      <w:proofErr w:type="gramStart"/>
      <w:r>
        <w:t>are listed</w:t>
      </w:r>
      <w:proofErr w:type="gramEnd"/>
      <w:r>
        <w:t xml:space="preserve"> in </w:t>
      </w:r>
      <w:r w:rsidR="003951FA" w:rsidRPr="00F05153">
        <w:t>Table 4.</w:t>
      </w:r>
      <w:r w:rsidR="003951FA">
        <w:rPr>
          <w:noProof/>
        </w:rPr>
        <w:t>53</w:t>
      </w:r>
      <w:r>
        <w:t xml:space="preserve">. In the COMPASS-2 trial, the proportion of patients who had any AE was the same for both the combination therapy and monotherapy arms. However, </w:t>
      </w:r>
      <w:r w:rsidR="00BC4B63">
        <w:t>meta-analysis of</w:t>
      </w:r>
      <w:r>
        <w:t xml:space="preserve"> the COMPASS-2 and AMBITION trials </w:t>
      </w:r>
      <w:r w:rsidR="00BC4B63">
        <w:t xml:space="preserve">showed </w:t>
      </w:r>
      <w:r>
        <w:t>significantly more patients in the monotherapy arm had a serious AE compared to those in the combination therapy arm (</w:t>
      </w:r>
      <w:r w:rsidR="003951FA">
        <w:t>Figure 4.</w:t>
      </w:r>
      <w:r w:rsidR="003951FA">
        <w:rPr>
          <w:noProof/>
        </w:rPr>
        <w:t>13</w:t>
      </w:r>
      <w:r>
        <w:t>). Conversely, patients in the combination therapy arms had more AEs that led to treatment discontinuation than those in the monotherapy arm, but the difference was not statistically significant (</w:t>
      </w:r>
      <w:r w:rsidR="003951FA">
        <w:t>Figure 4.</w:t>
      </w:r>
      <w:r w:rsidR="003951FA">
        <w:rPr>
          <w:noProof/>
        </w:rPr>
        <w:t>13</w:t>
      </w:r>
      <w:r>
        <w:t xml:space="preserve">). In the </w:t>
      </w:r>
      <w:r w:rsidRPr="00F05153">
        <w:t xml:space="preserve">SERAPHIN trial, </w:t>
      </w:r>
      <w:r w:rsidR="002046A0">
        <w:rPr>
          <w:noProof/>
          <w:color w:val="000000"/>
          <w:highlight w:val="black"/>
        </w:rPr>
        <w:t>''''''''''''''''''''''' ''''''''''</w:t>
      </w:r>
      <w:r w:rsidRPr="00F05153">
        <w:t xml:space="preserve"> patients receiving combination therapy had a haemoglobin decrease-related AE compared with those receiving monotherapy. On the other hand</w:t>
      </w:r>
      <w:r w:rsidR="002046A0">
        <w:rPr>
          <w:noProof/>
          <w:color w:val="000000"/>
          <w:highlight w:val="black"/>
        </w:rPr>
        <w:t>'' '''''''''''''''''''''''</w:t>
      </w:r>
      <w:r w:rsidRPr="00F05153">
        <w:t xml:space="preserve"> </w:t>
      </w:r>
      <w:r w:rsidR="002046A0">
        <w:rPr>
          <w:noProof/>
          <w:color w:val="000000"/>
          <w:highlight w:val="black"/>
        </w:rPr>
        <w:t xml:space="preserve">''''''''''' </w:t>
      </w:r>
      <w:r w:rsidRPr="00F05153">
        <w:t xml:space="preserve">patients in the monotherapy arm had abnormal liver function-related AEs compared with those in the combination therapy arm. </w:t>
      </w:r>
      <w:r w:rsidR="002046A0">
        <w:rPr>
          <w:noProof/>
          <w:color w:val="000000"/>
          <w:highlight w:val="black"/>
        </w:rPr>
        <w:t>'''''''' ''''''''''''''''''''''</w:t>
      </w:r>
      <w:r w:rsidRPr="00F05153">
        <w:t xml:space="preserve"> </w:t>
      </w:r>
      <w:proofErr w:type="gramStart"/>
      <w:r w:rsidRPr="00F05153">
        <w:t>of</w:t>
      </w:r>
      <w:proofErr w:type="gramEnd"/>
      <w:r w:rsidRPr="00F05153">
        <w:t xml:space="preserve"> patients who had oedema-related or hypotension-related AEs </w:t>
      </w:r>
      <w:r w:rsidR="002046A0">
        <w:rPr>
          <w:noProof/>
          <w:color w:val="000000"/>
          <w:highlight w:val="black"/>
        </w:rPr>
        <w:t>'''''''' '''''' '''''''''''''''''''' ''''''''''''''''</w:t>
      </w:r>
      <w:r w:rsidRPr="00F05153">
        <w:t xml:space="preserve"> in the two treatment arms.</w:t>
      </w:r>
    </w:p>
    <w:p w:rsidR="0075777C" w:rsidRPr="00F05153" w:rsidRDefault="00272F8F" w:rsidP="00BC5A2B">
      <w:pPr>
        <w:pStyle w:val="Caption"/>
      </w:pPr>
      <w:bookmarkStart w:id="179" w:name="_Ref503873007"/>
      <w:bookmarkStart w:id="180" w:name="_Toc38360350"/>
      <w:r w:rsidRPr="00F05153">
        <w:t>Table 4.</w:t>
      </w:r>
      <w:r w:rsidR="003951FA">
        <w:rPr>
          <w:noProof/>
        </w:rPr>
        <w:t>53</w:t>
      </w:r>
      <w:bookmarkEnd w:id="179"/>
      <w:r w:rsidR="00F0201F" w:rsidRPr="00F05153">
        <w:tab/>
      </w:r>
      <w:r w:rsidR="0075777C" w:rsidRPr="00F05153">
        <w:t xml:space="preserve">The comparative safety of </w:t>
      </w:r>
      <w:r w:rsidR="00EB768B" w:rsidRPr="00F05153">
        <w:t xml:space="preserve">an ERA </w:t>
      </w:r>
      <w:r w:rsidR="00385078" w:rsidRPr="00F05153">
        <w:t xml:space="preserve">in addition to a PDE-5 inhibitor compared with PDE-5 inhibitor monotherapy </w:t>
      </w:r>
      <w:r w:rsidR="0075777C" w:rsidRPr="00F05153">
        <w:t>in all patients with PAH</w:t>
      </w:r>
      <w:bookmarkEnd w:id="180"/>
    </w:p>
    <w:tbl>
      <w:tblPr>
        <w:tblStyle w:val="TableGrid7"/>
        <w:tblW w:w="9634" w:type="dxa"/>
        <w:tblLayout w:type="fixed"/>
        <w:tblLook w:val="04A0" w:firstRow="1" w:lastRow="0" w:firstColumn="1" w:lastColumn="0" w:noHBand="0" w:noVBand="1"/>
        <w:tblCaption w:val="The comparative safety of an ERA in addition to a PDE-5 inhibitor compared with PDE-5 inhibitor monotherapy in all patients with PAH"/>
      </w:tblPr>
      <w:tblGrid>
        <w:gridCol w:w="1696"/>
        <w:gridCol w:w="2552"/>
        <w:gridCol w:w="1843"/>
        <w:gridCol w:w="1559"/>
        <w:gridCol w:w="1984"/>
      </w:tblGrid>
      <w:tr w:rsidR="0075777C" w:rsidRPr="00F05153" w:rsidTr="0086510D">
        <w:trPr>
          <w:trHeight w:val="314"/>
          <w:tblHeader/>
        </w:trPr>
        <w:tc>
          <w:tcPr>
            <w:tcW w:w="1696" w:type="dxa"/>
            <w:vMerge w:val="restart"/>
            <w:shd w:val="clear" w:color="auto" w:fill="BFBFBF" w:themeFill="background1" w:themeFillShade="BF"/>
          </w:tcPr>
          <w:p w:rsidR="0075777C" w:rsidRPr="00F05153" w:rsidRDefault="0075777C" w:rsidP="00F0201F">
            <w:pPr>
              <w:pStyle w:val="Tabletext"/>
              <w:rPr>
                <w:b/>
              </w:rPr>
            </w:pPr>
            <w:r w:rsidRPr="00F05153">
              <w:rPr>
                <w:b/>
              </w:rPr>
              <w:t>Study ID</w:t>
            </w:r>
          </w:p>
          <w:p w:rsidR="0075777C" w:rsidRPr="00F05153" w:rsidRDefault="0075777C" w:rsidP="00F0201F">
            <w:pPr>
              <w:pStyle w:val="Tabletext"/>
              <w:rPr>
                <w:b/>
              </w:rPr>
            </w:pPr>
            <w:r w:rsidRPr="00F05153">
              <w:rPr>
                <w:b/>
              </w:rPr>
              <w:t>ERA./PDE-5i</w:t>
            </w:r>
          </w:p>
          <w:p w:rsidR="0075777C" w:rsidRPr="00F05153" w:rsidRDefault="0075777C" w:rsidP="00F0201F">
            <w:pPr>
              <w:pStyle w:val="Tabletext"/>
              <w:rPr>
                <w:b/>
              </w:rPr>
            </w:pPr>
            <w:r w:rsidRPr="00F05153">
              <w:rPr>
                <w:b/>
              </w:rPr>
              <w:t>Follow-up period</w:t>
            </w:r>
          </w:p>
        </w:tc>
        <w:tc>
          <w:tcPr>
            <w:tcW w:w="2552" w:type="dxa"/>
            <w:vMerge w:val="restart"/>
            <w:shd w:val="clear" w:color="auto" w:fill="BFBFBF" w:themeFill="background1" w:themeFillShade="BF"/>
          </w:tcPr>
          <w:p w:rsidR="0075777C" w:rsidRPr="00F05153" w:rsidRDefault="0075777C" w:rsidP="00F0201F">
            <w:pPr>
              <w:pStyle w:val="Tabletext"/>
              <w:rPr>
                <w:b/>
              </w:rPr>
            </w:pPr>
            <w:r w:rsidRPr="00F05153">
              <w:rPr>
                <w:b/>
              </w:rPr>
              <w:t>Adverse events</w:t>
            </w:r>
          </w:p>
        </w:tc>
        <w:tc>
          <w:tcPr>
            <w:tcW w:w="3402" w:type="dxa"/>
            <w:gridSpan w:val="2"/>
            <w:shd w:val="clear" w:color="auto" w:fill="BFBFBF" w:themeFill="background1" w:themeFillShade="BF"/>
          </w:tcPr>
          <w:p w:rsidR="0075777C" w:rsidRPr="00F05153" w:rsidRDefault="0075777C" w:rsidP="00F0201F">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75777C" w:rsidRPr="00F05153" w:rsidRDefault="0075777C" w:rsidP="00F0201F">
            <w:pPr>
              <w:pStyle w:val="Tabletext"/>
              <w:rPr>
                <w:b/>
              </w:rPr>
            </w:pPr>
            <w:r w:rsidRPr="00F05153">
              <w:rPr>
                <w:b/>
              </w:rPr>
              <w:t>HR or RR (95% CI)</w:t>
            </w:r>
          </w:p>
        </w:tc>
      </w:tr>
      <w:tr w:rsidR="0075777C" w:rsidRPr="00F05153" w:rsidTr="00F0201F">
        <w:trPr>
          <w:trHeight w:val="202"/>
          <w:tblHeader/>
        </w:trPr>
        <w:tc>
          <w:tcPr>
            <w:tcW w:w="1696" w:type="dxa"/>
            <w:vMerge/>
            <w:shd w:val="clear" w:color="auto" w:fill="BFBFBF" w:themeFill="background1" w:themeFillShade="BF"/>
          </w:tcPr>
          <w:p w:rsidR="0075777C" w:rsidRPr="00F05153" w:rsidRDefault="0075777C" w:rsidP="00F0201F">
            <w:pPr>
              <w:pStyle w:val="Tabletext"/>
            </w:pPr>
          </w:p>
        </w:tc>
        <w:tc>
          <w:tcPr>
            <w:tcW w:w="2552" w:type="dxa"/>
            <w:vMerge/>
            <w:shd w:val="clear" w:color="auto" w:fill="BFBFBF" w:themeFill="background1" w:themeFillShade="BF"/>
          </w:tcPr>
          <w:p w:rsidR="0075777C" w:rsidRPr="00F05153" w:rsidRDefault="0075777C" w:rsidP="00F0201F">
            <w:pPr>
              <w:pStyle w:val="Tabletext"/>
            </w:pPr>
          </w:p>
        </w:tc>
        <w:tc>
          <w:tcPr>
            <w:tcW w:w="1843" w:type="dxa"/>
            <w:shd w:val="clear" w:color="auto" w:fill="BFBFBF" w:themeFill="background1" w:themeFillShade="BF"/>
          </w:tcPr>
          <w:p w:rsidR="0075777C" w:rsidRPr="00F05153" w:rsidRDefault="0075777C" w:rsidP="00F0201F">
            <w:pPr>
              <w:pStyle w:val="Tabletext"/>
              <w:jc w:val="center"/>
              <w:rPr>
                <w:b/>
              </w:rPr>
            </w:pPr>
            <w:r w:rsidRPr="00F05153">
              <w:rPr>
                <w:b/>
              </w:rPr>
              <w:t>ERA + PDE-5i</w:t>
            </w:r>
          </w:p>
        </w:tc>
        <w:tc>
          <w:tcPr>
            <w:tcW w:w="1559" w:type="dxa"/>
            <w:shd w:val="clear" w:color="auto" w:fill="BFBFBF" w:themeFill="background1" w:themeFillShade="BF"/>
          </w:tcPr>
          <w:p w:rsidR="0075777C" w:rsidRPr="00F05153" w:rsidRDefault="0075777C" w:rsidP="00F0201F">
            <w:pPr>
              <w:pStyle w:val="Tabletext"/>
              <w:jc w:val="center"/>
              <w:rPr>
                <w:b/>
              </w:rPr>
            </w:pPr>
            <w:r w:rsidRPr="00F05153">
              <w:rPr>
                <w:b/>
              </w:rPr>
              <w:t>PDE-5i</w:t>
            </w:r>
          </w:p>
        </w:tc>
        <w:tc>
          <w:tcPr>
            <w:tcW w:w="1984" w:type="dxa"/>
            <w:vMerge/>
            <w:shd w:val="clear" w:color="auto" w:fill="BFBFBF" w:themeFill="background1" w:themeFillShade="BF"/>
          </w:tcPr>
          <w:p w:rsidR="0075777C" w:rsidRPr="00F05153" w:rsidRDefault="0075777C" w:rsidP="00F0201F">
            <w:pPr>
              <w:pStyle w:val="Tabletext"/>
            </w:pPr>
          </w:p>
        </w:tc>
      </w:tr>
      <w:tr w:rsidR="0075777C" w:rsidRPr="00F05153" w:rsidTr="00F0201F">
        <w:trPr>
          <w:trHeight w:val="70"/>
        </w:trPr>
        <w:tc>
          <w:tcPr>
            <w:tcW w:w="1696" w:type="dxa"/>
          </w:tcPr>
          <w:p w:rsidR="0075777C" w:rsidRPr="00F05153" w:rsidRDefault="0075777C" w:rsidP="00F0201F">
            <w:pPr>
              <w:pStyle w:val="Tabletext"/>
              <w:rPr>
                <w:rFonts w:cs="Tahoma"/>
              </w:rPr>
            </w:pPr>
            <w:r w:rsidRPr="00F05153">
              <w:rPr>
                <w:rFonts w:cs="Tahoma"/>
              </w:rPr>
              <w:t>COMPASS-2</w:t>
            </w:r>
            <w:r w:rsidR="001D34EE" w:rsidRPr="00F05153">
              <w:rPr>
                <w:rFonts w:cs="Tahoma"/>
                <w:noProof/>
                <w:vertAlign w:val="superscript"/>
              </w:rPr>
              <w:t>37</w:t>
            </w:r>
          </w:p>
          <w:p w:rsidR="0075777C" w:rsidRPr="00F05153" w:rsidRDefault="0075777C" w:rsidP="00F0201F">
            <w:pPr>
              <w:pStyle w:val="Tabletext"/>
              <w:rPr>
                <w:rFonts w:cs="Tahoma"/>
              </w:rPr>
            </w:pPr>
            <w:r w:rsidRPr="00F05153">
              <w:rPr>
                <w:rFonts w:cs="Tahoma"/>
              </w:rPr>
              <w:t>Bosentan/ sildenafil</w:t>
            </w:r>
          </w:p>
          <w:p w:rsidR="0075777C" w:rsidRPr="00F05153" w:rsidRDefault="0075777C" w:rsidP="00F0201F">
            <w:pPr>
              <w:pStyle w:val="Tabletext"/>
              <w:rPr>
                <w:rFonts w:cs="Tahoma"/>
              </w:rPr>
            </w:pPr>
            <w:r w:rsidRPr="00F05153">
              <w:rPr>
                <w:rFonts w:cs="Tahoma"/>
              </w:rPr>
              <w:t>104 weeks</w:t>
            </w:r>
          </w:p>
        </w:tc>
        <w:tc>
          <w:tcPr>
            <w:tcW w:w="2552" w:type="dxa"/>
          </w:tcPr>
          <w:p w:rsidR="0075777C" w:rsidRPr="00F05153" w:rsidRDefault="0075777C" w:rsidP="00F0201F">
            <w:pPr>
              <w:pStyle w:val="Tabletext"/>
              <w:rPr>
                <w:rFonts w:cs="Tahoma"/>
              </w:rPr>
            </w:pPr>
            <w:r w:rsidRPr="00F05153">
              <w:rPr>
                <w:rFonts w:cs="Tahoma"/>
              </w:rPr>
              <w:t>Any AE</w:t>
            </w:r>
          </w:p>
          <w:p w:rsidR="0075777C" w:rsidRPr="00F05153" w:rsidRDefault="0075777C" w:rsidP="00F0201F">
            <w:pPr>
              <w:pStyle w:val="Tabletext"/>
              <w:rPr>
                <w:rFonts w:cs="Tahoma"/>
              </w:rPr>
            </w:pPr>
            <w:r w:rsidRPr="00F05153">
              <w:rPr>
                <w:rFonts w:cs="Tahoma"/>
              </w:rPr>
              <w:t>Serious AEs</w:t>
            </w:r>
          </w:p>
          <w:p w:rsidR="0075777C" w:rsidRPr="00F05153" w:rsidRDefault="0075777C" w:rsidP="00F0201F">
            <w:pPr>
              <w:pStyle w:val="Tabletext"/>
              <w:rPr>
                <w:rFonts w:cs="Tahoma"/>
              </w:rPr>
            </w:pPr>
            <w:r w:rsidRPr="00F05153">
              <w:rPr>
                <w:rFonts w:cs="Tahoma"/>
              </w:rPr>
              <w:t>AEs leading to discontinuation</w:t>
            </w:r>
          </w:p>
        </w:tc>
        <w:tc>
          <w:tcPr>
            <w:tcW w:w="1843" w:type="dxa"/>
            <w:shd w:val="clear" w:color="auto" w:fill="auto"/>
          </w:tcPr>
          <w:p w:rsidR="0075777C" w:rsidRPr="00F05153" w:rsidRDefault="0075777C" w:rsidP="00F0201F">
            <w:pPr>
              <w:pStyle w:val="Tabletext"/>
              <w:jc w:val="center"/>
              <w:rPr>
                <w:rFonts w:cs="Tahoma"/>
              </w:rPr>
            </w:pPr>
            <w:r w:rsidRPr="00F05153">
              <w:rPr>
                <w:rFonts w:cs="Tahoma"/>
              </w:rPr>
              <w:t>144/159 (91%)</w:t>
            </w:r>
          </w:p>
          <w:p w:rsidR="0075777C" w:rsidRPr="00F05153" w:rsidRDefault="0075777C" w:rsidP="00F0201F">
            <w:pPr>
              <w:pStyle w:val="Tabletext"/>
              <w:jc w:val="center"/>
              <w:rPr>
                <w:rFonts w:cs="Tahoma"/>
              </w:rPr>
            </w:pPr>
            <w:r w:rsidRPr="00F05153">
              <w:rPr>
                <w:rFonts w:cs="Tahoma"/>
              </w:rPr>
              <w:t>73/159 (46%)</w:t>
            </w:r>
          </w:p>
          <w:p w:rsidR="0075777C" w:rsidRPr="00F05153" w:rsidRDefault="0075777C" w:rsidP="00F0201F">
            <w:pPr>
              <w:pStyle w:val="Tabletext"/>
              <w:jc w:val="center"/>
              <w:rPr>
                <w:rFonts w:cs="Tahoma"/>
              </w:rPr>
            </w:pPr>
            <w:r w:rsidRPr="00F05153">
              <w:rPr>
                <w:rFonts w:cs="Tahoma"/>
              </w:rPr>
              <w:t>39/159 (25%)</w:t>
            </w:r>
          </w:p>
        </w:tc>
        <w:tc>
          <w:tcPr>
            <w:tcW w:w="1559" w:type="dxa"/>
            <w:shd w:val="clear" w:color="auto" w:fill="auto"/>
          </w:tcPr>
          <w:p w:rsidR="0075777C" w:rsidRPr="00F05153" w:rsidRDefault="0075777C" w:rsidP="00F0201F">
            <w:pPr>
              <w:pStyle w:val="Tabletext"/>
              <w:jc w:val="center"/>
              <w:rPr>
                <w:rFonts w:cs="Tahoma"/>
              </w:rPr>
            </w:pPr>
            <w:r w:rsidRPr="00F05153">
              <w:rPr>
                <w:rFonts w:cs="Tahoma"/>
              </w:rPr>
              <w:t>159/174 (91%)</w:t>
            </w:r>
          </w:p>
          <w:p w:rsidR="0075777C" w:rsidRPr="00F05153" w:rsidRDefault="0075777C" w:rsidP="00F0201F">
            <w:pPr>
              <w:pStyle w:val="Tabletext"/>
              <w:jc w:val="center"/>
              <w:rPr>
                <w:rFonts w:cs="Tahoma"/>
              </w:rPr>
            </w:pPr>
            <w:r w:rsidRPr="00F05153">
              <w:rPr>
                <w:rFonts w:cs="Tahoma"/>
              </w:rPr>
              <w:t>102/174 (59%)</w:t>
            </w:r>
          </w:p>
          <w:p w:rsidR="0075777C" w:rsidRPr="00F05153" w:rsidRDefault="0075777C" w:rsidP="00F0201F">
            <w:pPr>
              <w:pStyle w:val="Tabletext"/>
              <w:jc w:val="center"/>
              <w:rPr>
                <w:rFonts w:cs="Tahoma"/>
              </w:rPr>
            </w:pPr>
            <w:r w:rsidRPr="00F05153">
              <w:rPr>
                <w:rFonts w:cs="Tahoma"/>
              </w:rPr>
              <w:t>22/174 (13%)</w:t>
            </w:r>
          </w:p>
        </w:tc>
        <w:tc>
          <w:tcPr>
            <w:tcW w:w="1984" w:type="dxa"/>
          </w:tcPr>
          <w:p w:rsidR="0075777C" w:rsidRPr="00F05153" w:rsidRDefault="0075777C" w:rsidP="00F0201F">
            <w:pPr>
              <w:pStyle w:val="Tabletext"/>
              <w:rPr>
                <w:rFonts w:cs="Tahoma"/>
              </w:rPr>
            </w:pPr>
            <w:r w:rsidRPr="00F05153">
              <w:rPr>
                <w:rFonts w:cs="Tahoma"/>
              </w:rPr>
              <w:t>RR = 0.99 (0.93, 1.06)</w:t>
            </w:r>
          </w:p>
          <w:p w:rsidR="0075777C" w:rsidRPr="00F05153" w:rsidRDefault="0075777C" w:rsidP="00F0201F">
            <w:pPr>
              <w:pStyle w:val="Tabletext"/>
              <w:rPr>
                <w:rFonts w:cs="Tahoma"/>
              </w:rPr>
            </w:pPr>
            <w:r w:rsidRPr="00F05153">
              <w:rPr>
                <w:rFonts w:cs="Tahoma"/>
              </w:rPr>
              <w:t>RR = 0.78 (0.63, 0.97)</w:t>
            </w:r>
          </w:p>
          <w:p w:rsidR="0075777C" w:rsidRPr="00F05153" w:rsidRDefault="0075777C" w:rsidP="00F0201F">
            <w:pPr>
              <w:pStyle w:val="Tabletext"/>
              <w:rPr>
                <w:rFonts w:cs="Tahoma"/>
              </w:rPr>
            </w:pPr>
            <w:r w:rsidRPr="00F05153">
              <w:rPr>
                <w:rFonts w:cs="Tahoma"/>
              </w:rPr>
              <w:t>RR = 1.94 (1.20, 3.12)</w:t>
            </w:r>
          </w:p>
        </w:tc>
      </w:tr>
      <w:tr w:rsidR="0075777C" w:rsidRPr="000844D1" w:rsidTr="00F0201F">
        <w:trPr>
          <w:trHeight w:val="70"/>
        </w:trPr>
        <w:tc>
          <w:tcPr>
            <w:tcW w:w="1696" w:type="dxa"/>
          </w:tcPr>
          <w:p w:rsidR="0075777C" w:rsidRPr="00F05153" w:rsidRDefault="0075777C" w:rsidP="00F0201F">
            <w:pPr>
              <w:pStyle w:val="Tabletext"/>
              <w:rPr>
                <w:rFonts w:cs="Tahoma"/>
              </w:rPr>
            </w:pPr>
            <w:r w:rsidRPr="00F05153">
              <w:rPr>
                <w:rFonts w:cs="Tahoma"/>
              </w:rPr>
              <w:t xml:space="preserve">SERAPHIN </w:t>
            </w:r>
            <w:r w:rsidRPr="00F05153">
              <w:rPr>
                <w:rFonts w:cs="Tahoma"/>
                <w:vertAlign w:val="superscript"/>
              </w:rPr>
              <w:t>a</w:t>
            </w:r>
            <w:r w:rsidRPr="00F05153">
              <w:rPr>
                <w:rFonts w:cs="Tahoma"/>
              </w:rPr>
              <w:t>, March 2014 submission</w:t>
            </w:r>
          </w:p>
          <w:p w:rsidR="0075777C" w:rsidRPr="00F05153" w:rsidRDefault="0075777C" w:rsidP="00F0201F">
            <w:pPr>
              <w:pStyle w:val="Tabletext"/>
              <w:rPr>
                <w:rFonts w:cs="Tahoma"/>
              </w:rPr>
            </w:pPr>
            <w:r w:rsidRPr="00F05153">
              <w:rPr>
                <w:rFonts w:cs="Tahoma"/>
              </w:rPr>
              <w:t>Macitentan/any PDE-5 inhibitor</w:t>
            </w:r>
          </w:p>
          <w:p w:rsidR="0075777C" w:rsidRPr="00F05153" w:rsidRDefault="0075777C" w:rsidP="00F0201F">
            <w:pPr>
              <w:pStyle w:val="Tabletext"/>
              <w:rPr>
                <w:rFonts w:cs="Tahoma"/>
              </w:rPr>
            </w:pPr>
            <w:r w:rsidRPr="00F05153">
              <w:rPr>
                <w:rFonts w:cs="Tahoma"/>
              </w:rPr>
              <w:t>12 weeks</w:t>
            </w:r>
          </w:p>
        </w:tc>
        <w:tc>
          <w:tcPr>
            <w:tcW w:w="2552" w:type="dxa"/>
          </w:tcPr>
          <w:p w:rsidR="00F0201F" w:rsidRPr="00F05153" w:rsidRDefault="0075777C" w:rsidP="00F0201F">
            <w:pPr>
              <w:pStyle w:val="Tabletext"/>
              <w:rPr>
                <w:rFonts w:cs="Tahoma"/>
              </w:rPr>
            </w:pPr>
            <w:r w:rsidRPr="00F05153">
              <w:rPr>
                <w:rFonts w:cs="Tahoma"/>
              </w:rPr>
              <w:t>Oedema-related AEs</w:t>
            </w:r>
          </w:p>
          <w:p w:rsidR="0075777C" w:rsidRPr="00F05153" w:rsidRDefault="0075777C" w:rsidP="00F0201F">
            <w:pPr>
              <w:pStyle w:val="Tabletext"/>
              <w:rPr>
                <w:rFonts w:cs="Tahoma"/>
              </w:rPr>
            </w:pPr>
          </w:p>
          <w:p w:rsidR="0075777C" w:rsidRPr="00F05153" w:rsidRDefault="0075777C" w:rsidP="00F0201F">
            <w:pPr>
              <w:pStyle w:val="Tabletext"/>
              <w:rPr>
                <w:rFonts w:cs="Tahoma"/>
              </w:rPr>
            </w:pPr>
            <w:r w:rsidRPr="00F05153">
              <w:rPr>
                <w:rFonts w:cs="Tahoma"/>
              </w:rPr>
              <w:t>Haemoglobin decrease-related AEs</w:t>
            </w:r>
          </w:p>
          <w:p w:rsidR="00F0201F" w:rsidRPr="00F05153" w:rsidRDefault="00F0201F" w:rsidP="00F0201F">
            <w:pPr>
              <w:pStyle w:val="Tabletext"/>
              <w:rPr>
                <w:rFonts w:cs="Tahoma"/>
              </w:rPr>
            </w:pPr>
          </w:p>
          <w:p w:rsidR="0075777C" w:rsidRPr="00F05153" w:rsidRDefault="0075777C" w:rsidP="00F0201F">
            <w:pPr>
              <w:pStyle w:val="Tabletext"/>
              <w:rPr>
                <w:rFonts w:cs="Tahoma"/>
              </w:rPr>
            </w:pPr>
            <w:r w:rsidRPr="00F05153">
              <w:rPr>
                <w:rFonts w:cs="Tahoma"/>
              </w:rPr>
              <w:t>Hypotension-related AEs</w:t>
            </w:r>
          </w:p>
          <w:p w:rsidR="00F0201F" w:rsidRPr="00F05153" w:rsidRDefault="00F0201F" w:rsidP="00F0201F">
            <w:pPr>
              <w:pStyle w:val="Tabletext"/>
              <w:rPr>
                <w:rFonts w:cs="Tahoma"/>
              </w:rPr>
            </w:pPr>
          </w:p>
          <w:p w:rsidR="0075777C" w:rsidRPr="00F05153" w:rsidRDefault="0075777C" w:rsidP="00F0201F">
            <w:pPr>
              <w:pStyle w:val="Tabletext"/>
              <w:rPr>
                <w:rFonts w:cs="Tahoma"/>
              </w:rPr>
            </w:pPr>
            <w:r w:rsidRPr="00F05153">
              <w:rPr>
                <w:rFonts w:cs="Tahoma"/>
              </w:rPr>
              <w:t>Abnormal liver function-related AEs</w:t>
            </w:r>
          </w:p>
        </w:tc>
        <w:tc>
          <w:tcPr>
            <w:tcW w:w="1843" w:type="dxa"/>
            <w:shd w:val="clear" w:color="auto" w:fill="auto"/>
          </w:tcPr>
          <w:p w:rsidR="00F0201F" w:rsidRPr="002046A0" w:rsidRDefault="002046A0" w:rsidP="00F0201F">
            <w:pPr>
              <w:pStyle w:val="Tabletext"/>
              <w:jc w:val="center"/>
              <w:rPr>
                <w:rFonts w:cs="Tahoma"/>
                <w:highlight w:val="black"/>
              </w:rPr>
            </w:pPr>
            <w:r>
              <w:rPr>
                <w:rFonts w:cs="Tahoma"/>
                <w:noProof/>
                <w:color w:val="000000"/>
                <w:highlight w:val="black"/>
              </w:rPr>
              <w:t>'''''''''''''''' '''''''''''''''''''</w:t>
            </w:r>
          </w:p>
          <w:p w:rsidR="0075777C" w:rsidRPr="002046A0" w:rsidRDefault="0075777C" w:rsidP="00F0201F">
            <w:pPr>
              <w:pStyle w:val="Tabletext"/>
              <w:jc w:val="center"/>
              <w:rPr>
                <w:rFonts w:cs="Tahoma"/>
              </w:rPr>
            </w:pPr>
          </w:p>
          <w:p w:rsidR="00F0201F" w:rsidRPr="002046A0" w:rsidRDefault="002046A0" w:rsidP="00F0201F">
            <w:pPr>
              <w:pStyle w:val="Tabletext"/>
              <w:jc w:val="center"/>
              <w:rPr>
                <w:rFonts w:cs="Tahoma"/>
                <w:highlight w:val="black"/>
              </w:rPr>
            </w:pPr>
            <w:r>
              <w:rPr>
                <w:rFonts w:cs="Tahoma"/>
                <w:noProof/>
                <w:color w:val="000000"/>
                <w:highlight w:val="black"/>
              </w:rPr>
              <w:t>'''''''''''''''' '''''''''''''''''''''</w:t>
            </w:r>
          </w:p>
          <w:p w:rsidR="0075777C" w:rsidRPr="002046A0" w:rsidRDefault="0075777C" w:rsidP="00F0201F">
            <w:pPr>
              <w:pStyle w:val="Tabletext"/>
              <w:jc w:val="center"/>
              <w:rPr>
                <w:rFonts w:cs="Tahoma"/>
              </w:rPr>
            </w:pPr>
          </w:p>
          <w:p w:rsidR="00F0201F" w:rsidRPr="002046A0" w:rsidRDefault="002046A0" w:rsidP="00F0201F">
            <w:pPr>
              <w:pStyle w:val="Tabletext"/>
              <w:jc w:val="center"/>
              <w:rPr>
                <w:rFonts w:cs="Tahoma"/>
                <w:highlight w:val="black"/>
              </w:rPr>
            </w:pPr>
            <w:r>
              <w:rPr>
                <w:rFonts w:cs="Tahoma"/>
                <w:noProof/>
                <w:color w:val="000000"/>
                <w:highlight w:val="black"/>
              </w:rPr>
              <w:t>''''''''''''' '''''''''''''''</w:t>
            </w:r>
          </w:p>
          <w:p w:rsidR="0075777C" w:rsidRPr="002046A0" w:rsidRDefault="0075777C" w:rsidP="00F0201F">
            <w:pPr>
              <w:pStyle w:val="Tabletext"/>
              <w:jc w:val="center"/>
              <w:rPr>
                <w:rFonts w:cs="Tahoma"/>
              </w:rPr>
            </w:pPr>
          </w:p>
          <w:p w:rsidR="0075777C" w:rsidRPr="002046A0" w:rsidRDefault="002046A0" w:rsidP="00F0201F">
            <w:pPr>
              <w:pStyle w:val="Tabletext"/>
              <w:jc w:val="center"/>
              <w:rPr>
                <w:rFonts w:cs="Tahoma"/>
                <w:highlight w:val="black"/>
              </w:rPr>
            </w:pPr>
            <w:r>
              <w:rPr>
                <w:rFonts w:cs="Tahoma"/>
                <w:noProof/>
                <w:color w:val="000000"/>
                <w:highlight w:val="black"/>
              </w:rPr>
              <w:t>'''''''''''''''' '''''''''''''''</w:t>
            </w:r>
          </w:p>
        </w:tc>
        <w:tc>
          <w:tcPr>
            <w:tcW w:w="1559" w:type="dxa"/>
            <w:shd w:val="clear" w:color="auto" w:fill="auto"/>
          </w:tcPr>
          <w:p w:rsidR="00F0201F" w:rsidRPr="002046A0" w:rsidRDefault="002046A0" w:rsidP="00F0201F">
            <w:pPr>
              <w:pStyle w:val="Tabletext"/>
              <w:jc w:val="center"/>
              <w:rPr>
                <w:rFonts w:cs="Tahoma"/>
                <w:highlight w:val="black"/>
              </w:rPr>
            </w:pPr>
            <w:r>
              <w:rPr>
                <w:rFonts w:cs="Tahoma"/>
                <w:noProof/>
                <w:color w:val="000000"/>
                <w:highlight w:val="black"/>
              </w:rPr>
              <w:t>'''''''''''''''' '''''''''''''''''</w:t>
            </w:r>
          </w:p>
          <w:p w:rsidR="0075777C" w:rsidRPr="002046A0" w:rsidRDefault="0075777C" w:rsidP="00F0201F">
            <w:pPr>
              <w:pStyle w:val="Tabletext"/>
              <w:jc w:val="center"/>
              <w:rPr>
                <w:rFonts w:cs="Tahoma"/>
              </w:rPr>
            </w:pPr>
          </w:p>
          <w:p w:rsidR="00F0201F" w:rsidRPr="002046A0" w:rsidRDefault="002046A0" w:rsidP="00F0201F">
            <w:pPr>
              <w:pStyle w:val="Tabletext"/>
              <w:jc w:val="center"/>
              <w:rPr>
                <w:rFonts w:cs="Tahoma"/>
                <w:highlight w:val="black"/>
              </w:rPr>
            </w:pPr>
            <w:r>
              <w:rPr>
                <w:rFonts w:cs="Tahoma"/>
                <w:noProof/>
                <w:color w:val="000000"/>
                <w:highlight w:val="black"/>
              </w:rPr>
              <w:t>'''''''''''''''' ''''''''''''''</w:t>
            </w:r>
          </w:p>
          <w:p w:rsidR="0075777C" w:rsidRPr="002046A0" w:rsidRDefault="0075777C" w:rsidP="00F0201F">
            <w:pPr>
              <w:pStyle w:val="Tabletext"/>
              <w:jc w:val="center"/>
              <w:rPr>
                <w:rFonts w:cs="Tahoma"/>
              </w:rPr>
            </w:pPr>
          </w:p>
          <w:p w:rsidR="00F0201F" w:rsidRPr="002046A0" w:rsidRDefault="002046A0" w:rsidP="00F0201F">
            <w:pPr>
              <w:pStyle w:val="Tabletext"/>
              <w:jc w:val="center"/>
              <w:rPr>
                <w:rFonts w:cs="Tahoma"/>
                <w:highlight w:val="black"/>
              </w:rPr>
            </w:pPr>
            <w:r>
              <w:rPr>
                <w:rFonts w:cs="Tahoma"/>
                <w:noProof/>
                <w:color w:val="000000"/>
                <w:highlight w:val="black"/>
              </w:rPr>
              <w:t>''''''''''''''' '''''''''''''''''</w:t>
            </w:r>
          </w:p>
          <w:p w:rsidR="0075777C" w:rsidRPr="002046A0" w:rsidRDefault="0075777C" w:rsidP="00F0201F">
            <w:pPr>
              <w:pStyle w:val="Tabletext"/>
              <w:jc w:val="center"/>
              <w:rPr>
                <w:rFonts w:cs="Tahoma"/>
              </w:rPr>
            </w:pPr>
          </w:p>
          <w:p w:rsidR="0075777C" w:rsidRPr="002046A0" w:rsidRDefault="002046A0" w:rsidP="00F0201F">
            <w:pPr>
              <w:pStyle w:val="Tabletext"/>
              <w:jc w:val="center"/>
              <w:rPr>
                <w:rFonts w:cs="Tahoma"/>
                <w:highlight w:val="black"/>
              </w:rPr>
            </w:pPr>
            <w:r>
              <w:rPr>
                <w:rFonts w:cs="Tahoma"/>
                <w:noProof/>
                <w:color w:val="000000"/>
                <w:highlight w:val="black"/>
              </w:rPr>
              <w:t>'''''''''''''''' ''''''''''''''''''''</w:t>
            </w:r>
          </w:p>
        </w:tc>
        <w:tc>
          <w:tcPr>
            <w:tcW w:w="1984" w:type="dxa"/>
          </w:tcPr>
          <w:p w:rsidR="00F0201F" w:rsidRPr="002046A0" w:rsidRDefault="002046A0" w:rsidP="00F0201F">
            <w:pPr>
              <w:pStyle w:val="Tabletext"/>
              <w:rPr>
                <w:rFonts w:cs="Tahoma"/>
                <w:highlight w:val="black"/>
              </w:rPr>
            </w:pPr>
            <w:r>
              <w:rPr>
                <w:rFonts w:cs="Tahoma"/>
                <w:noProof/>
                <w:color w:val="000000"/>
                <w:highlight w:val="black"/>
              </w:rPr>
              <w:t>'''''''' ''' ''''''''''' ''''''''''''''' '''''''''''''</w:t>
            </w:r>
          </w:p>
          <w:p w:rsidR="0075777C" w:rsidRPr="002046A0" w:rsidRDefault="002046A0" w:rsidP="00F0201F">
            <w:pPr>
              <w:pStyle w:val="Tabletext"/>
              <w:rPr>
                <w:rFonts w:cs="Tahoma"/>
                <w:highlight w:val="black"/>
              </w:rPr>
            </w:pPr>
            <w:r>
              <w:rPr>
                <w:rFonts w:cs="Tahoma"/>
                <w:noProof/>
                <w:color w:val="000000"/>
                <w:highlight w:val="black"/>
              </w:rPr>
              <w:t>'''''''' '''' ''''''''''' ''''''''''''''' ''''''''''''</w:t>
            </w:r>
          </w:p>
          <w:p w:rsidR="00F0201F" w:rsidRPr="002046A0" w:rsidRDefault="002046A0" w:rsidP="00F0201F">
            <w:pPr>
              <w:pStyle w:val="Tabletext"/>
              <w:rPr>
                <w:rFonts w:cs="Tahoma"/>
                <w:highlight w:val="black"/>
              </w:rPr>
            </w:pPr>
            <w:r>
              <w:rPr>
                <w:rFonts w:cs="Tahoma"/>
                <w:noProof/>
                <w:color w:val="000000"/>
                <w:highlight w:val="black"/>
              </w:rPr>
              <w:t>''''''' '''' '''''''''''' ''''''''''''' '''''''''''</w:t>
            </w:r>
          </w:p>
          <w:p w:rsidR="0075777C" w:rsidRPr="002046A0" w:rsidRDefault="002046A0" w:rsidP="00F0201F">
            <w:pPr>
              <w:pStyle w:val="Tabletext"/>
              <w:rPr>
                <w:rFonts w:cs="Tahoma"/>
                <w:highlight w:val="black"/>
              </w:rPr>
            </w:pPr>
            <w:r>
              <w:rPr>
                <w:rFonts w:cs="Tahoma"/>
                <w:noProof/>
                <w:color w:val="000000"/>
                <w:highlight w:val="black"/>
              </w:rPr>
              <w:t>'''''''' '''' ''''''''' ''''''''''''' ''''''''''''</w:t>
            </w:r>
          </w:p>
          <w:p w:rsidR="00F0201F" w:rsidRPr="002046A0" w:rsidRDefault="002046A0" w:rsidP="00F0201F">
            <w:pPr>
              <w:pStyle w:val="Tabletext"/>
              <w:rPr>
                <w:rFonts w:cs="Tahoma"/>
                <w:highlight w:val="black"/>
              </w:rPr>
            </w:pPr>
            <w:r>
              <w:rPr>
                <w:rFonts w:cs="Tahoma"/>
                <w:noProof/>
                <w:color w:val="000000"/>
                <w:highlight w:val="black"/>
              </w:rPr>
              <w:t>'''''''' ''' ''''''''''' ''''''''''''' ''''''''''''''</w:t>
            </w:r>
          </w:p>
          <w:p w:rsidR="0075777C" w:rsidRPr="002046A0" w:rsidRDefault="002046A0" w:rsidP="00F0201F">
            <w:pPr>
              <w:pStyle w:val="Tabletext"/>
              <w:rPr>
                <w:rFonts w:cs="Tahoma"/>
                <w:highlight w:val="black"/>
              </w:rPr>
            </w:pPr>
            <w:r>
              <w:rPr>
                <w:rFonts w:cs="Tahoma"/>
                <w:noProof/>
                <w:color w:val="000000"/>
                <w:highlight w:val="black"/>
              </w:rPr>
              <w:t>''''''' '''' ''''''''''' '''''''''''''' '''''''''''''</w:t>
            </w:r>
          </w:p>
          <w:p w:rsidR="00F0201F" w:rsidRPr="002046A0" w:rsidRDefault="002046A0" w:rsidP="00F0201F">
            <w:pPr>
              <w:pStyle w:val="Tabletext"/>
              <w:rPr>
                <w:rFonts w:cs="Tahoma"/>
                <w:highlight w:val="black"/>
              </w:rPr>
            </w:pPr>
            <w:r>
              <w:rPr>
                <w:rFonts w:cs="Tahoma"/>
                <w:noProof/>
                <w:color w:val="000000"/>
                <w:highlight w:val="black"/>
              </w:rPr>
              <w:t>'''''''' '''' ''''''''''' '''''''''''''' ''''''''''''</w:t>
            </w:r>
          </w:p>
          <w:p w:rsidR="0075777C" w:rsidRPr="002046A0" w:rsidRDefault="002046A0" w:rsidP="00F0201F">
            <w:pPr>
              <w:pStyle w:val="Tabletext"/>
              <w:rPr>
                <w:rFonts w:cs="Tahoma"/>
                <w:highlight w:val="black"/>
              </w:rPr>
            </w:pPr>
            <w:r>
              <w:rPr>
                <w:rFonts w:cs="Tahoma"/>
                <w:noProof/>
                <w:color w:val="000000"/>
                <w:highlight w:val="black"/>
              </w:rPr>
              <w:t>'''''''' '''' ''''''''''' '''''''''''''' '''''''''''</w:t>
            </w:r>
          </w:p>
        </w:tc>
      </w:tr>
      <w:tr w:rsidR="0075777C" w:rsidRPr="00822C52" w:rsidTr="00F0201F">
        <w:trPr>
          <w:cantSplit/>
          <w:trHeight w:val="70"/>
        </w:trPr>
        <w:tc>
          <w:tcPr>
            <w:tcW w:w="1696" w:type="dxa"/>
          </w:tcPr>
          <w:p w:rsidR="0075777C" w:rsidRPr="00822C52" w:rsidRDefault="0075777C" w:rsidP="00F0201F">
            <w:pPr>
              <w:pStyle w:val="Tabletext"/>
              <w:rPr>
                <w:rFonts w:cs="Tahoma"/>
              </w:rPr>
            </w:pPr>
            <w:r w:rsidRPr="00822C52">
              <w:rPr>
                <w:rFonts w:cs="Tahoma"/>
              </w:rPr>
              <w:t>AMBITION</w:t>
            </w:r>
            <w:r w:rsidR="001D34EE" w:rsidRPr="001A1C44">
              <w:rPr>
                <w:rFonts w:cs="Tahoma"/>
                <w:noProof/>
                <w:vertAlign w:val="superscript"/>
              </w:rPr>
              <w:t>30</w:t>
            </w:r>
          </w:p>
          <w:p w:rsidR="0075777C" w:rsidRPr="00822C52" w:rsidRDefault="0075777C" w:rsidP="00F0201F">
            <w:pPr>
              <w:pStyle w:val="Tabletext"/>
              <w:rPr>
                <w:rFonts w:cs="Tahoma"/>
              </w:rPr>
            </w:pPr>
            <w:r w:rsidRPr="00822C52">
              <w:rPr>
                <w:rFonts w:cs="Tahoma"/>
              </w:rPr>
              <w:t>Ambrisentan/ tadalafil</w:t>
            </w:r>
          </w:p>
          <w:p w:rsidR="0075777C" w:rsidRPr="00822C52" w:rsidRDefault="0075777C" w:rsidP="00F0201F">
            <w:pPr>
              <w:pStyle w:val="Tabletext"/>
              <w:rPr>
                <w:rFonts w:cs="Tahoma"/>
              </w:rPr>
            </w:pPr>
            <w:r w:rsidRPr="00822C52">
              <w:rPr>
                <w:rFonts w:cs="Tahoma"/>
              </w:rPr>
              <w:t>24 weeks</w:t>
            </w:r>
          </w:p>
        </w:tc>
        <w:tc>
          <w:tcPr>
            <w:tcW w:w="2552" w:type="dxa"/>
          </w:tcPr>
          <w:p w:rsidR="0075777C" w:rsidRPr="00822C52" w:rsidRDefault="0075777C" w:rsidP="00F0201F">
            <w:pPr>
              <w:pStyle w:val="Tabletext"/>
              <w:rPr>
                <w:rFonts w:cs="Tahoma"/>
              </w:rPr>
            </w:pPr>
            <w:r w:rsidRPr="00822C52">
              <w:rPr>
                <w:rFonts w:cs="Tahoma"/>
              </w:rPr>
              <w:t>Serious AEs</w:t>
            </w:r>
          </w:p>
          <w:p w:rsidR="0075777C" w:rsidRPr="00822C52" w:rsidRDefault="0075777C" w:rsidP="00F0201F">
            <w:pPr>
              <w:pStyle w:val="Tabletext"/>
              <w:rPr>
                <w:rFonts w:cs="Tahoma"/>
              </w:rPr>
            </w:pPr>
            <w:r w:rsidRPr="00822C52">
              <w:rPr>
                <w:rFonts w:cs="Tahoma"/>
              </w:rPr>
              <w:t>AEs leading to discontinuation</w:t>
            </w:r>
          </w:p>
        </w:tc>
        <w:tc>
          <w:tcPr>
            <w:tcW w:w="1843" w:type="dxa"/>
            <w:shd w:val="clear" w:color="auto" w:fill="auto"/>
          </w:tcPr>
          <w:p w:rsidR="0075777C" w:rsidRPr="00822C52" w:rsidRDefault="0075777C" w:rsidP="00F0201F">
            <w:pPr>
              <w:pStyle w:val="Tabletext"/>
              <w:jc w:val="center"/>
              <w:rPr>
                <w:rFonts w:cs="Tahoma"/>
              </w:rPr>
            </w:pPr>
            <w:r w:rsidRPr="00822C52">
              <w:rPr>
                <w:rFonts w:cs="Tahoma"/>
              </w:rPr>
              <w:t>92/252 (37%)</w:t>
            </w:r>
          </w:p>
          <w:p w:rsidR="0075777C" w:rsidRPr="00822C52" w:rsidRDefault="0075777C" w:rsidP="00F0201F">
            <w:pPr>
              <w:pStyle w:val="Tabletext"/>
              <w:jc w:val="center"/>
              <w:rPr>
                <w:rFonts w:cs="Tahoma"/>
                <w:highlight w:val="cyan"/>
              </w:rPr>
            </w:pPr>
            <w:r w:rsidRPr="00822C52">
              <w:rPr>
                <w:rFonts w:cs="Tahoma"/>
              </w:rPr>
              <w:t>31/252 (12%)</w:t>
            </w:r>
          </w:p>
        </w:tc>
        <w:tc>
          <w:tcPr>
            <w:tcW w:w="1559" w:type="dxa"/>
            <w:shd w:val="clear" w:color="auto" w:fill="auto"/>
          </w:tcPr>
          <w:p w:rsidR="0075777C" w:rsidRPr="00822C52" w:rsidRDefault="0075777C" w:rsidP="00F0201F">
            <w:pPr>
              <w:pStyle w:val="Tabletext"/>
              <w:jc w:val="center"/>
              <w:rPr>
                <w:rFonts w:cs="Tahoma"/>
              </w:rPr>
            </w:pPr>
            <w:r w:rsidRPr="00822C52">
              <w:rPr>
                <w:rFonts w:cs="Tahoma"/>
              </w:rPr>
              <w:t>50/120 (42%)</w:t>
            </w:r>
          </w:p>
          <w:p w:rsidR="0075777C" w:rsidRPr="00822C52" w:rsidRDefault="0075777C" w:rsidP="00F0201F">
            <w:pPr>
              <w:pStyle w:val="Tabletext"/>
              <w:jc w:val="center"/>
              <w:rPr>
                <w:rFonts w:cs="Tahoma"/>
                <w:highlight w:val="cyan"/>
              </w:rPr>
            </w:pPr>
            <w:r w:rsidRPr="00822C52">
              <w:rPr>
                <w:rFonts w:cs="Tahoma"/>
              </w:rPr>
              <w:t>14/120 (12%)</w:t>
            </w:r>
          </w:p>
        </w:tc>
        <w:tc>
          <w:tcPr>
            <w:tcW w:w="1984" w:type="dxa"/>
          </w:tcPr>
          <w:p w:rsidR="0075777C" w:rsidRPr="00822C52" w:rsidRDefault="0075777C" w:rsidP="00F0201F">
            <w:pPr>
              <w:pStyle w:val="Tabletext"/>
              <w:rPr>
                <w:rFonts w:cs="Tahoma"/>
              </w:rPr>
            </w:pPr>
            <w:r w:rsidRPr="00822C52">
              <w:rPr>
                <w:rFonts w:cs="Tahoma"/>
              </w:rPr>
              <w:t>RR = 0.88 (0.67, 1.14)</w:t>
            </w:r>
          </w:p>
          <w:p w:rsidR="0075777C" w:rsidRPr="00822C52" w:rsidRDefault="0075777C" w:rsidP="00F0201F">
            <w:pPr>
              <w:pStyle w:val="Tabletext"/>
              <w:rPr>
                <w:rFonts w:cs="Tahoma"/>
              </w:rPr>
            </w:pPr>
            <w:r w:rsidRPr="00822C52">
              <w:rPr>
                <w:rFonts w:cs="Tahoma"/>
              </w:rPr>
              <w:t>RR = 1.05 (0.58, 1.91)</w:t>
            </w:r>
          </w:p>
        </w:tc>
      </w:tr>
    </w:tbl>
    <w:p w:rsidR="0075777C" w:rsidRPr="00822C52" w:rsidRDefault="0075777C" w:rsidP="00F0201F">
      <w:pPr>
        <w:pStyle w:val="Tablenote"/>
      </w:pPr>
      <w:proofErr w:type="gramStart"/>
      <w:r w:rsidRPr="004D0C0E">
        <w:rPr>
          <w:vertAlign w:val="superscript"/>
        </w:rPr>
        <w:t>a</w:t>
      </w:r>
      <w:proofErr w:type="gramEnd"/>
      <w:r>
        <w:t xml:space="preserve"> </w:t>
      </w:r>
      <w:r w:rsidRPr="00822C52">
        <w:t xml:space="preserve">Small proportion of patients </w:t>
      </w:r>
      <w:r>
        <w:t xml:space="preserve">(4%) </w:t>
      </w:r>
      <w:r w:rsidRPr="00822C52">
        <w:t xml:space="preserve">receiving </w:t>
      </w:r>
      <w:r w:rsidR="00F0201F" w:rsidRPr="00822C52">
        <w:t>prostanoids</w:t>
      </w:r>
      <w:r w:rsidRPr="00822C52">
        <w:t xml:space="preserve"> or receiving doublet background therapy</w:t>
      </w:r>
    </w:p>
    <w:p w:rsidR="00715D78" w:rsidRDefault="0075777C" w:rsidP="00F0201F">
      <w:pPr>
        <w:pStyle w:val="Tablenote"/>
      </w:pPr>
      <w:r w:rsidRPr="00822C52">
        <w:t xml:space="preserve">AE = adverse event; CI = confidence interval; ERA = endothelin receptor antagonist; HR = hazard ratio; n = number of </w:t>
      </w:r>
      <w:r w:rsidR="00715D78">
        <w:t xml:space="preserve">patients with </w:t>
      </w:r>
      <w:r w:rsidRPr="00822C52">
        <w:t xml:space="preserve">events; N = number of patients; </w:t>
      </w:r>
      <w:r w:rsidR="00715D78" w:rsidRPr="00715D78">
        <w:t xml:space="preserve">PAH = pulmonary arterial hypertension; </w:t>
      </w:r>
      <w:r>
        <w:t>PDE-5</w:t>
      </w:r>
      <w:r w:rsidRPr="00822C52">
        <w:t xml:space="preserve"> = phosphodiesterase type-5</w:t>
      </w:r>
      <w:r w:rsidR="00F0201F">
        <w:t>;</w:t>
      </w:r>
      <w:r w:rsidRPr="00822C52">
        <w:t xml:space="preserve"> </w:t>
      </w:r>
      <w:r w:rsidR="00715D78" w:rsidRPr="00822C52">
        <w:t>RR = relative risk</w:t>
      </w:r>
    </w:p>
    <w:p w:rsidR="0075777C" w:rsidRDefault="0075777C" w:rsidP="00F0201F">
      <w:pPr>
        <w:spacing w:after="40" w:line="240" w:lineRule="auto"/>
      </w:pPr>
      <w:r>
        <w:rPr>
          <w:noProof/>
          <w:lang w:eastAsia="en-AU"/>
        </w:rPr>
        <w:drawing>
          <wp:inline distT="0" distB="0" distL="0" distR="0" wp14:anchorId="44AD2E08" wp14:editId="42CBD3E7">
            <wp:extent cx="6133719" cy="3493827"/>
            <wp:effectExtent l="0" t="0" r="635" b="0"/>
            <wp:docPr id="2" name="Picture 2" descr="The estimated RR for serious AEs from the meta-analysis was 0.82 (95% CI 0.69, 0.96). The estimated RR for AEs leading to treatment discontinuation from the meta-analysis was 1.47 (95% CI 0.81, 2.66). " title="Forest plot showing the RR of having a serious AE or an AE leading to treatment discontinuation while being treated with an ERA in addition to a PDE-5 inhibitor compared with PDE-5 inhibitor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218" t="2230" r="1245" b="2246"/>
                    <a:stretch/>
                  </pic:blipFill>
                  <pic:spPr bwMode="auto">
                    <a:xfrm>
                      <a:off x="0" y="0"/>
                      <a:ext cx="6149667" cy="3502911"/>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DD7790" w:rsidRDefault="00F0201F" w:rsidP="00BC5A2B">
      <w:pPr>
        <w:pStyle w:val="Caption"/>
        <w:rPr>
          <w:rFonts w:ascii="Arial Narrow" w:hAnsi="Arial Narrow" w:cs="Tahoma"/>
          <w:u w:val="single"/>
        </w:rPr>
      </w:pPr>
      <w:bookmarkStart w:id="181" w:name="_Ref506477538"/>
      <w:bookmarkStart w:id="182" w:name="_Toc38360479"/>
      <w:r>
        <w:t>Figure 4.</w:t>
      </w:r>
      <w:r w:rsidR="003951FA">
        <w:rPr>
          <w:noProof/>
        </w:rPr>
        <w:t>13</w:t>
      </w:r>
      <w:bookmarkEnd w:id="181"/>
      <w:r>
        <w:tab/>
      </w:r>
      <w:r w:rsidR="0075777C" w:rsidRPr="00DD7790">
        <w:t xml:space="preserve">Forest plot showing the RR of </w:t>
      </w:r>
      <w:r w:rsidR="0075777C">
        <w:t>having a serious AE or an AE leading to treatment discontinuation</w:t>
      </w:r>
      <w:r w:rsidR="0075777C" w:rsidRPr="00DD7790">
        <w:t xml:space="preserve"> while </w:t>
      </w:r>
      <w:proofErr w:type="gramStart"/>
      <w:r w:rsidR="0075777C" w:rsidRPr="00DD7790">
        <w:t>being treated</w:t>
      </w:r>
      <w:proofErr w:type="gramEnd"/>
      <w:r w:rsidR="0075777C" w:rsidRPr="00DD7790">
        <w:t xml:space="preserve"> with an ERA </w:t>
      </w:r>
      <w:r w:rsidR="00385078">
        <w:t>in addition to</w:t>
      </w:r>
      <w:r w:rsidR="0075777C" w:rsidRPr="00DD7790">
        <w:t xml:space="preserve"> a PDE-5 inhibitor compared with PDE-5 inhibitor alone in all PAH patients</w:t>
      </w:r>
      <w:bookmarkEnd w:id="182"/>
    </w:p>
    <w:p w:rsidR="00C30B1C" w:rsidRPr="00822C52" w:rsidRDefault="00C30B1C" w:rsidP="00F0201F">
      <w:pPr>
        <w:pStyle w:val="Tablenote"/>
      </w:pPr>
      <w:r>
        <w:t xml:space="preserve">AE = adverse event; </w:t>
      </w:r>
      <w:r w:rsidR="0075777C" w:rsidRPr="00822C52">
        <w:t xml:space="preserve">CI = confidence interval; ERA = </w:t>
      </w:r>
      <w:r w:rsidR="0006512A">
        <w:t>endothelin receptor</w:t>
      </w:r>
      <w:r w:rsidR="0075777C" w:rsidRPr="00822C52">
        <w:t xml:space="preserve"> antagonists; N = number of patients; </w:t>
      </w:r>
      <w:r w:rsidRPr="00715D78">
        <w:t xml:space="preserve">PAH = pulmonary arterial hypertension; </w:t>
      </w:r>
      <w:r w:rsidR="0075777C">
        <w:t>PDE-5i</w:t>
      </w:r>
      <w:r w:rsidR="0075777C" w:rsidRPr="00822C52">
        <w:t xml:space="preserve"> = phosphodiesterase type-5 inhibitor; RR = relative risk</w:t>
      </w:r>
    </w:p>
    <w:p w:rsidR="0075777C" w:rsidRPr="00B607A5" w:rsidRDefault="0077344D" w:rsidP="0077344D">
      <w:pPr>
        <w:pStyle w:val="Heading6"/>
      </w:pPr>
      <w:proofErr w:type="gramStart"/>
      <w:r w:rsidRPr="00B607A5">
        <w:t>h</w:t>
      </w:r>
      <w:r w:rsidR="0075777C" w:rsidRPr="00B607A5">
        <w:t>.iii</w:t>
      </w:r>
      <w:proofErr w:type="gramEnd"/>
      <w:r w:rsidR="0075777C" w:rsidRPr="00B607A5">
        <w:tab/>
        <w:t>PAH patients with different disease aetiologies</w:t>
      </w:r>
    </w:p>
    <w:p w:rsidR="0075777C" w:rsidRDefault="0075777C" w:rsidP="0075777C">
      <w:r>
        <w:t>In the AMBITION trial, t</w:t>
      </w:r>
      <w:r w:rsidRPr="00453C86">
        <w:t xml:space="preserve">he proportion of patients </w:t>
      </w:r>
      <w:r>
        <w:t xml:space="preserve">with either IPAH/HPAH or PAH-CTD </w:t>
      </w:r>
      <w:r w:rsidRPr="00453C86">
        <w:t>who had any AE</w:t>
      </w:r>
      <w:r>
        <w:t>, a serious A</w:t>
      </w:r>
      <w:r w:rsidR="00887E55">
        <w:t>E</w:t>
      </w:r>
      <w:r>
        <w:t xml:space="preserve"> or an AE leading to treatment discontinuation</w:t>
      </w:r>
      <w:r w:rsidRPr="00453C86">
        <w:t xml:space="preserve"> w</w:t>
      </w:r>
      <w:r>
        <w:t>ere similar in</w:t>
      </w:r>
      <w:r w:rsidRPr="00453C86">
        <w:t xml:space="preserve"> the combination therapy and monotherapy arms</w:t>
      </w:r>
      <w:r>
        <w:t xml:space="preserve"> (</w:t>
      </w:r>
      <w:r w:rsidR="003951FA">
        <w:t>Table 4.</w:t>
      </w:r>
      <w:r w:rsidR="003951FA">
        <w:rPr>
          <w:noProof/>
        </w:rPr>
        <w:t>54</w:t>
      </w:r>
      <w:r>
        <w:t>)</w:t>
      </w:r>
      <w:r w:rsidRPr="00453C86">
        <w:t>.</w:t>
      </w:r>
    </w:p>
    <w:p w:rsidR="00A73209" w:rsidRDefault="00A73209">
      <w:pPr>
        <w:spacing w:before="0" w:line="240" w:lineRule="auto"/>
        <w:rPr>
          <w:b/>
          <w:iCs/>
          <w:szCs w:val="18"/>
        </w:rPr>
      </w:pPr>
      <w:bookmarkStart w:id="183" w:name="_Ref505252077"/>
      <w:bookmarkStart w:id="184" w:name="_Toc38360351"/>
      <w:r>
        <w:br w:type="page"/>
      </w:r>
    </w:p>
    <w:p w:rsidR="0075777C" w:rsidRPr="000844D1" w:rsidRDefault="00272F8F" w:rsidP="00BC5A2B">
      <w:pPr>
        <w:pStyle w:val="Caption"/>
      </w:pPr>
      <w:r>
        <w:t>Table 4.</w:t>
      </w:r>
      <w:r w:rsidR="003951FA">
        <w:rPr>
          <w:noProof/>
        </w:rPr>
        <w:t>54</w:t>
      </w:r>
      <w:bookmarkEnd w:id="183"/>
      <w:r w:rsidR="00F0201F">
        <w:tab/>
      </w:r>
      <w:r w:rsidR="0075777C" w:rsidRPr="000844D1">
        <w:t xml:space="preserve">The comparative safety of </w:t>
      </w:r>
      <w:r w:rsidR="00EB768B">
        <w:t xml:space="preserve">an </w:t>
      </w:r>
      <w:r w:rsidR="00EB768B" w:rsidRPr="00A32D31">
        <w:t xml:space="preserve">ERA </w:t>
      </w:r>
      <w:r w:rsidR="00385078" w:rsidRPr="00385078">
        <w:t xml:space="preserve">in addition to a PDE-5 inhibitor compared with PDE-5 inhibitor monotherapy </w:t>
      </w:r>
      <w:r w:rsidR="0075777C" w:rsidRPr="000844D1">
        <w:t xml:space="preserve">in patients with </w:t>
      </w:r>
      <w:r w:rsidR="00B923F1">
        <w:t xml:space="preserve">either </w:t>
      </w:r>
      <w:r w:rsidR="0075777C">
        <w:t>I</w:t>
      </w:r>
      <w:r w:rsidR="0075777C" w:rsidRPr="000844D1">
        <w:t>PAH</w:t>
      </w:r>
      <w:r w:rsidR="0075777C">
        <w:t>/HPAH</w:t>
      </w:r>
      <w:r w:rsidR="00B923F1">
        <w:t xml:space="preserve"> or PAH-CTD</w:t>
      </w:r>
      <w:bookmarkEnd w:id="184"/>
    </w:p>
    <w:tbl>
      <w:tblPr>
        <w:tblStyle w:val="TableGrid7"/>
        <w:tblW w:w="9634" w:type="dxa"/>
        <w:tblLayout w:type="fixed"/>
        <w:tblLook w:val="04A0" w:firstRow="1" w:lastRow="0" w:firstColumn="1" w:lastColumn="0" w:noHBand="0" w:noVBand="1"/>
        <w:tblCaption w:val="The comparative safety of an ERA in addition to a PDE-5 inhibitor compared with PDE-5 inhibitor monotherapy in patients with either IPAH/HPAH or PAH-CTD"/>
      </w:tblPr>
      <w:tblGrid>
        <w:gridCol w:w="1696"/>
        <w:gridCol w:w="2268"/>
        <w:gridCol w:w="1843"/>
        <w:gridCol w:w="1843"/>
        <w:gridCol w:w="1984"/>
      </w:tblGrid>
      <w:tr w:rsidR="0075777C" w:rsidRPr="00822C52" w:rsidTr="0086510D">
        <w:trPr>
          <w:trHeight w:val="241"/>
          <w:tblHeader/>
        </w:trPr>
        <w:tc>
          <w:tcPr>
            <w:tcW w:w="1696" w:type="dxa"/>
            <w:vMerge w:val="restart"/>
            <w:shd w:val="clear" w:color="auto" w:fill="BFBFBF" w:themeFill="background1" w:themeFillShade="BF"/>
          </w:tcPr>
          <w:p w:rsidR="0075777C" w:rsidRPr="0086510D" w:rsidRDefault="0075777C" w:rsidP="0086510D">
            <w:pPr>
              <w:pStyle w:val="Tabletext"/>
              <w:rPr>
                <w:b/>
              </w:rPr>
            </w:pPr>
            <w:r w:rsidRPr="0086510D">
              <w:rPr>
                <w:b/>
              </w:rPr>
              <w:t>Study ID</w:t>
            </w:r>
          </w:p>
          <w:p w:rsidR="0075777C" w:rsidRPr="0086510D" w:rsidRDefault="0075777C" w:rsidP="0086510D">
            <w:pPr>
              <w:pStyle w:val="Tabletext"/>
              <w:rPr>
                <w:b/>
              </w:rPr>
            </w:pPr>
            <w:r w:rsidRPr="0086510D">
              <w:rPr>
                <w:b/>
              </w:rPr>
              <w:t>ERA./PDE-5i</w:t>
            </w:r>
          </w:p>
          <w:p w:rsidR="0075777C" w:rsidRPr="0086510D" w:rsidRDefault="0075777C" w:rsidP="0086510D">
            <w:pPr>
              <w:pStyle w:val="Tabletext"/>
              <w:rPr>
                <w:b/>
              </w:rPr>
            </w:pPr>
            <w:r w:rsidRPr="0086510D">
              <w:rPr>
                <w:b/>
              </w:rPr>
              <w:t>Follow-up period</w:t>
            </w:r>
          </w:p>
        </w:tc>
        <w:tc>
          <w:tcPr>
            <w:tcW w:w="2268" w:type="dxa"/>
            <w:vMerge w:val="restart"/>
            <w:shd w:val="clear" w:color="auto" w:fill="BFBFBF" w:themeFill="background1" w:themeFillShade="BF"/>
          </w:tcPr>
          <w:p w:rsidR="0075777C" w:rsidRPr="0086510D" w:rsidRDefault="0075777C" w:rsidP="0086510D">
            <w:pPr>
              <w:pStyle w:val="Tabletext"/>
              <w:rPr>
                <w:b/>
              </w:rPr>
            </w:pPr>
            <w:r w:rsidRPr="0086510D">
              <w:rPr>
                <w:b/>
              </w:rPr>
              <w:t>Adverse events</w:t>
            </w:r>
          </w:p>
        </w:tc>
        <w:tc>
          <w:tcPr>
            <w:tcW w:w="3686" w:type="dxa"/>
            <w:gridSpan w:val="2"/>
            <w:shd w:val="clear" w:color="auto" w:fill="BFBFBF" w:themeFill="background1" w:themeFillShade="BF"/>
          </w:tcPr>
          <w:p w:rsidR="0075777C" w:rsidRPr="0086510D" w:rsidRDefault="0075777C" w:rsidP="0086510D">
            <w:pPr>
              <w:pStyle w:val="Tabletext"/>
              <w:jc w:val="center"/>
              <w:rPr>
                <w:b/>
              </w:rPr>
            </w:pPr>
            <w:proofErr w:type="gramStart"/>
            <w:r w:rsidRPr="0086510D">
              <w:rPr>
                <w:b/>
              </w:rPr>
              <w:t>n/N</w:t>
            </w:r>
            <w:proofErr w:type="gramEnd"/>
            <w:r w:rsidRPr="0086510D">
              <w:rPr>
                <w:b/>
              </w:rPr>
              <w:t xml:space="preserve"> (%)</w:t>
            </w:r>
          </w:p>
        </w:tc>
        <w:tc>
          <w:tcPr>
            <w:tcW w:w="1984" w:type="dxa"/>
            <w:vMerge w:val="restart"/>
            <w:shd w:val="clear" w:color="auto" w:fill="BFBFBF" w:themeFill="background1" w:themeFillShade="BF"/>
          </w:tcPr>
          <w:p w:rsidR="0075777C" w:rsidRPr="0086510D" w:rsidRDefault="0075777C" w:rsidP="0086510D">
            <w:pPr>
              <w:pStyle w:val="Tabletext"/>
              <w:rPr>
                <w:b/>
              </w:rPr>
            </w:pPr>
            <w:r w:rsidRPr="0086510D">
              <w:rPr>
                <w:b/>
              </w:rPr>
              <w:t>RR (95% CI)</w:t>
            </w:r>
          </w:p>
        </w:tc>
      </w:tr>
      <w:tr w:rsidR="0075777C" w:rsidRPr="00822C52" w:rsidTr="0086510D">
        <w:trPr>
          <w:trHeight w:val="202"/>
          <w:tblHeader/>
        </w:trPr>
        <w:tc>
          <w:tcPr>
            <w:tcW w:w="1696" w:type="dxa"/>
            <w:vMerge/>
            <w:shd w:val="clear" w:color="auto" w:fill="BFBFBF" w:themeFill="background1" w:themeFillShade="BF"/>
          </w:tcPr>
          <w:p w:rsidR="0075777C" w:rsidRPr="00822C52" w:rsidRDefault="0075777C" w:rsidP="0086510D">
            <w:pPr>
              <w:pStyle w:val="Tabletext"/>
            </w:pPr>
          </w:p>
        </w:tc>
        <w:tc>
          <w:tcPr>
            <w:tcW w:w="2268" w:type="dxa"/>
            <w:vMerge/>
            <w:shd w:val="clear" w:color="auto" w:fill="BFBFBF" w:themeFill="background1" w:themeFillShade="BF"/>
          </w:tcPr>
          <w:p w:rsidR="0075777C" w:rsidRPr="00822C52" w:rsidRDefault="0075777C" w:rsidP="0086510D">
            <w:pPr>
              <w:pStyle w:val="Tabletext"/>
            </w:pPr>
          </w:p>
        </w:tc>
        <w:tc>
          <w:tcPr>
            <w:tcW w:w="1843" w:type="dxa"/>
            <w:shd w:val="clear" w:color="auto" w:fill="BFBFBF" w:themeFill="background1" w:themeFillShade="BF"/>
          </w:tcPr>
          <w:p w:rsidR="0075777C" w:rsidRPr="0086510D" w:rsidRDefault="0075777C" w:rsidP="0086510D">
            <w:pPr>
              <w:pStyle w:val="Tabletext"/>
              <w:jc w:val="center"/>
              <w:rPr>
                <w:b/>
              </w:rPr>
            </w:pPr>
            <w:r w:rsidRPr="0086510D">
              <w:rPr>
                <w:b/>
              </w:rPr>
              <w:t>ERA + PDE-5i</w:t>
            </w:r>
          </w:p>
        </w:tc>
        <w:tc>
          <w:tcPr>
            <w:tcW w:w="1843" w:type="dxa"/>
            <w:shd w:val="clear" w:color="auto" w:fill="BFBFBF" w:themeFill="background1" w:themeFillShade="BF"/>
          </w:tcPr>
          <w:p w:rsidR="0075777C" w:rsidRPr="0086510D" w:rsidRDefault="0075777C" w:rsidP="0086510D">
            <w:pPr>
              <w:pStyle w:val="Tabletext"/>
              <w:jc w:val="center"/>
              <w:rPr>
                <w:b/>
              </w:rPr>
            </w:pPr>
            <w:r w:rsidRPr="0086510D">
              <w:rPr>
                <w:b/>
              </w:rPr>
              <w:t>PDE-5i</w:t>
            </w:r>
          </w:p>
        </w:tc>
        <w:tc>
          <w:tcPr>
            <w:tcW w:w="1984" w:type="dxa"/>
            <w:vMerge/>
            <w:shd w:val="clear" w:color="auto" w:fill="BFBFBF" w:themeFill="background1" w:themeFillShade="BF"/>
          </w:tcPr>
          <w:p w:rsidR="0075777C" w:rsidRPr="00822C52" w:rsidRDefault="0075777C" w:rsidP="0086510D">
            <w:pPr>
              <w:pStyle w:val="Tabletext"/>
            </w:pPr>
          </w:p>
        </w:tc>
      </w:tr>
      <w:tr w:rsidR="0075777C" w:rsidRPr="00822C52" w:rsidTr="0086510D">
        <w:trPr>
          <w:trHeight w:val="70"/>
        </w:trPr>
        <w:tc>
          <w:tcPr>
            <w:tcW w:w="1696" w:type="dxa"/>
          </w:tcPr>
          <w:p w:rsidR="0075777C" w:rsidRPr="00822C52" w:rsidRDefault="0075777C" w:rsidP="0086510D">
            <w:pPr>
              <w:pStyle w:val="Tabletext"/>
              <w:rPr>
                <w:rFonts w:cs="Tahoma"/>
              </w:rPr>
            </w:pPr>
            <w:r w:rsidRPr="00822C52">
              <w:rPr>
                <w:rFonts w:cs="Tahoma"/>
              </w:rPr>
              <w:t>AMBITION</w:t>
            </w:r>
            <w:r w:rsidR="001D34EE" w:rsidRPr="001A1C44">
              <w:rPr>
                <w:rFonts w:cs="Tahoma"/>
                <w:noProof/>
                <w:vertAlign w:val="superscript"/>
              </w:rPr>
              <w:t>30</w:t>
            </w:r>
          </w:p>
          <w:p w:rsidR="0075777C" w:rsidRPr="00822C52" w:rsidRDefault="0075777C" w:rsidP="0086510D">
            <w:pPr>
              <w:pStyle w:val="Tabletext"/>
              <w:rPr>
                <w:rFonts w:cs="Tahoma"/>
              </w:rPr>
            </w:pPr>
            <w:r w:rsidRPr="00822C52">
              <w:rPr>
                <w:rFonts w:cs="Tahoma"/>
              </w:rPr>
              <w:t>Ambrisentan/tadalafil</w:t>
            </w:r>
          </w:p>
          <w:p w:rsidR="0075777C" w:rsidRPr="00822C52" w:rsidRDefault="0075777C" w:rsidP="0086510D">
            <w:pPr>
              <w:pStyle w:val="Tabletext"/>
              <w:rPr>
                <w:rFonts w:cs="Tahoma"/>
              </w:rPr>
            </w:pPr>
            <w:r w:rsidRPr="00822C52">
              <w:rPr>
                <w:rFonts w:cs="Tahoma"/>
              </w:rPr>
              <w:t>24 weeks</w:t>
            </w:r>
          </w:p>
        </w:tc>
        <w:tc>
          <w:tcPr>
            <w:tcW w:w="2268" w:type="dxa"/>
          </w:tcPr>
          <w:p w:rsidR="0075777C" w:rsidRDefault="00E6350D" w:rsidP="0086510D">
            <w:pPr>
              <w:pStyle w:val="Tabletext"/>
              <w:rPr>
                <w:rFonts w:cs="Tahoma"/>
              </w:rPr>
            </w:pPr>
            <w:r>
              <w:rPr>
                <w:rFonts w:cs="Tahoma"/>
              </w:rPr>
              <w:t>I</w:t>
            </w:r>
            <w:r w:rsidR="0075777C">
              <w:rPr>
                <w:rFonts w:cs="Tahoma"/>
              </w:rPr>
              <w:t>PAH</w:t>
            </w:r>
            <w:r>
              <w:rPr>
                <w:rFonts w:cs="Tahoma"/>
              </w:rPr>
              <w:t>/HPAH</w:t>
            </w:r>
          </w:p>
          <w:p w:rsidR="0075777C" w:rsidRDefault="0075777C" w:rsidP="0086510D">
            <w:pPr>
              <w:pStyle w:val="Tabletext"/>
              <w:rPr>
                <w:rFonts w:cs="Tahoma"/>
              </w:rPr>
            </w:pPr>
            <w:r>
              <w:rPr>
                <w:rFonts w:cs="Tahoma"/>
              </w:rPr>
              <w:t>Any AE</w:t>
            </w:r>
          </w:p>
          <w:p w:rsidR="0075777C" w:rsidRPr="00822C52" w:rsidRDefault="0075777C" w:rsidP="0086510D">
            <w:pPr>
              <w:pStyle w:val="Tabletext"/>
              <w:rPr>
                <w:rFonts w:cs="Tahoma"/>
              </w:rPr>
            </w:pPr>
            <w:r w:rsidRPr="00822C52">
              <w:rPr>
                <w:rFonts w:cs="Tahoma"/>
              </w:rPr>
              <w:t>Serious AEs</w:t>
            </w:r>
          </w:p>
          <w:p w:rsidR="0075777C" w:rsidRDefault="0075777C" w:rsidP="0086510D">
            <w:pPr>
              <w:pStyle w:val="Tabletext"/>
              <w:rPr>
                <w:rFonts w:cs="Tahoma"/>
              </w:rPr>
            </w:pPr>
            <w:r w:rsidRPr="00822C52">
              <w:rPr>
                <w:rFonts w:cs="Tahoma"/>
              </w:rPr>
              <w:t>AEs leading to discontinuation</w:t>
            </w:r>
          </w:p>
          <w:p w:rsidR="0075777C" w:rsidRDefault="0075777C" w:rsidP="0086510D">
            <w:pPr>
              <w:pStyle w:val="Tabletext"/>
              <w:rPr>
                <w:rFonts w:cs="Tahoma"/>
              </w:rPr>
            </w:pPr>
            <w:r>
              <w:rPr>
                <w:rFonts w:cs="Tahoma"/>
              </w:rPr>
              <w:t>PAH-CTD</w:t>
            </w:r>
          </w:p>
          <w:p w:rsidR="0075777C" w:rsidRDefault="0075777C" w:rsidP="0086510D">
            <w:pPr>
              <w:pStyle w:val="Tabletext"/>
              <w:rPr>
                <w:rFonts w:cs="Tahoma"/>
              </w:rPr>
            </w:pPr>
            <w:r>
              <w:rPr>
                <w:rFonts w:cs="Tahoma"/>
              </w:rPr>
              <w:t>Any AE</w:t>
            </w:r>
          </w:p>
          <w:p w:rsidR="0075777C" w:rsidRPr="00822C52" w:rsidRDefault="0075777C" w:rsidP="0086510D">
            <w:pPr>
              <w:pStyle w:val="Tabletext"/>
              <w:rPr>
                <w:rFonts w:cs="Tahoma"/>
              </w:rPr>
            </w:pPr>
            <w:r w:rsidRPr="00822C52">
              <w:rPr>
                <w:rFonts w:cs="Tahoma"/>
              </w:rPr>
              <w:t>Serious AEs</w:t>
            </w:r>
          </w:p>
          <w:p w:rsidR="0075777C" w:rsidRPr="00822C52" w:rsidRDefault="0075777C" w:rsidP="0086510D">
            <w:pPr>
              <w:pStyle w:val="Tabletext"/>
              <w:rPr>
                <w:rFonts w:cs="Tahoma"/>
              </w:rPr>
            </w:pPr>
            <w:r w:rsidRPr="00822C52">
              <w:rPr>
                <w:rFonts w:cs="Tahoma"/>
              </w:rPr>
              <w:t>AEs leading to discontinuation</w:t>
            </w:r>
          </w:p>
        </w:tc>
        <w:tc>
          <w:tcPr>
            <w:tcW w:w="1843" w:type="dxa"/>
            <w:shd w:val="clear" w:color="auto" w:fill="auto"/>
          </w:tcPr>
          <w:p w:rsidR="0075777C" w:rsidRDefault="0075777C" w:rsidP="0086510D">
            <w:pPr>
              <w:pStyle w:val="Tabletext"/>
              <w:jc w:val="center"/>
              <w:rPr>
                <w:rFonts w:cs="Tahoma"/>
              </w:rPr>
            </w:pPr>
          </w:p>
          <w:p w:rsidR="0075777C" w:rsidRPr="00822C52" w:rsidRDefault="0075777C" w:rsidP="0086510D">
            <w:pPr>
              <w:pStyle w:val="Tabletext"/>
              <w:jc w:val="center"/>
              <w:rPr>
                <w:rFonts w:cs="Tahoma"/>
              </w:rPr>
            </w:pPr>
            <w:r>
              <w:rPr>
                <w:rFonts w:cs="Tahoma"/>
              </w:rPr>
              <w:t>130</w:t>
            </w:r>
            <w:r w:rsidRPr="00822C52">
              <w:rPr>
                <w:rFonts w:cs="Tahoma"/>
              </w:rPr>
              <w:t>/</w:t>
            </w:r>
            <w:r>
              <w:rPr>
                <w:rFonts w:cs="Tahoma"/>
              </w:rPr>
              <w:t>134</w:t>
            </w:r>
            <w:r w:rsidRPr="00822C52">
              <w:rPr>
                <w:rFonts w:cs="Tahoma"/>
              </w:rPr>
              <w:t xml:space="preserve"> (</w:t>
            </w:r>
            <w:r>
              <w:rPr>
                <w:rFonts w:cs="Tahoma"/>
              </w:rPr>
              <w:t>9</w:t>
            </w:r>
            <w:r w:rsidRPr="00822C52">
              <w:rPr>
                <w:rFonts w:cs="Tahoma"/>
              </w:rPr>
              <w:t>7%)</w:t>
            </w:r>
          </w:p>
          <w:p w:rsidR="0075777C" w:rsidRDefault="0075777C" w:rsidP="0086510D">
            <w:pPr>
              <w:pStyle w:val="Tabletext"/>
              <w:jc w:val="center"/>
              <w:rPr>
                <w:rFonts w:cs="Tahoma"/>
              </w:rPr>
            </w:pPr>
            <w:r>
              <w:rPr>
                <w:rFonts w:cs="Tahoma"/>
              </w:rPr>
              <w:t>44</w:t>
            </w:r>
            <w:r w:rsidRPr="00822C52">
              <w:rPr>
                <w:rFonts w:cs="Tahoma"/>
              </w:rPr>
              <w:t>/</w:t>
            </w:r>
            <w:r>
              <w:rPr>
                <w:rFonts w:cs="Tahoma"/>
              </w:rPr>
              <w:t>134</w:t>
            </w:r>
            <w:r w:rsidRPr="00822C52">
              <w:rPr>
                <w:rFonts w:cs="Tahoma"/>
              </w:rPr>
              <w:t xml:space="preserve"> (</w:t>
            </w:r>
            <w:r>
              <w:rPr>
                <w:rFonts w:cs="Tahoma"/>
              </w:rPr>
              <w:t>33</w:t>
            </w:r>
            <w:r w:rsidRPr="00822C52">
              <w:rPr>
                <w:rFonts w:cs="Tahoma"/>
              </w:rPr>
              <w:t>%)</w:t>
            </w:r>
          </w:p>
          <w:p w:rsidR="0075777C" w:rsidRDefault="0075777C" w:rsidP="0086510D">
            <w:pPr>
              <w:pStyle w:val="Tabletext"/>
              <w:jc w:val="center"/>
              <w:rPr>
                <w:rFonts w:cs="Tahoma"/>
              </w:rPr>
            </w:pPr>
            <w:r>
              <w:rPr>
                <w:rFonts w:cs="Tahoma"/>
              </w:rPr>
              <w:t>15/134 (11%)</w:t>
            </w:r>
          </w:p>
          <w:p w:rsidR="0075777C" w:rsidRDefault="0075777C" w:rsidP="0086510D">
            <w:pPr>
              <w:pStyle w:val="Tabletext"/>
              <w:jc w:val="center"/>
              <w:rPr>
                <w:rFonts w:cs="Tahoma"/>
              </w:rPr>
            </w:pPr>
          </w:p>
          <w:p w:rsidR="0075777C" w:rsidRDefault="0075777C" w:rsidP="0086510D">
            <w:pPr>
              <w:pStyle w:val="Tabletext"/>
              <w:jc w:val="center"/>
              <w:rPr>
                <w:rFonts w:cs="Tahoma"/>
              </w:rPr>
            </w:pPr>
            <w:r>
              <w:rPr>
                <w:rFonts w:cs="Tahoma"/>
              </w:rPr>
              <w:t>102/103 (99%)</w:t>
            </w:r>
          </w:p>
          <w:p w:rsidR="0075777C" w:rsidRDefault="0075777C" w:rsidP="0086510D">
            <w:pPr>
              <w:pStyle w:val="Tabletext"/>
              <w:jc w:val="center"/>
              <w:rPr>
                <w:rFonts w:cs="Tahoma"/>
              </w:rPr>
            </w:pPr>
            <w:r>
              <w:rPr>
                <w:rFonts w:cs="Tahoma"/>
              </w:rPr>
              <w:t>45/103 (44%)</w:t>
            </w:r>
          </w:p>
          <w:p w:rsidR="0075777C" w:rsidRPr="00822C52" w:rsidRDefault="0075777C" w:rsidP="0086510D">
            <w:pPr>
              <w:pStyle w:val="Tabletext"/>
              <w:jc w:val="center"/>
              <w:rPr>
                <w:rFonts w:cs="Tahoma"/>
                <w:highlight w:val="cyan"/>
              </w:rPr>
            </w:pPr>
            <w:r w:rsidRPr="00CE4DE4">
              <w:rPr>
                <w:rFonts w:cs="Tahoma"/>
              </w:rPr>
              <w:t>14/103 (14%)</w:t>
            </w:r>
          </w:p>
        </w:tc>
        <w:tc>
          <w:tcPr>
            <w:tcW w:w="1843" w:type="dxa"/>
            <w:shd w:val="clear" w:color="auto" w:fill="auto"/>
          </w:tcPr>
          <w:p w:rsidR="0075777C" w:rsidRDefault="0075777C" w:rsidP="0086510D">
            <w:pPr>
              <w:pStyle w:val="Tabletext"/>
              <w:jc w:val="center"/>
              <w:rPr>
                <w:rFonts w:cs="Tahoma"/>
              </w:rPr>
            </w:pPr>
          </w:p>
          <w:p w:rsidR="0075777C" w:rsidRPr="00822C52" w:rsidRDefault="0075777C" w:rsidP="0086510D">
            <w:pPr>
              <w:pStyle w:val="Tabletext"/>
              <w:jc w:val="center"/>
              <w:rPr>
                <w:rFonts w:cs="Tahoma"/>
              </w:rPr>
            </w:pPr>
            <w:r>
              <w:rPr>
                <w:rFonts w:cs="Tahoma"/>
              </w:rPr>
              <w:t>6</w:t>
            </w:r>
            <w:r w:rsidRPr="00822C52">
              <w:rPr>
                <w:rFonts w:cs="Tahoma"/>
              </w:rPr>
              <w:t>5/</w:t>
            </w:r>
            <w:r>
              <w:rPr>
                <w:rFonts w:cs="Tahoma"/>
              </w:rPr>
              <w:t>7</w:t>
            </w:r>
            <w:r w:rsidRPr="00822C52">
              <w:rPr>
                <w:rFonts w:cs="Tahoma"/>
              </w:rPr>
              <w:t>0 (</w:t>
            </w:r>
            <w:r>
              <w:rPr>
                <w:rFonts w:cs="Tahoma"/>
              </w:rPr>
              <w:t>93</w:t>
            </w:r>
            <w:r w:rsidRPr="00822C52">
              <w:rPr>
                <w:rFonts w:cs="Tahoma"/>
              </w:rPr>
              <w:t>%)</w:t>
            </w:r>
          </w:p>
          <w:p w:rsidR="0075777C" w:rsidRDefault="0075777C" w:rsidP="0086510D">
            <w:pPr>
              <w:pStyle w:val="Tabletext"/>
              <w:jc w:val="center"/>
              <w:rPr>
                <w:rFonts w:cs="Tahoma"/>
              </w:rPr>
            </w:pPr>
            <w:r>
              <w:rPr>
                <w:rFonts w:cs="Tahoma"/>
              </w:rPr>
              <w:t>27/70 (39%)</w:t>
            </w:r>
          </w:p>
          <w:p w:rsidR="0075777C" w:rsidRDefault="0075777C" w:rsidP="0086510D">
            <w:pPr>
              <w:pStyle w:val="Tabletext"/>
              <w:jc w:val="center"/>
              <w:rPr>
                <w:rFonts w:cs="Tahoma"/>
              </w:rPr>
            </w:pPr>
            <w:r>
              <w:rPr>
                <w:rFonts w:cs="Tahoma"/>
              </w:rPr>
              <w:t>8</w:t>
            </w:r>
            <w:r w:rsidRPr="00822C52">
              <w:rPr>
                <w:rFonts w:cs="Tahoma"/>
              </w:rPr>
              <w:t>/</w:t>
            </w:r>
            <w:r>
              <w:rPr>
                <w:rFonts w:cs="Tahoma"/>
              </w:rPr>
              <w:t>7</w:t>
            </w:r>
            <w:r w:rsidRPr="00822C52">
              <w:rPr>
                <w:rFonts w:cs="Tahoma"/>
              </w:rPr>
              <w:t>0 (1</w:t>
            </w:r>
            <w:r>
              <w:rPr>
                <w:rFonts w:cs="Tahoma"/>
              </w:rPr>
              <w:t>1</w:t>
            </w:r>
            <w:r w:rsidRPr="00822C52">
              <w:rPr>
                <w:rFonts w:cs="Tahoma"/>
              </w:rPr>
              <w:t>%)</w:t>
            </w:r>
          </w:p>
          <w:p w:rsidR="0075777C" w:rsidRDefault="0075777C" w:rsidP="0086510D">
            <w:pPr>
              <w:pStyle w:val="Tabletext"/>
              <w:jc w:val="center"/>
              <w:rPr>
                <w:rFonts w:cs="Tahoma"/>
              </w:rPr>
            </w:pPr>
          </w:p>
          <w:p w:rsidR="0075777C" w:rsidRDefault="0075777C" w:rsidP="0086510D">
            <w:pPr>
              <w:pStyle w:val="Tabletext"/>
              <w:jc w:val="center"/>
              <w:rPr>
                <w:rFonts w:cs="Tahoma"/>
              </w:rPr>
            </w:pPr>
            <w:r>
              <w:rPr>
                <w:rFonts w:cs="Tahoma"/>
              </w:rPr>
              <w:t>39/40 (98%)</w:t>
            </w:r>
          </w:p>
          <w:p w:rsidR="0075777C" w:rsidRDefault="0075777C" w:rsidP="0086510D">
            <w:pPr>
              <w:pStyle w:val="Tabletext"/>
              <w:jc w:val="center"/>
              <w:rPr>
                <w:rFonts w:cs="Tahoma"/>
              </w:rPr>
            </w:pPr>
            <w:r>
              <w:rPr>
                <w:rFonts w:cs="Tahoma"/>
              </w:rPr>
              <w:t>20/40 (50%)</w:t>
            </w:r>
          </w:p>
          <w:p w:rsidR="0075777C" w:rsidRPr="00822C52" w:rsidRDefault="0075777C" w:rsidP="0086510D">
            <w:pPr>
              <w:pStyle w:val="Tabletext"/>
              <w:jc w:val="center"/>
              <w:rPr>
                <w:rFonts w:cs="Tahoma"/>
                <w:highlight w:val="cyan"/>
              </w:rPr>
            </w:pPr>
            <w:r w:rsidRPr="00CE4DE4">
              <w:rPr>
                <w:rFonts w:cs="Tahoma"/>
              </w:rPr>
              <w:t>6/40 (15%)</w:t>
            </w:r>
          </w:p>
        </w:tc>
        <w:tc>
          <w:tcPr>
            <w:tcW w:w="1984" w:type="dxa"/>
          </w:tcPr>
          <w:p w:rsidR="0075777C" w:rsidRDefault="0075777C" w:rsidP="0086510D">
            <w:pPr>
              <w:pStyle w:val="Tabletext"/>
              <w:rPr>
                <w:rFonts w:cs="Tahoma"/>
              </w:rPr>
            </w:pPr>
          </w:p>
          <w:p w:rsidR="0075777C" w:rsidRPr="00822C52" w:rsidRDefault="0075777C" w:rsidP="0086510D">
            <w:pPr>
              <w:pStyle w:val="Tabletext"/>
              <w:rPr>
                <w:rFonts w:cs="Tahoma"/>
              </w:rPr>
            </w:pPr>
            <w:r>
              <w:rPr>
                <w:rFonts w:cs="Tahoma"/>
              </w:rPr>
              <w:t>1</w:t>
            </w:r>
            <w:r w:rsidRPr="00822C52">
              <w:rPr>
                <w:rFonts w:cs="Tahoma"/>
              </w:rPr>
              <w:t>.</w:t>
            </w:r>
            <w:r>
              <w:rPr>
                <w:rFonts w:cs="Tahoma"/>
              </w:rPr>
              <w:t>04</w:t>
            </w:r>
            <w:r w:rsidRPr="00822C52">
              <w:rPr>
                <w:rFonts w:cs="Tahoma"/>
              </w:rPr>
              <w:t xml:space="preserve"> (0.</w:t>
            </w:r>
            <w:r>
              <w:rPr>
                <w:rFonts w:cs="Tahoma"/>
              </w:rPr>
              <w:t>9</w:t>
            </w:r>
            <w:r w:rsidRPr="00822C52">
              <w:rPr>
                <w:rFonts w:cs="Tahoma"/>
              </w:rPr>
              <w:t>7, 1.1</w:t>
            </w:r>
            <w:r>
              <w:rPr>
                <w:rFonts w:cs="Tahoma"/>
              </w:rPr>
              <w:t>2</w:t>
            </w:r>
            <w:r w:rsidRPr="00822C52">
              <w:rPr>
                <w:rFonts w:cs="Tahoma"/>
              </w:rPr>
              <w:t>)</w:t>
            </w:r>
          </w:p>
          <w:p w:rsidR="0075777C" w:rsidRDefault="0075777C" w:rsidP="0086510D">
            <w:pPr>
              <w:pStyle w:val="Tabletext"/>
              <w:rPr>
                <w:rFonts w:cs="Tahoma"/>
              </w:rPr>
            </w:pPr>
            <w:r w:rsidRPr="00822C52">
              <w:rPr>
                <w:rFonts w:cs="Tahoma"/>
              </w:rPr>
              <w:t>0</w:t>
            </w:r>
            <w:r>
              <w:rPr>
                <w:rFonts w:cs="Tahoma"/>
              </w:rPr>
              <w:t>.8</w:t>
            </w:r>
            <w:r w:rsidRPr="00822C52">
              <w:rPr>
                <w:rFonts w:cs="Tahoma"/>
              </w:rPr>
              <w:t>5 (0.58, 1.</w:t>
            </w:r>
            <w:r>
              <w:rPr>
                <w:rFonts w:cs="Tahoma"/>
              </w:rPr>
              <w:t>25</w:t>
            </w:r>
            <w:r w:rsidRPr="00822C52">
              <w:rPr>
                <w:rFonts w:cs="Tahoma"/>
              </w:rPr>
              <w:t>)</w:t>
            </w:r>
          </w:p>
          <w:p w:rsidR="0075777C" w:rsidRDefault="0075777C" w:rsidP="0086510D">
            <w:pPr>
              <w:pStyle w:val="Tabletext"/>
              <w:rPr>
                <w:rFonts w:cs="Tahoma"/>
              </w:rPr>
            </w:pPr>
            <w:r>
              <w:rPr>
                <w:rFonts w:cs="Tahoma"/>
              </w:rPr>
              <w:t>0.98 (0.44, 2.20)</w:t>
            </w:r>
          </w:p>
          <w:p w:rsidR="0075777C" w:rsidRDefault="0075777C" w:rsidP="0086510D">
            <w:pPr>
              <w:pStyle w:val="Tabletext"/>
              <w:rPr>
                <w:rFonts w:cs="Tahoma"/>
              </w:rPr>
            </w:pPr>
          </w:p>
          <w:p w:rsidR="0075777C" w:rsidRPr="00CE4DE4" w:rsidRDefault="0075777C" w:rsidP="0086510D">
            <w:pPr>
              <w:pStyle w:val="Tabletext"/>
              <w:rPr>
                <w:rFonts w:cs="Tahoma"/>
              </w:rPr>
            </w:pPr>
            <w:r>
              <w:rPr>
                <w:rFonts w:cs="Tahoma"/>
              </w:rPr>
              <w:t>1</w:t>
            </w:r>
            <w:r w:rsidRPr="00CE4DE4">
              <w:rPr>
                <w:rFonts w:cs="Tahoma"/>
              </w:rPr>
              <w:t>.0</w:t>
            </w:r>
            <w:r>
              <w:rPr>
                <w:rFonts w:cs="Tahoma"/>
              </w:rPr>
              <w:t>2</w:t>
            </w:r>
            <w:r w:rsidRPr="00CE4DE4">
              <w:rPr>
                <w:rFonts w:cs="Tahoma"/>
              </w:rPr>
              <w:t xml:space="preserve"> (0.9</w:t>
            </w:r>
            <w:r>
              <w:rPr>
                <w:rFonts w:cs="Tahoma"/>
              </w:rPr>
              <w:t>6</w:t>
            </w:r>
            <w:r w:rsidRPr="00CE4DE4">
              <w:rPr>
                <w:rFonts w:cs="Tahoma"/>
              </w:rPr>
              <w:t>, 1.</w:t>
            </w:r>
            <w:r>
              <w:rPr>
                <w:rFonts w:cs="Tahoma"/>
              </w:rPr>
              <w:t>07</w:t>
            </w:r>
            <w:r w:rsidRPr="00CE4DE4">
              <w:rPr>
                <w:rFonts w:cs="Tahoma"/>
              </w:rPr>
              <w:t>)</w:t>
            </w:r>
          </w:p>
          <w:p w:rsidR="0075777C" w:rsidRPr="00CE4DE4" w:rsidRDefault="0075777C" w:rsidP="0086510D">
            <w:pPr>
              <w:pStyle w:val="Tabletext"/>
              <w:rPr>
                <w:rFonts w:cs="Tahoma"/>
              </w:rPr>
            </w:pPr>
            <w:r w:rsidRPr="00CE4DE4">
              <w:rPr>
                <w:rFonts w:cs="Tahoma"/>
              </w:rPr>
              <w:t>0.8</w:t>
            </w:r>
            <w:r>
              <w:rPr>
                <w:rFonts w:cs="Tahoma"/>
              </w:rPr>
              <w:t>7</w:t>
            </w:r>
            <w:r w:rsidRPr="00CE4DE4">
              <w:rPr>
                <w:rFonts w:cs="Tahoma"/>
              </w:rPr>
              <w:t xml:space="preserve"> (0.</w:t>
            </w:r>
            <w:r>
              <w:rPr>
                <w:rFonts w:cs="Tahoma"/>
              </w:rPr>
              <w:t>60</w:t>
            </w:r>
            <w:r w:rsidRPr="00CE4DE4">
              <w:rPr>
                <w:rFonts w:cs="Tahoma"/>
              </w:rPr>
              <w:t>, 1.2</w:t>
            </w:r>
            <w:r>
              <w:rPr>
                <w:rFonts w:cs="Tahoma"/>
              </w:rPr>
              <w:t>8</w:t>
            </w:r>
            <w:r w:rsidRPr="00CE4DE4">
              <w:rPr>
                <w:rFonts w:cs="Tahoma"/>
              </w:rPr>
              <w:t>)</w:t>
            </w:r>
          </w:p>
          <w:p w:rsidR="0075777C" w:rsidRPr="00822C52" w:rsidRDefault="0075777C" w:rsidP="0086510D">
            <w:pPr>
              <w:pStyle w:val="Tabletext"/>
              <w:rPr>
                <w:rFonts w:cs="Tahoma"/>
              </w:rPr>
            </w:pPr>
            <w:r w:rsidRPr="00CE4DE4">
              <w:rPr>
                <w:rFonts w:cs="Tahoma"/>
              </w:rPr>
              <w:t>0.9</w:t>
            </w:r>
            <w:r>
              <w:rPr>
                <w:rFonts w:cs="Tahoma"/>
              </w:rPr>
              <w:t>1</w:t>
            </w:r>
            <w:r w:rsidRPr="00CE4DE4">
              <w:rPr>
                <w:rFonts w:cs="Tahoma"/>
              </w:rPr>
              <w:t xml:space="preserve"> (0.</w:t>
            </w:r>
            <w:r>
              <w:rPr>
                <w:rFonts w:cs="Tahoma"/>
              </w:rPr>
              <w:t>37</w:t>
            </w:r>
            <w:r w:rsidRPr="00CE4DE4">
              <w:rPr>
                <w:rFonts w:cs="Tahoma"/>
              </w:rPr>
              <w:t>, 2.</w:t>
            </w:r>
            <w:r>
              <w:rPr>
                <w:rFonts w:cs="Tahoma"/>
              </w:rPr>
              <w:t>19</w:t>
            </w:r>
            <w:r w:rsidRPr="00CE4DE4">
              <w:rPr>
                <w:rFonts w:cs="Tahoma"/>
              </w:rPr>
              <w:t>)</w:t>
            </w:r>
          </w:p>
        </w:tc>
      </w:tr>
    </w:tbl>
    <w:p w:rsidR="0075777C" w:rsidRPr="00822C52" w:rsidRDefault="0075777C" w:rsidP="0086510D">
      <w:pPr>
        <w:pStyle w:val="Tablenote"/>
      </w:pPr>
      <w:proofErr w:type="gramStart"/>
      <w:r w:rsidRPr="004D0C0E">
        <w:rPr>
          <w:vertAlign w:val="superscript"/>
        </w:rPr>
        <w:t>a</w:t>
      </w:r>
      <w:proofErr w:type="gramEnd"/>
      <w:r>
        <w:t xml:space="preserve"> </w:t>
      </w:r>
      <w:r w:rsidRPr="00822C52">
        <w:t xml:space="preserve">Small proportion of patients </w:t>
      </w:r>
      <w:r>
        <w:t xml:space="preserve">(4%) </w:t>
      </w:r>
      <w:r w:rsidRPr="00822C52">
        <w:t xml:space="preserve">receiving </w:t>
      </w:r>
      <w:r w:rsidR="0086510D" w:rsidRPr="00822C52">
        <w:t>prostanoids</w:t>
      </w:r>
      <w:r w:rsidRPr="00822C52">
        <w:t xml:space="preserve"> or receiving doublet background therapy</w:t>
      </w:r>
    </w:p>
    <w:p w:rsidR="00C30B1C" w:rsidRDefault="0075777C" w:rsidP="0086510D">
      <w:pPr>
        <w:pStyle w:val="Tablenote"/>
      </w:pPr>
      <w:r w:rsidRPr="00822C52">
        <w:t xml:space="preserve">AE = adverse event; CI = confidence interval; ERA = endothelin receptor antagonist; </w:t>
      </w:r>
      <w:r w:rsidR="00C30B1C" w:rsidRPr="00862E9C">
        <w:t xml:space="preserve">HPAH = heritable PAH; </w:t>
      </w:r>
      <w:r w:rsidRPr="00822C52">
        <w:t xml:space="preserve">HR = hazard ratio; </w:t>
      </w:r>
      <w:r w:rsidR="00C30B1C" w:rsidRPr="00862E9C">
        <w:t xml:space="preserve">IPAH = idiopathic PAH; </w:t>
      </w:r>
      <w:r w:rsidRPr="00822C52">
        <w:t xml:space="preserve">n = number of events; N = number of patients; </w:t>
      </w:r>
      <w:r w:rsidR="00B923F1" w:rsidRPr="00822C52">
        <w:t xml:space="preserve">PAH </w:t>
      </w:r>
      <w:r w:rsidR="00774E89">
        <w:t xml:space="preserve">= </w:t>
      </w:r>
      <w:r w:rsidR="00B923F1" w:rsidRPr="00822C52">
        <w:t>pulmonary arterial hypertension</w:t>
      </w:r>
      <w:r w:rsidR="00774E89">
        <w:t>; PAH-</w:t>
      </w:r>
      <w:r w:rsidR="00774E89" w:rsidRPr="00822C52">
        <w:t>CTD =</w:t>
      </w:r>
      <w:r w:rsidR="00774E89">
        <w:t xml:space="preserve"> PAH </w:t>
      </w:r>
      <w:r w:rsidR="00B923F1">
        <w:t xml:space="preserve">associated with </w:t>
      </w:r>
      <w:r w:rsidR="00B923F1" w:rsidRPr="00822C52">
        <w:t xml:space="preserve">connective tissue disease; </w:t>
      </w:r>
      <w:r>
        <w:t>PDE-5i</w:t>
      </w:r>
      <w:r w:rsidRPr="00822C52">
        <w:t xml:space="preserve"> = phosphodiesterase type-5 inhibitor </w:t>
      </w:r>
      <w:r w:rsidR="00C30B1C" w:rsidRPr="00822C52">
        <w:t xml:space="preserve">RR = relative risk; </w:t>
      </w:r>
      <w:r w:rsidRPr="00822C52">
        <w:t>WHO = World Health Organization</w:t>
      </w:r>
    </w:p>
    <w:p w:rsidR="0075777C" w:rsidRPr="00822C52" w:rsidRDefault="00761752" w:rsidP="0075777C">
      <w:pPr>
        <w:pStyle w:val="Heading4"/>
      </w:pPr>
      <w:r>
        <w:t>4.4.3.2</w:t>
      </w:r>
      <w:r w:rsidR="005035F1">
        <w:tab/>
      </w:r>
      <w:r>
        <w:tab/>
      </w:r>
      <w:r w:rsidR="0075777C" w:rsidRPr="00822C52">
        <w:t>ERA in addition to prosta</w:t>
      </w:r>
      <w:r w:rsidR="0017012F">
        <w:t>noid</w:t>
      </w:r>
      <w:r w:rsidR="0075777C" w:rsidRPr="00822C52">
        <w:t xml:space="preserve"> </w:t>
      </w:r>
    </w:p>
    <w:p w:rsidR="0075777C" w:rsidRDefault="0075777C" w:rsidP="0075777C">
      <w:r>
        <w:t xml:space="preserve">Two </w:t>
      </w:r>
      <w:r w:rsidRPr="00822C52">
        <w:t xml:space="preserve">RCTs reported on the effectiveness of an ERA in addition to </w:t>
      </w:r>
      <w:r w:rsidR="0017012F" w:rsidRPr="0017012F">
        <w:t xml:space="preserve">prostanoid </w:t>
      </w:r>
      <w:r w:rsidRPr="00822C52">
        <w:t xml:space="preserve">in treating PAH compared with placebo plus a </w:t>
      </w:r>
      <w:r w:rsidR="0017012F" w:rsidRPr="0017012F">
        <w:t>prostanoid</w:t>
      </w:r>
      <w:r w:rsidRPr="00822C52">
        <w:t>.</w:t>
      </w:r>
    </w:p>
    <w:p w:rsidR="0075777C" w:rsidRDefault="0075777C" w:rsidP="0075777C">
      <w:r>
        <w:t xml:space="preserve">The </w:t>
      </w:r>
      <w:r w:rsidRPr="00822C52">
        <w:t>BREATHE-2</w:t>
      </w:r>
      <w:r w:rsidR="001D34EE" w:rsidRPr="001A1C44">
        <w:rPr>
          <w:noProof/>
          <w:vertAlign w:val="superscript"/>
        </w:rPr>
        <w:t>35</w:t>
      </w:r>
      <w:r w:rsidRPr="003C2D26">
        <w:t xml:space="preserve"> double-blind, placebo-controlled </w:t>
      </w:r>
      <w:r>
        <w:t xml:space="preserve">trial enrolled 33 patients with </w:t>
      </w:r>
      <w:r w:rsidR="00DD6322" w:rsidRPr="00DD6322">
        <w:t>New York Heart Association</w:t>
      </w:r>
      <w:r w:rsidR="00DD6322">
        <w:t xml:space="preserve"> (</w:t>
      </w:r>
      <w:r>
        <w:t>NYHA</w:t>
      </w:r>
      <w:r w:rsidR="00DD6322">
        <w:t>)</w:t>
      </w:r>
      <w:r>
        <w:t xml:space="preserve"> FC III/IV </w:t>
      </w:r>
      <w:r w:rsidR="00246F7A">
        <w:t xml:space="preserve">(generally equivalent to WHO FC III/IV) </w:t>
      </w:r>
      <w:r>
        <w:t xml:space="preserve">PAH who were scheduled to begin epoprostenol therapy within 2 weeks of screening. Patients </w:t>
      </w:r>
      <w:proofErr w:type="gramStart"/>
      <w:r>
        <w:t>were randomised</w:t>
      </w:r>
      <w:proofErr w:type="gramEnd"/>
      <w:r>
        <w:t xml:space="preserve"> at 2:1 ratio to receive additional treatment with either bosentan or placebo for 16 weeks. Baseline demographic</w:t>
      </w:r>
      <w:r w:rsidRPr="00822C52">
        <w:t xml:space="preserve"> and haemodynamic factors </w:t>
      </w:r>
      <w:proofErr w:type="gramStart"/>
      <w:r w:rsidRPr="00822C52">
        <w:t>were evenly distributed</w:t>
      </w:r>
      <w:proofErr w:type="gramEnd"/>
      <w:r w:rsidRPr="00822C52">
        <w:t xml:space="preserve"> between the two randomised groups</w:t>
      </w:r>
      <w:r>
        <w:t>, except that there were 20% more men in the monotherapy group and 10% more patients with PAH-CTD in the combination therapy group. The trial had a low-to-moderate risk of bias, mostly due to attrition bias; t</w:t>
      </w:r>
      <w:r w:rsidRPr="0085475C">
        <w:t xml:space="preserve">reatment discontinuation occurred more frequently in the </w:t>
      </w:r>
      <w:r>
        <w:t>combination therapy</w:t>
      </w:r>
      <w:r w:rsidRPr="0085475C">
        <w:t xml:space="preserve"> arm than in the </w:t>
      </w:r>
      <w:r>
        <w:t>monotherapy</w:t>
      </w:r>
      <w:r w:rsidRPr="0085475C">
        <w:t xml:space="preserve"> arm</w:t>
      </w:r>
      <w:r>
        <w:t>.</w:t>
      </w:r>
    </w:p>
    <w:p w:rsidR="0075777C" w:rsidRDefault="0075777C" w:rsidP="0075777C">
      <w:r>
        <w:t xml:space="preserve">In the </w:t>
      </w:r>
      <w:r w:rsidRPr="00822C52">
        <w:t>Han 2017</w:t>
      </w:r>
      <w:r w:rsidR="001D34EE" w:rsidRPr="001A1C44">
        <w:rPr>
          <w:noProof/>
          <w:vertAlign w:val="superscript"/>
        </w:rPr>
        <w:t>38</w:t>
      </w:r>
      <w:r w:rsidRPr="00672C98">
        <w:t xml:space="preserve"> </w:t>
      </w:r>
      <w:r>
        <w:t xml:space="preserve">RCT, 27 treatment-naïve patients with WHO FC III/IV PAH </w:t>
      </w:r>
      <w:proofErr w:type="gramStart"/>
      <w:r>
        <w:t>were randomised</w:t>
      </w:r>
      <w:proofErr w:type="gramEnd"/>
      <w:r>
        <w:t xml:space="preserve"> into three groups to receive combination therapy with bosentan and iloprost or monotherapy with either bosentan or iloprost for 12 weeks. Of the 14 patients randomised to combination therapy or iloprost monotherapy, all had IPAH except one patient randomised to combination therapy who had chronic thromboembolic pulmonary hypertension. The patients in the iloprost groups were older (41.8</w:t>
      </w:r>
      <w:r w:rsidR="00B60655">
        <w:t> </w:t>
      </w:r>
      <w:r>
        <w:t>±</w:t>
      </w:r>
      <w:r w:rsidR="00B60655">
        <w:t> </w:t>
      </w:r>
      <w:r>
        <w:t>5.3 years) compared to those receiving combination therapy (30.1</w:t>
      </w:r>
      <w:r w:rsidR="00B60655">
        <w:t> </w:t>
      </w:r>
      <w:r>
        <w:t>±</w:t>
      </w:r>
      <w:r w:rsidR="00B60655">
        <w:t> </w:t>
      </w:r>
      <w:r>
        <w:t>7.4 years), and half (4/8) of those in the combination therapy arm required oxygen compared with only one out of seven patients in the monotherapy group.</w:t>
      </w:r>
      <w:r w:rsidRPr="00A75859">
        <w:t xml:space="preserve"> </w:t>
      </w:r>
      <w:r>
        <w:t xml:space="preserve">Additionally, more patients in the combination therapy group had WHO FC IV disease (3/8; 38%) compared with patients in the monotherapy group (1/6; 17%). </w:t>
      </w:r>
      <w:r w:rsidRPr="00A75859">
        <w:t xml:space="preserve">Baseline haemodynamic factors </w:t>
      </w:r>
      <w:proofErr w:type="gramStart"/>
      <w:r w:rsidRPr="00A75859">
        <w:t>were evenly distributed</w:t>
      </w:r>
      <w:proofErr w:type="gramEnd"/>
      <w:r w:rsidRPr="00A75859">
        <w:t xml:space="preserve"> between the two randomised groups</w:t>
      </w:r>
      <w:r>
        <w:t xml:space="preserve">. This study had a high risk of bias, mostly due </w:t>
      </w:r>
      <w:r w:rsidR="00D60D8E">
        <w:t>to the open-label study design.</w:t>
      </w:r>
    </w:p>
    <w:p w:rsidR="0075777C" w:rsidRPr="00822C52" w:rsidRDefault="0075777C" w:rsidP="0075777C">
      <w:r>
        <w:t>As, both studies only enrolled patients with FC III/IV PAH, all reported outcomes are relevant to this patient subgroup.</w:t>
      </w:r>
    </w:p>
    <w:p w:rsidR="0075777C" w:rsidRPr="00822C52" w:rsidRDefault="0077344D" w:rsidP="0075777C">
      <w:pPr>
        <w:pStyle w:val="Heading5"/>
      </w:pPr>
      <w:r>
        <w:t>a.</w:t>
      </w:r>
      <w:r w:rsidR="007B6C7C">
        <w:tab/>
      </w:r>
      <w:r w:rsidR="0075777C" w:rsidRPr="00822C52">
        <w:t>Study-defined clinical worsening</w:t>
      </w:r>
    </w:p>
    <w:p w:rsidR="0075777C" w:rsidRPr="00822C52" w:rsidRDefault="0075777C" w:rsidP="0075777C">
      <w:r>
        <w:t>Neither RCT reported on the proportion of patients who had clinical worsening during the study period.</w:t>
      </w:r>
    </w:p>
    <w:p w:rsidR="0075777C" w:rsidRPr="00822C52" w:rsidRDefault="0077344D" w:rsidP="0075777C">
      <w:pPr>
        <w:pStyle w:val="Heading5"/>
      </w:pPr>
      <w:r>
        <w:t>b.</w:t>
      </w:r>
      <w:r w:rsidR="007B6C7C">
        <w:tab/>
      </w:r>
      <w:r w:rsidR="00C828F9">
        <w:t>All-cause m</w:t>
      </w:r>
      <w:r w:rsidR="00C828F9" w:rsidRPr="006316DF">
        <w:t>ortality</w:t>
      </w:r>
    </w:p>
    <w:p w:rsidR="0075777C" w:rsidRPr="00B607A5" w:rsidRDefault="0077344D" w:rsidP="0077344D">
      <w:pPr>
        <w:pStyle w:val="Heading6"/>
      </w:pPr>
      <w:proofErr w:type="gramStart"/>
      <w:r w:rsidRPr="00B607A5">
        <w:t>b</w:t>
      </w:r>
      <w:r w:rsidR="0075777C" w:rsidRPr="00B607A5">
        <w:t>.ii</w:t>
      </w:r>
      <w:proofErr w:type="gramEnd"/>
      <w:r w:rsidR="0075777C" w:rsidRPr="00B607A5">
        <w:tab/>
        <w:t>PAH patients with FC III or IV</w:t>
      </w:r>
    </w:p>
    <w:p w:rsidR="0075777C" w:rsidRPr="00822C52" w:rsidRDefault="00CF144F" w:rsidP="0075777C">
      <w:r>
        <w:t>During a study period of</w:t>
      </w:r>
      <w:r w:rsidR="0075777C">
        <w:t xml:space="preserve"> 16 weeks, </w:t>
      </w:r>
      <w:proofErr w:type="gramStart"/>
      <w:r w:rsidR="0075777C">
        <w:t>3</w:t>
      </w:r>
      <w:proofErr w:type="gramEnd"/>
      <w:r w:rsidR="0075777C">
        <w:t xml:space="preserve"> patients in the ERA plus </w:t>
      </w:r>
      <w:r w:rsidR="0086510D">
        <w:t>prostanoid</w:t>
      </w:r>
      <w:r w:rsidR="0075777C">
        <w:t xml:space="preserve"> combination therapy group from the BREATHE-2 trial died, but no patients in the </w:t>
      </w:r>
      <w:r w:rsidR="0086510D">
        <w:t>prostanoid</w:t>
      </w:r>
      <w:r>
        <w:t xml:space="preserve"> monotherapy group die</w:t>
      </w:r>
      <w:r w:rsidR="0075777C">
        <w:t>d (</w:t>
      </w:r>
      <w:r w:rsidR="003951FA">
        <w:t>Table 4.</w:t>
      </w:r>
      <w:r w:rsidR="003951FA">
        <w:rPr>
          <w:noProof/>
        </w:rPr>
        <w:t>55</w:t>
      </w:r>
      <w:r w:rsidR="0075777C">
        <w:t xml:space="preserve">). The clinical investigators from the BREATHE-2 trial considered these deaths to reflect the severity and progressive nature of PAH rather than </w:t>
      </w:r>
      <w:proofErr w:type="gramStart"/>
      <w:r w:rsidR="0075777C">
        <w:t>being related</w:t>
      </w:r>
      <w:proofErr w:type="gramEnd"/>
      <w:r w:rsidR="0075777C">
        <w:t xml:space="preserve"> to the study treatment. The </w:t>
      </w:r>
      <w:r w:rsidR="00B21201">
        <w:t>ARD</w:t>
      </w:r>
      <w:r w:rsidR="0075777C">
        <w:t xml:space="preserve"> (13.6%; 95% CI −0.70, 28.0; p</w:t>
      </w:r>
      <w:r w:rsidR="00B60655">
        <w:t> </w:t>
      </w:r>
      <w:r w:rsidR="0075777C">
        <w:t>=</w:t>
      </w:r>
      <w:r w:rsidR="00B60655">
        <w:t> </w:t>
      </w:r>
      <w:r w:rsidR="0075777C">
        <w:t>0.20) did not reach statistical significance</w:t>
      </w:r>
      <w:r w:rsidR="00531E2B">
        <w:t xml:space="preserve">. The wide CI </w:t>
      </w:r>
      <w:r w:rsidR="0075777C">
        <w:t xml:space="preserve">suggests this study was </w:t>
      </w:r>
      <w:r w:rsidR="00531E2B">
        <w:t xml:space="preserve">statistically </w:t>
      </w:r>
      <w:r w:rsidR="0075777C">
        <w:t xml:space="preserve">underpowered for this outcome. The NNT (inverse of the </w:t>
      </w:r>
      <w:r w:rsidR="00B21201">
        <w:t>ARD</w:t>
      </w:r>
      <w:r w:rsidR="0075777C">
        <w:t>)</w:t>
      </w:r>
      <w:r w:rsidR="0075777C" w:rsidRPr="00362C8C">
        <w:t xml:space="preserve"> </w:t>
      </w:r>
      <w:r w:rsidR="0075777C">
        <w:t xml:space="preserve">indicates that for every </w:t>
      </w:r>
      <w:r w:rsidR="00BD3EF5">
        <w:t>eight</w:t>
      </w:r>
      <w:r w:rsidR="0075777C">
        <w:t xml:space="preserve"> patients treated with </w:t>
      </w:r>
      <w:r w:rsidR="0086510D">
        <w:t>prostanoid</w:t>
      </w:r>
      <w:r w:rsidR="0075777C">
        <w:t xml:space="preserve"> monotherapy one additional death was prevented compared with ERA plus </w:t>
      </w:r>
      <w:r w:rsidR="0086510D">
        <w:t>prostanoid</w:t>
      </w:r>
      <w:r w:rsidR="0075777C">
        <w:t xml:space="preserve"> combination therapy.</w:t>
      </w:r>
    </w:p>
    <w:p w:rsidR="0075777C" w:rsidRPr="00DD7790" w:rsidRDefault="00272F8F" w:rsidP="00BC5A2B">
      <w:pPr>
        <w:pStyle w:val="Caption"/>
      </w:pPr>
      <w:bookmarkStart w:id="185" w:name="_Ref505252047"/>
      <w:bookmarkStart w:id="186" w:name="_Toc38360352"/>
      <w:r>
        <w:t>Table 4.</w:t>
      </w:r>
      <w:r w:rsidR="003951FA">
        <w:rPr>
          <w:noProof/>
        </w:rPr>
        <w:t>55</w:t>
      </w:r>
      <w:bookmarkEnd w:id="185"/>
      <w:r w:rsidR="0086510D">
        <w:tab/>
      </w:r>
      <w:r w:rsidR="0075777C" w:rsidRPr="00DD7790">
        <w:t xml:space="preserve">Mortality rates for </w:t>
      </w:r>
      <w:r w:rsidR="00EB768B">
        <w:t xml:space="preserve">an </w:t>
      </w:r>
      <w:r w:rsidR="00EB768B" w:rsidRPr="00A32D31">
        <w:t xml:space="preserve">ERA </w:t>
      </w:r>
      <w:r w:rsidR="00385078">
        <w:t>in addition to</w:t>
      </w:r>
      <w:r w:rsidR="00EB768B" w:rsidRPr="00A32D31">
        <w:t xml:space="preserve"> </w:t>
      </w:r>
      <w:r w:rsidR="00EB768B">
        <w:t xml:space="preserve">a </w:t>
      </w:r>
      <w:r w:rsidR="0086510D" w:rsidRPr="00DD7790">
        <w:t>prostanoid</w:t>
      </w:r>
      <w:r w:rsidR="0075777C" w:rsidRPr="00DD7790">
        <w:t xml:space="preserve"> compared with </w:t>
      </w:r>
      <w:r w:rsidR="0086510D" w:rsidRPr="00DD7790">
        <w:t>prostanoid</w:t>
      </w:r>
      <w:r w:rsidR="00385078">
        <w:t xml:space="preserve"> monotherapy</w:t>
      </w:r>
      <w:r w:rsidR="0075777C" w:rsidRPr="00DD7790">
        <w:t xml:space="preserve"> in all PAH patients</w:t>
      </w:r>
      <w:bookmarkEnd w:id="186"/>
    </w:p>
    <w:tbl>
      <w:tblPr>
        <w:tblStyle w:val="TableGrid7"/>
        <w:tblW w:w="9634" w:type="dxa"/>
        <w:tblLayout w:type="fixed"/>
        <w:tblLook w:val="04A0" w:firstRow="1" w:lastRow="0" w:firstColumn="1" w:lastColumn="0" w:noHBand="0" w:noVBand="1"/>
        <w:tblCaption w:val="Mortality rates for an ERA in addition to a prostanoid compared with prostanoid monotherapy in all PAH patients"/>
      </w:tblPr>
      <w:tblGrid>
        <w:gridCol w:w="1271"/>
        <w:gridCol w:w="2410"/>
        <w:gridCol w:w="1843"/>
        <w:gridCol w:w="2126"/>
        <w:gridCol w:w="1984"/>
      </w:tblGrid>
      <w:tr w:rsidR="0075777C" w:rsidRPr="00822C52" w:rsidTr="0086510D">
        <w:trPr>
          <w:trHeight w:val="254"/>
          <w:tblHeader/>
        </w:trPr>
        <w:tc>
          <w:tcPr>
            <w:tcW w:w="1271" w:type="dxa"/>
            <w:vMerge w:val="restart"/>
            <w:shd w:val="clear" w:color="auto" w:fill="BFBFBF" w:themeFill="background1" w:themeFillShade="BF"/>
          </w:tcPr>
          <w:p w:rsidR="0075777C" w:rsidRPr="0086510D" w:rsidRDefault="0075777C" w:rsidP="0086510D">
            <w:pPr>
              <w:pStyle w:val="Tabletext"/>
              <w:rPr>
                <w:b/>
              </w:rPr>
            </w:pPr>
            <w:r w:rsidRPr="0086510D">
              <w:rPr>
                <w:b/>
              </w:rPr>
              <w:t>Study ID</w:t>
            </w:r>
          </w:p>
        </w:tc>
        <w:tc>
          <w:tcPr>
            <w:tcW w:w="2410" w:type="dxa"/>
            <w:vMerge w:val="restart"/>
            <w:shd w:val="clear" w:color="auto" w:fill="BFBFBF" w:themeFill="background1" w:themeFillShade="BF"/>
          </w:tcPr>
          <w:p w:rsidR="0075777C" w:rsidRPr="0086510D" w:rsidRDefault="0075777C" w:rsidP="0086510D">
            <w:pPr>
              <w:pStyle w:val="Tabletext"/>
              <w:rPr>
                <w:b/>
              </w:rPr>
            </w:pPr>
            <w:r w:rsidRPr="0086510D">
              <w:rPr>
                <w:b/>
              </w:rPr>
              <w:t>Follow-up period</w:t>
            </w:r>
          </w:p>
          <w:p w:rsidR="0075777C" w:rsidRPr="0086510D" w:rsidRDefault="0075777C" w:rsidP="0086510D">
            <w:pPr>
              <w:pStyle w:val="Tabletext"/>
              <w:rPr>
                <w:b/>
              </w:rPr>
            </w:pPr>
            <w:r w:rsidRPr="0086510D">
              <w:rPr>
                <w:b/>
              </w:rPr>
              <w:t>ERA/</w:t>
            </w:r>
            <w:r w:rsidR="0017012F" w:rsidRPr="0086510D">
              <w:rPr>
                <w:b/>
              </w:rPr>
              <w:t>prostanoid</w:t>
            </w:r>
          </w:p>
        </w:tc>
        <w:tc>
          <w:tcPr>
            <w:tcW w:w="3969" w:type="dxa"/>
            <w:gridSpan w:val="2"/>
            <w:shd w:val="clear" w:color="auto" w:fill="BFBFBF" w:themeFill="background1" w:themeFillShade="BF"/>
          </w:tcPr>
          <w:p w:rsidR="0075777C" w:rsidRPr="0086510D" w:rsidRDefault="0075777C" w:rsidP="0086510D">
            <w:pPr>
              <w:pStyle w:val="Tabletext"/>
              <w:jc w:val="center"/>
              <w:rPr>
                <w:b/>
              </w:rPr>
            </w:pPr>
            <w:proofErr w:type="gramStart"/>
            <w:r w:rsidRPr="0086510D">
              <w:rPr>
                <w:b/>
              </w:rPr>
              <w:t>n/N</w:t>
            </w:r>
            <w:proofErr w:type="gramEnd"/>
            <w:r w:rsidRPr="0086510D">
              <w:rPr>
                <w:b/>
              </w:rPr>
              <w:t xml:space="preserve"> (%)</w:t>
            </w:r>
          </w:p>
        </w:tc>
        <w:tc>
          <w:tcPr>
            <w:tcW w:w="1984" w:type="dxa"/>
            <w:vMerge w:val="restart"/>
            <w:shd w:val="clear" w:color="auto" w:fill="BFBFBF" w:themeFill="background1" w:themeFillShade="BF"/>
          </w:tcPr>
          <w:p w:rsidR="0075777C" w:rsidRPr="0086510D" w:rsidRDefault="0075777C" w:rsidP="0086510D">
            <w:pPr>
              <w:pStyle w:val="Tabletext"/>
              <w:rPr>
                <w:b/>
              </w:rPr>
            </w:pPr>
            <w:r w:rsidRPr="0086510D">
              <w:rPr>
                <w:b/>
              </w:rPr>
              <w:t>RR (95% CI)</w:t>
            </w:r>
          </w:p>
        </w:tc>
      </w:tr>
      <w:tr w:rsidR="0075777C" w:rsidRPr="00822C52" w:rsidTr="0086510D">
        <w:trPr>
          <w:trHeight w:val="202"/>
          <w:tblHeader/>
        </w:trPr>
        <w:tc>
          <w:tcPr>
            <w:tcW w:w="1271" w:type="dxa"/>
            <w:vMerge/>
            <w:shd w:val="clear" w:color="auto" w:fill="BFBFBF" w:themeFill="background1" w:themeFillShade="BF"/>
          </w:tcPr>
          <w:p w:rsidR="0075777C" w:rsidRPr="00822C52" w:rsidRDefault="0075777C" w:rsidP="0086510D">
            <w:pPr>
              <w:pStyle w:val="Tabletext"/>
            </w:pPr>
          </w:p>
        </w:tc>
        <w:tc>
          <w:tcPr>
            <w:tcW w:w="2410" w:type="dxa"/>
            <w:vMerge/>
            <w:shd w:val="clear" w:color="auto" w:fill="BFBFBF" w:themeFill="background1" w:themeFillShade="BF"/>
          </w:tcPr>
          <w:p w:rsidR="0075777C" w:rsidRPr="00822C52" w:rsidRDefault="0075777C" w:rsidP="0086510D">
            <w:pPr>
              <w:pStyle w:val="Tabletext"/>
            </w:pPr>
          </w:p>
        </w:tc>
        <w:tc>
          <w:tcPr>
            <w:tcW w:w="1843" w:type="dxa"/>
            <w:shd w:val="clear" w:color="auto" w:fill="BFBFBF" w:themeFill="background1" w:themeFillShade="BF"/>
          </w:tcPr>
          <w:p w:rsidR="0075777C" w:rsidRPr="0086510D" w:rsidRDefault="0075777C" w:rsidP="0086510D">
            <w:pPr>
              <w:pStyle w:val="Tabletext"/>
              <w:jc w:val="center"/>
              <w:rPr>
                <w:b/>
              </w:rPr>
            </w:pPr>
            <w:r w:rsidRPr="0086510D">
              <w:rPr>
                <w:b/>
              </w:rPr>
              <w:t xml:space="preserve">ERA + </w:t>
            </w:r>
            <w:r w:rsidR="0086510D" w:rsidRPr="0086510D">
              <w:rPr>
                <w:b/>
              </w:rPr>
              <w:t>prostanoid</w:t>
            </w:r>
          </w:p>
        </w:tc>
        <w:tc>
          <w:tcPr>
            <w:tcW w:w="2126" w:type="dxa"/>
            <w:shd w:val="clear" w:color="auto" w:fill="BFBFBF" w:themeFill="background1" w:themeFillShade="BF"/>
          </w:tcPr>
          <w:p w:rsidR="0075777C" w:rsidRPr="0086510D" w:rsidRDefault="00EF4CF6" w:rsidP="00EF4CF6">
            <w:pPr>
              <w:pStyle w:val="Tabletext"/>
              <w:jc w:val="center"/>
              <w:rPr>
                <w:b/>
              </w:rPr>
            </w:pPr>
            <w:r>
              <w:rPr>
                <w:b/>
              </w:rPr>
              <w:t>P</w:t>
            </w:r>
            <w:r w:rsidR="0086510D" w:rsidRPr="0086510D">
              <w:rPr>
                <w:b/>
              </w:rPr>
              <w:t>rostanoid</w:t>
            </w:r>
          </w:p>
        </w:tc>
        <w:tc>
          <w:tcPr>
            <w:tcW w:w="1984" w:type="dxa"/>
            <w:vMerge/>
            <w:shd w:val="clear" w:color="auto" w:fill="BFBFBF" w:themeFill="background1" w:themeFillShade="BF"/>
          </w:tcPr>
          <w:p w:rsidR="0075777C" w:rsidRPr="00822C52" w:rsidRDefault="0075777C" w:rsidP="0086510D">
            <w:pPr>
              <w:pStyle w:val="Tabletext"/>
            </w:pPr>
          </w:p>
        </w:tc>
      </w:tr>
      <w:tr w:rsidR="0075777C" w:rsidRPr="00822C52" w:rsidTr="0086510D">
        <w:trPr>
          <w:trHeight w:val="70"/>
        </w:trPr>
        <w:tc>
          <w:tcPr>
            <w:tcW w:w="1271" w:type="dxa"/>
          </w:tcPr>
          <w:p w:rsidR="0075777C" w:rsidRPr="00822C52" w:rsidRDefault="0075777C" w:rsidP="001D34EE">
            <w:pPr>
              <w:pStyle w:val="Tabletext"/>
              <w:rPr>
                <w:rFonts w:cs="Tahoma"/>
              </w:rPr>
            </w:pPr>
            <w:r w:rsidRPr="00822C52">
              <w:rPr>
                <w:rFonts w:cs="Tahoma"/>
              </w:rPr>
              <w:t>BREATHE-2</w:t>
            </w:r>
            <w:r w:rsidR="001D34EE" w:rsidRPr="001A1C44">
              <w:rPr>
                <w:rFonts w:cs="Tahoma"/>
                <w:noProof/>
                <w:vertAlign w:val="superscript"/>
              </w:rPr>
              <w:t>35</w:t>
            </w:r>
          </w:p>
        </w:tc>
        <w:tc>
          <w:tcPr>
            <w:tcW w:w="2410" w:type="dxa"/>
          </w:tcPr>
          <w:p w:rsidR="0075777C" w:rsidRPr="00822C52" w:rsidRDefault="0075777C" w:rsidP="0086510D">
            <w:pPr>
              <w:pStyle w:val="Tabletext"/>
              <w:rPr>
                <w:rFonts w:cs="Tahoma"/>
              </w:rPr>
            </w:pPr>
            <w:r w:rsidRPr="00822C52">
              <w:rPr>
                <w:rFonts w:cs="Tahoma"/>
              </w:rPr>
              <w:t>16 weeks</w:t>
            </w:r>
          </w:p>
          <w:p w:rsidR="0075777C" w:rsidRPr="00822C52" w:rsidRDefault="0075777C" w:rsidP="0086510D">
            <w:pPr>
              <w:pStyle w:val="Tabletext"/>
              <w:rPr>
                <w:rFonts w:cs="Tahoma"/>
                <w:highlight w:val="cyan"/>
              </w:rPr>
            </w:pPr>
            <w:r>
              <w:rPr>
                <w:rFonts w:cs="Tahoma"/>
              </w:rPr>
              <w:t>Bosentan/</w:t>
            </w:r>
            <w:r w:rsidRPr="00822C52">
              <w:rPr>
                <w:rFonts w:cs="Tahoma"/>
              </w:rPr>
              <w:t>epoprostenol</w:t>
            </w:r>
          </w:p>
        </w:tc>
        <w:tc>
          <w:tcPr>
            <w:tcW w:w="1843" w:type="dxa"/>
          </w:tcPr>
          <w:p w:rsidR="0075777C" w:rsidRPr="00822C52" w:rsidRDefault="0050638A" w:rsidP="0086510D">
            <w:pPr>
              <w:pStyle w:val="Tabletext"/>
              <w:jc w:val="center"/>
              <w:rPr>
                <w:rFonts w:cs="Tahoma"/>
              </w:rPr>
            </w:pPr>
            <w:r>
              <w:rPr>
                <w:rFonts w:cs="Tahoma"/>
              </w:rPr>
              <w:t>3/22 (14</w:t>
            </w:r>
            <w:r w:rsidR="0075777C" w:rsidRPr="00822C52">
              <w:rPr>
                <w:rFonts w:cs="Tahoma"/>
              </w:rPr>
              <w:t>%)</w:t>
            </w:r>
          </w:p>
        </w:tc>
        <w:tc>
          <w:tcPr>
            <w:tcW w:w="2126" w:type="dxa"/>
          </w:tcPr>
          <w:p w:rsidR="0075777C" w:rsidRPr="00822C52" w:rsidRDefault="0075777C" w:rsidP="0086510D">
            <w:pPr>
              <w:pStyle w:val="Tabletext"/>
              <w:jc w:val="center"/>
              <w:rPr>
                <w:rFonts w:cs="Tahoma"/>
              </w:rPr>
            </w:pPr>
            <w:r w:rsidRPr="00822C52">
              <w:rPr>
                <w:rFonts w:cs="Tahoma"/>
              </w:rPr>
              <w:t>0/11 (0%)</w:t>
            </w:r>
          </w:p>
        </w:tc>
        <w:tc>
          <w:tcPr>
            <w:tcW w:w="1984" w:type="dxa"/>
          </w:tcPr>
          <w:p w:rsidR="0075777C" w:rsidRPr="00822C52" w:rsidRDefault="0075777C" w:rsidP="0086510D">
            <w:pPr>
              <w:pStyle w:val="Tabletext"/>
              <w:rPr>
                <w:rFonts w:cs="Tahoma"/>
              </w:rPr>
            </w:pPr>
            <w:r>
              <w:rPr>
                <w:rFonts w:cs="Tahoma"/>
              </w:rPr>
              <w:t>Not calculable</w:t>
            </w:r>
          </w:p>
        </w:tc>
      </w:tr>
    </w:tbl>
    <w:p w:rsidR="0075777C" w:rsidRPr="00822C52" w:rsidRDefault="0075777C" w:rsidP="0086510D">
      <w:pPr>
        <w:pStyle w:val="Tablenote"/>
      </w:pPr>
      <w:r w:rsidRPr="00822C52">
        <w:t xml:space="preserve">CI = confidence interval; ERA = endothelin receptor antagonist; n = number of </w:t>
      </w:r>
      <w:r w:rsidR="00C30B1C">
        <w:t xml:space="preserve">patients with </w:t>
      </w:r>
      <w:r w:rsidRPr="00822C52">
        <w:t>events; N = number of patients; PAH = pulmonary arterial hypertension; RR = relative risk</w:t>
      </w:r>
    </w:p>
    <w:p w:rsidR="0075777C" w:rsidRPr="00822C52" w:rsidRDefault="0077344D" w:rsidP="0075777C">
      <w:pPr>
        <w:pStyle w:val="Heading5"/>
      </w:pPr>
      <w:r>
        <w:t>c.</w:t>
      </w:r>
      <w:r w:rsidR="007B6C7C">
        <w:tab/>
      </w:r>
      <w:r w:rsidR="00C828F9" w:rsidRPr="006316DF">
        <w:t>Hospitalisation</w:t>
      </w:r>
      <w:r w:rsidR="00C828F9" w:rsidRPr="0046652B">
        <w:t xml:space="preserve"> due to worsening PAH</w:t>
      </w:r>
    </w:p>
    <w:p w:rsidR="0075777C" w:rsidRPr="00822C52" w:rsidRDefault="0075777C" w:rsidP="0075777C">
      <w:r>
        <w:t>Neither RCT reported on the proportion of patients who were hospitalised during the study period.</w:t>
      </w:r>
    </w:p>
    <w:p w:rsidR="0075777C" w:rsidRPr="00822C52" w:rsidRDefault="0077344D" w:rsidP="0075777C">
      <w:pPr>
        <w:pStyle w:val="Heading5"/>
      </w:pPr>
      <w:r>
        <w:t>d.</w:t>
      </w:r>
      <w:r w:rsidR="007B6C7C">
        <w:tab/>
      </w:r>
      <w:r w:rsidR="0075777C" w:rsidRPr="00822C52">
        <w:t xml:space="preserve">Change in WHO </w:t>
      </w:r>
      <w:r w:rsidR="0075777C">
        <w:t>FC</w:t>
      </w:r>
      <w:r w:rsidR="007B6C7C">
        <w:t xml:space="preserve"> from baseline</w:t>
      </w:r>
    </w:p>
    <w:p w:rsidR="0075777C" w:rsidRPr="00B607A5" w:rsidRDefault="0077344D" w:rsidP="0077344D">
      <w:pPr>
        <w:pStyle w:val="Heading6"/>
      </w:pPr>
      <w:proofErr w:type="gramStart"/>
      <w:r w:rsidRPr="00B607A5">
        <w:t>d</w:t>
      </w:r>
      <w:r w:rsidR="0075777C" w:rsidRPr="00B607A5">
        <w:t>.ii</w:t>
      </w:r>
      <w:proofErr w:type="gramEnd"/>
      <w:r w:rsidR="0075777C" w:rsidRPr="00B607A5">
        <w:tab/>
        <w:t>PAH patients with FC III or IV</w:t>
      </w:r>
    </w:p>
    <w:p w:rsidR="0075777C" w:rsidRPr="00822C52" w:rsidRDefault="0075777C" w:rsidP="0075777C">
      <w:r w:rsidRPr="00822C52">
        <w:t>Han 2017</w:t>
      </w:r>
      <w:r w:rsidR="001D34EE" w:rsidRPr="001A1C44">
        <w:rPr>
          <w:noProof/>
          <w:vertAlign w:val="superscript"/>
        </w:rPr>
        <w:t>38</w:t>
      </w:r>
      <w:r>
        <w:t xml:space="preserve"> reported on WHO FC at baseline and at 12 weeks, and found that all patients in the combination therapy group had improved their WHO FC from III/IV to </w:t>
      </w:r>
      <w:proofErr w:type="gramStart"/>
      <w:r>
        <w:t>I/</w:t>
      </w:r>
      <w:proofErr w:type="gramEnd"/>
      <w:r>
        <w:t>II (</w:t>
      </w:r>
      <w:r w:rsidR="003951FA">
        <w:t>Table 4.</w:t>
      </w:r>
      <w:r w:rsidR="003951FA">
        <w:rPr>
          <w:noProof/>
        </w:rPr>
        <w:t>56</w:t>
      </w:r>
      <w:r>
        <w:t xml:space="preserve">). However, the data for the </w:t>
      </w:r>
      <w:r w:rsidR="0017012F">
        <w:t>prostanoid</w:t>
      </w:r>
      <w:r>
        <w:t xml:space="preserve"> monotherapy group </w:t>
      </w:r>
      <w:proofErr w:type="gramStart"/>
      <w:r>
        <w:t>could not be extracted</w:t>
      </w:r>
      <w:proofErr w:type="gramEnd"/>
      <w:r>
        <w:t xml:space="preserve"> because the authors did not specify how many patients with WHO FC II/IV at 12 weeks had improved or worsened. In the BREATHE-2 trial, patients receiving ERA plus </w:t>
      </w:r>
      <w:r w:rsidR="0017012F">
        <w:t>prostanoid</w:t>
      </w:r>
      <w:r>
        <w:t xml:space="preserve"> combination therapy were more likely to improve </w:t>
      </w:r>
      <w:r w:rsidR="00531E2B">
        <w:t xml:space="preserve">their WHO FC </w:t>
      </w:r>
      <w:r>
        <w:t xml:space="preserve">than those on </w:t>
      </w:r>
      <w:r w:rsidR="0017012F">
        <w:t>prostanoid</w:t>
      </w:r>
      <w:r>
        <w:t xml:space="preserve"> monotherapy (</w:t>
      </w:r>
      <w:r w:rsidR="00B21201">
        <w:t>ARD</w:t>
      </w:r>
      <w:r w:rsidR="00B60655">
        <w:t> </w:t>
      </w:r>
      <w:r>
        <w:t>=</w:t>
      </w:r>
      <w:r w:rsidR="00B60655">
        <w:t> </w:t>
      </w:r>
      <w:r w:rsidRPr="00797BD1">
        <w:t>13.6%; 95% CI −</w:t>
      </w:r>
      <w:r>
        <w:t>22.3</w:t>
      </w:r>
      <w:r w:rsidRPr="00797BD1">
        <w:t xml:space="preserve">, </w:t>
      </w:r>
      <w:r>
        <w:t>49</w:t>
      </w:r>
      <w:r w:rsidRPr="00797BD1">
        <w:t>.</w:t>
      </w:r>
      <w:r>
        <w:t>5; p</w:t>
      </w:r>
      <w:r w:rsidR="00B60655">
        <w:t> </w:t>
      </w:r>
      <w:r>
        <w:t>=</w:t>
      </w:r>
      <w:r w:rsidR="00B60655">
        <w:t> </w:t>
      </w:r>
      <w:r>
        <w:t>0.46), but the difference was not statistically significant, most likely due to the small sample size</w:t>
      </w:r>
      <w:r w:rsidRPr="00797BD1">
        <w:t>. Th</w:t>
      </w:r>
      <w:r>
        <w:t>us,</w:t>
      </w:r>
      <w:r w:rsidRPr="00797BD1">
        <w:t xml:space="preserve"> for every </w:t>
      </w:r>
      <w:r w:rsidR="00E70D1D">
        <w:t>eight</w:t>
      </w:r>
      <w:r w:rsidRPr="00797BD1">
        <w:t xml:space="preserve"> patients treated with ERA plus </w:t>
      </w:r>
      <w:r w:rsidR="00B60655" w:rsidRPr="00797BD1">
        <w:t>prostanoid</w:t>
      </w:r>
      <w:r w:rsidRPr="00797BD1">
        <w:t xml:space="preserve"> combination therapy one additional </w:t>
      </w:r>
      <w:r>
        <w:t>patient improved their WHO FC</w:t>
      </w:r>
      <w:r w:rsidRPr="00797BD1">
        <w:t xml:space="preserve"> compar</w:t>
      </w:r>
      <w:r>
        <w:t xml:space="preserve">ed with </w:t>
      </w:r>
      <w:r w:rsidR="00B60655">
        <w:t>prostanoid</w:t>
      </w:r>
      <w:r>
        <w:t xml:space="preserve"> monotherapy.</w:t>
      </w:r>
    </w:p>
    <w:p w:rsidR="0075777C" w:rsidRPr="00A32D31" w:rsidRDefault="00272F8F" w:rsidP="00BC5A2B">
      <w:pPr>
        <w:pStyle w:val="Caption"/>
      </w:pPr>
      <w:bookmarkStart w:id="187" w:name="_Ref505251986"/>
      <w:bookmarkStart w:id="188" w:name="_Toc38360353"/>
      <w:r>
        <w:t>Table 4.</w:t>
      </w:r>
      <w:r w:rsidR="003951FA">
        <w:rPr>
          <w:noProof/>
        </w:rPr>
        <w:t>56</w:t>
      </w:r>
      <w:bookmarkEnd w:id="187"/>
      <w:r w:rsidR="0086510D">
        <w:tab/>
      </w:r>
      <w:r w:rsidR="0075777C" w:rsidRPr="00A32D31">
        <w:t xml:space="preserve">The effectiveness of </w:t>
      </w:r>
      <w:r w:rsidR="00385078">
        <w:t xml:space="preserve">an </w:t>
      </w:r>
      <w:r w:rsidR="00385078" w:rsidRPr="00A32D31">
        <w:t xml:space="preserve">ERA </w:t>
      </w:r>
      <w:r w:rsidR="00385078">
        <w:t>in addition to</w:t>
      </w:r>
      <w:r w:rsidR="00385078" w:rsidRPr="00A32D31">
        <w:t xml:space="preserve"> </w:t>
      </w:r>
      <w:r w:rsidR="00385078">
        <w:t xml:space="preserve">a </w:t>
      </w:r>
      <w:r w:rsidR="00385078" w:rsidRPr="00DD7790">
        <w:t>prostanoid compared with prostanoid</w:t>
      </w:r>
      <w:r w:rsidR="00385078">
        <w:t xml:space="preserve"> monotherapy</w:t>
      </w:r>
      <w:r w:rsidR="00385078" w:rsidRPr="00DD7790">
        <w:t xml:space="preserve"> </w:t>
      </w:r>
      <w:r w:rsidR="0075777C" w:rsidRPr="00A32D31">
        <w:t>in improving WHO FC</w:t>
      </w:r>
      <w:r w:rsidR="00C30B1C">
        <w:t xml:space="preserve"> in all PAH patients</w:t>
      </w:r>
      <w:bookmarkEnd w:id="188"/>
    </w:p>
    <w:tbl>
      <w:tblPr>
        <w:tblStyle w:val="TableGrid7"/>
        <w:tblW w:w="9634" w:type="dxa"/>
        <w:tblLayout w:type="fixed"/>
        <w:tblLook w:val="04A0" w:firstRow="1" w:lastRow="0" w:firstColumn="1" w:lastColumn="0" w:noHBand="0" w:noVBand="1"/>
        <w:tblCaption w:val="The effectiveness of an ERA in addition to a prostanoid compared with prostanoid monotherapy in improving WHO FC in all PAH patients"/>
      </w:tblPr>
      <w:tblGrid>
        <w:gridCol w:w="1838"/>
        <w:gridCol w:w="1559"/>
        <w:gridCol w:w="2268"/>
        <w:gridCol w:w="1985"/>
        <w:gridCol w:w="1984"/>
      </w:tblGrid>
      <w:tr w:rsidR="0075777C" w:rsidRPr="00822C52" w:rsidTr="0086510D">
        <w:trPr>
          <w:trHeight w:val="416"/>
          <w:tblHeader/>
        </w:trPr>
        <w:tc>
          <w:tcPr>
            <w:tcW w:w="1838" w:type="dxa"/>
            <w:vMerge w:val="restart"/>
            <w:shd w:val="clear" w:color="auto" w:fill="BFBFBF" w:themeFill="background1" w:themeFillShade="BF"/>
          </w:tcPr>
          <w:p w:rsidR="0075777C" w:rsidRPr="0086510D" w:rsidRDefault="0075777C" w:rsidP="0086510D">
            <w:pPr>
              <w:pStyle w:val="Tabletext"/>
              <w:rPr>
                <w:b/>
              </w:rPr>
            </w:pPr>
            <w:r w:rsidRPr="0086510D">
              <w:rPr>
                <w:b/>
              </w:rPr>
              <w:t>Study ID</w:t>
            </w:r>
          </w:p>
          <w:p w:rsidR="0075777C" w:rsidRPr="0086510D" w:rsidRDefault="0075777C" w:rsidP="0086510D">
            <w:pPr>
              <w:pStyle w:val="Tabletext"/>
              <w:rPr>
                <w:b/>
              </w:rPr>
            </w:pPr>
            <w:r w:rsidRPr="0086510D">
              <w:rPr>
                <w:b/>
              </w:rPr>
              <w:t>Follow-up period</w:t>
            </w:r>
          </w:p>
          <w:p w:rsidR="0075777C" w:rsidRPr="0086510D" w:rsidRDefault="0075777C" w:rsidP="0086510D">
            <w:pPr>
              <w:pStyle w:val="Tabletext"/>
              <w:rPr>
                <w:b/>
              </w:rPr>
            </w:pPr>
            <w:r w:rsidRPr="0086510D">
              <w:rPr>
                <w:b/>
              </w:rPr>
              <w:t>ERA/</w:t>
            </w:r>
            <w:r w:rsidR="00B60655" w:rsidRPr="0086510D">
              <w:rPr>
                <w:b/>
              </w:rPr>
              <w:t>prostanoid</w:t>
            </w:r>
          </w:p>
        </w:tc>
        <w:tc>
          <w:tcPr>
            <w:tcW w:w="1559" w:type="dxa"/>
            <w:vMerge w:val="restart"/>
            <w:shd w:val="clear" w:color="auto" w:fill="BFBFBF" w:themeFill="background1" w:themeFillShade="BF"/>
          </w:tcPr>
          <w:p w:rsidR="0075777C" w:rsidRPr="0086510D" w:rsidRDefault="0075777C" w:rsidP="0086510D">
            <w:pPr>
              <w:pStyle w:val="Tabletext"/>
              <w:rPr>
                <w:b/>
              </w:rPr>
            </w:pPr>
            <w:r w:rsidRPr="0086510D">
              <w:rPr>
                <w:b/>
              </w:rPr>
              <w:t>Change in WHO FC</w:t>
            </w:r>
          </w:p>
        </w:tc>
        <w:tc>
          <w:tcPr>
            <w:tcW w:w="4253" w:type="dxa"/>
            <w:gridSpan w:val="2"/>
            <w:shd w:val="clear" w:color="auto" w:fill="BFBFBF" w:themeFill="background1" w:themeFillShade="BF"/>
          </w:tcPr>
          <w:p w:rsidR="0075777C" w:rsidRPr="0086510D" w:rsidRDefault="0075777C" w:rsidP="0086510D">
            <w:pPr>
              <w:pStyle w:val="Tabletext"/>
              <w:jc w:val="center"/>
              <w:rPr>
                <w:b/>
              </w:rPr>
            </w:pPr>
            <w:proofErr w:type="gramStart"/>
            <w:r w:rsidRPr="0086510D">
              <w:rPr>
                <w:b/>
              </w:rPr>
              <w:t>n/N</w:t>
            </w:r>
            <w:proofErr w:type="gramEnd"/>
            <w:r w:rsidRPr="0086510D">
              <w:rPr>
                <w:b/>
              </w:rPr>
              <w:t xml:space="preserve"> (%)</w:t>
            </w:r>
          </w:p>
        </w:tc>
        <w:tc>
          <w:tcPr>
            <w:tcW w:w="1984" w:type="dxa"/>
            <w:vMerge w:val="restart"/>
            <w:shd w:val="clear" w:color="auto" w:fill="BFBFBF" w:themeFill="background1" w:themeFillShade="BF"/>
          </w:tcPr>
          <w:p w:rsidR="0075777C" w:rsidRPr="0086510D" w:rsidRDefault="0075777C" w:rsidP="0086510D">
            <w:pPr>
              <w:pStyle w:val="Tabletext"/>
              <w:rPr>
                <w:b/>
              </w:rPr>
            </w:pPr>
            <w:r w:rsidRPr="0086510D">
              <w:rPr>
                <w:b/>
              </w:rPr>
              <w:t>RR (95% CI)</w:t>
            </w:r>
          </w:p>
        </w:tc>
      </w:tr>
      <w:tr w:rsidR="0075777C" w:rsidRPr="00822C52" w:rsidTr="0086510D">
        <w:trPr>
          <w:trHeight w:val="202"/>
          <w:tblHeader/>
        </w:trPr>
        <w:tc>
          <w:tcPr>
            <w:tcW w:w="1838" w:type="dxa"/>
            <w:vMerge/>
            <w:shd w:val="clear" w:color="auto" w:fill="BFBFBF" w:themeFill="background1" w:themeFillShade="BF"/>
          </w:tcPr>
          <w:p w:rsidR="0075777C" w:rsidRPr="00822C52" w:rsidRDefault="0075777C" w:rsidP="0086510D">
            <w:pPr>
              <w:pStyle w:val="Tabletext"/>
            </w:pPr>
          </w:p>
        </w:tc>
        <w:tc>
          <w:tcPr>
            <w:tcW w:w="1559" w:type="dxa"/>
            <w:vMerge/>
            <w:shd w:val="clear" w:color="auto" w:fill="BFBFBF" w:themeFill="background1" w:themeFillShade="BF"/>
          </w:tcPr>
          <w:p w:rsidR="0075777C" w:rsidRPr="00822C52" w:rsidRDefault="0075777C" w:rsidP="0086510D">
            <w:pPr>
              <w:pStyle w:val="Tabletext"/>
            </w:pPr>
          </w:p>
        </w:tc>
        <w:tc>
          <w:tcPr>
            <w:tcW w:w="2268" w:type="dxa"/>
            <w:shd w:val="clear" w:color="auto" w:fill="BFBFBF" w:themeFill="background1" w:themeFillShade="BF"/>
          </w:tcPr>
          <w:p w:rsidR="0075777C" w:rsidRPr="0086510D" w:rsidRDefault="0075777C" w:rsidP="0086510D">
            <w:pPr>
              <w:pStyle w:val="Tabletext"/>
              <w:jc w:val="center"/>
              <w:rPr>
                <w:b/>
              </w:rPr>
            </w:pPr>
            <w:r w:rsidRPr="0086510D">
              <w:rPr>
                <w:b/>
              </w:rPr>
              <w:t xml:space="preserve">ERA + </w:t>
            </w:r>
            <w:r w:rsidR="00B60655" w:rsidRPr="0086510D">
              <w:rPr>
                <w:b/>
              </w:rPr>
              <w:t>prostanoid</w:t>
            </w:r>
          </w:p>
        </w:tc>
        <w:tc>
          <w:tcPr>
            <w:tcW w:w="1985" w:type="dxa"/>
            <w:shd w:val="clear" w:color="auto" w:fill="BFBFBF" w:themeFill="background1" w:themeFillShade="BF"/>
          </w:tcPr>
          <w:p w:rsidR="0075777C" w:rsidRPr="0086510D" w:rsidRDefault="0075777C" w:rsidP="00EF4CF6">
            <w:pPr>
              <w:pStyle w:val="Tabletext"/>
              <w:jc w:val="center"/>
              <w:rPr>
                <w:b/>
              </w:rPr>
            </w:pPr>
            <w:r w:rsidRPr="0086510D">
              <w:rPr>
                <w:b/>
              </w:rPr>
              <w:t>P</w:t>
            </w:r>
            <w:r w:rsidR="00B60655" w:rsidRPr="0086510D">
              <w:rPr>
                <w:b/>
              </w:rPr>
              <w:t>rostanoid</w:t>
            </w:r>
          </w:p>
        </w:tc>
        <w:tc>
          <w:tcPr>
            <w:tcW w:w="1984" w:type="dxa"/>
            <w:vMerge/>
            <w:shd w:val="clear" w:color="auto" w:fill="BFBFBF" w:themeFill="background1" w:themeFillShade="BF"/>
          </w:tcPr>
          <w:p w:rsidR="0075777C" w:rsidRPr="00822C52" w:rsidRDefault="0075777C" w:rsidP="0086510D">
            <w:pPr>
              <w:pStyle w:val="Tabletext"/>
            </w:pPr>
          </w:p>
        </w:tc>
      </w:tr>
      <w:tr w:rsidR="0075777C" w:rsidRPr="00822C52" w:rsidTr="0086510D">
        <w:trPr>
          <w:trHeight w:val="673"/>
        </w:trPr>
        <w:tc>
          <w:tcPr>
            <w:tcW w:w="1838" w:type="dxa"/>
          </w:tcPr>
          <w:p w:rsidR="0075777C" w:rsidRPr="00822C52" w:rsidRDefault="0075777C" w:rsidP="0086510D">
            <w:pPr>
              <w:pStyle w:val="Tabletext"/>
            </w:pPr>
            <w:r w:rsidRPr="00822C52">
              <w:t>BREATHE-2</w:t>
            </w:r>
            <w:r w:rsidR="001D34EE" w:rsidRPr="001A1C44">
              <w:rPr>
                <w:noProof/>
                <w:vertAlign w:val="superscript"/>
              </w:rPr>
              <w:t>35</w:t>
            </w:r>
          </w:p>
          <w:p w:rsidR="0075777C" w:rsidRPr="00822C52" w:rsidRDefault="0075777C" w:rsidP="0086510D">
            <w:pPr>
              <w:pStyle w:val="Tabletext"/>
            </w:pPr>
            <w:r w:rsidRPr="00822C52">
              <w:t>16 weeks</w:t>
            </w:r>
          </w:p>
          <w:p w:rsidR="0075777C" w:rsidRPr="00822C52" w:rsidRDefault="0075777C" w:rsidP="0086510D">
            <w:pPr>
              <w:pStyle w:val="Tabletext"/>
              <w:rPr>
                <w:rFonts w:cs="Tahoma"/>
              </w:rPr>
            </w:pPr>
            <w:r w:rsidRPr="00822C52">
              <w:rPr>
                <w:rFonts w:cs="Tahoma"/>
              </w:rPr>
              <w:t>Bosentan/ epoprostenol</w:t>
            </w:r>
          </w:p>
        </w:tc>
        <w:tc>
          <w:tcPr>
            <w:tcW w:w="1559" w:type="dxa"/>
          </w:tcPr>
          <w:p w:rsidR="0075777C" w:rsidRPr="00822C52" w:rsidRDefault="0075777C" w:rsidP="0086510D">
            <w:pPr>
              <w:pStyle w:val="Tabletext"/>
              <w:rPr>
                <w:rFonts w:cs="Tahoma"/>
              </w:rPr>
            </w:pPr>
            <w:r w:rsidRPr="00822C52">
              <w:rPr>
                <w:rFonts w:cs="Tahoma"/>
              </w:rPr>
              <w:t>Improved</w:t>
            </w:r>
          </w:p>
        </w:tc>
        <w:tc>
          <w:tcPr>
            <w:tcW w:w="2268" w:type="dxa"/>
          </w:tcPr>
          <w:p w:rsidR="0075777C" w:rsidRPr="00822C52" w:rsidRDefault="0075777C" w:rsidP="0086510D">
            <w:pPr>
              <w:pStyle w:val="Tabletext"/>
              <w:jc w:val="center"/>
              <w:rPr>
                <w:rFonts w:cs="Tahoma"/>
              </w:rPr>
            </w:pPr>
            <w:r w:rsidRPr="00822C52">
              <w:rPr>
                <w:rFonts w:cs="Tahoma"/>
              </w:rPr>
              <w:t>13/22 (</w:t>
            </w:r>
            <w:r>
              <w:rPr>
                <w:rFonts w:cs="Tahoma"/>
              </w:rPr>
              <w:t>5</w:t>
            </w:r>
            <w:r w:rsidRPr="00822C52">
              <w:rPr>
                <w:rFonts w:cs="Tahoma"/>
              </w:rPr>
              <w:t>9%)</w:t>
            </w:r>
          </w:p>
        </w:tc>
        <w:tc>
          <w:tcPr>
            <w:tcW w:w="1985" w:type="dxa"/>
          </w:tcPr>
          <w:p w:rsidR="0075777C" w:rsidRPr="00822C52" w:rsidRDefault="0075777C" w:rsidP="0086510D">
            <w:pPr>
              <w:pStyle w:val="Tabletext"/>
              <w:jc w:val="center"/>
              <w:rPr>
                <w:rFonts w:cs="Tahoma"/>
              </w:rPr>
            </w:pPr>
            <w:r w:rsidRPr="00822C52">
              <w:rPr>
                <w:rFonts w:cs="Tahoma"/>
              </w:rPr>
              <w:t>5/11 (46%)</w:t>
            </w:r>
          </w:p>
        </w:tc>
        <w:tc>
          <w:tcPr>
            <w:tcW w:w="1984" w:type="dxa"/>
          </w:tcPr>
          <w:p w:rsidR="0075777C" w:rsidRPr="00822C52" w:rsidRDefault="0075777C" w:rsidP="0086510D">
            <w:pPr>
              <w:pStyle w:val="Tabletext"/>
              <w:rPr>
                <w:rFonts w:cs="Tahoma"/>
              </w:rPr>
            </w:pPr>
            <w:r>
              <w:rPr>
                <w:rFonts w:cs="Tahoma"/>
              </w:rPr>
              <w:t>1.30 (0.62, 2.71)</w:t>
            </w:r>
          </w:p>
        </w:tc>
      </w:tr>
    </w:tbl>
    <w:p w:rsidR="0075777C" w:rsidRPr="00822C52" w:rsidRDefault="0075777C" w:rsidP="0086510D">
      <w:pPr>
        <w:pStyle w:val="Tablenote"/>
      </w:pPr>
      <w:r w:rsidRPr="00822C52">
        <w:t xml:space="preserve">CI = confidence interval; ERA = endothelin receptor antagonist; FC = functional class; n = number of events; N = number of patients; </w:t>
      </w:r>
      <w:r w:rsidRPr="00F5789C">
        <w:t xml:space="preserve">PAH = pulmonary arterial hypertension; </w:t>
      </w:r>
      <w:r w:rsidRPr="00822C52">
        <w:t>RR = relative risk; WHO = World Health Organization</w:t>
      </w:r>
    </w:p>
    <w:p w:rsidR="0075777C" w:rsidRPr="00822C52" w:rsidRDefault="007B6C7C" w:rsidP="0075777C">
      <w:pPr>
        <w:pStyle w:val="Heading5"/>
      </w:pPr>
      <w:r>
        <w:t>e</w:t>
      </w:r>
      <w:r w:rsidR="0077344D">
        <w:t>.</w:t>
      </w:r>
      <w:r>
        <w:tab/>
      </w:r>
      <w:r w:rsidR="0075777C" w:rsidRPr="00822C52">
        <w:t xml:space="preserve">Change in 6MWD from baseline </w:t>
      </w:r>
    </w:p>
    <w:p w:rsidR="0075777C" w:rsidRPr="00B607A5" w:rsidRDefault="007B6C7C" w:rsidP="0077344D">
      <w:pPr>
        <w:pStyle w:val="Heading6"/>
      </w:pPr>
      <w:proofErr w:type="gramStart"/>
      <w:r w:rsidRPr="00B607A5">
        <w:t>e</w:t>
      </w:r>
      <w:r w:rsidR="0075777C" w:rsidRPr="00B607A5">
        <w:t>.ii</w:t>
      </w:r>
      <w:proofErr w:type="gramEnd"/>
      <w:r w:rsidR="0075777C" w:rsidRPr="00B607A5">
        <w:tab/>
        <w:t>PAH patients with FC III or IV</w:t>
      </w:r>
    </w:p>
    <w:p w:rsidR="0075777C" w:rsidRDefault="0075777C" w:rsidP="0075777C">
      <w:r>
        <w:t>Both RCTs reported on the change in 6MWD for patients receiving combination therapy compared to those on monotherapy (</w:t>
      </w:r>
      <w:r w:rsidR="003951FA">
        <w:t>Table 4.</w:t>
      </w:r>
      <w:r w:rsidR="003951FA">
        <w:rPr>
          <w:noProof/>
        </w:rPr>
        <w:t>57</w:t>
      </w:r>
      <w:r>
        <w:t>). For pa</w:t>
      </w:r>
      <w:r w:rsidR="00BE5CAB">
        <w:t>tients in the BREATHE-2 trial, t</w:t>
      </w:r>
      <w:r>
        <w:t>he mean (95% CI) 6MWD at baseline for patients in the combination therapy and monotherapy groups was depicted as shown in</w:t>
      </w:r>
      <w:r w:rsidR="00887161">
        <w:t xml:space="preserve"> </w:t>
      </w:r>
      <w:r w:rsidR="003951FA">
        <w:t>Figure 4.</w:t>
      </w:r>
      <w:r w:rsidR="003951FA">
        <w:rPr>
          <w:noProof/>
        </w:rPr>
        <w:t>14</w:t>
      </w:r>
      <w:r>
        <w:t xml:space="preserve">. After 16 weeks, patients in the ERA plus </w:t>
      </w:r>
      <w:r w:rsidR="00887161">
        <w:t>prostanoid</w:t>
      </w:r>
      <w:r>
        <w:t xml:space="preserve"> treatment arm improved their 6MWD from baseline by a median of 68 m compared with a median of 74 m in the placebo plus </w:t>
      </w:r>
      <w:r w:rsidR="00887161">
        <w:t>prostanoid</w:t>
      </w:r>
      <w:r>
        <w:t xml:space="preserve"> group. This improvement was clinically important in both groups (see Section 4.</w:t>
      </w:r>
      <w:r w:rsidR="0002253F">
        <w:t>3.5</w:t>
      </w:r>
      <w:r>
        <w:t xml:space="preserve">), but the difference between groups was not statistically significant. </w:t>
      </w:r>
      <w:proofErr w:type="gramStart"/>
      <w:r>
        <w:t>The 6MWD performance in the combination therapy group was adversely affected by two patients who were assigned a 6MWD of 0</w:t>
      </w:r>
      <w:r w:rsidR="00B60655">
        <w:t> </w:t>
      </w:r>
      <w:r>
        <w:t>m</w:t>
      </w:r>
      <w:proofErr w:type="gramEnd"/>
      <w:r>
        <w:t>.</w:t>
      </w:r>
    </w:p>
    <w:p w:rsidR="0075777C" w:rsidRDefault="0075777C" w:rsidP="0075777C">
      <w:r w:rsidRPr="00F604FE">
        <w:t>Han 2017</w:t>
      </w:r>
      <w:r w:rsidR="001D34EE" w:rsidRPr="001A1C44">
        <w:rPr>
          <w:noProof/>
          <w:vertAlign w:val="superscript"/>
        </w:rPr>
        <w:t>38</w:t>
      </w:r>
      <w:r>
        <w:t xml:space="preserve"> reported a large clinically important improvement in the combination therapy group (134</w:t>
      </w:r>
      <w:r w:rsidR="00B60655">
        <w:t> </w:t>
      </w:r>
      <w:r>
        <w:t>m), and a very small improvement in the monotherapy group (10</w:t>
      </w:r>
      <w:r w:rsidR="00B60655">
        <w:t> </w:t>
      </w:r>
      <w:r>
        <w:t xml:space="preserve">m). Thus, there was a clinically important and statistically significant improvement in 6MWD in the ERA plus </w:t>
      </w:r>
      <w:r w:rsidR="00887161">
        <w:t>prostanoid</w:t>
      </w:r>
      <w:r>
        <w:t xml:space="preserve"> combination therapy group compared with the </w:t>
      </w:r>
      <w:r w:rsidR="00887161">
        <w:t>prostanoid</w:t>
      </w:r>
      <w:r>
        <w:t xml:space="preserve"> monotherapy group.</w:t>
      </w:r>
    </w:p>
    <w:p w:rsidR="0075777C" w:rsidRDefault="00272F8F" w:rsidP="00BC5A2B">
      <w:pPr>
        <w:pStyle w:val="Caption"/>
      </w:pPr>
      <w:bookmarkStart w:id="189" w:name="_Ref505251960"/>
      <w:bookmarkStart w:id="190" w:name="_Toc38360354"/>
      <w:r>
        <w:t>Table 4.</w:t>
      </w:r>
      <w:r w:rsidR="003951FA">
        <w:rPr>
          <w:noProof/>
        </w:rPr>
        <w:t>57</w:t>
      </w:r>
      <w:bookmarkEnd w:id="189"/>
      <w:r w:rsidR="00887161">
        <w:tab/>
      </w:r>
      <w:r w:rsidR="0075777C" w:rsidRPr="00A32D31">
        <w:t xml:space="preserve">The effectiveness of </w:t>
      </w:r>
      <w:r w:rsidR="00385078">
        <w:t xml:space="preserve">an </w:t>
      </w:r>
      <w:r w:rsidR="00385078" w:rsidRPr="00A32D31">
        <w:t xml:space="preserve">ERA </w:t>
      </w:r>
      <w:r w:rsidR="00385078">
        <w:t>in addition to</w:t>
      </w:r>
      <w:r w:rsidR="00385078" w:rsidRPr="00A32D31">
        <w:t xml:space="preserve"> </w:t>
      </w:r>
      <w:r w:rsidR="00385078">
        <w:t xml:space="preserve">a </w:t>
      </w:r>
      <w:r w:rsidR="00385078" w:rsidRPr="00DD7790">
        <w:t>prostanoid compared with prostanoid</w:t>
      </w:r>
      <w:r w:rsidR="00385078">
        <w:t xml:space="preserve"> monotherapy</w:t>
      </w:r>
      <w:r w:rsidR="00385078" w:rsidRPr="00DD7790">
        <w:t xml:space="preserve"> </w:t>
      </w:r>
      <w:r w:rsidR="0075777C" w:rsidRPr="00A32D31">
        <w:t>in improving 6MWD in all patients with WHO FC III/IV PAH</w:t>
      </w:r>
      <w:bookmarkEnd w:id="190"/>
    </w:p>
    <w:tbl>
      <w:tblPr>
        <w:tblStyle w:val="TableGrid"/>
        <w:tblW w:w="9634" w:type="dxa"/>
        <w:tblLayout w:type="fixed"/>
        <w:tblLook w:val="04A0" w:firstRow="1" w:lastRow="0" w:firstColumn="1" w:lastColumn="0" w:noHBand="0" w:noVBand="1"/>
        <w:tblCaption w:val="The effectiveness of an ERA in addition to a prostanoid compared with prostanoid monotherapy in improving 6MWD in all patients with WHO FC III/IV PAH"/>
      </w:tblPr>
      <w:tblGrid>
        <w:gridCol w:w="1696"/>
        <w:gridCol w:w="1134"/>
        <w:gridCol w:w="1418"/>
        <w:gridCol w:w="1134"/>
        <w:gridCol w:w="1559"/>
        <w:gridCol w:w="1276"/>
        <w:gridCol w:w="1417"/>
      </w:tblGrid>
      <w:tr w:rsidR="0075777C" w:rsidTr="00EF4CF6">
        <w:trPr>
          <w:cnfStyle w:val="100000000000" w:firstRow="1" w:lastRow="0" w:firstColumn="0" w:lastColumn="0" w:oddVBand="0" w:evenVBand="0" w:oddHBand="0" w:evenHBand="0" w:firstRowFirstColumn="0" w:firstRowLastColumn="0" w:lastRowFirstColumn="0" w:lastRowLastColumn="0"/>
        </w:trPr>
        <w:tc>
          <w:tcPr>
            <w:tcW w:w="1696" w:type="dxa"/>
            <w:vMerge w:val="restart"/>
            <w:shd w:val="clear" w:color="auto" w:fill="BFBFBF" w:themeFill="background1" w:themeFillShade="BF"/>
          </w:tcPr>
          <w:p w:rsidR="0075777C" w:rsidRPr="00887161" w:rsidRDefault="0075777C" w:rsidP="00887161">
            <w:pPr>
              <w:pStyle w:val="Tabletext"/>
              <w:rPr>
                <w:b/>
              </w:rPr>
            </w:pPr>
            <w:r w:rsidRPr="00887161">
              <w:rPr>
                <w:b/>
              </w:rPr>
              <w:t>Study ID</w:t>
            </w:r>
          </w:p>
          <w:p w:rsidR="0075777C" w:rsidRPr="00887161" w:rsidRDefault="0075777C" w:rsidP="00887161">
            <w:pPr>
              <w:pStyle w:val="Tabletext"/>
              <w:rPr>
                <w:b/>
              </w:rPr>
            </w:pPr>
            <w:r w:rsidRPr="00887161">
              <w:rPr>
                <w:b/>
              </w:rPr>
              <w:t xml:space="preserve">ERA/ </w:t>
            </w:r>
            <w:r w:rsidR="00887161" w:rsidRPr="00887161">
              <w:rPr>
                <w:b/>
              </w:rPr>
              <w:t>prostanoid</w:t>
            </w:r>
          </w:p>
        </w:tc>
        <w:tc>
          <w:tcPr>
            <w:tcW w:w="1134" w:type="dxa"/>
            <w:vMerge w:val="restart"/>
            <w:shd w:val="clear" w:color="auto" w:fill="BFBFBF" w:themeFill="background1" w:themeFillShade="BF"/>
          </w:tcPr>
          <w:p w:rsidR="0075777C" w:rsidRPr="00887161" w:rsidRDefault="0075777C" w:rsidP="00887161">
            <w:pPr>
              <w:pStyle w:val="Tabletext"/>
              <w:rPr>
                <w:b/>
              </w:rPr>
            </w:pPr>
            <w:r w:rsidRPr="00887161">
              <w:rPr>
                <w:b/>
              </w:rPr>
              <w:t>N</w:t>
            </w:r>
          </w:p>
          <w:p w:rsidR="0075777C" w:rsidRPr="00887161" w:rsidRDefault="0075777C" w:rsidP="00887161">
            <w:pPr>
              <w:pStyle w:val="Tabletext"/>
              <w:rPr>
                <w:b/>
              </w:rPr>
            </w:pPr>
            <w:r w:rsidRPr="00887161">
              <w:rPr>
                <w:b/>
              </w:rPr>
              <w:t>Time point</w:t>
            </w:r>
          </w:p>
        </w:tc>
        <w:tc>
          <w:tcPr>
            <w:tcW w:w="2552" w:type="dxa"/>
            <w:gridSpan w:val="2"/>
            <w:shd w:val="clear" w:color="auto" w:fill="BFBFBF" w:themeFill="background1" w:themeFillShade="BF"/>
          </w:tcPr>
          <w:p w:rsidR="0075777C" w:rsidRPr="001D2077" w:rsidRDefault="00AE77DC" w:rsidP="00AE77DC">
            <w:pPr>
              <w:pStyle w:val="Tabletext"/>
              <w:jc w:val="center"/>
              <w:rPr>
                <w:rFonts w:cs="Arial"/>
                <w:b/>
              </w:rPr>
            </w:pPr>
            <w:r w:rsidRPr="001D2077">
              <w:rPr>
                <w:rFonts w:cs="Arial"/>
                <w:b/>
              </w:rPr>
              <w:t>Mean ± SD b</w:t>
            </w:r>
            <w:r w:rsidR="0075777C" w:rsidRPr="001D2077">
              <w:rPr>
                <w:rFonts w:cs="Arial"/>
                <w:b/>
              </w:rPr>
              <w:t>aseline</w:t>
            </w:r>
            <w:r w:rsidRPr="001D2077">
              <w:rPr>
                <w:rFonts w:cs="Arial"/>
                <w:b/>
              </w:rPr>
              <w:t xml:space="preserve"> 6MWD</w:t>
            </w:r>
            <w:r w:rsidR="0075777C" w:rsidRPr="001D2077">
              <w:rPr>
                <w:rFonts w:cs="Arial"/>
                <w:b/>
              </w:rPr>
              <w:t xml:space="preserve">, </w:t>
            </w:r>
            <w:r w:rsidR="00503643" w:rsidRPr="001D2077">
              <w:rPr>
                <w:rFonts w:cs="Arial"/>
                <w:b/>
              </w:rPr>
              <w:t>metres</w:t>
            </w:r>
          </w:p>
        </w:tc>
        <w:tc>
          <w:tcPr>
            <w:tcW w:w="2835" w:type="dxa"/>
            <w:gridSpan w:val="2"/>
            <w:shd w:val="clear" w:color="auto" w:fill="BFBFBF" w:themeFill="background1" w:themeFillShade="BF"/>
          </w:tcPr>
          <w:p w:rsidR="0075777C" w:rsidRPr="001D2077" w:rsidRDefault="00AE77DC" w:rsidP="00AE77DC">
            <w:pPr>
              <w:pStyle w:val="Tabletext"/>
              <w:jc w:val="center"/>
              <w:rPr>
                <w:rFonts w:cs="Arial"/>
                <w:b/>
              </w:rPr>
            </w:pPr>
            <w:r w:rsidRPr="001D2077">
              <w:rPr>
                <w:rFonts w:cs="Arial"/>
                <w:b/>
              </w:rPr>
              <w:t>Median/m</w:t>
            </w:r>
            <w:r w:rsidR="0075777C" w:rsidRPr="001D2077">
              <w:rPr>
                <w:rFonts w:cs="Arial"/>
                <w:b/>
              </w:rPr>
              <w:t xml:space="preserve">ean ± SD change from baseline, </w:t>
            </w:r>
            <w:r w:rsidR="00503643" w:rsidRPr="001D2077">
              <w:rPr>
                <w:rFonts w:cs="Arial"/>
                <w:b/>
              </w:rPr>
              <w:t>metres</w:t>
            </w:r>
          </w:p>
        </w:tc>
        <w:tc>
          <w:tcPr>
            <w:tcW w:w="1417" w:type="dxa"/>
            <w:vMerge w:val="restart"/>
            <w:shd w:val="clear" w:color="auto" w:fill="BFBFBF" w:themeFill="background1" w:themeFillShade="BF"/>
          </w:tcPr>
          <w:p w:rsidR="0075777C" w:rsidRPr="001D2077" w:rsidRDefault="00AE77DC" w:rsidP="00C30B1C">
            <w:pPr>
              <w:pStyle w:val="Tabletext"/>
              <w:rPr>
                <w:rFonts w:cs="Arial"/>
                <w:b/>
              </w:rPr>
            </w:pPr>
            <w:r w:rsidRPr="001D2077">
              <w:rPr>
                <w:rFonts w:cs="Arial"/>
                <w:b/>
              </w:rPr>
              <w:t>Median/m</w:t>
            </w:r>
            <w:r w:rsidR="0075777C" w:rsidRPr="001D2077">
              <w:rPr>
                <w:rFonts w:cs="Arial"/>
                <w:b/>
              </w:rPr>
              <w:t xml:space="preserve">ean difference, </w:t>
            </w:r>
            <w:r w:rsidR="00503643" w:rsidRPr="001D2077">
              <w:rPr>
                <w:rFonts w:cs="Arial"/>
                <w:b/>
              </w:rPr>
              <w:t>metres</w:t>
            </w:r>
            <w:r w:rsidR="00EC2524" w:rsidRPr="001D2077">
              <w:rPr>
                <w:rFonts w:cs="Arial"/>
                <w:b/>
              </w:rPr>
              <w:t xml:space="preserve"> </w:t>
            </w:r>
          </w:p>
        </w:tc>
      </w:tr>
      <w:tr w:rsidR="0075777C" w:rsidTr="00EF4CF6">
        <w:tc>
          <w:tcPr>
            <w:tcW w:w="1696" w:type="dxa"/>
            <w:vMerge/>
          </w:tcPr>
          <w:p w:rsidR="0075777C" w:rsidRDefault="0075777C" w:rsidP="00887161">
            <w:pPr>
              <w:pStyle w:val="Tabletext"/>
            </w:pPr>
          </w:p>
        </w:tc>
        <w:tc>
          <w:tcPr>
            <w:tcW w:w="1134" w:type="dxa"/>
            <w:vMerge/>
          </w:tcPr>
          <w:p w:rsidR="0075777C" w:rsidRDefault="0075777C" w:rsidP="00887161">
            <w:pPr>
              <w:pStyle w:val="Tabletext"/>
            </w:pPr>
          </w:p>
        </w:tc>
        <w:tc>
          <w:tcPr>
            <w:tcW w:w="1418" w:type="dxa"/>
            <w:shd w:val="clear" w:color="auto" w:fill="BFBFBF" w:themeFill="background1" w:themeFillShade="BF"/>
          </w:tcPr>
          <w:p w:rsidR="0075777C" w:rsidRPr="001D2077" w:rsidRDefault="0075777C" w:rsidP="00AE77DC">
            <w:pPr>
              <w:pStyle w:val="Tabletext"/>
              <w:jc w:val="center"/>
              <w:rPr>
                <w:b/>
                <w:sz w:val="18"/>
                <w:szCs w:val="18"/>
              </w:rPr>
            </w:pPr>
            <w:r w:rsidRPr="001D2077">
              <w:rPr>
                <w:b/>
                <w:sz w:val="18"/>
                <w:szCs w:val="18"/>
              </w:rPr>
              <w:t xml:space="preserve">ERA + </w:t>
            </w:r>
            <w:r w:rsidR="00887161" w:rsidRPr="001D2077">
              <w:rPr>
                <w:b/>
                <w:sz w:val="18"/>
                <w:szCs w:val="18"/>
              </w:rPr>
              <w:t>prostanoid</w:t>
            </w:r>
          </w:p>
        </w:tc>
        <w:tc>
          <w:tcPr>
            <w:tcW w:w="1134" w:type="dxa"/>
            <w:shd w:val="clear" w:color="auto" w:fill="BFBFBF" w:themeFill="background1" w:themeFillShade="BF"/>
          </w:tcPr>
          <w:p w:rsidR="0075777C" w:rsidRPr="001D2077" w:rsidRDefault="0075777C" w:rsidP="00EF4CF6">
            <w:pPr>
              <w:pStyle w:val="Tabletext"/>
              <w:jc w:val="center"/>
              <w:rPr>
                <w:rFonts w:cs="Arial"/>
                <w:b/>
                <w:sz w:val="18"/>
                <w:szCs w:val="18"/>
              </w:rPr>
            </w:pPr>
            <w:r w:rsidRPr="001D2077">
              <w:rPr>
                <w:rFonts w:cs="Arial"/>
                <w:b/>
                <w:sz w:val="18"/>
                <w:szCs w:val="18"/>
              </w:rPr>
              <w:t>P</w:t>
            </w:r>
            <w:r w:rsidR="00887161" w:rsidRPr="001D2077">
              <w:rPr>
                <w:rFonts w:cs="Arial"/>
                <w:b/>
                <w:sz w:val="18"/>
                <w:szCs w:val="18"/>
              </w:rPr>
              <w:t>rostanoid</w:t>
            </w:r>
          </w:p>
        </w:tc>
        <w:tc>
          <w:tcPr>
            <w:tcW w:w="1559" w:type="dxa"/>
            <w:shd w:val="clear" w:color="auto" w:fill="BFBFBF" w:themeFill="background1" w:themeFillShade="BF"/>
          </w:tcPr>
          <w:p w:rsidR="0075777C" w:rsidRPr="001D2077" w:rsidRDefault="0075777C" w:rsidP="00AE77DC">
            <w:pPr>
              <w:pStyle w:val="Tabletext"/>
              <w:jc w:val="center"/>
              <w:rPr>
                <w:rFonts w:cs="Arial"/>
                <w:b/>
                <w:sz w:val="18"/>
                <w:szCs w:val="18"/>
              </w:rPr>
            </w:pPr>
            <w:r w:rsidRPr="001D2077">
              <w:rPr>
                <w:rFonts w:cs="Arial"/>
                <w:b/>
                <w:sz w:val="18"/>
                <w:szCs w:val="18"/>
              </w:rPr>
              <w:t xml:space="preserve">ERA + </w:t>
            </w:r>
            <w:r w:rsidR="00887161" w:rsidRPr="001D2077">
              <w:rPr>
                <w:rFonts w:cs="Arial"/>
                <w:b/>
                <w:sz w:val="18"/>
                <w:szCs w:val="18"/>
              </w:rPr>
              <w:t>prostanoid</w:t>
            </w:r>
          </w:p>
        </w:tc>
        <w:tc>
          <w:tcPr>
            <w:tcW w:w="1276" w:type="dxa"/>
            <w:shd w:val="clear" w:color="auto" w:fill="BFBFBF" w:themeFill="background1" w:themeFillShade="BF"/>
          </w:tcPr>
          <w:p w:rsidR="0075777C" w:rsidRPr="001D2077" w:rsidRDefault="0075777C" w:rsidP="00EF4CF6">
            <w:pPr>
              <w:pStyle w:val="Tabletext"/>
              <w:jc w:val="center"/>
              <w:rPr>
                <w:rFonts w:cs="Arial"/>
                <w:b/>
                <w:sz w:val="18"/>
                <w:szCs w:val="18"/>
              </w:rPr>
            </w:pPr>
            <w:r w:rsidRPr="001D2077">
              <w:rPr>
                <w:rFonts w:cs="Arial"/>
                <w:b/>
                <w:sz w:val="18"/>
                <w:szCs w:val="18"/>
              </w:rPr>
              <w:t>P</w:t>
            </w:r>
            <w:r w:rsidR="00887161" w:rsidRPr="001D2077">
              <w:rPr>
                <w:rFonts w:cs="Arial"/>
                <w:b/>
                <w:sz w:val="18"/>
                <w:szCs w:val="18"/>
              </w:rPr>
              <w:t>rostanoid</w:t>
            </w:r>
          </w:p>
        </w:tc>
        <w:tc>
          <w:tcPr>
            <w:tcW w:w="1417" w:type="dxa"/>
            <w:vMerge/>
          </w:tcPr>
          <w:p w:rsidR="0075777C" w:rsidRDefault="0075777C" w:rsidP="00887161">
            <w:pPr>
              <w:pStyle w:val="Tabletext"/>
            </w:pPr>
          </w:p>
        </w:tc>
      </w:tr>
      <w:tr w:rsidR="0075777C" w:rsidTr="00EF4CF6">
        <w:tc>
          <w:tcPr>
            <w:tcW w:w="1696" w:type="dxa"/>
          </w:tcPr>
          <w:p w:rsidR="0075777C" w:rsidRPr="00822C52" w:rsidRDefault="0075777C" w:rsidP="00887161">
            <w:pPr>
              <w:pStyle w:val="Tabletext"/>
              <w:rPr>
                <w:rFonts w:cs="Tahoma"/>
              </w:rPr>
            </w:pPr>
            <w:r w:rsidRPr="00822C52">
              <w:rPr>
                <w:rFonts w:cs="Tahoma"/>
              </w:rPr>
              <w:t>BREATHE-2</w:t>
            </w:r>
            <w:r w:rsidR="001D34EE" w:rsidRPr="001A1C44">
              <w:rPr>
                <w:rFonts w:cs="Tahoma"/>
                <w:noProof/>
                <w:vertAlign w:val="superscript"/>
              </w:rPr>
              <w:t>35</w:t>
            </w:r>
          </w:p>
          <w:p w:rsidR="0075777C" w:rsidRDefault="00887161" w:rsidP="00887161">
            <w:pPr>
              <w:pStyle w:val="Tabletext"/>
            </w:pPr>
            <w:r>
              <w:rPr>
                <w:rFonts w:cs="Tahoma"/>
              </w:rPr>
              <w:t>Bosentan/</w:t>
            </w:r>
            <w:r w:rsidR="0075777C" w:rsidRPr="00822C52">
              <w:rPr>
                <w:rFonts w:cs="Tahoma"/>
              </w:rPr>
              <w:t>epoprostenol</w:t>
            </w:r>
          </w:p>
        </w:tc>
        <w:tc>
          <w:tcPr>
            <w:tcW w:w="1134" w:type="dxa"/>
          </w:tcPr>
          <w:p w:rsidR="0075777C" w:rsidRPr="00822C52" w:rsidRDefault="0075777C" w:rsidP="00887161">
            <w:pPr>
              <w:pStyle w:val="Tabletext"/>
              <w:rPr>
                <w:rFonts w:cs="Tahoma"/>
              </w:rPr>
            </w:pPr>
            <w:r w:rsidRPr="00822C52">
              <w:rPr>
                <w:rFonts w:cs="Tahoma"/>
              </w:rPr>
              <w:t>N=</w:t>
            </w:r>
            <w:r w:rsidR="006776D2">
              <w:rPr>
                <w:rFonts w:cs="Tahoma"/>
              </w:rPr>
              <w:t>33</w:t>
            </w:r>
          </w:p>
          <w:p w:rsidR="0075777C" w:rsidRDefault="0075777C" w:rsidP="00887161">
            <w:pPr>
              <w:pStyle w:val="Tabletext"/>
            </w:pPr>
            <w:r w:rsidRPr="00822C52">
              <w:rPr>
                <w:rFonts w:cs="Tahoma"/>
              </w:rPr>
              <w:t>16 weeks</w:t>
            </w:r>
          </w:p>
        </w:tc>
        <w:tc>
          <w:tcPr>
            <w:tcW w:w="1418" w:type="dxa"/>
          </w:tcPr>
          <w:p w:rsidR="0075777C" w:rsidRDefault="0075777C" w:rsidP="00AE77DC">
            <w:pPr>
              <w:pStyle w:val="Tabletext"/>
              <w:jc w:val="center"/>
            </w:pPr>
            <w:r w:rsidRPr="00822C52">
              <w:rPr>
                <w:rFonts w:cs="Tahoma"/>
              </w:rPr>
              <w:t>NR</w:t>
            </w:r>
          </w:p>
        </w:tc>
        <w:tc>
          <w:tcPr>
            <w:tcW w:w="1134" w:type="dxa"/>
          </w:tcPr>
          <w:p w:rsidR="0075777C" w:rsidRDefault="0075777C" w:rsidP="00AE77DC">
            <w:pPr>
              <w:pStyle w:val="Tabletext"/>
              <w:jc w:val="center"/>
            </w:pPr>
            <w:r w:rsidRPr="00822C52">
              <w:rPr>
                <w:rFonts w:cs="Tahoma"/>
              </w:rPr>
              <w:t>NR</w:t>
            </w:r>
          </w:p>
        </w:tc>
        <w:tc>
          <w:tcPr>
            <w:tcW w:w="1559" w:type="dxa"/>
          </w:tcPr>
          <w:p w:rsidR="0075777C" w:rsidRDefault="0075777C" w:rsidP="00AE77DC">
            <w:pPr>
              <w:pStyle w:val="Tabletext"/>
              <w:jc w:val="center"/>
            </w:pPr>
            <w:r>
              <w:rPr>
                <w:rFonts w:cs="Tahoma"/>
              </w:rPr>
              <w:t xml:space="preserve">Median = </w:t>
            </w:r>
            <w:r w:rsidRPr="00822C52">
              <w:rPr>
                <w:rFonts w:cs="Tahoma"/>
              </w:rPr>
              <w:t>68</w:t>
            </w:r>
          </w:p>
        </w:tc>
        <w:tc>
          <w:tcPr>
            <w:tcW w:w="1276" w:type="dxa"/>
          </w:tcPr>
          <w:p w:rsidR="0075777C" w:rsidRDefault="0075777C" w:rsidP="00AE77DC">
            <w:pPr>
              <w:pStyle w:val="Tabletext"/>
              <w:jc w:val="center"/>
            </w:pPr>
            <w:r>
              <w:rPr>
                <w:rFonts w:cs="Tahoma"/>
              </w:rPr>
              <w:t xml:space="preserve">Median = </w:t>
            </w:r>
            <w:r w:rsidRPr="00822C52">
              <w:rPr>
                <w:rFonts w:cs="Tahoma"/>
              </w:rPr>
              <w:t>74</w:t>
            </w:r>
          </w:p>
        </w:tc>
        <w:tc>
          <w:tcPr>
            <w:tcW w:w="1417" w:type="dxa"/>
          </w:tcPr>
          <w:p w:rsidR="0075777C" w:rsidRDefault="00AE77DC" w:rsidP="00AE77DC">
            <w:pPr>
              <w:pStyle w:val="Tabletext"/>
            </w:pPr>
            <w:r>
              <w:rPr>
                <w:rFonts w:cs="Tahoma"/>
              </w:rPr>
              <w:t>Median = −</w:t>
            </w:r>
            <w:r w:rsidR="0075777C" w:rsidRPr="00822C52">
              <w:rPr>
                <w:rFonts w:cs="Tahoma"/>
              </w:rPr>
              <w:t>6, NS</w:t>
            </w:r>
          </w:p>
        </w:tc>
      </w:tr>
      <w:tr w:rsidR="0075777C" w:rsidTr="00EF4CF6">
        <w:tc>
          <w:tcPr>
            <w:tcW w:w="1696" w:type="dxa"/>
          </w:tcPr>
          <w:p w:rsidR="0075777C" w:rsidRPr="0094293D" w:rsidRDefault="0075777C" w:rsidP="0094293D">
            <w:pPr>
              <w:pStyle w:val="Tabletext"/>
            </w:pPr>
            <w:r w:rsidRPr="0094293D">
              <w:t>Han 2017</w:t>
            </w:r>
            <w:r w:rsidR="001D34EE" w:rsidRPr="001A1C44">
              <w:rPr>
                <w:noProof/>
                <w:vertAlign w:val="superscript"/>
              </w:rPr>
              <w:t>38</w:t>
            </w:r>
            <w:r w:rsidRPr="0094293D">
              <w:t xml:space="preserve"> </w:t>
            </w:r>
            <w:r w:rsidRPr="00880228">
              <w:rPr>
                <w:vertAlign w:val="superscript"/>
              </w:rPr>
              <w:t>a</w:t>
            </w:r>
          </w:p>
          <w:p w:rsidR="0075777C" w:rsidRPr="0094293D" w:rsidRDefault="0075777C" w:rsidP="0094293D">
            <w:pPr>
              <w:pStyle w:val="Tabletext"/>
            </w:pPr>
            <w:r w:rsidRPr="0094293D">
              <w:t>Bosentan/iloprost</w:t>
            </w:r>
          </w:p>
        </w:tc>
        <w:tc>
          <w:tcPr>
            <w:tcW w:w="1134" w:type="dxa"/>
          </w:tcPr>
          <w:p w:rsidR="0075777C" w:rsidRPr="0094293D" w:rsidRDefault="0075777C" w:rsidP="0094293D">
            <w:pPr>
              <w:pStyle w:val="Tabletext"/>
            </w:pPr>
            <w:r w:rsidRPr="0094293D">
              <w:t>N=14</w:t>
            </w:r>
          </w:p>
          <w:p w:rsidR="0075777C" w:rsidRPr="0094293D" w:rsidRDefault="0075777C" w:rsidP="0094293D">
            <w:pPr>
              <w:pStyle w:val="Tabletext"/>
            </w:pPr>
            <w:r w:rsidRPr="0094293D">
              <w:t>12 weeks</w:t>
            </w:r>
          </w:p>
        </w:tc>
        <w:tc>
          <w:tcPr>
            <w:tcW w:w="1418" w:type="dxa"/>
          </w:tcPr>
          <w:p w:rsidR="0075777C" w:rsidRPr="0094293D" w:rsidRDefault="0075777C" w:rsidP="00AE77DC">
            <w:pPr>
              <w:pStyle w:val="Tabletext"/>
              <w:jc w:val="center"/>
            </w:pPr>
            <w:r w:rsidRPr="0094293D">
              <w:t>300.3 ± 36.2</w:t>
            </w:r>
          </w:p>
        </w:tc>
        <w:tc>
          <w:tcPr>
            <w:tcW w:w="1134" w:type="dxa"/>
          </w:tcPr>
          <w:p w:rsidR="0075777C" w:rsidRPr="0094293D" w:rsidRDefault="0075777C" w:rsidP="00AE77DC">
            <w:pPr>
              <w:pStyle w:val="Tabletext"/>
              <w:jc w:val="center"/>
            </w:pPr>
            <w:r w:rsidRPr="0094293D">
              <w:t>330.8 ± 37.1</w:t>
            </w:r>
          </w:p>
        </w:tc>
        <w:tc>
          <w:tcPr>
            <w:tcW w:w="1559" w:type="dxa"/>
          </w:tcPr>
          <w:p w:rsidR="0075777C" w:rsidRPr="0094293D" w:rsidRDefault="0075777C" w:rsidP="00AE77DC">
            <w:pPr>
              <w:pStyle w:val="Tabletext"/>
              <w:jc w:val="center"/>
            </w:pPr>
            <w:r w:rsidRPr="0094293D">
              <w:t>133.8 ± 25.6</w:t>
            </w:r>
          </w:p>
        </w:tc>
        <w:tc>
          <w:tcPr>
            <w:tcW w:w="1276" w:type="dxa"/>
          </w:tcPr>
          <w:p w:rsidR="0075777C" w:rsidRPr="0094293D" w:rsidRDefault="0075777C" w:rsidP="00AE77DC">
            <w:pPr>
              <w:pStyle w:val="Tabletext"/>
              <w:jc w:val="center"/>
            </w:pPr>
            <w:r w:rsidRPr="0094293D">
              <w:t>10.2 ± 20.0</w:t>
            </w:r>
          </w:p>
        </w:tc>
        <w:tc>
          <w:tcPr>
            <w:tcW w:w="1417" w:type="dxa"/>
          </w:tcPr>
          <w:p w:rsidR="0075777C" w:rsidRPr="0094293D" w:rsidRDefault="0075777C" w:rsidP="0094293D">
            <w:pPr>
              <w:pStyle w:val="Tabletext"/>
            </w:pPr>
            <w:r w:rsidRPr="0094293D">
              <w:t>123.6, p&lt;0.001</w:t>
            </w:r>
          </w:p>
        </w:tc>
      </w:tr>
    </w:tbl>
    <w:p w:rsidR="0075777C" w:rsidRPr="00822C52" w:rsidRDefault="0075777C" w:rsidP="00887161">
      <w:pPr>
        <w:pStyle w:val="Tablenote"/>
      </w:pPr>
      <w:proofErr w:type="gramStart"/>
      <w:r w:rsidRPr="00DE3429">
        <w:rPr>
          <w:vertAlign w:val="superscript"/>
        </w:rPr>
        <w:t>a</w:t>
      </w:r>
      <w:proofErr w:type="gramEnd"/>
      <w:r w:rsidRPr="00822C52">
        <w:t xml:space="preserve"> 1 patient (12.5%) in the ERA + </w:t>
      </w:r>
      <w:r w:rsidR="00887161" w:rsidRPr="00822C52">
        <w:t>prostanoid</w:t>
      </w:r>
      <w:r w:rsidRPr="00822C52">
        <w:t xml:space="preserve"> group had CTEPH.</w:t>
      </w:r>
    </w:p>
    <w:p w:rsidR="0075777C" w:rsidRPr="00822C52" w:rsidRDefault="0075777C" w:rsidP="00887161">
      <w:pPr>
        <w:pStyle w:val="Tablenote"/>
      </w:pPr>
      <w:r w:rsidRPr="00F5789C">
        <w:t xml:space="preserve">6MWD = 6-minute </w:t>
      </w:r>
      <w:r w:rsidR="0082368E">
        <w:t>walk distance</w:t>
      </w:r>
      <w:r w:rsidRPr="00F5789C">
        <w:t xml:space="preserve">; </w:t>
      </w:r>
      <w:r>
        <w:t>CTEPH = c</w:t>
      </w:r>
      <w:r w:rsidRPr="00DE3429">
        <w:t xml:space="preserve">hronic </w:t>
      </w:r>
      <w:r>
        <w:t>t</w:t>
      </w:r>
      <w:r w:rsidRPr="00DE3429">
        <w:t xml:space="preserve">hromboembolic </w:t>
      </w:r>
      <w:r>
        <w:t>p</w:t>
      </w:r>
      <w:r w:rsidRPr="00DE3429">
        <w:t xml:space="preserve">ulmonary </w:t>
      </w:r>
      <w:r>
        <w:t>h</w:t>
      </w:r>
      <w:r w:rsidRPr="00DE3429">
        <w:t>ypertension</w:t>
      </w:r>
      <w:r>
        <w:t>;</w:t>
      </w:r>
      <w:r w:rsidRPr="00DE3429">
        <w:t xml:space="preserve"> </w:t>
      </w:r>
      <w:r w:rsidRPr="00822C52">
        <w:t xml:space="preserve">ERA = endothelin receptor antagonist; </w:t>
      </w:r>
      <w:r>
        <w:t xml:space="preserve">FC = functional class; </w:t>
      </w:r>
      <w:r w:rsidRPr="00822C52">
        <w:t>N = number of patients; NR = not reported; NS = not significant</w:t>
      </w:r>
      <w:r>
        <w:t xml:space="preserve">; </w:t>
      </w:r>
      <w:r w:rsidRPr="00F5789C">
        <w:t xml:space="preserve">PAH = </w:t>
      </w:r>
      <w:r>
        <w:t>pulmonary arterial hypertension</w:t>
      </w:r>
      <w:r w:rsidRPr="00822C52">
        <w:t xml:space="preserve">; </w:t>
      </w:r>
      <w:r>
        <w:t xml:space="preserve">SD = standard deviation; </w:t>
      </w:r>
      <w:r w:rsidRPr="00822C52">
        <w:t>WHO = World Health Organization</w:t>
      </w:r>
    </w:p>
    <w:p w:rsidR="0075777C" w:rsidRPr="00822C52" w:rsidRDefault="0075777C" w:rsidP="00887161">
      <w:pPr>
        <w:spacing w:after="40" w:line="240" w:lineRule="auto"/>
        <w:jc w:val="center"/>
      </w:pPr>
      <w:r>
        <w:rPr>
          <w:noProof/>
          <w:lang w:eastAsia="en-AU"/>
        </w:rPr>
        <w:drawing>
          <wp:inline distT="0" distB="0" distL="0" distR="0" wp14:anchorId="208D2D72" wp14:editId="631530CC">
            <wp:extent cx="5700072" cy="1678674"/>
            <wp:effectExtent l="0" t="0" r="0" b="0"/>
            <wp:docPr id="5" name="Picture 5" descr="Results showed that both treatment groups attained increase in 6MWD at Week 16. " title="The mean (95% CI) 6MWD at baseline (a) and median (95% CI) at 16 weeks (b) in the BREATHE-2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80959" cy="1702495"/>
                    </a:xfrm>
                    <a:prstGeom prst="rect">
                      <a:avLst/>
                    </a:prstGeom>
                    <a:noFill/>
                  </pic:spPr>
                </pic:pic>
              </a:graphicData>
            </a:graphic>
          </wp:inline>
        </w:drawing>
      </w:r>
    </w:p>
    <w:p w:rsidR="0075777C" w:rsidRDefault="00887161" w:rsidP="00BC5A2B">
      <w:pPr>
        <w:pStyle w:val="Caption"/>
      </w:pPr>
      <w:bookmarkStart w:id="191" w:name="_Ref506302329"/>
      <w:bookmarkStart w:id="192" w:name="_Toc38360480"/>
      <w:r>
        <w:t>Figure 4.</w:t>
      </w:r>
      <w:r w:rsidR="003951FA">
        <w:rPr>
          <w:noProof/>
        </w:rPr>
        <w:t>14</w:t>
      </w:r>
      <w:bookmarkEnd w:id="191"/>
      <w:r>
        <w:tab/>
      </w:r>
      <w:r w:rsidR="0075777C">
        <w:rPr>
          <w:noProof/>
        </w:rPr>
        <w:t>The mean (95% CI) 6MWD at baseline (a) and median (95% CI) at 16 weeks (b) in the BREATHE-2 trial</w:t>
      </w:r>
      <w:bookmarkEnd w:id="192"/>
    </w:p>
    <w:p w:rsidR="00B65826" w:rsidRDefault="00B65826" w:rsidP="00B65826">
      <w:pPr>
        <w:pStyle w:val="Tablenote"/>
      </w:pPr>
      <w:r w:rsidRPr="00B65826">
        <w:t>a)</w:t>
      </w:r>
      <w:r>
        <w:t xml:space="preserve"> Baseline; b) Change from baseline at Week 16</w:t>
      </w:r>
    </w:p>
    <w:p w:rsidR="00AD3645" w:rsidRPr="00F5789C" w:rsidRDefault="00AD3645" w:rsidP="00AD3645">
      <w:pPr>
        <w:pStyle w:val="Tablenote"/>
      </w:pPr>
      <w:r w:rsidRPr="00F5789C">
        <w:t xml:space="preserve">6MWD = 6-minute </w:t>
      </w:r>
      <w:r>
        <w:t>walk distance</w:t>
      </w:r>
      <w:r w:rsidRPr="00F5789C">
        <w:t xml:space="preserve">; </w:t>
      </w:r>
      <w:r>
        <w:t xml:space="preserve">m = </w:t>
      </w:r>
      <w:r w:rsidR="00503643">
        <w:t>metres</w:t>
      </w:r>
    </w:p>
    <w:p w:rsidR="0075777C" w:rsidRDefault="0075777C" w:rsidP="00887161">
      <w:pPr>
        <w:pStyle w:val="Tablenote"/>
      </w:pPr>
      <w:r>
        <w:t>Source: Humbert et al (2004)</w:t>
      </w:r>
      <w:r w:rsidR="001D34EE" w:rsidRPr="001A1C44">
        <w:rPr>
          <w:noProof/>
          <w:vertAlign w:val="superscript"/>
        </w:rPr>
        <w:t>35</w:t>
      </w:r>
    </w:p>
    <w:p w:rsidR="0075777C" w:rsidRPr="00822C52" w:rsidRDefault="007B6C7C" w:rsidP="0075777C">
      <w:pPr>
        <w:pStyle w:val="Heading5"/>
      </w:pPr>
      <w:r>
        <w:t>f</w:t>
      </w:r>
      <w:r w:rsidR="0077344D">
        <w:t>.</w:t>
      </w:r>
      <w:r>
        <w:tab/>
        <w:t xml:space="preserve">Change in </w:t>
      </w:r>
      <w:r w:rsidR="0075777C" w:rsidRPr="00822C52">
        <w:t>Qo</w:t>
      </w:r>
      <w:r>
        <w:t>L from baseline</w:t>
      </w:r>
    </w:p>
    <w:p w:rsidR="0075777C" w:rsidRPr="00B607A5" w:rsidRDefault="007B6C7C" w:rsidP="0077344D">
      <w:pPr>
        <w:pStyle w:val="Heading6"/>
      </w:pPr>
      <w:proofErr w:type="gramStart"/>
      <w:r w:rsidRPr="00B607A5">
        <w:t>f</w:t>
      </w:r>
      <w:r w:rsidR="0075777C" w:rsidRPr="00B607A5">
        <w:t>.ii</w:t>
      </w:r>
      <w:proofErr w:type="gramEnd"/>
      <w:r w:rsidR="0075777C" w:rsidRPr="00B607A5">
        <w:tab/>
        <w:t>PAH patients with FC III or IV</w:t>
      </w:r>
    </w:p>
    <w:p w:rsidR="0075777C" w:rsidRDefault="0075777C" w:rsidP="0075777C">
      <w:r w:rsidRPr="00B20DEA">
        <w:t xml:space="preserve">Han </w:t>
      </w:r>
      <w:r>
        <w:t>et al (</w:t>
      </w:r>
      <w:r w:rsidRPr="00B20DEA">
        <w:t>2017</w:t>
      </w:r>
      <w:r>
        <w:t>)</w:t>
      </w:r>
      <w:r w:rsidR="001D34EE" w:rsidRPr="001A1C44">
        <w:rPr>
          <w:noProof/>
          <w:vertAlign w:val="superscript"/>
        </w:rPr>
        <w:t>38</w:t>
      </w:r>
      <w:r>
        <w:t xml:space="preserve"> reported on the change in QoL in patients treated with combination therapy compared to those on monotherapy using the </w:t>
      </w:r>
      <w:r w:rsidR="009B49D9">
        <w:t>M</w:t>
      </w:r>
      <w:r>
        <w:t xml:space="preserve">LHF </w:t>
      </w:r>
      <w:r w:rsidR="005A2984">
        <w:t xml:space="preserve">questionnaire </w:t>
      </w:r>
      <w:r w:rsidR="009B49D9">
        <w:t>(</w:t>
      </w:r>
      <w:r w:rsidR="003951FA">
        <w:t>Table 4.</w:t>
      </w:r>
      <w:r w:rsidR="003951FA">
        <w:rPr>
          <w:noProof/>
        </w:rPr>
        <w:t>58</w:t>
      </w:r>
      <w:r>
        <w:t xml:space="preserve">). </w:t>
      </w:r>
      <w:r w:rsidRPr="00BB3B0D">
        <w:t>Th</w:t>
      </w:r>
      <w:r>
        <w:t>is</w:t>
      </w:r>
      <w:r w:rsidRPr="00BB3B0D">
        <w:t xml:space="preserve"> </w:t>
      </w:r>
      <w:r>
        <w:t>questionnaire</w:t>
      </w:r>
      <w:r w:rsidRPr="00BB3B0D">
        <w:t xml:space="preserve"> is widely used to evaluate QoL in </w:t>
      </w:r>
      <w:r w:rsidR="005A2984">
        <w:t>h</w:t>
      </w:r>
      <w:r w:rsidRPr="00BB3B0D">
        <w:t xml:space="preserve">eart </w:t>
      </w:r>
      <w:r w:rsidR="005A2984">
        <w:t>f</w:t>
      </w:r>
      <w:r w:rsidRPr="00BB3B0D">
        <w:t>ailure patients</w:t>
      </w:r>
      <w:r>
        <w:t>. It</w:t>
      </w:r>
      <w:r w:rsidRPr="00BB3B0D">
        <w:t xml:space="preserve"> contain</w:t>
      </w:r>
      <w:r>
        <w:t>s</w:t>
      </w:r>
      <w:r w:rsidRPr="00BB3B0D">
        <w:t xml:space="preserve"> 21 questions with </w:t>
      </w:r>
      <w:r>
        <w:t xml:space="preserve">a total </w:t>
      </w:r>
      <w:r w:rsidRPr="00BB3B0D">
        <w:t xml:space="preserve">score ranging from </w:t>
      </w:r>
      <w:proofErr w:type="gramStart"/>
      <w:r w:rsidRPr="00BB3B0D">
        <w:t>0</w:t>
      </w:r>
      <w:proofErr w:type="gramEnd"/>
      <w:r w:rsidRPr="00BB3B0D">
        <w:t xml:space="preserve"> to 105</w:t>
      </w:r>
      <w:r>
        <w:t>, with an increasing score representing a poorer QoL. Behlouli et al (2009)</w:t>
      </w:r>
      <w:r w:rsidR="001D34EE" w:rsidRPr="001D34EE">
        <w:rPr>
          <w:noProof/>
          <w:vertAlign w:val="superscript"/>
        </w:rPr>
        <w:t>84</w:t>
      </w:r>
      <w:r>
        <w:t xml:space="preserve"> estimated that a score of &lt;24 represented a good QoL for heart failure patients, a score between 24 and 45 represents a moderate QoL, and a score &gt;</w:t>
      </w:r>
      <w:r w:rsidR="00D60D8E">
        <w:t>45 represents a poor QoL.</w:t>
      </w:r>
    </w:p>
    <w:p w:rsidR="0075777C" w:rsidRPr="00822C52" w:rsidRDefault="0075777C" w:rsidP="0075777C">
      <w:r>
        <w:t xml:space="preserve">At baseline, the mean scores indicate that patients in both the combination therapy and monotherapy groups had a poor QoL. After 12 </w:t>
      </w:r>
      <w:proofErr w:type="gramStart"/>
      <w:r>
        <w:t>weeks</w:t>
      </w:r>
      <w:proofErr w:type="gramEnd"/>
      <w:r>
        <w:t xml:space="preserve"> the patients in the ERA plus </w:t>
      </w:r>
      <w:r w:rsidR="00754236">
        <w:t>prostanoid</w:t>
      </w:r>
      <w:r>
        <w:t xml:space="preserve"> group had improved sufficiently to now have a mean score representing a good QoL. The mean score for patients receiving </w:t>
      </w:r>
      <w:r w:rsidR="00754236">
        <w:t>prostanoid</w:t>
      </w:r>
      <w:r>
        <w:t xml:space="preserve"> monotherapy hardly changed from baseline, and patients still considered themselves to have a poor QoL. This suggests a significant</w:t>
      </w:r>
      <w:r w:rsidR="00D14AB4">
        <w:t xml:space="preserve"> and clinically important</w:t>
      </w:r>
      <w:r>
        <w:t xml:space="preserve"> difference in the change in QoL between the two groups.</w:t>
      </w:r>
    </w:p>
    <w:p w:rsidR="0075777C" w:rsidRDefault="00272F8F" w:rsidP="00BC5A2B">
      <w:pPr>
        <w:pStyle w:val="Caption"/>
      </w:pPr>
      <w:bookmarkStart w:id="193" w:name="_Ref505252740"/>
      <w:bookmarkStart w:id="194" w:name="_Toc38360355"/>
      <w:r>
        <w:t>Table 4.</w:t>
      </w:r>
      <w:r w:rsidR="003951FA">
        <w:rPr>
          <w:noProof/>
        </w:rPr>
        <w:t>58</w:t>
      </w:r>
      <w:bookmarkEnd w:id="193"/>
      <w:r w:rsidR="00887161">
        <w:tab/>
      </w:r>
      <w:r w:rsidR="0075777C">
        <w:t xml:space="preserve">The effectiveness of </w:t>
      </w:r>
      <w:r w:rsidR="00385078">
        <w:t xml:space="preserve">an </w:t>
      </w:r>
      <w:r w:rsidR="00385078" w:rsidRPr="00A32D31">
        <w:t xml:space="preserve">ERA </w:t>
      </w:r>
      <w:r w:rsidR="00385078">
        <w:t>in addition to</w:t>
      </w:r>
      <w:r w:rsidR="00385078" w:rsidRPr="00A32D31">
        <w:t xml:space="preserve"> </w:t>
      </w:r>
      <w:r w:rsidR="00385078">
        <w:t xml:space="preserve">a </w:t>
      </w:r>
      <w:r w:rsidR="00385078" w:rsidRPr="00DD7790">
        <w:t>prostanoid compared with prostanoid</w:t>
      </w:r>
      <w:r w:rsidR="00385078">
        <w:t xml:space="preserve"> monotherapy</w:t>
      </w:r>
      <w:r w:rsidR="00385078" w:rsidRPr="00DD7790">
        <w:t xml:space="preserve"> </w:t>
      </w:r>
      <w:r w:rsidR="0075777C" w:rsidRPr="00DD7790">
        <w:t>in improving QoL in patients with WHO FC III</w:t>
      </w:r>
      <w:r w:rsidR="00AA1157">
        <w:t>/</w:t>
      </w:r>
      <w:r w:rsidR="0075777C" w:rsidRPr="00DD7790">
        <w:t>IV PAH</w:t>
      </w:r>
      <w:bookmarkEnd w:id="194"/>
    </w:p>
    <w:tbl>
      <w:tblPr>
        <w:tblStyle w:val="TableGrid"/>
        <w:tblW w:w="9634" w:type="dxa"/>
        <w:tblLayout w:type="fixed"/>
        <w:tblLook w:val="04A0" w:firstRow="1" w:lastRow="0" w:firstColumn="1" w:lastColumn="0" w:noHBand="0" w:noVBand="1"/>
        <w:tblCaption w:val="The effectiveness of an ERA in addition to a prostanoid compared with prostanoid monotherapy in improving QoL in patients with WHO FC III/IV PAH"/>
      </w:tblPr>
      <w:tblGrid>
        <w:gridCol w:w="1555"/>
        <w:gridCol w:w="1417"/>
        <w:gridCol w:w="1843"/>
        <w:gridCol w:w="1418"/>
        <w:gridCol w:w="1701"/>
        <w:gridCol w:w="1700"/>
      </w:tblGrid>
      <w:tr w:rsidR="0075777C" w:rsidTr="009B49D9">
        <w:trPr>
          <w:cnfStyle w:val="100000000000" w:firstRow="1" w:lastRow="0" w:firstColumn="0" w:lastColumn="0" w:oddVBand="0" w:evenVBand="0" w:oddHBand="0" w:evenHBand="0" w:firstRowFirstColumn="0" w:firstRowLastColumn="0" w:lastRowFirstColumn="0" w:lastRowLastColumn="0"/>
        </w:trPr>
        <w:tc>
          <w:tcPr>
            <w:tcW w:w="1555" w:type="dxa"/>
            <w:vMerge w:val="restart"/>
            <w:shd w:val="clear" w:color="auto" w:fill="BFBFBF" w:themeFill="background1" w:themeFillShade="BF"/>
          </w:tcPr>
          <w:p w:rsidR="0075777C" w:rsidRPr="00887161" w:rsidRDefault="0075777C" w:rsidP="00887161">
            <w:pPr>
              <w:pStyle w:val="Tabletext"/>
              <w:rPr>
                <w:b/>
              </w:rPr>
            </w:pPr>
            <w:r w:rsidRPr="00887161">
              <w:rPr>
                <w:b/>
              </w:rPr>
              <w:t>Study ID</w:t>
            </w:r>
          </w:p>
          <w:p w:rsidR="0075777C" w:rsidRPr="00887161" w:rsidRDefault="0075777C" w:rsidP="00887161">
            <w:pPr>
              <w:pStyle w:val="Tabletext"/>
              <w:rPr>
                <w:b/>
              </w:rPr>
            </w:pPr>
            <w:r w:rsidRPr="00887161">
              <w:rPr>
                <w:b/>
              </w:rPr>
              <w:t>ERA/</w:t>
            </w:r>
            <w:r w:rsidR="00887161" w:rsidRPr="00887161">
              <w:rPr>
                <w:b/>
              </w:rPr>
              <w:t>prostanoid</w:t>
            </w:r>
          </w:p>
          <w:p w:rsidR="0075777C" w:rsidRPr="00887161" w:rsidRDefault="0075777C" w:rsidP="00887161">
            <w:pPr>
              <w:pStyle w:val="Tabletext"/>
              <w:rPr>
                <w:b/>
              </w:rPr>
            </w:pPr>
            <w:r w:rsidRPr="00887161">
              <w:rPr>
                <w:b/>
              </w:rPr>
              <w:t>Time point</w:t>
            </w:r>
          </w:p>
        </w:tc>
        <w:tc>
          <w:tcPr>
            <w:tcW w:w="3260" w:type="dxa"/>
            <w:gridSpan w:val="2"/>
            <w:shd w:val="clear" w:color="auto" w:fill="BFBFBF" w:themeFill="background1" w:themeFillShade="BF"/>
          </w:tcPr>
          <w:p w:rsidR="0075777C" w:rsidRPr="00887161" w:rsidRDefault="0075777C" w:rsidP="00AE77DC">
            <w:pPr>
              <w:pStyle w:val="Tabletext"/>
              <w:jc w:val="center"/>
              <w:rPr>
                <w:b/>
              </w:rPr>
            </w:pPr>
            <w:r w:rsidRPr="00887161">
              <w:rPr>
                <w:b/>
              </w:rPr>
              <w:t>Mean</w:t>
            </w:r>
            <w:r w:rsidR="002449DC">
              <w:rPr>
                <w:b/>
              </w:rPr>
              <w:t xml:space="preserve"> </w:t>
            </w:r>
            <w:r w:rsidR="00887161" w:rsidRPr="00887161">
              <w:rPr>
                <w:b/>
              </w:rPr>
              <w:t xml:space="preserve">± SD </w:t>
            </w:r>
            <w:r w:rsidRPr="00887161">
              <w:rPr>
                <w:b/>
              </w:rPr>
              <w:t>baseline</w:t>
            </w:r>
            <w:r w:rsidR="00AE77DC">
              <w:rPr>
                <w:b/>
              </w:rPr>
              <w:t xml:space="preserve"> QoL</w:t>
            </w:r>
          </w:p>
        </w:tc>
        <w:tc>
          <w:tcPr>
            <w:tcW w:w="3119" w:type="dxa"/>
            <w:gridSpan w:val="2"/>
            <w:shd w:val="clear" w:color="auto" w:fill="BFBFBF" w:themeFill="background1" w:themeFillShade="BF"/>
          </w:tcPr>
          <w:p w:rsidR="0075777C" w:rsidRPr="00887161" w:rsidRDefault="0075777C" w:rsidP="00AE77DC">
            <w:pPr>
              <w:pStyle w:val="Tabletext"/>
              <w:jc w:val="center"/>
              <w:rPr>
                <w:b/>
              </w:rPr>
            </w:pPr>
            <w:r w:rsidRPr="00887161">
              <w:rPr>
                <w:b/>
              </w:rPr>
              <w:t xml:space="preserve">Mean </w:t>
            </w:r>
            <w:r w:rsidR="00AE77DC">
              <w:rPr>
                <w:b/>
              </w:rPr>
              <w:t>± SD change from baseline</w:t>
            </w:r>
          </w:p>
        </w:tc>
        <w:tc>
          <w:tcPr>
            <w:tcW w:w="1700" w:type="dxa"/>
            <w:vMerge w:val="restart"/>
            <w:shd w:val="clear" w:color="auto" w:fill="BFBFBF" w:themeFill="background1" w:themeFillShade="BF"/>
          </w:tcPr>
          <w:p w:rsidR="0075777C" w:rsidRPr="00887161" w:rsidRDefault="00887161" w:rsidP="00C30B1C">
            <w:pPr>
              <w:pStyle w:val="Tabletext"/>
              <w:rPr>
                <w:b/>
              </w:rPr>
            </w:pPr>
            <w:r w:rsidRPr="00887161">
              <w:rPr>
                <w:rFonts w:asciiTheme="minorHAnsi" w:hAnsiTheme="minorHAnsi"/>
                <w:b/>
              </w:rPr>
              <w:t>Mean difference</w:t>
            </w:r>
            <w:r w:rsidRPr="00887161">
              <w:rPr>
                <w:b/>
              </w:rPr>
              <w:t xml:space="preserve">, </w:t>
            </w:r>
            <w:r>
              <w:rPr>
                <w:b/>
              </w:rPr>
              <w:t>points</w:t>
            </w:r>
          </w:p>
        </w:tc>
      </w:tr>
      <w:tr w:rsidR="0075777C" w:rsidTr="009B49D9">
        <w:tc>
          <w:tcPr>
            <w:tcW w:w="1555" w:type="dxa"/>
            <w:vMerge/>
          </w:tcPr>
          <w:p w:rsidR="0075777C" w:rsidRDefault="0075777C" w:rsidP="00887161">
            <w:pPr>
              <w:pStyle w:val="Tabletext"/>
            </w:pPr>
          </w:p>
        </w:tc>
        <w:tc>
          <w:tcPr>
            <w:tcW w:w="1417" w:type="dxa"/>
            <w:shd w:val="clear" w:color="auto" w:fill="BFBFBF" w:themeFill="background1" w:themeFillShade="BF"/>
          </w:tcPr>
          <w:p w:rsidR="0075777C" w:rsidRPr="00887161" w:rsidRDefault="0075777C" w:rsidP="00887161">
            <w:pPr>
              <w:pStyle w:val="Tabletext"/>
              <w:jc w:val="center"/>
              <w:rPr>
                <w:b/>
              </w:rPr>
            </w:pPr>
            <w:r w:rsidRPr="00887161">
              <w:rPr>
                <w:b/>
              </w:rPr>
              <w:t xml:space="preserve">ERA + </w:t>
            </w:r>
            <w:r w:rsidR="00887161" w:rsidRPr="00887161">
              <w:rPr>
                <w:b/>
              </w:rPr>
              <w:t>prostanoid</w:t>
            </w:r>
          </w:p>
        </w:tc>
        <w:tc>
          <w:tcPr>
            <w:tcW w:w="1843" w:type="dxa"/>
            <w:shd w:val="clear" w:color="auto" w:fill="BFBFBF" w:themeFill="background1" w:themeFillShade="BF"/>
          </w:tcPr>
          <w:p w:rsidR="0075777C" w:rsidRPr="00887161" w:rsidRDefault="0075777C" w:rsidP="00EF4CF6">
            <w:pPr>
              <w:pStyle w:val="Tabletext"/>
              <w:jc w:val="center"/>
              <w:rPr>
                <w:b/>
              </w:rPr>
            </w:pPr>
            <w:r w:rsidRPr="00887161">
              <w:rPr>
                <w:b/>
              </w:rPr>
              <w:t>P</w:t>
            </w:r>
            <w:r w:rsidR="00887161" w:rsidRPr="00887161">
              <w:rPr>
                <w:b/>
              </w:rPr>
              <w:t>rostanoid</w:t>
            </w:r>
          </w:p>
        </w:tc>
        <w:tc>
          <w:tcPr>
            <w:tcW w:w="1418" w:type="dxa"/>
            <w:shd w:val="clear" w:color="auto" w:fill="BFBFBF" w:themeFill="background1" w:themeFillShade="BF"/>
          </w:tcPr>
          <w:p w:rsidR="0075777C" w:rsidRPr="00887161" w:rsidRDefault="0075777C" w:rsidP="00887161">
            <w:pPr>
              <w:pStyle w:val="Tabletext"/>
              <w:jc w:val="center"/>
              <w:rPr>
                <w:b/>
              </w:rPr>
            </w:pPr>
            <w:r w:rsidRPr="00887161">
              <w:rPr>
                <w:b/>
              </w:rPr>
              <w:t xml:space="preserve">ERA + </w:t>
            </w:r>
            <w:r w:rsidR="00887161" w:rsidRPr="00887161">
              <w:rPr>
                <w:b/>
              </w:rPr>
              <w:t>prostanoid</w:t>
            </w:r>
          </w:p>
        </w:tc>
        <w:tc>
          <w:tcPr>
            <w:tcW w:w="1701" w:type="dxa"/>
            <w:shd w:val="clear" w:color="auto" w:fill="BFBFBF" w:themeFill="background1" w:themeFillShade="BF"/>
          </w:tcPr>
          <w:p w:rsidR="0075777C" w:rsidRPr="00887161" w:rsidRDefault="0075777C" w:rsidP="00EF4CF6">
            <w:pPr>
              <w:pStyle w:val="Tabletext"/>
              <w:jc w:val="center"/>
              <w:rPr>
                <w:b/>
              </w:rPr>
            </w:pPr>
            <w:r w:rsidRPr="00887161">
              <w:rPr>
                <w:b/>
              </w:rPr>
              <w:t>P</w:t>
            </w:r>
            <w:r w:rsidR="00887161" w:rsidRPr="00887161">
              <w:rPr>
                <w:b/>
              </w:rPr>
              <w:t>rostanoid</w:t>
            </w:r>
          </w:p>
        </w:tc>
        <w:tc>
          <w:tcPr>
            <w:tcW w:w="1700" w:type="dxa"/>
            <w:vMerge/>
          </w:tcPr>
          <w:p w:rsidR="0075777C" w:rsidRDefault="0075777C" w:rsidP="00887161">
            <w:pPr>
              <w:pStyle w:val="Tabletext"/>
            </w:pPr>
          </w:p>
        </w:tc>
      </w:tr>
      <w:tr w:rsidR="0075777C" w:rsidTr="009B49D9">
        <w:tc>
          <w:tcPr>
            <w:tcW w:w="1555" w:type="dxa"/>
          </w:tcPr>
          <w:p w:rsidR="0075777C" w:rsidRPr="00822C52" w:rsidRDefault="0075777C" w:rsidP="00887161">
            <w:pPr>
              <w:pStyle w:val="Tabletext"/>
              <w:rPr>
                <w:rFonts w:cs="Tahoma"/>
              </w:rPr>
            </w:pPr>
            <w:r w:rsidRPr="00822C52">
              <w:rPr>
                <w:rFonts w:cs="Tahoma"/>
              </w:rPr>
              <w:t>Han 2017</w:t>
            </w:r>
            <w:r w:rsidR="001D34EE" w:rsidRPr="001A1C44">
              <w:rPr>
                <w:rFonts w:cs="Tahoma"/>
                <w:noProof/>
                <w:vertAlign w:val="superscript"/>
              </w:rPr>
              <w:t>38</w:t>
            </w:r>
            <w:r>
              <w:rPr>
                <w:rFonts w:cs="Tahoma"/>
              </w:rPr>
              <w:t xml:space="preserve"> </w:t>
            </w:r>
            <w:r w:rsidRPr="00DE3429">
              <w:rPr>
                <w:rFonts w:cs="Tahoma"/>
                <w:vertAlign w:val="superscript"/>
              </w:rPr>
              <w:t>a</w:t>
            </w:r>
          </w:p>
          <w:p w:rsidR="0075777C" w:rsidRDefault="0075777C" w:rsidP="00887161">
            <w:pPr>
              <w:pStyle w:val="Tabletext"/>
              <w:rPr>
                <w:rFonts w:cs="Tahoma"/>
              </w:rPr>
            </w:pPr>
            <w:r>
              <w:rPr>
                <w:rFonts w:cs="Tahoma"/>
              </w:rPr>
              <w:t>Bosentan/iloprost</w:t>
            </w:r>
          </w:p>
          <w:p w:rsidR="0075777C" w:rsidRDefault="0075777C" w:rsidP="00887161">
            <w:pPr>
              <w:pStyle w:val="Tabletext"/>
            </w:pPr>
            <w:r>
              <w:rPr>
                <w:rFonts w:cs="Tahoma"/>
              </w:rPr>
              <w:t>12 weeks</w:t>
            </w:r>
          </w:p>
        </w:tc>
        <w:tc>
          <w:tcPr>
            <w:tcW w:w="1417" w:type="dxa"/>
          </w:tcPr>
          <w:p w:rsidR="0075777C" w:rsidRDefault="009B49D9" w:rsidP="00887161">
            <w:pPr>
              <w:pStyle w:val="Tabletext"/>
              <w:jc w:val="center"/>
              <w:rPr>
                <w:rFonts w:cs="Tahoma"/>
              </w:rPr>
            </w:pPr>
            <w:r>
              <w:rPr>
                <w:rFonts w:cs="Tahoma"/>
              </w:rPr>
              <w:t>M</w:t>
            </w:r>
            <w:r w:rsidR="0075777C" w:rsidRPr="00B20DEA">
              <w:rPr>
                <w:rFonts w:cs="Tahoma"/>
              </w:rPr>
              <w:t>LHF</w:t>
            </w:r>
            <w:r w:rsidR="003A513F">
              <w:rPr>
                <w:rFonts w:cs="Tahoma"/>
                <w:vertAlign w:val="superscript"/>
              </w:rPr>
              <w:t>b</w:t>
            </w:r>
          </w:p>
          <w:p w:rsidR="0075777C" w:rsidRDefault="0075777C" w:rsidP="00887161">
            <w:pPr>
              <w:pStyle w:val="Tabletext"/>
              <w:jc w:val="center"/>
            </w:pPr>
            <w:r w:rsidRPr="00822C52">
              <w:rPr>
                <w:rFonts w:cs="Tahoma"/>
              </w:rPr>
              <w:t>56.8 ± 7.5</w:t>
            </w:r>
          </w:p>
        </w:tc>
        <w:tc>
          <w:tcPr>
            <w:tcW w:w="1843" w:type="dxa"/>
          </w:tcPr>
          <w:p w:rsidR="0075777C" w:rsidRDefault="0075777C" w:rsidP="00887161">
            <w:pPr>
              <w:pStyle w:val="Tabletext"/>
              <w:jc w:val="center"/>
              <w:rPr>
                <w:rFonts w:cs="Tahoma"/>
              </w:rPr>
            </w:pPr>
          </w:p>
          <w:p w:rsidR="0075777C" w:rsidRDefault="0075777C" w:rsidP="00887161">
            <w:pPr>
              <w:pStyle w:val="Tabletext"/>
              <w:jc w:val="center"/>
            </w:pPr>
            <w:r w:rsidRPr="00822C52">
              <w:rPr>
                <w:rFonts w:cs="Tahoma"/>
              </w:rPr>
              <w:t>65.5 ± 3.7</w:t>
            </w:r>
          </w:p>
        </w:tc>
        <w:tc>
          <w:tcPr>
            <w:tcW w:w="1418" w:type="dxa"/>
          </w:tcPr>
          <w:p w:rsidR="0075777C" w:rsidRPr="00822C52" w:rsidRDefault="0075777C" w:rsidP="00887161">
            <w:pPr>
              <w:pStyle w:val="Tabletext"/>
              <w:jc w:val="center"/>
              <w:rPr>
                <w:rFonts w:cs="Tahoma"/>
              </w:rPr>
            </w:pPr>
          </w:p>
          <w:p w:rsidR="0075777C" w:rsidRDefault="0075777C" w:rsidP="00887161">
            <w:pPr>
              <w:pStyle w:val="Tabletext"/>
              <w:jc w:val="center"/>
            </w:pPr>
            <w:r w:rsidRPr="00822C52">
              <w:rPr>
                <w:rFonts w:cs="Arial"/>
              </w:rPr>
              <w:t>‒</w:t>
            </w:r>
            <w:r w:rsidRPr="00822C52">
              <w:rPr>
                <w:rFonts w:cs="Tahoma"/>
              </w:rPr>
              <w:t>37.0 ± 7.3</w:t>
            </w:r>
          </w:p>
        </w:tc>
        <w:tc>
          <w:tcPr>
            <w:tcW w:w="1701" w:type="dxa"/>
          </w:tcPr>
          <w:p w:rsidR="0075777C" w:rsidRPr="00822C52" w:rsidRDefault="0075777C" w:rsidP="00887161">
            <w:pPr>
              <w:pStyle w:val="Tabletext"/>
              <w:jc w:val="center"/>
              <w:rPr>
                <w:rFonts w:cs="Tahoma"/>
              </w:rPr>
            </w:pPr>
          </w:p>
          <w:p w:rsidR="0075777C" w:rsidRDefault="0075777C" w:rsidP="00887161">
            <w:pPr>
              <w:pStyle w:val="Tabletext"/>
              <w:jc w:val="center"/>
            </w:pPr>
            <w:r w:rsidRPr="00822C52">
              <w:rPr>
                <w:rFonts w:cs="Arial"/>
              </w:rPr>
              <w:t>‒</w:t>
            </w:r>
            <w:r>
              <w:rPr>
                <w:rFonts w:cs="Tahoma"/>
              </w:rPr>
              <w:t>1</w:t>
            </w:r>
            <w:r w:rsidRPr="00822C52">
              <w:rPr>
                <w:rFonts w:cs="Tahoma"/>
              </w:rPr>
              <w:t>.</w:t>
            </w:r>
            <w:r>
              <w:rPr>
                <w:rFonts w:cs="Tahoma"/>
              </w:rPr>
              <w:t>7</w:t>
            </w:r>
            <w:r w:rsidRPr="00822C52">
              <w:rPr>
                <w:rFonts w:cs="Tahoma"/>
              </w:rPr>
              <w:t xml:space="preserve"> ± </w:t>
            </w:r>
            <w:r>
              <w:rPr>
                <w:rFonts w:cs="Tahoma"/>
              </w:rPr>
              <w:t>5</w:t>
            </w:r>
            <w:r w:rsidRPr="00822C52">
              <w:rPr>
                <w:rFonts w:cs="Tahoma"/>
              </w:rPr>
              <w:t>.</w:t>
            </w:r>
            <w:r>
              <w:rPr>
                <w:rFonts w:cs="Tahoma"/>
              </w:rPr>
              <w:t>9</w:t>
            </w:r>
          </w:p>
        </w:tc>
        <w:tc>
          <w:tcPr>
            <w:tcW w:w="1700" w:type="dxa"/>
          </w:tcPr>
          <w:p w:rsidR="0075777C" w:rsidRPr="00822C52" w:rsidRDefault="0075777C" w:rsidP="00887161">
            <w:pPr>
              <w:pStyle w:val="Tabletext"/>
              <w:rPr>
                <w:rFonts w:cs="Tahoma"/>
              </w:rPr>
            </w:pPr>
          </w:p>
          <w:p w:rsidR="0075777C" w:rsidRDefault="0075777C" w:rsidP="00887161">
            <w:pPr>
              <w:pStyle w:val="Tabletext"/>
            </w:pPr>
            <w:r w:rsidRPr="00822C52">
              <w:rPr>
                <w:rFonts w:cs="Arial"/>
              </w:rPr>
              <w:t>‒</w:t>
            </w:r>
            <w:r w:rsidRPr="00822C52">
              <w:rPr>
                <w:rFonts w:cs="Tahoma"/>
              </w:rPr>
              <w:t>3</w:t>
            </w:r>
            <w:r>
              <w:rPr>
                <w:rFonts w:cs="Tahoma"/>
              </w:rPr>
              <w:t>5</w:t>
            </w:r>
            <w:r w:rsidRPr="00822C52">
              <w:rPr>
                <w:rFonts w:cs="Tahoma"/>
              </w:rPr>
              <w:t>.</w:t>
            </w:r>
            <w:r>
              <w:rPr>
                <w:rFonts w:cs="Tahoma"/>
              </w:rPr>
              <w:t>3, p&lt;0.002</w:t>
            </w:r>
          </w:p>
        </w:tc>
      </w:tr>
    </w:tbl>
    <w:p w:rsidR="0075777C" w:rsidRDefault="0075777C" w:rsidP="00887161">
      <w:pPr>
        <w:pStyle w:val="Tablenote"/>
      </w:pPr>
      <w:proofErr w:type="gramStart"/>
      <w:r w:rsidRPr="00DE3429">
        <w:rPr>
          <w:vertAlign w:val="superscript"/>
        </w:rPr>
        <w:t>a</w:t>
      </w:r>
      <w:proofErr w:type="gramEnd"/>
      <w:r w:rsidRPr="00822C52">
        <w:t xml:space="preserve"> 1 patient (12.5%) in the ERA + </w:t>
      </w:r>
      <w:r w:rsidR="0017012F" w:rsidRPr="00822C52">
        <w:t>prostanoid</w:t>
      </w:r>
      <w:r w:rsidRPr="00822C52">
        <w:t xml:space="preserve"> group had CTEPH.</w:t>
      </w:r>
    </w:p>
    <w:p w:rsidR="003A513F" w:rsidRPr="00822C52" w:rsidRDefault="003A513F" w:rsidP="00887161">
      <w:pPr>
        <w:pStyle w:val="Tablenote"/>
      </w:pPr>
      <w:proofErr w:type="gramStart"/>
      <w:r>
        <w:rPr>
          <w:vertAlign w:val="superscript"/>
        </w:rPr>
        <w:t>b</w:t>
      </w:r>
      <w:proofErr w:type="gramEnd"/>
      <w:r w:rsidRPr="003A513F">
        <w:t xml:space="preserve"> </w:t>
      </w:r>
      <w:r w:rsidR="005A2984" w:rsidRPr="005A2984">
        <w:t>MLHF</w:t>
      </w:r>
      <w:r w:rsidR="00FB4615">
        <w:t xml:space="preserve"> questionnaire</w:t>
      </w:r>
      <w:r w:rsidR="005A2984" w:rsidRPr="005A2984">
        <w:t xml:space="preserve"> total scores range from 0 to 105. A higher score indicates poorer QoL.</w:t>
      </w:r>
    </w:p>
    <w:p w:rsidR="0075777C" w:rsidRPr="00822C52" w:rsidRDefault="0075777C" w:rsidP="00887161">
      <w:pPr>
        <w:pStyle w:val="Tablenote"/>
        <w:rPr>
          <w:b/>
        </w:rPr>
      </w:pPr>
      <w:r>
        <w:t>CTEPH = c</w:t>
      </w:r>
      <w:r w:rsidRPr="00DE3429">
        <w:t xml:space="preserve">hronic </w:t>
      </w:r>
      <w:r>
        <w:t>t</w:t>
      </w:r>
      <w:r w:rsidRPr="00DE3429">
        <w:t xml:space="preserve">hromboembolic </w:t>
      </w:r>
      <w:r>
        <w:t>p</w:t>
      </w:r>
      <w:r w:rsidRPr="00DE3429">
        <w:t xml:space="preserve">ulmonary </w:t>
      </w:r>
      <w:r>
        <w:t>h</w:t>
      </w:r>
      <w:r w:rsidRPr="00DE3429">
        <w:t>ypertension</w:t>
      </w:r>
      <w:r>
        <w:t>;</w:t>
      </w:r>
      <w:r w:rsidRPr="00DE3429">
        <w:t xml:space="preserve"> </w:t>
      </w:r>
      <w:r w:rsidRPr="00822C52">
        <w:t xml:space="preserve">ERA = endothelin receptor antagonist; FC = functional class; </w:t>
      </w:r>
      <w:r w:rsidR="009B49D9">
        <w:t>M</w:t>
      </w:r>
      <w:r w:rsidRPr="00822C52">
        <w:t xml:space="preserve">LHF = </w:t>
      </w:r>
      <w:r w:rsidR="009B49D9" w:rsidRPr="009B49D9">
        <w:t xml:space="preserve">Minnesota </w:t>
      </w:r>
      <w:r w:rsidR="009B49D9">
        <w:t>living with heart f</w:t>
      </w:r>
      <w:r w:rsidRPr="00822C52">
        <w:t xml:space="preserve">ailure questionnaire; PAH = pulmonary arterial hypertension; QoL = quality of life; </w:t>
      </w:r>
      <w:r>
        <w:t xml:space="preserve">SD = standard deviation; </w:t>
      </w:r>
      <w:r w:rsidRPr="00822C52">
        <w:t>WHO = World Health Organization</w:t>
      </w:r>
    </w:p>
    <w:p w:rsidR="007B6C7C" w:rsidRPr="006316DF" w:rsidRDefault="007B6C7C" w:rsidP="007B6C7C">
      <w:pPr>
        <w:pStyle w:val="Heading5"/>
      </w:pPr>
      <w:r>
        <w:t>g.</w:t>
      </w:r>
      <w:r>
        <w:tab/>
      </w:r>
      <w:r w:rsidRPr="006316DF">
        <w:t xml:space="preserve">Change in </w:t>
      </w:r>
      <w:r>
        <w:t>haemodynamic parameters</w:t>
      </w:r>
      <w:r w:rsidRPr="006316DF">
        <w:t xml:space="preserve"> from baseline</w:t>
      </w:r>
    </w:p>
    <w:p w:rsidR="007B6C7C" w:rsidRPr="00B607A5" w:rsidRDefault="007B6C7C" w:rsidP="007B6C7C">
      <w:pPr>
        <w:pStyle w:val="Heading6"/>
      </w:pPr>
      <w:proofErr w:type="gramStart"/>
      <w:r w:rsidRPr="00B607A5">
        <w:t>g.ii</w:t>
      </w:r>
      <w:proofErr w:type="gramEnd"/>
      <w:r w:rsidRPr="00B607A5">
        <w:tab/>
        <w:t>PAH patients with FC III or IV</w:t>
      </w:r>
    </w:p>
    <w:p w:rsidR="007B6C7C" w:rsidRDefault="007B6C7C" w:rsidP="007B6C7C">
      <w:r>
        <w:t>Both the BREATHE-2 and Han 2017 studies reported the change in several haemodynamic parameters from baseline to the end of the study period (</w:t>
      </w:r>
      <w:r w:rsidR="003951FA">
        <w:t>Table 4.</w:t>
      </w:r>
      <w:r w:rsidR="003951FA">
        <w:rPr>
          <w:noProof/>
        </w:rPr>
        <w:t>59</w:t>
      </w:r>
      <w:r>
        <w:t xml:space="preserve">). Although all of the reported parameters in the BREATHE-2 study showed greater improvement in the combination therapy group compared to the monotherapy group, none of the monotherapy-adjusted changes from baseline </w:t>
      </w:r>
      <w:proofErr w:type="gramStart"/>
      <w:r>
        <w:t>were</w:t>
      </w:r>
      <w:proofErr w:type="gramEnd"/>
      <w:r>
        <w:t xml:space="preserve"> statistically significant. Although the improvement in the cardiac index, PVR and </w:t>
      </w:r>
      <w:r w:rsidRPr="008C4554">
        <w:t>total pulmonary resistance</w:t>
      </w:r>
      <w:r>
        <w:t xml:space="preserve"> in the combination therapy group were large and likely to be clinically important, there was also a reasonably large improvement in the monotherapy group. Thus, the improvement gained from the addition of an ERA to </w:t>
      </w:r>
      <w:r w:rsidR="0017012F">
        <w:t>prostanoid</w:t>
      </w:r>
      <w:r>
        <w:t xml:space="preserve"> therap</w:t>
      </w:r>
      <w:r w:rsidR="00D60D8E">
        <w:t>y was not clinically important.</w:t>
      </w:r>
    </w:p>
    <w:p w:rsidR="007B6C7C" w:rsidRDefault="00C37410" w:rsidP="007B6C7C">
      <w:r>
        <w:t>I</w:t>
      </w:r>
      <w:r w:rsidR="007B6C7C">
        <w:t xml:space="preserve">n the Han 2017 </w:t>
      </w:r>
      <w:proofErr w:type="gramStart"/>
      <w:r w:rsidR="007B6C7C">
        <w:t>study</w:t>
      </w:r>
      <w:proofErr w:type="gramEnd"/>
      <w:r w:rsidR="007B6C7C">
        <w:t xml:space="preserve"> the monotherapy group changed little from baseline whereas the combination therapy group showed improvement. There was statistically significant improvement in the mPAP (p</w:t>
      </w:r>
      <w:r w:rsidR="00B60655">
        <w:t> </w:t>
      </w:r>
      <w:r w:rsidR="007B6C7C">
        <w:t>=</w:t>
      </w:r>
      <w:r w:rsidR="00B60655">
        <w:t> </w:t>
      </w:r>
      <w:r w:rsidR="007B6C7C">
        <w:t>0.002) and cardiac index (p</w:t>
      </w:r>
      <w:r w:rsidR="00B60655">
        <w:t> </w:t>
      </w:r>
      <w:r w:rsidR="007B6C7C">
        <w:t>=</w:t>
      </w:r>
      <w:r w:rsidR="00B60655">
        <w:t> </w:t>
      </w:r>
      <w:r w:rsidR="007B6C7C">
        <w:t xml:space="preserve">0.041) in the combination therapy group compared to the monotherapy group. The mean baseline value for the cardiac index was within the normal range for the combination therapy group and improved further with treatment. However, as the cardiac index can be normal in patients with PAH, the clinical significance of this change is uncertain. The 26% decrease in </w:t>
      </w:r>
      <w:r w:rsidR="007B6C7C" w:rsidRPr="00D834E8">
        <w:t>mean pulmonary arterial pressure</w:t>
      </w:r>
      <w:r w:rsidR="007B6C7C">
        <w:t xml:space="preserve"> </w:t>
      </w:r>
      <w:r w:rsidR="00BC4B63">
        <w:t>and 22% decrease PVR in the combination therapy group compared with the monotherapy group</w:t>
      </w:r>
      <w:r w:rsidR="00BC4B63" w:rsidRPr="00385078">
        <w:t xml:space="preserve"> is likely to be clinically important</w:t>
      </w:r>
      <w:r w:rsidR="00D60D8E">
        <w:t>.</w:t>
      </w:r>
    </w:p>
    <w:p w:rsidR="007B6C7C" w:rsidRDefault="007B6C7C" w:rsidP="007B6C7C">
      <w:pPr>
        <w:pStyle w:val="Caption"/>
      </w:pPr>
      <w:bookmarkStart w:id="195" w:name="_Ref505351329"/>
      <w:bookmarkStart w:id="196" w:name="_Toc38360356"/>
      <w:r>
        <w:t>Table 4.</w:t>
      </w:r>
      <w:r w:rsidR="003951FA">
        <w:rPr>
          <w:noProof/>
        </w:rPr>
        <w:t>59</w:t>
      </w:r>
      <w:bookmarkEnd w:id="195"/>
      <w:r>
        <w:tab/>
      </w:r>
      <w:r w:rsidRPr="006316DF">
        <w:t xml:space="preserve">The effectiveness of </w:t>
      </w:r>
      <w:r w:rsidR="00385078">
        <w:t xml:space="preserve">an </w:t>
      </w:r>
      <w:r w:rsidR="00385078" w:rsidRPr="00A32D31">
        <w:t xml:space="preserve">ERA </w:t>
      </w:r>
      <w:r w:rsidR="00385078">
        <w:t>in addition to</w:t>
      </w:r>
      <w:r w:rsidR="00385078" w:rsidRPr="00A32D31">
        <w:t xml:space="preserve"> </w:t>
      </w:r>
      <w:r w:rsidR="00385078">
        <w:t xml:space="preserve">a </w:t>
      </w:r>
      <w:r w:rsidR="00385078" w:rsidRPr="00DD7790">
        <w:t>prostanoid compared with prostanoid</w:t>
      </w:r>
      <w:r w:rsidR="00385078">
        <w:t xml:space="preserve"> monotherapy</w:t>
      </w:r>
      <w:r w:rsidR="00385078" w:rsidRPr="00DD7790">
        <w:t xml:space="preserve"> </w:t>
      </w:r>
      <w:r w:rsidRPr="006316DF">
        <w:t xml:space="preserve">in improving </w:t>
      </w:r>
      <w:r>
        <w:t>haemodynamic parameters</w:t>
      </w:r>
      <w:r w:rsidRPr="00B642BB">
        <w:t xml:space="preserve"> in </w:t>
      </w:r>
      <w:r>
        <w:t>all PAH patients</w:t>
      </w:r>
      <w:bookmarkEnd w:id="196"/>
    </w:p>
    <w:tbl>
      <w:tblPr>
        <w:tblStyle w:val="TableGrid"/>
        <w:tblW w:w="9776" w:type="dxa"/>
        <w:tblLayout w:type="fixed"/>
        <w:tblLook w:val="04A0" w:firstRow="1" w:lastRow="0" w:firstColumn="1" w:lastColumn="0" w:noHBand="0" w:noVBand="1"/>
        <w:tblCaption w:val="The effectiveness of an ERA in addition to a prostanoid compared with prostanoid monotherapy in improving haemodynamic parameters in all PAH patients"/>
      </w:tblPr>
      <w:tblGrid>
        <w:gridCol w:w="1413"/>
        <w:gridCol w:w="1417"/>
        <w:gridCol w:w="1382"/>
        <w:gridCol w:w="1382"/>
        <w:gridCol w:w="1382"/>
        <w:gridCol w:w="1383"/>
        <w:gridCol w:w="1417"/>
      </w:tblGrid>
      <w:tr w:rsidR="007B6C7C" w:rsidTr="00503643">
        <w:trPr>
          <w:cnfStyle w:val="100000000000" w:firstRow="1" w:lastRow="0" w:firstColumn="0" w:lastColumn="0" w:oddVBand="0" w:evenVBand="0" w:oddHBand="0" w:evenHBand="0" w:firstRowFirstColumn="0" w:firstRowLastColumn="0" w:lastRowFirstColumn="0" w:lastRowLastColumn="0"/>
        </w:trPr>
        <w:tc>
          <w:tcPr>
            <w:tcW w:w="1413" w:type="dxa"/>
            <w:vMerge w:val="restart"/>
            <w:shd w:val="clear" w:color="auto" w:fill="BFBFBF" w:themeFill="background1" w:themeFillShade="BF"/>
          </w:tcPr>
          <w:p w:rsidR="007B6C7C" w:rsidRPr="0086510D" w:rsidRDefault="007B6C7C" w:rsidP="007B6C7C">
            <w:pPr>
              <w:pStyle w:val="Tabletext"/>
              <w:rPr>
                <w:b/>
              </w:rPr>
            </w:pPr>
            <w:r w:rsidRPr="0086510D">
              <w:rPr>
                <w:b/>
              </w:rPr>
              <w:t>Study ID</w:t>
            </w:r>
          </w:p>
          <w:p w:rsidR="00503643" w:rsidRDefault="007B6C7C" w:rsidP="007B6C7C">
            <w:pPr>
              <w:pStyle w:val="Tabletext"/>
              <w:rPr>
                <w:b/>
              </w:rPr>
            </w:pPr>
            <w:r w:rsidRPr="0086510D">
              <w:rPr>
                <w:b/>
              </w:rPr>
              <w:t>ERA/</w:t>
            </w:r>
          </w:p>
          <w:p w:rsidR="007B6C7C" w:rsidRPr="0086510D" w:rsidRDefault="007B6C7C" w:rsidP="007B6C7C">
            <w:pPr>
              <w:pStyle w:val="Tabletext"/>
              <w:rPr>
                <w:b/>
              </w:rPr>
            </w:pPr>
            <w:r w:rsidRPr="0086510D">
              <w:rPr>
                <w:b/>
              </w:rPr>
              <w:t>prostanoid</w:t>
            </w:r>
          </w:p>
          <w:p w:rsidR="007B6C7C" w:rsidRPr="0086510D" w:rsidRDefault="007B6C7C" w:rsidP="007B6C7C">
            <w:pPr>
              <w:pStyle w:val="Tabletext"/>
              <w:rPr>
                <w:b/>
              </w:rPr>
            </w:pPr>
            <w:r w:rsidRPr="0086510D">
              <w:rPr>
                <w:b/>
              </w:rPr>
              <w:t>Study period</w:t>
            </w:r>
          </w:p>
          <w:p w:rsidR="007B6C7C" w:rsidRPr="0086510D" w:rsidRDefault="007B6C7C" w:rsidP="007B6C7C">
            <w:pPr>
              <w:pStyle w:val="Tabletext"/>
              <w:rPr>
                <w:b/>
              </w:rPr>
            </w:pPr>
            <w:r w:rsidRPr="0086510D">
              <w:rPr>
                <w:b/>
              </w:rPr>
              <w:t xml:space="preserve">N </w:t>
            </w:r>
          </w:p>
        </w:tc>
        <w:tc>
          <w:tcPr>
            <w:tcW w:w="1417" w:type="dxa"/>
            <w:vMerge w:val="restart"/>
            <w:shd w:val="clear" w:color="auto" w:fill="BFBFBF" w:themeFill="background1" w:themeFillShade="BF"/>
          </w:tcPr>
          <w:p w:rsidR="007B6C7C" w:rsidRPr="0086510D" w:rsidRDefault="007B6C7C" w:rsidP="007B6C7C">
            <w:pPr>
              <w:pStyle w:val="Tabletext"/>
              <w:rPr>
                <w:b/>
              </w:rPr>
            </w:pPr>
            <w:r w:rsidRPr="0086510D">
              <w:rPr>
                <w:b/>
              </w:rPr>
              <w:t>Haemo</w:t>
            </w:r>
            <w:r w:rsidR="00503643">
              <w:rPr>
                <w:b/>
              </w:rPr>
              <w:t>-</w:t>
            </w:r>
            <w:r w:rsidRPr="0086510D">
              <w:rPr>
                <w:b/>
              </w:rPr>
              <w:t>dynamic parameter</w:t>
            </w:r>
            <w:r w:rsidR="000B12FE" w:rsidRPr="000B12FE">
              <w:rPr>
                <w:b/>
                <w:vertAlign w:val="superscript"/>
              </w:rPr>
              <w:t>a</w:t>
            </w:r>
          </w:p>
        </w:tc>
        <w:tc>
          <w:tcPr>
            <w:tcW w:w="2764" w:type="dxa"/>
            <w:gridSpan w:val="2"/>
            <w:shd w:val="clear" w:color="auto" w:fill="BFBFBF" w:themeFill="background1" w:themeFillShade="BF"/>
          </w:tcPr>
          <w:p w:rsidR="007B6C7C" w:rsidRPr="0086510D" w:rsidRDefault="007B6C7C" w:rsidP="007B6C7C">
            <w:pPr>
              <w:pStyle w:val="Tabletext"/>
              <w:jc w:val="center"/>
              <w:rPr>
                <w:b/>
              </w:rPr>
            </w:pPr>
            <w:r w:rsidRPr="0086510D">
              <w:rPr>
                <w:b/>
              </w:rPr>
              <w:t>Mean ± SEM or SD baseline haemodynamic parameter</w:t>
            </w:r>
            <w:r w:rsidR="00AE77DC">
              <w:rPr>
                <w:b/>
              </w:rPr>
              <w:t>s</w:t>
            </w:r>
          </w:p>
        </w:tc>
        <w:tc>
          <w:tcPr>
            <w:tcW w:w="2765" w:type="dxa"/>
            <w:gridSpan w:val="2"/>
            <w:shd w:val="clear" w:color="auto" w:fill="BFBFBF" w:themeFill="background1" w:themeFillShade="BF"/>
          </w:tcPr>
          <w:p w:rsidR="007B6C7C" w:rsidRPr="0086510D" w:rsidRDefault="007B6C7C" w:rsidP="007B6C7C">
            <w:pPr>
              <w:pStyle w:val="Tabletext"/>
              <w:jc w:val="center"/>
              <w:rPr>
                <w:b/>
              </w:rPr>
            </w:pPr>
            <w:r w:rsidRPr="0086510D">
              <w:rPr>
                <w:b/>
              </w:rPr>
              <w:t xml:space="preserve">Mean ± SEM or SD </w:t>
            </w:r>
            <w:r w:rsidR="00DA0C52" w:rsidRPr="00503643">
              <w:rPr>
                <w:rFonts w:cs="Arial"/>
                <w:b/>
              </w:rPr>
              <w:t xml:space="preserve">% </w:t>
            </w:r>
            <w:r w:rsidRPr="00503643">
              <w:rPr>
                <w:rFonts w:cs="Arial"/>
                <w:b/>
              </w:rPr>
              <w:t>change from baseline</w:t>
            </w:r>
          </w:p>
        </w:tc>
        <w:tc>
          <w:tcPr>
            <w:tcW w:w="1417" w:type="dxa"/>
            <w:vMerge w:val="restart"/>
            <w:shd w:val="clear" w:color="auto" w:fill="BFBFBF" w:themeFill="background1" w:themeFillShade="BF"/>
          </w:tcPr>
          <w:p w:rsidR="007B6C7C" w:rsidRPr="00503643" w:rsidRDefault="007B6C7C" w:rsidP="00D806F8">
            <w:pPr>
              <w:pStyle w:val="Tabletext"/>
              <w:rPr>
                <w:rFonts w:cs="Arial"/>
                <w:b/>
              </w:rPr>
            </w:pPr>
            <w:r w:rsidRPr="00503643">
              <w:rPr>
                <w:rFonts w:cs="Arial"/>
                <w:b/>
              </w:rPr>
              <w:t xml:space="preserve">Mean % difference </w:t>
            </w:r>
          </w:p>
        </w:tc>
      </w:tr>
      <w:tr w:rsidR="007B6C7C" w:rsidTr="00503643">
        <w:tc>
          <w:tcPr>
            <w:tcW w:w="1413" w:type="dxa"/>
            <w:vMerge/>
          </w:tcPr>
          <w:p w:rsidR="007B6C7C" w:rsidRDefault="007B6C7C" w:rsidP="007B6C7C">
            <w:pPr>
              <w:pStyle w:val="Tabletext"/>
            </w:pPr>
          </w:p>
        </w:tc>
        <w:tc>
          <w:tcPr>
            <w:tcW w:w="1417" w:type="dxa"/>
            <w:vMerge/>
          </w:tcPr>
          <w:p w:rsidR="007B6C7C" w:rsidRDefault="007B6C7C" w:rsidP="007B6C7C">
            <w:pPr>
              <w:pStyle w:val="Tabletext"/>
            </w:pPr>
          </w:p>
        </w:tc>
        <w:tc>
          <w:tcPr>
            <w:tcW w:w="1382" w:type="dxa"/>
            <w:shd w:val="clear" w:color="auto" w:fill="BFBFBF" w:themeFill="background1" w:themeFillShade="BF"/>
          </w:tcPr>
          <w:p w:rsidR="007B6C7C" w:rsidRPr="00503643" w:rsidRDefault="007B6C7C" w:rsidP="007B6C7C">
            <w:pPr>
              <w:pStyle w:val="Tabletext"/>
              <w:jc w:val="center"/>
              <w:rPr>
                <w:rFonts w:cs="Arial"/>
                <w:b/>
                <w:sz w:val="18"/>
                <w:szCs w:val="18"/>
              </w:rPr>
            </w:pPr>
            <w:r w:rsidRPr="00503643">
              <w:rPr>
                <w:rFonts w:cs="Arial"/>
                <w:b/>
                <w:sz w:val="18"/>
                <w:szCs w:val="18"/>
              </w:rPr>
              <w:t>ERA + prostanoid</w:t>
            </w:r>
          </w:p>
        </w:tc>
        <w:tc>
          <w:tcPr>
            <w:tcW w:w="1382" w:type="dxa"/>
            <w:shd w:val="clear" w:color="auto" w:fill="BFBFBF" w:themeFill="background1" w:themeFillShade="BF"/>
          </w:tcPr>
          <w:p w:rsidR="007B6C7C" w:rsidRPr="00503643" w:rsidRDefault="007B6C7C" w:rsidP="00EF4CF6">
            <w:pPr>
              <w:pStyle w:val="Tabletext"/>
              <w:jc w:val="center"/>
              <w:rPr>
                <w:rFonts w:cs="Arial"/>
                <w:b/>
                <w:sz w:val="18"/>
                <w:szCs w:val="18"/>
              </w:rPr>
            </w:pPr>
            <w:r w:rsidRPr="00503643">
              <w:rPr>
                <w:rFonts w:cs="Arial"/>
                <w:b/>
                <w:sz w:val="18"/>
                <w:szCs w:val="18"/>
              </w:rPr>
              <w:t>Prostanoid</w:t>
            </w:r>
          </w:p>
        </w:tc>
        <w:tc>
          <w:tcPr>
            <w:tcW w:w="1382" w:type="dxa"/>
            <w:shd w:val="clear" w:color="auto" w:fill="BFBFBF" w:themeFill="background1" w:themeFillShade="BF"/>
          </w:tcPr>
          <w:p w:rsidR="007B6C7C" w:rsidRPr="00503643" w:rsidRDefault="007B6C7C" w:rsidP="007B6C7C">
            <w:pPr>
              <w:pStyle w:val="Tabletext"/>
              <w:jc w:val="center"/>
              <w:rPr>
                <w:rFonts w:cs="Arial"/>
                <w:b/>
                <w:sz w:val="18"/>
                <w:szCs w:val="18"/>
              </w:rPr>
            </w:pPr>
            <w:r w:rsidRPr="00503643">
              <w:rPr>
                <w:rFonts w:cs="Arial"/>
                <w:b/>
                <w:sz w:val="18"/>
                <w:szCs w:val="18"/>
              </w:rPr>
              <w:t>ERA + prostanoid</w:t>
            </w:r>
          </w:p>
        </w:tc>
        <w:tc>
          <w:tcPr>
            <w:tcW w:w="1383" w:type="dxa"/>
            <w:shd w:val="clear" w:color="auto" w:fill="BFBFBF" w:themeFill="background1" w:themeFillShade="BF"/>
          </w:tcPr>
          <w:p w:rsidR="007B6C7C" w:rsidRPr="00503643" w:rsidRDefault="007B6C7C" w:rsidP="00EF4CF6">
            <w:pPr>
              <w:pStyle w:val="Tabletext"/>
              <w:jc w:val="center"/>
              <w:rPr>
                <w:rFonts w:cs="Arial"/>
                <w:b/>
                <w:sz w:val="18"/>
                <w:szCs w:val="18"/>
              </w:rPr>
            </w:pPr>
            <w:r w:rsidRPr="00503643">
              <w:rPr>
                <w:rFonts w:cs="Arial"/>
                <w:b/>
                <w:sz w:val="18"/>
                <w:szCs w:val="18"/>
              </w:rPr>
              <w:t>Prostanoid</w:t>
            </w:r>
          </w:p>
        </w:tc>
        <w:tc>
          <w:tcPr>
            <w:tcW w:w="1417" w:type="dxa"/>
            <w:vMerge/>
          </w:tcPr>
          <w:p w:rsidR="007B6C7C" w:rsidRDefault="007B6C7C" w:rsidP="007B6C7C">
            <w:pPr>
              <w:pStyle w:val="Tabletext"/>
            </w:pPr>
          </w:p>
        </w:tc>
      </w:tr>
      <w:tr w:rsidR="007B6C7C" w:rsidTr="00503643">
        <w:tc>
          <w:tcPr>
            <w:tcW w:w="1413" w:type="dxa"/>
          </w:tcPr>
          <w:p w:rsidR="007B6C7C" w:rsidRPr="0086510D" w:rsidRDefault="007B6C7C" w:rsidP="007B6C7C">
            <w:pPr>
              <w:pStyle w:val="Tabletext"/>
            </w:pPr>
            <w:r w:rsidRPr="0086510D">
              <w:t>BREATHE-2</w:t>
            </w:r>
            <w:r w:rsidR="001D34EE" w:rsidRPr="001A1C44">
              <w:rPr>
                <w:noProof/>
                <w:vertAlign w:val="superscript"/>
              </w:rPr>
              <w:t>35</w:t>
            </w:r>
          </w:p>
          <w:p w:rsidR="007B6C7C" w:rsidRPr="0086510D" w:rsidRDefault="007B6C7C" w:rsidP="007B6C7C">
            <w:pPr>
              <w:pStyle w:val="Tabletext"/>
            </w:pPr>
            <w:r w:rsidRPr="0086510D">
              <w:t>Bosentan/ epoprostenol</w:t>
            </w:r>
          </w:p>
          <w:p w:rsidR="007B6C7C" w:rsidRPr="0086510D" w:rsidRDefault="007B6C7C" w:rsidP="007B6C7C">
            <w:pPr>
              <w:pStyle w:val="Tabletext"/>
            </w:pPr>
            <w:r w:rsidRPr="0086510D">
              <w:t>16 weeks</w:t>
            </w:r>
          </w:p>
          <w:p w:rsidR="007B6C7C" w:rsidRPr="0086510D" w:rsidRDefault="007B6C7C" w:rsidP="007B6C7C">
            <w:pPr>
              <w:pStyle w:val="Tabletext"/>
            </w:pPr>
            <w:r w:rsidRPr="0086510D">
              <w:t>N=33</w:t>
            </w:r>
          </w:p>
        </w:tc>
        <w:tc>
          <w:tcPr>
            <w:tcW w:w="1417" w:type="dxa"/>
          </w:tcPr>
          <w:p w:rsidR="007B6C7C" w:rsidRPr="0086510D" w:rsidRDefault="007B6C7C" w:rsidP="007B6C7C">
            <w:pPr>
              <w:pStyle w:val="Tabletext"/>
            </w:pPr>
            <w:r w:rsidRPr="0086510D">
              <w:t>CAI</w:t>
            </w:r>
            <w:r>
              <w:t xml:space="preserve"> </w:t>
            </w:r>
            <w:r w:rsidRPr="0086510D">
              <w:t>(L/min/m</w:t>
            </w:r>
            <w:r w:rsidRPr="0086510D">
              <w:rPr>
                <w:vertAlign w:val="superscript"/>
              </w:rPr>
              <w:t>2</w:t>
            </w:r>
            <w:r w:rsidRPr="0086510D">
              <w:t>)</w:t>
            </w:r>
          </w:p>
          <w:p w:rsidR="007B6C7C" w:rsidRPr="0086510D" w:rsidRDefault="007B6C7C" w:rsidP="007B6C7C">
            <w:pPr>
              <w:pStyle w:val="Tabletext"/>
            </w:pPr>
            <w:r w:rsidRPr="0086510D">
              <w:t>PVR</w:t>
            </w:r>
            <w:r>
              <w:t xml:space="preserve"> </w:t>
            </w:r>
            <w:r w:rsidRPr="0086510D">
              <w:t>(</w:t>
            </w:r>
            <w:r w:rsidR="001424AA" w:rsidRPr="001424AA">
              <w:t>dyn*sec*cm</w:t>
            </w:r>
            <w:r w:rsidR="001424AA" w:rsidRPr="001424AA">
              <w:rPr>
                <w:vertAlign w:val="superscript"/>
              </w:rPr>
              <w:t>-5</w:t>
            </w:r>
            <w:r w:rsidRPr="0086510D">
              <w:t>)</w:t>
            </w:r>
          </w:p>
          <w:p w:rsidR="007B6C7C" w:rsidRPr="0086510D" w:rsidRDefault="007B6C7C" w:rsidP="007B6C7C">
            <w:pPr>
              <w:pStyle w:val="Tabletext"/>
            </w:pPr>
            <w:r w:rsidRPr="0086510D">
              <w:t>TPR</w:t>
            </w:r>
            <w:r>
              <w:t xml:space="preserve"> </w:t>
            </w:r>
            <w:r w:rsidRPr="0086510D">
              <w:t>(dyn</w:t>
            </w:r>
            <w:r w:rsidR="00747709">
              <w:t>*</w:t>
            </w:r>
            <w:r w:rsidRPr="0086510D">
              <w:t>sec/cm</w:t>
            </w:r>
            <w:r w:rsidR="00747709" w:rsidRPr="00747709">
              <w:rPr>
                <w:vertAlign w:val="superscript"/>
              </w:rPr>
              <w:t>-</w:t>
            </w:r>
            <w:r w:rsidRPr="0086510D">
              <w:rPr>
                <w:vertAlign w:val="superscript"/>
              </w:rPr>
              <w:t>5</w:t>
            </w:r>
            <w:r w:rsidRPr="0086510D">
              <w:t>)</w:t>
            </w:r>
          </w:p>
          <w:p w:rsidR="007B6C7C" w:rsidRPr="0086510D" w:rsidRDefault="007B6C7C" w:rsidP="007B6C7C">
            <w:pPr>
              <w:pStyle w:val="Tabletext"/>
            </w:pPr>
            <w:r w:rsidRPr="0086510D">
              <w:t>mPAP</w:t>
            </w:r>
            <w:r>
              <w:t xml:space="preserve"> </w:t>
            </w:r>
            <w:r w:rsidRPr="0086510D">
              <w:t>(mmHg)</w:t>
            </w:r>
          </w:p>
          <w:p w:rsidR="007B6C7C" w:rsidRPr="0086510D" w:rsidRDefault="007B6C7C" w:rsidP="007B6C7C">
            <w:pPr>
              <w:pStyle w:val="Tabletext"/>
            </w:pPr>
            <w:r w:rsidRPr="0086510D">
              <w:t>mRAP</w:t>
            </w:r>
            <w:r>
              <w:t xml:space="preserve"> </w:t>
            </w:r>
            <w:r w:rsidRPr="0086510D">
              <w:t>(mmHg)</w:t>
            </w:r>
          </w:p>
        </w:tc>
        <w:tc>
          <w:tcPr>
            <w:tcW w:w="1382" w:type="dxa"/>
          </w:tcPr>
          <w:p w:rsidR="007B6C7C" w:rsidRPr="0086510D" w:rsidRDefault="007B6C7C" w:rsidP="007B6C7C">
            <w:pPr>
              <w:pStyle w:val="Tabletext"/>
            </w:pPr>
            <w:r w:rsidRPr="0086510D">
              <w:t>1.7 ± 0.1</w:t>
            </w:r>
          </w:p>
          <w:p w:rsidR="007B6C7C" w:rsidRPr="0086510D" w:rsidRDefault="007B6C7C" w:rsidP="007B6C7C">
            <w:pPr>
              <w:pStyle w:val="Tabletext"/>
            </w:pPr>
            <w:r w:rsidRPr="0086510D">
              <w:t>1,511 ± 129</w:t>
            </w:r>
          </w:p>
          <w:p w:rsidR="007B6C7C" w:rsidRPr="0086510D" w:rsidRDefault="007B6C7C" w:rsidP="007B6C7C">
            <w:pPr>
              <w:pStyle w:val="Tabletext"/>
            </w:pPr>
            <w:r w:rsidRPr="0086510D">
              <w:t>1,697 ± 142</w:t>
            </w:r>
          </w:p>
          <w:p w:rsidR="007B6C7C" w:rsidRPr="0086510D" w:rsidRDefault="007B6C7C" w:rsidP="007B6C7C">
            <w:pPr>
              <w:pStyle w:val="Tabletext"/>
            </w:pPr>
            <w:r w:rsidRPr="0086510D">
              <w:t>59.2 ± 4.0</w:t>
            </w:r>
          </w:p>
          <w:p w:rsidR="007B6C7C" w:rsidRPr="0086510D" w:rsidRDefault="007B6C7C" w:rsidP="007B6C7C">
            <w:pPr>
              <w:pStyle w:val="Tabletext"/>
            </w:pPr>
            <w:r w:rsidRPr="0086510D">
              <w:t>11.9 ± 1.1</w:t>
            </w:r>
          </w:p>
        </w:tc>
        <w:tc>
          <w:tcPr>
            <w:tcW w:w="1382" w:type="dxa"/>
          </w:tcPr>
          <w:p w:rsidR="007B6C7C" w:rsidRPr="0086510D" w:rsidRDefault="007B6C7C" w:rsidP="007B6C7C">
            <w:pPr>
              <w:pStyle w:val="Tabletext"/>
            </w:pPr>
            <w:r w:rsidRPr="0086510D">
              <w:t>1.7 ± 0.2</w:t>
            </w:r>
          </w:p>
          <w:p w:rsidR="007B6C7C" w:rsidRPr="0086510D" w:rsidRDefault="007B6C7C" w:rsidP="007B6C7C">
            <w:pPr>
              <w:pStyle w:val="Tabletext"/>
            </w:pPr>
            <w:r w:rsidRPr="0086510D">
              <w:t>1.426 ± 140</w:t>
            </w:r>
          </w:p>
          <w:p w:rsidR="007B6C7C" w:rsidRPr="0086510D" w:rsidRDefault="007B6C7C" w:rsidP="007B6C7C">
            <w:pPr>
              <w:pStyle w:val="Tabletext"/>
            </w:pPr>
            <w:r w:rsidRPr="0086510D">
              <w:t>1,628 ± 154</w:t>
            </w:r>
          </w:p>
          <w:p w:rsidR="007B6C7C" w:rsidRPr="0086510D" w:rsidRDefault="007B6C7C" w:rsidP="007B6C7C">
            <w:pPr>
              <w:pStyle w:val="Tabletext"/>
            </w:pPr>
            <w:r w:rsidRPr="0086510D">
              <w:t>60.9 ± 2.9</w:t>
            </w:r>
          </w:p>
          <w:p w:rsidR="007B6C7C" w:rsidRPr="0086510D" w:rsidRDefault="007B6C7C" w:rsidP="007B6C7C">
            <w:pPr>
              <w:pStyle w:val="Tabletext"/>
            </w:pPr>
            <w:r w:rsidRPr="0086510D">
              <w:t>11.9 ± 2.</w:t>
            </w:r>
            <w:r>
              <w:t>2</w:t>
            </w:r>
          </w:p>
        </w:tc>
        <w:tc>
          <w:tcPr>
            <w:tcW w:w="1382" w:type="dxa"/>
          </w:tcPr>
          <w:p w:rsidR="007B6C7C" w:rsidRPr="0086510D" w:rsidRDefault="007B6C7C" w:rsidP="007B6C7C">
            <w:pPr>
              <w:pStyle w:val="Tabletext"/>
            </w:pPr>
            <w:r w:rsidRPr="0086510D">
              <w:t>48.7 ± 11.0%</w:t>
            </w:r>
          </w:p>
          <w:p w:rsidR="007B6C7C" w:rsidRPr="0086510D" w:rsidRDefault="007B6C7C" w:rsidP="007B6C7C">
            <w:pPr>
              <w:pStyle w:val="Tabletext"/>
            </w:pPr>
            <w:r w:rsidRPr="0086510D">
              <w:t>−35.2 ± 5.4%</w:t>
            </w:r>
          </w:p>
          <w:p w:rsidR="007B6C7C" w:rsidRPr="0086510D" w:rsidRDefault="007B6C7C" w:rsidP="007B6C7C">
            <w:pPr>
              <w:pStyle w:val="Tabletext"/>
            </w:pPr>
            <w:r w:rsidRPr="0086510D">
              <w:t>−36.3 ± 4.3%</w:t>
            </w:r>
          </w:p>
          <w:p w:rsidR="007B6C7C" w:rsidRPr="0086510D" w:rsidRDefault="007B6C7C" w:rsidP="007B6C7C">
            <w:pPr>
              <w:pStyle w:val="Tabletext"/>
            </w:pPr>
            <w:r w:rsidRPr="0086510D">
              <w:t>−9.0 ± 6.0%</w:t>
            </w:r>
          </w:p>
          <w:p w:rsidR="007B6C7C" w:rsidRPr="0086510D" w:rsidRDefault="007B6C7C" w:rsidP="007B6C7C">
            <w:pPr>
              <w:pStyle w:val="Tabletext"/>
            </w:pPr>
            <w:r w:rsidRPr="0086510D">
              <w:t>−1.9 mmHg ± 1.4</w:t>
            </w:r>
          </w:p>
        </w:tc>
        <w:tc>
          <w:tcPr>
            <w:tcW w:w="1383" w:type="dxa"/>
          </w:tcPr>
          <w:p w:rsidR="007B6C7C" w:rsidRPr="0086510D" w:rsidRDefault="007B6C7C" w:rsidP="007B6C7C">
            <w:pPr>
              <w:pStyle w:val="Tabletext"/>
            </w:pPr>
            <w:r w:rsidRPr="0086510D">
              <w:t>37.9 ± 13.3%</w:t>
            </w:r>
          </w:p>
          <w:p w:rsidR="007B6C7C" w:rsidRPr="0086510D" w:rsidRDefault="007B6C7C" w:rsidP="007B6C7C">
            <w:pPr>
              <w:pStyle w:val="Tabletext"/>
            </w:pPr>
            <w:r w:rsidRPr="0086510D">
              <w:t>−25.7 ± 7.2%</w:t>
            </w:r>
          </w:p>
          <w:p w:rsidR="007B6C7C" w:rsidRPr="0086510D" w:rsidRDefault="007B6C7C" w:rsidP="007B6C7C">
            <w:pPr>
              <w:pStyle w:val="Tabletext"/>
            </w:pPr>
            <w:r w:rsidRPr="0086510D">
              <w:t>−22.6 ± 6.2%</w:t>
            </w:r>
          </w:p>
          <w:p w:rsidR="007B6C7C" w:rsidRPr="0086510D" w:rsidRDefault="007B6C7C" w:rsidP="007B6C7C">
            <w:pPr>
              <w:pStyle w:val="Tabletext"/>
            </w:pPr>
            <w:r w:rsidRPr="0086510D">
              <w:t>−2.2 ± 3.6%</w:t>
            </w:r>
          </w:p>
          <w:p w:rsidR="007B6C7C" w:rsidRPr="0086510D" w:rsidRDefault="007B6C7C" w:rsidP="007B6C7C">
            <w:pPr>
              <w:pStyle w:val="Tabletext"/>
            </w:pPr>
            <w:r w:rsidRPr="0086510D">
              <w:t>0.3 mmHg ± 1.3</w:t>
            </w:r>
          </w:p>
        </w:tc>
        <w:tc>
          <w:tcPr>
            <w:tcW w:w="1417" w:type="dxa"/>
          </w:tcPr>
          <w:p w:rsidR="007B6C7C" w:rsidRPr="0086510D" w:rsidRDefault="007B6C7C" w:rsidP="007B6C7C">
            <w:pPr>
              <w:pStyle w:val="Tabletext"/>
            </w:pPr>
            <w:r w:rsidRPr="0086510D">
              <w:t>10.8%</w:t>
            </w:r>
            <w:r>
              <w:t xml:space="preserve">, </w:t>
            </w:r>
            <w:r w:rsidRPr="0086510D">
              <w:t>p=0.6</w:t>
            </w:r>
          </w:p>
          <w:p w:rsidR="007B6C7C" w:rsidRPr="0086510D" w:rsidRDefault="007B6C7C" w:rsidP="007B6C7C">
            <w:pPr>
              <w:pStyle w:val="Tabletext"/>
            </w:pPr>
            <w:r w:rsidRPr="0086510D">
              <w:t>−9.5%</w:t>
            </w:r>
            <w:r>
              <w:t xml:space="preserve">, </w:t>
            </w:r>
            <w:r w:rsidRPr="0086510D">
              <w:t>p=0.3</w:t>
            </w:r>
          </w:p>
          <w:p w:rsidR="007B6C7C" w:rsidRPr="0086510D" w:rsidRDefault="007B6C7C" w:rsidP="007B6C7C">
            <w:pPr>
              <w:pStyle w:val="Tabletext"/>
            </w:pPr>
            <w:r w:rsidRPr="0086510D">
              <w:t>−13.7%</w:t>
            </w:r>
            <w:r>
              <w:t xml:space="preserve">, </w:t>
            </w:r>
            <w:r w:rsidRPr="0086510D">
              <w:t>p=0.08</w:t>
            </w:r>
          </w:p>
          <w:p w:rsidR="007B6C7C" w:rsidRPr="0086510D" w:rsidRDefault="007B6C7C" w:rsidP="007B6C7C">
            <w:pPr>
              <w:pStyle w:val="Tabletext"/>
            </w:pPr>
            <w:r w:rsidRPr="0086510D">
              <w:t>−6.8%</w:t>
            </w:r>
            <w:r>
              <w:t xml:space="preserve">, </w:t>
            </w:r>
            <w:r w:rsidRPr="0086510D">
              <w:t>p=0.3</w:t>
            </w:r>
          </w:p>
          <w:p w:rsidR="007B6C7C" w:rsidRPr="0086510D" w:rsidRDefault="007B6C7C" w:rsidP="007B6C7C">
            <w:pPr>
              <w:pStyle w:val="Tabletext"/>
            </w:pPr>
            <w:r w:rsidRPr="0086510D">
              <w:t>−2.2 mmHg</w:t>
            </w:r>
            <w:r>
              <w:t xml:space="preserve">, </w:t>
            </w:r>
            <w:r w:rsidRPr="0086510D">
              <w:t>p=0.7</w:t>
            </w:r>
          </w:p>
        </w:tc>
      </w:tr>
      <w:tr w:rsidR="007B6C7C" w:rsidTr="00503643">
        <w:tc>
          <w:tcPr>
            <w:tcW w:w="1413" w:type="dxa"/>
          </w:tcPr>
          <w:p w:rsidR="007B6C7C" w:rsidRPr="0086510D" w:rsidRDefault="007B6C7C" w:rsidP="007B6C7C">
            <w:pPr>
              <w:pStyle w:val="Tabletext"/>
            </w:pPr>
            <w:r w:rsidRPr="0086510D">
              <w:t>Han 2017</w:t>
            </w:r>
            <w:r w:rsidR="001D34EE" w:rsidRPr="001A1C44">
              <w:rPr>
                <w:noProof/>
                <w:vertAlign w:val="superscript"/>
              </w:rPr>
              <w:t>38</w:t>
            </w:r>
            <w:r w:rsidR="000B12FE">
              <w:t xml:space="preserve"> </w:t>
            </w:r>
            <w:r w:rsidR="000B12FE" w:rsidRPr="000B12FE">
              <w:rPr>
                <w:vertAlign w:val="superscript"/>
              </w:rPr>
              <w:t>b</w:t>
            </w:r>
          </w:p>
          <w:p w:rsidR="007B6C7C" w:rsidRPr="0086510D" w:rsidRDefault="007B6C7C" w:rsidP="007B6C7C">
            <w:pPr>
              <w:pStyle w:val="Tabletext"/>
            </w:pPr>
            <w:r w:rsidRPr="0086510D">
              <w:t>Bosentan/iloprost</w:t>
            </w:r>
          </w:p>
          <w:p w:rsidR="007B6C7C" w:rsidRPr="0086510D" w:rsidRDefault="007B6C7C" w:rsidP="007B6C7C">
            <w:pPr>
              <w:pStyle w:val="Tabletext"/>
            </w:pPr>
            <w:r w:rsidRPr="0086510D">
              <w:t>12 weeks</w:t>
            </w:r>
          </w:p>
          <w:p w:rsidR="007B6C7C" w:rsidRPr="0086510D" w:rsidRDefault="007B6C7C" w:rsidP="007B6C7C">
            <w:pPr>
              <w:pStyle w:val="Tabletext"/>
            </w:pPr>
            <w:r w:rsidRPr="0086510D">
              <w:t>N=14</w:t>
            </w:r>
          </w:p>
        </w:tc>
        <w:tc>
          <w:tcPr>
            <w:tcW w:w="1417" w:type="dxa"/>
          </w:tcPr>
          <w:p w:rsidR="007B6C7C" w:rsidRPr="0086510D" w:rsidRDefault="007B6C7C" w:rsidP="007B6C7C">
            <w:pPr>
              <w:pStyle w:val="Tabletext"/>
            </w:pPr>
            <w:r w:rsidRPr="0086510D">
              <w:t>CAI</w:t>
            </w:r>
            <w:r>
              <w:t xml:space="preserve"> </w:t>
            </w:r>
            <w:r w:rsidRPr="0086510D">
              <w:t>(L/min/m</w:t>
            </w:r>
            <w:r w:rsidRPr="0086510D">
              <w:rPr>
                <w:vertAlign w:val="superscript"/>
              </w:rPr>
              <w:t>2</w:t>
            </w:r>
            <w:r w:rsidRPr="0086510D">
              <w:t>)</w:t>
            </w:r>
          </w:p>
          <w:p w:rsidR="007B6C7C" w:rsidRPr="0086510D" w:rsidRDefault="007B6C7C" w:rsidP="007B6C7C">
            <w:pPr>
              <w:pStyle w:val="Tabletext"/>
            </w:pPr>
            <w:r w:rsidRPr="0086510D">
              <w:t>PVR</w:t>
            </w:r>
            <w:r>
              <w:t xml:space="preserve"> </w:t>
            </w:r>
            <w:r w:rsidRPr="0086510D">
              <w:t>(</w:t>
            </w:r>
            <w:r w:rsidR="001424AA" w:rsidRPr="001424AA">
              <w:t>dyn*sec*cm</w:t>
            </w:r>
            <w:r w:rsidR="001424AA" w:rsidRPr="001424AA">
              <w:rPr>
                <w:vertAlign w:val="superscript"/>
              </w:rPr>
              <w:t>-5</w:t>
            </w:r>
            <w:r w:rsidRPr="001424AA">
              <w:t>)</w:t>
            </w:r>
          </w:p>
          <w:p w:rsidR="007B6C7C" w:rsidRPr="0086510D" w:rsidRDefault="007B6C7C" w:rsidP="007B6C7C">
            <w:pPr>
              <w:pStyle w:val="Tabletext"/>
            </w:pPr>
            <w:r w:rsidRPr="0086510D">
              <w:t>mPAP</w:t>
            </w:r>
            <w:r>
              <w:t xml:space="preserve"> </w:t>
            </w:r>
            <w:r w:rsidRPr="0086510D">
              <w:t>(mmHg)</w:t>
            </w:r>
          </w:p>
        </w:tc>
        <w:tc>
          <w:tcPr>
            <w:tcW w:w="1382" w:type="dxa"/>
          </w:tcPr>
          <w:p w:rsidR="007B6C7C" w:rsidRPr="0086510D" w:rsidRDefault="007B6C7C" w:rsidP="007B6C7C">
            <w:pPr>
              <w:pStyle w:val="Tabletext"/>
            </w:pPr>
            <w:r w:rsidRPr="0086510D">
              <w:t>2.61 ± 0.31</w:t>
            </w:r>
          </w:p>
          <w:p w:rsidR="007B6C7C" w:rsidRPr="0086510D" w:rsidRDefault="007B6C7C" w:rsidP="007B6C7C">
            <w:pPr>
              <w:pStyle w:val="Tabletext"/>
            </w:pPr>
            <w:r w:rsidRPr="0086510D">
              <w:t>1,038 ± 176</w:t>
            </w:r>
          </w:p>
          <w:p w:rsidR="007B6C7C" w:rsidRPr="0086510D" w:rsidRDefault="007B6C7C" w:rsidP="007B6C7C">
            <w:pPr>
              <w:pStyle w:val="Tabletext"/>
            </w:pPr>
            <w:r>
              <w:t>56.5 ± 5.5</w:t>
            </w:r>
          </w:p>
        </w:tc>
        <w:tc>
          <w:tcPr>
            <w:tcW w:w="1382" w:type="dxa"/>
          </w:tcPr>
          <w:p w:rsidR="007B6C7C" w:rsidRPr="0086510D" w:rsidRDefault="007B6C7C" w:rsidP="007B6C7C">
            <w:pPr>
              <w:pStyle w:val="Tabletext"/>
            </w:pPr>
            <w:r w:rsidRPr="0086510D">
              <w:t>2.20 ± 0.35</w:t>
            </w:r>
          </w:p>
          <w:p w:rsidR="007B6C7C" w:rsidRPr="0086510D" w:rsidRDefault="007B6C7C" w:rsidP="007B6C7C">
            <w:pPr>
              <w:pStyle w:val="Tabletext"/>
            </w:pPr>
            <w:r w:rsidRPr="0086510D">
              <w:t>1,157 ± 165</w:t>
            </w:r>
          </w:p>
          <w:p w:rsidR="007B6C7C" w:rsidRPr="0086510D" w:rsidRDefault="007B6C7C" w:rsidP="007B6C7C">
            <w:pPr>
              <w:pStyle w:val="Tabletext"/>
            </w:pPr>
            <w:r>
              <w:t>55.7 ± 1.7</w:t>
            </w:r>
          </w:p>
        </w:tc>
        <w:tc>
          <w:tcPr>
            <w:tcW w:w="1382" w:type="dxa"/>
          </w:tcPr>
          <w:p w:rsidR="007B6C7C" w:rsidRPr="0086510D" w:rsidRDefault="007B6C7C" w:rsidP="007B6C7C">
            <w:pPr>
              <w:pStyle w:val="Tabletext"/>
            </w:pPr>
            <w:r w:rsidRPr="0086510D">
              <w:t>0.55 ± 0.20</w:t>
            </w:r>
            <w:r>
              <w:t xml:space="preserve"> </w:t>
            </w:r>
            <w:r w:rsidR="00E6350D">
              <w:t>(</w:t>
            </w:r>
            <w:r w:rsidRPr="0086510D">
              <w:t>21.1%</w:t>
            </w:r>
            <w:r w:rsidR="00E6350D">
              <w:t>)</w:t>
            </w:r>
          </w:p>
          <w:p w:rsidR="007B6C7C" w:rsidRPr="0086510D" w:rsidRDefault="007B6C7C" w:rsidP="007B6C7C">
            <w:pPr>
              <w:pStyle w:val="Tabletext"/>
            </w:pPr>
            <w:r w:rsidRPr="0086510D">
              <w:t>−187 ± 174</w:t>
            </w:r>
            <w:r>
              <w:t xml:space="preserve"> </w:t>
            </w:r>
            <w:r w:rsidR="00E6350D">
              <w:t>(</w:t>
            </w:r>
            <w:r w:rsidRPr="0086510D">
              <w:t>−18.0%</w:t>
            </w:r>
            <w:r w:rsidR="00E6350D">
              <w:t>)</w:t>
            </w:r>
          </w:p>
          <w:p w:rsidR="007B6C7C" w:rsidRPr="0086510D" w:rsidRDefault="007B6C7C" w:rsidP="00E6350D">
            <w:pPr>
              <w:pStyle w:val="Tabletext"/>
            </w:pPr>
            <w:r w:rsidRPr="0086510D">
              <w:t>−18.9 ± 2.8</w:t>
            </w:r>
            <w:r>
              <w:t xml:space="preserve"> </w:t>
            </w:r>
            <w:r w:rsidR="00E6350D">
              <w:t>(</w:t>
            </w:r>
            <w:r w:rsidRPr="0086510D">
              <w:t>−33.5%</w:t>
            </w:r>
            <w:r w:rsidR="00E6350D">
              <w:t>)</w:t>
            </w:r>
          </w:p>
        </w:tc>
        <w:tc>
          <w:tcPr>
            <w:tcW w:w="1383" w:type="dxa"/>
          </w:tcPr>
          <w:p w:rsidR="007B6C7C" w:rsidRPr="0086510D" w:rsidRDefault="007B6C7C" w:rsidP="007B6C7C">
            <w:pPr>
              <w:pStyle w:val="Tabletext"/>
            </w:pPr>
            <w:r w:rsidRPr="0086510D">
              <w:t>−0.09 ± 0.15</w:t>
            </w:r>
            <w:r>
              <w:t xml:space="preserve"> </w:t>
            </w:r>
            <w:r w:rsidR="00E6350D">
              <w:t>(</w:t>
            </w:r>
            <w:r w:rsidRPr="0086510D">
              <w:t>−4.1%</w:t>
            </w:r>
            <w:r w:rsidR="00E6350D">
              <w:t>)</w:t>
            </w:r>
          </w:p>
          <w:p w:rsidR="007B6C7C" w:rsidRPr="0086510D" w:rsidRDefault="007B6C7C" w:rsidP="007B6C7C">
            <w:pPr>
              <w:pStyle w:val="Tabletext"/>
            </w:pPr>
            <w:r w:rsidRPr="0086510D">
              <w:t>40 ± 161</w:t>
            </w:r>
            <w:r>
              <w:t xml:space="preserve"> </w:t>
            </w:r>
            <w:r w:rsidR="00E6350D">
              <w:t>(</w:t>
            </w:r>
            <w:r w:rsidRPr="0086510D">
              <w:t>3.5%</w:t>
            </w:r>
            <w:r w:rsidR="00E6350D">
              <w:t>)</w:t>
            </w:r>
          </w:p>
          <w:p w:rsidR="007B6C7C" w:rsidRPr="0086510D" w:rsidRDefault="007B6C7C" w:rsidP="00E6350D">
            <w:pPr>
              <w:pStyle w:val="Tabletext"/>
            </w:pPr>
            <w:r w:rsidRPr="0086510D">
              <w:t>−4.0 ± 3.5</w:t>
            </w:r>
            <w:r>
              <w:t xml:space="preserve"> </w:t>
            </w:r>
            <w:r w:rsidR="00E6350D">
              <w:t>(</w:t>
            </w:r>
            <w:r w:rsidRPr="0086510D">
              <w:t>−</w:t>
            </w:r>
            <w:r w:rsidR="00E6350D">
              <w:t>7.2%)</w:t>
            </w:r>
          </w:p>
        </w:tc>
        <w:tc>
          <w:tcPr>
            <w:tcW w:w="1417" w:type="dxa"/>
          </w:tcPr>
          <w:p w:rsidR="007B6C7C" w:rsidRPr="0086510D" w:rsidRDefault="007B6C7C" w:rsidP="007B6C7C">
            <w:pPr>
              <w:pStyle w:val="Tabletext"/>
            </w:pPr>
            <w:r w:rsidRPr="0086510D">
              <w:t>17%</w:t>
            </w:r>
            <w:r>
              <w:t xml:space="preserve">, </w:t>
            </w:r>
            <w:r w:rsidRPr="0086510D">
              <w:t>p=0.041</w:t>
            </w:r>
          </w:p>
          <w:p w:rsidR="007B6C7C" w:rsidRPr="0086510D" w:rsidRDefault="007B6C7C" w:rsidP="007B6C7C">
            <w:pPr>
              <w:pStyle w:val="Tabletext"/>
            </w:pPr>
            <w:r w:rsidRPr="0086510D">
              <w:t>−</w:t>
            </w:r>
            <w:r w:rsidR="00385078">
              <w:t>2</w:t>
            </w:r>
            <w:r w:rsidRPr="0086510D">
              <w:t>1.5%</w:t>
            </w:r>
            <w:r>
              <w:t xml:space="preserve">, </w:t>
            </w:r>
            <w:r w:rsidRPr="0086510D">
              <w:t>p=0.62</w:t>
            </w:r>
          </w:p>
          <w:p w:rsidR="007B6C7C" w:rsidRPr="0086510D" w:rsidRDefault="007B6C7C" w:rsidP="007B6C7C">
            <w:pPr>
              <w:pStyle w:val="Tabletext"/>
            </w:pPr>
            <w:r w:rsidRPr="0086510D">
              <w:t>−26.3%</w:t>
            </w:r>
            <w:r>
              <w:t xml:space="preserve">, </w:t>
            </w:r>
            <w:r w:rsidRPr="0086510D">
              <w:t>p=0.002</w:t>
            </w:r>
          </w:p>
        </w:tc>
      </w:tr>
    </w:tbl>
    <w:p w:rsidR="000B12FE" w:rsidRDefault="007B6C7C" w:rsidP="007B6C7C">
      <w:pPr>
        <w:pStyle w:val="Tablenote"/>
      </w:pPr>
      <w:proofErr w:type="gramStart"/>
      <w:r w:rsidRPr="00DE3429">
        <w:rPr>
          <w:vertAlign w:val="superscript"/>
        </w:rPr>
        <w:t>a</w:t>
      </w:r>
      <w:proofErr w:type="gramEnd"/>
      <w:r w:rsidRPr="00822C52">
        <w:t xml:space="preserve"> </w:t>
      </w:r>
      <w:r w:rsidR="000B12FE">
        <w:t xml:space="preserve">An increase in CAI indicates improvement in </w:t>
      </w:r>
      <w:r w:rsidR="007E658F" w:rsidRPr="007E658F">
        <w:t>haemodynamic parameters</w:t>
      </w:r>
      <w:r w:rsidR="000B12FE">
        <w:t xml:space="preserve">. A decrease in PVR, TPR, mPAP or mRAP indicates improvement in </w:t>
      </w:r>
      <w:r w:rsidR="007E658F" w:rsidRPr="007E658F">
        <w:t>haemodynamic parameters</w:t>
      </w:r>
      <w:r w:rsidR="000B12FE">
        <w:t xml:space="preserve">. </w:t>
      </w:r>
    </w:p>
    <w:p w:rsidR="007B6C7C" w:rsidRPr="00822C52" w:rsidRDefault="000B12FE" w:rsidP="007B6C7C">
      <w:pPr>
        <w:pStyle w:val="Tablenote"/>
      </w:pPr>
      <w:proofErr w:type="gramStart"/>
      <w:r>
        <w:rPr>
          <w:vertAlign w:val="superscript"/>
        </w:rPr>
        <w:t>b</w:t>
      </w:r>
      <w:proofErr w:type="gramEnd"/>
      <w:r>
        <w:rPr>
          <w:vertAlign w:val="superscript"/>
        </w:rPr>
        <w:t xml:space="preserve"> </w:t>
      </w:r>
      <w:r w:rsidR="007B6C7C" w:rsidRPr="00822C52">
        <w:t>1 patient (12.5%) in the ERA + prostanoid group had CTEPH.</w:t>
      </w:r>
    </w:p>
    <w:p w:rsidR="00C30B1C" w:rsidRPr="006316DF" w:rsidRDefault="007B6C7C" w:rsidP="007B6C7C">
      <w:pPr>
        <w:pStyle w:val="Tablenote"/>
      </w:pPr>
      <w:r>
        <w:t xml:space="preserve">CAI = cardiac index; </w:t>
      </w:r>
      <w:r w:rsidR="00C30B1C" w:rsidRPr="00C30B1C">
        <w:t xml:space="preserve">CTEPH = chronic thromboembolic pulmonary hypertension; </w:t>
      </w:r>
      <w:r w:rsidR="00C30B1C" w:rsidRPr="009E3B52">
        <w:t xml:space="preserve">ERA = endothelin receptor antagonist; </w:t>
      </w:r>
      <w:r>
        <w:t xml:space="preserve">mPAP = mean pulmonary artery pressure; mRAP = mean right atrial pressure; </w:t>
      </w:r>
      <w:r w:rsidRPr="006316DF">
        <w:t>N = number of patients</w:t>
      </w:r>
      <w:r>
        <w:t xml:space="preserve">; </w:t>
      </w:r>
      <w:r w:rsidR="00C30B1C" w:rsidRPr="00715D78">
        <w:t xml:space="preserve">PAH = pulmonary arterial hypertension; </w:t>
      </w:r>
      <w:r>
        <w:t xml:space="preserve">PVR = </w:t>
      </w:r>
      <w:r w:rsidRPr="007A4F5B">
        <w:t>pulmonary vascular resistance</w:t>
      </w:r>
      <w:r w:rsidRPr="00C51FB4">
        <w:t>;</w:t>
      </w:r>
      <w:r>
        <w:t xml:space="preserve"> SD = standard deviation;</w:t>
      </w:r>
      <w:r w:rsidRPr="00C51FB4">
        <w:t xml:space="preserve"> S</w:t>
      </w:r>
      <w:r>
        <w:t>EM</w:t>
      </w:r>
      <w:r w:rsidRPr="00C51FB4">
        <w:t xml:space="preserve"> = standard </w:t>
      </w:r>
      <w:r>
        <w:t>error of the mean;</w:t>
      </w:r>
      <w:r w:rsidRPr="00202AD4">
        <w:t xml:space="preserve"> TPR</w:t>
      </w:r>
      <w:r>
        <w:t xml:space="preserve"> =</w:t>
      </w:r>
      <w:r w:rsidRPr="00202AD4">
        <w:t xml:space="preserve"> total pulmonary resistance</w:t>
      </w:r>
    </w:p>
    <w:p w:rsidR="0075777C" w:rsidRPr="00150BDE" w:rsidRDefault="0077344D" w:rsidP="0075777C">
      <w:pPr>
        <w:pStyle w:val="Heading5"/>
      </w:pPr>
      <w:r>
        <w:t>h.</w:t>
      </w:r>
      <w:r w:rsidR="007B6C7C">
        <w:tab/>
      </w:r>
      <w:r w:rsidR="0075777C" w:rsidRPr="00150BDE">
        <w:t>Comparative safety</w:t>
      </w:r>
    </w:p>
    <w:p w:rsidR="0075777C" w:rsidRPr="00B607A5" w:rsidRDefault="0077344D" w:rsidP="0077344D">
      <w:pPr>
        <w:pStyle w:val="Heading6"/>
      </w:pPr>
      <w:proofErr w:type="gramStart"/>
      <w:r w:rsidRPr="00B607A5">
        <w:t>h</w:t>
      </w:r>
      <w:r w:rsidR="0075777C" w:rsidRPr="00B607A5">
        <w:t>.ii</w:t>
      </w:r>
      <w:proofErr w:type="gramEnd"/>
      <w:r w:rsidR="0075777C" w:rsidRPr="00B607A5">
        <w:tab/>
        <w:t>PAH patients with FC III or IV</w:t>
      </w:r>
    </w:p>
    <w:p w:rsidR="0075777C" w:rsidRPr="00822C52" w:rsidRDefault="0075777C" w:rsidP="0075777C">
      <w:r>
        <w:t xml:space="preserve">In the </w:t>
      </w:r>
      <w:r w:rsidRPr="00822C52">
        <w:t>BREATHE-2</w:t>
      </w:r>
      <w:r>
        <w:t xml:space="preserve"> trial, there was no significant difference in the proportion of patients from receiving bosentan/epoprostenol combination therapy compared with those receiving monotherapy who reported a serious AE, an AE leading to treatment discontinuation or worsening of PAH (</w:t>
      </w:r>
      <w:r w:rsidR="003951FA">
        <w:t>Table 4.</w:t>
      </w:r>
      <w:r w:rsidR="003951FA">
        <w:rPr>
          <w:noProof/>
        </w:rPr>
        <w:t>60</w:t>
      </w:r>
      <w:r>
        <w:t xml:space="preserve">). Additionally, no significant difference in the proportion of patients who had increased levels of transaminases </w:t>
      </w:r>
      <w:proofErr w:type="gramStart"/>
      <w:r>
        <w:t>was observed</w:t>
      </w:r>
      <w:proofErr w:type="gramEnd"/>
      <w:r>
        <w:t xml:space="preserve"> in either group; this had been previously associated with bosentan treatment.</w:t>
      </w:r>
    </w:p>
    <w:p w:rsidR="0075777C" w:rsidRPr="00822C52" w:rsidRDefault="0075777C" w:rsidP="0075777C">
      <w:r w:rsidRPr="00822C52">
        <w:t xml:space="preserve">Han </w:t>
      </w:r>
      <w:r>
        <w:t>et al (</w:t>
      </w:r>
      <w:r w:rsidRPr="00822C52">
        <w:t>2017</w:t>
      </w:r>
      <w:r>
        <w:t>)</w:t>
      </w:r>
      <w:r w:rsidR="001D34EE" w:rsidRPr="001A1C44">
        <w:rPr>
          <w:noProof/>
          <w:vertAlign w:val="superscript"/>
        </w:rPr>
        <w:t>38</w:t>
      </w:r>
      <w:r>
        <w:t xml:space="preserve"> also reported no significant differences in the proportion of patients receiving combination therapy compared with monotherapy who had an AE, or a serious AE </w:t>
      </w:r>
      <w:r w:rsidRPr="00D21F52">
        <w:t>leading to treatment discontinuation</w:t>
      </w:r>
      <w:r>
        <w:t xml:space="preserve"> (</w:t>
      </w:r>
      <w:r w:rsidR="003951FA">
        <w:t>Table 4.</w:t>
      </w:r>
      <w:r w:rsidR="003951FA">
        <w:rPr>
          <w:noProof/>
        </w:rPr>
        <w:t>60</w:t>
      </w:r>
      <w:r>
        <w:t>).</w:t>
      </w:r>
    </w:p>
    <w:p w:rsidR="0075777C" w:rsidRPr="00DD7790" w:rsidRDefault="00272F8F" w:rsidP="00BC5A2B">
      <w:pPr>
        <w:pStyle w:val="Caption"/>
      </w:pPr>
      <w:bookmarkStart w:id="197" w:name="_Ref505252780"/>
      <w:bookmarkStart w:id="198" w:name="_Toc38360357"/>
      <w:r>
        <w:t>Table 4.</w:t>
      </w:r>
      <w:r w:rsidR="003951FA">
        <w:rPr>
          <w:noProof/>
        </w:rPr>
        <w:t>60</w:t>
      </w:r>
      <w:bookmarkEnd w:id="197"/>
      <w:r w:rsidR="00887161">
        <w:tab/>
      </w:r>
      <w:r w:rsidR="0075777C" w:rsidRPr="00DD7790">
        <w:t xml:space="preserve">The comparative safety of </w:t>
      </w:r>
      <w:r w:rsidR="00EB768B">
        <w:t xml:space="preserve">an </w:t>
      </w:r>
      <w:r w:rsidR="00385078" w:rsidRPr="00A32D31">
        <w:t xml:space="preserve">ERA </w:t>
      </w:r>
      <w:r w:rsidR="00385078">
        <w:t>in addition to</w:t>
      </w:r>
      <w:r w:rsidR="00385078" w:rsidRPr="00A32D31">
        <w:t xml:space="preserve"> </w:t>
      </w:r>
      <w:r w:rsidR="00385078">
        <w:t xml:space="preserve">a </w:t>
      </w:r>
      <w:r w:rsidR="00385078" w:rsidRPr="00DD7790">
        <w:t>prostanoid compared with prostanoid</w:t>
      </w:r>
      <w:r w:rsidR="00385078">
        <w:t xml:space="preserve"> monotherapy</w:t>
      </w:r>
      <w:r w:rsidR="0075777C" w:rsidRPr="00DD7790">
        <w:t xml:space="preserve"> in all patients with PAH</w:t>
      </w:r>
      <w:bookmarkEnd w:id="198"/>
    </w:p>
    <w:tbl>
      <w:tblPr>
        <w:tblStyle w:val="TableGrid7"/>
        <w:tblW w:w="9634" w:type="dxa"/>
        <w:tblLayout w:type="fixed"/>
        <w:tblLook w:val="04A0" w:firstRow="1" w:lastRow="0" w:firstColumn="1" w:lastColumn="0" w:noHBand="0" w:noVBand="1"/>
        <w:tblCaption w:val="The comparative safety of an ERA in addition to a prostanoid compared with prostanoid monotherapy in all patients with PAH"/>
      </w:tblPr>
      <w:tblGrid>
        <w:gridCol w:w="1838"/>
        <w:gridCol w:w="2552"/>
        <w:gridCol w:w="1559"/>
        <w:gridCol w:w="1843"/>
        <w:gridCol w:w="1842"/>
      </w:tblGrid>
      <w:tr w:rsidR="0075777C" w:rsidRPr="00822C52" w:rsidTr="0094293D">
        <w:trPr>
          <w:trHeight w:val="269"/>
          <w:tblHeader/>
        </w:trPr>
        <w:tc>
          <w:tcPr>
            <w:tcW w:w="1838" w:type="dxa"/>
            <w:vMerge w:val="restart"/>
            <w:shd w:val="clear" w:color="auto" w:fill="BFBFBF" w:themeFill="background1" w:themeFillShade="BF"/>
          </w:tcPr>
          <w:p w:rsidR="0075777C" w:rsidRPr="00887161" w:rsidRDefault="0075777C" w:rsidP="00887161">
            <w:pPr>
              <w:pStyle w:val="Tabletext"/>
              <w:rPr>
                <w:b/>
              </w:rPr>
            </w:pPr>
            <w:r w:rsidRPr="00887161">
              <w:rPr>
                <w:b/>
              </w:rPr>
              <w:t>Study ID</w:t>
            </w:r>
          </w:p>
          <w:p w:rsidR="0075777C" w:rsidRPr="00887161" w:rsidRDefault="0075777C" w:rsidP="00887161">
            <w:pPr>
              <w:pStyle w:val="Tabletext"/>
              <w:rPr>
                <w:b/>
              </w:rPr>
            </w:pPr>
            <w:r w:rsidRPr="00887161">
              <w:rPr>
                <w:b/>
              </w:rPr>
              <w:t>ERA/</w:t>
            </w:r>
            <w:r w:rsidR="00887161" w:rsidRPr="00887161">
              <w:rPr>
                <w:b/>
              </w:rPr>
              <w:t>prostanoid</w:t>
            </w:r>
          </w:p>
          <w:p w:rsidR="0075777C" w:rsidRPr="00887161" w:rsidRDefault="0075777C" w:rsidP="00887161">
            <w:pPr>
              <w:pStyle w:val="Tabletext"/>
              <w:rPr>
                <w:b/>
              </w:rPr>
            </w:pPr>
            <w:r w:rsidRPr="00887161">
              <w:rPr>
                <w:b/>
              </w:rPr>
              <w:t>Follow-up period</w:t>
            </w:r>
          </w:p>
        </w:tc>
        <w:tc>
          <w:tcPr>
            <w:tcW w:w="2552" w:type="dxa"/>
            <w:vMerge w:val="restart"/>
            <w:shd w:val="clear" w:color="auto" w:fill="BFBFBF" w:themeFill="background1" w:themeFillShade="BF"/>
          </w:tcPr>
          <w:p w:rsidR="0075777C" w:rsidRPr="00887161" w:rsidRDefault="0075777C" w:rsidP="00887161">
            <w:pPr>
              <w:pStyle w:val="Tabletext"/>
              <w:rPr>
                <w:b/>
              </w:rPr>
            </w:pPr>
            <w:r w:rsidRPr="00887161">
              <w:rPr>
                <w:b/>
              </w:rPr>
              <w:t>AEs</w:t>
            </w:r>
          </w:p>
        </w:tc>
        <w:tc>
          <w:tcPr>
            <w:tcW w:w="3402" w:type="dxa"/>
            <w:gridSpan w:val="2"/>
            <w:shd w:val="clear" w:color="auto" w:fill="BFBFBF" w:themeFill="background1" w:themeFillShade="BF"/>
          </w:tcPr>
          <w:p w:rsidR="0075777C" w:rsidRPr="00887161" w:rsidRDefault="0075777C" w:rsidP="00887161">
            <w:pPr>
              <w:pStyle w:val="Tabletext"/>
              <w:jc w:val="center"/>
              <w:rPr>
                <w:b/>
              </w:rPr>
            </w:pPr>
            <w:proofErr w:type="gramStart"/>
            <w:r w:rsidRPr="00887161">
              <w:rPr>
                <w:b/>
              </w:rPr>
              <w:t>n/N</w:t>
            </w:r>
            <w:proofErr w:type="gramEnd"/>
            <w:r w:rsidRPr="00887161">
              <w:rPr>
                <w:b/>
              </w:rPr>
              <w:t xml:space="preserve"> (%)</w:t>
            </w:r>
          </w:p>
        </w:tc>
        <w:tc>
          <w:tcPr>
            <w:tcW w:w="1842" w:type="dxa"/>
            <w:vMerge w:val="restart"/>
            <w:shd w:val="clear" w:color="auto" w:fill="BFBFBF" w:themeFill="background1" w:themeFillShade="BF"/>
          </w:tcPr>
          <w:p w:rsidR="0075777C" w:rsidRPr="00887161" w:rsidRDefault="0075777C" w:rsidP="00887161">
            <w:pPr>
              <w:pStyle w:val="Tabletext"/>
              <w:rPr>
                <w:b/>
              </w:rPr>
            </w:pPr>
            <w:r w:rsidRPr="00887161">
              <w:rPr>
                <w:b/>
              </w:rPr>
              <w:t>RR (95% CI)</w:t>
            </w:r>
          </w:p>
        </w:tc>
      </w:tr>
      <w:tr w:rsidR="0075777C" w:rsidRPr="00822C52" w:rsidTr="0094293D">
        <w:trPr>
          <w:trHeight w:val="202"/>
          <w:tblHeader/>
        </w:trPr>
        <w:tc>
          <w:tcPr>
            <w:tcW w:w="1838" w:type="dxa"/>
            <w:vMerge/>
            <w:shd w:val="clear" w:color="auto" w:fill="BFBFBF" w:themeFill="background1" w:themeFillShade="BF"/>
          </w:tcPr>
          <w:p w:rsidR="0075777C" w:rsidRPr="00822C52" w:rsidRDefault="0075777C" w:rsidP="00887161">
            <w:pPr>
              <w:pStyle w:val="Tabletext"/>
            </w:pPr>
          </w:p>
        </w:tc>
        <w:tc>
          <w:tcPr>
            <w:tcW w:w="2552" w:type="dxa"/>
            <w:vMerge/>
            <w:shd w:val="clear" w:color="auto" w:fill="BFBFBF" w:themeFill="background1" w:themeFillShade="BF"/>
          </w:tcPr>
          <w:p w:rsidR="0075777C" w:rsidRPr="00822C52" w:rsidRDefault="0075777C" w:rsidP="00887161">
            <w:pPr>
              <w:pStyle w:val="Tabletext"/>
            </w:pPr>
          </w:p>
        </w:tc>
        <w:tc>
          <w:tcPr>
            <w:tcW w:w="1559" w:type="dxa"/>
            <w:shd w:val="clear" w:color="auto" w:fill="BFBFBF" w:themeFill="background1" w:themeFillShade="BF"/>
          </w:tcPr>
          <w:p w:rsidR="0075777C" w:rsidRPr="00887161" w:rsidRDefault="0075777C" w:rsidP="00887161">
            <w:pPr>
              <w:pStyle w:val="Tabletext"/>
              <w:jc w:val="center"/>
              <w:rPr>
                <w:b/>
              </w:rPr>
            </w:pPr>
            <w:r w:rsidRPr="00887161">
              <w:rPr>
                <w:b/>
              </w:rPr>
              <w:t xml:space="preserve">ERA + </w:t>
            </w:r>
            <w:r w:rsidR="00887161" w:rsidRPr="00887161">
              <w:rPr>
                <w:b/>
              </w:rPr>
              <w:t>prostanoid</w:t>
            </w:r>
          </w:p>
        </w:tc>
        <w:tc>
          <w:tcPr>
            <w:tcW w:w="1843" w:type="dxa"/>
            <w:shd w:val="clear" w:color="auto" w:fill="BFBFBF" w:themeFill="background1" w:themeFillShade="BF"/>
          </w:tcPr>
          <w:p w:rsidR="0075777C" w:rsidRPr="00887161" w:rsidRDefault="0075777C" w:rsidP="00EF4CF6">
            <w:pPr>
              <w:pStyle w:val="Tabletext"/>
              <w:jc w:val="center"/>
              <w:rPr>
                <w:b/>
              </w:rPr>
            </w:pPr>
            <w:r w:rsidRPr="00887161">
              <w:rPr>
                <w:b/>
              </w:rPr>
              <w:t>P</w:t>
            </w:r>
            <w:r w:rsidR="00887161" w:rsidRPr="00887161">
              <w:rPr>
                <w:b/>
              </w:rPr>
              <w:t>rostanoid</w:t>
            </w:r>
          </w:p>
        </w:tc>
        <w:tc>
          <w:tcPr>
            <w:tcW w:w="1842" w:type="dxa"/>
            <w:vMerge/>
            <w:shd w:val="clear" w:color="auto" w:fill="BFBFBF" w:themeFill="background1" w:themeFillShade="BF"/>
          </w:tcPr>
          <w:p w:rsidR="0075777C" w:rsidRPr="00822C52" w:rsidRDefault="0075777C" w:rsidP="00887161">
            <w:pPr>
              <w:pStyle w:val="Tabletext"/>
            </w:pPr>
          </w:p>
        </w:tc>
      </w:tr>
      <w:tr w:rsidR="0094293D" w:rsidRPr="00822C52" w:rsidTr="0094293D">
        <w:trPr>
          <w:trHeight w:val="70"/>
        </w:trPr>
        <w:tc>
          <w:tcPr>
            <w:tcW w:w="1838" w:type="dxa"/>
            <w:shd w:val="clear" w:color="auto" w:fill="auto"/>
          </w:tcPr>
          <w:p w:rsidR="0094293D" w:rsidRPr="00822C52" w:rsidRDefault="0094293D" w:rsidP="0094293D">
            <w:pPr>
              <w:pStyle w:val="Tabletext"/>
              <w:rPr>
                <w:rFonts w:cs="Tahoma"/>
              </w:rPr>
            </w:pPr>
            <w:r w:rsidRPr="00822C52">
              <w:rPr>
                <w:rFonts w:cs="Tahoma"/>
              </w:rPr>
              <w:t>BREATHE-2</w:t>
            </w:r>
            <w:r w:rsidR="001D34EE" w:rsidRPr="001A1C44">
              <w:rPr>
                <w:rFonts w:cs="Tahoma"/>
                <w:noProof/>
                <w:vertAlign w:val="superscript"/>
              </w:rPr>
              <w:t>35</w:t>
            </w:r>
          </w:p>
          <w:p w:rsidR="0094293D" w:rsidRDefault="0094293D" w:rsidP="0094293D">
            <w:pPr>
              <w:pStyle w:val="Tabletext"/>
              <w:rPr>
                <w:rFonts w:cs="Tahoma"/>
              </w:rPr>
            </w:pPr>
            <w:r>
              <w:rPr>
                <w:rFonts w:cs="Tahoma"/>
              </w:rPr>
              <w:t>Bosentan/</w:t>
            </w:r>
            <w:r w:rsidRPr="00822C52">
              <w:rPr>
                <w:rFonts w:cs="Tahoma"/>
              </w:rPr>
              <w:t>epoprostenol</w:t>
            </w:r>
          </w:p>
          <w:p w:rsidR="0094293D" w:rsidRPr="00822C52" w:rsidRDefault="0094293D" w:rsidP="0094293D">
            <w:pPr>
              <w:pStyle w:val="Tabletext"/>
              <w:rPr>
                <w:rFonts w:cs="Tahoma"/>
              </w:rPr>
            </w:pPr>
            <w:r>
              <w:rPr>
                <w:rFonts w:cs="Tahoma"/>
              </w:rPr>
              <w:t>12 weeks</w:t>
            </w:r>
          </w:p>
        </w:tc>
        <w:tc>
          <w:tcPr>
            <w:tcW w:w="2552" w:type="dxa"/>
          </w:tcPr>
          <w:p w:rsidR="0094293D" w:rsidRDefault="0094293D" w:rsidP="0094293D">
            <w:pPr>
              <w:pStyle w:val="Tabletext"/>
              <w:rPr>
                <w:rFonts w:cs="Tahoma"/>
              </w:rPr>
            </w:pPr>
            <w:r>
              <w:rPr>
                <w:rFonts w:cs="Tahoma"/>
              </w:rPr>
              <w:t>Serious AEs</w:t>
            </w:r>
          </w:p>
          <w:p w:rsidR="0094293D" w:rsidRPr="00822C52" w:rsidRDefault="0094293D" w:rsidP="0094293D">
            <w:pPr>
              <w:pStyle w:val="Tabletext"/>
              <w:rPr>
                <w:rFonts w:cs="Tahoma"/>
              </w:rPr>
            </w:pPr>
            <w:r w:rsidRPr="00822C52">
              <w:rPr>
                <w:rFonts w:cs="Tahoma"/>
              </w:rPr>
              <w:t>AEs leading to discontinuation</w:t>
            </w:r>
          </w:p>
          <w:p w:rsidR="0094293D" w:rsidRDefault="0094293D" w:rsidP="0094293D">
            <w:pPr>
              <w:pStyle w:val="Tabletext"/>
              <w:rPr>
                <w:rFonts w:cs="Tahoma"/>
              </w:rPr>
            </w:pPr>
            <w:r w:rsidRPr="00822C52">
              <w:rPr>
                <w:rFonts w:cs="Tahoma"/>
              </w:rPr>
              <w:t>Worsening of PAH</w:t>
            </w:r>
          </w:p>
          <w:p w:rsidR="0094293D" w:rsidRPr="00822C52" w:rsidRDefault="0094293D" w:rsidP="0094293D">
            <w:pPr>
              <w:pStyle w:val="Tabletext"/>
              <w:rPr>
                <w:rFonts w:cs="Tahoma"/>
              </w:rPr>
            </w:pPr>
            <w:r>
              <w:rPr>
                <w:rFonts w:cs="Tahoma"/>
              </w:rPr>
              <w:t>Increased level of transaminases (bosentan)</w:t>
            </w:r>
          </w:p>
        </w:tc>
        <w:tc>
          <w:tcPr>
            <w:tcW w:w="1559" w:type="dxa"/>
            <w:shd w:val="clear" w:color="auto" w:fill="auto"/>
          </w:tcPr>
          <w:p w:rsidR="0094293D" w:rsidRDefault="0094293D" w:rsidP="0094293D">
            <w:pPr>
              <w:pStyle w:val="Tabletext"/>
              <w:jc w:val="center"/>
              <w:rPr>
                <w:rFonts w:cs="Tahoma"/>
              </w:rPr>
            </w:pPr>
            <w:r>
              <w:rPr>
                <w:rFonts w:cs="Tahoma"/>
              </w:rPr>
              <w:t>3/22 (14%)</w:t>
            </w:r>
          </w:p>
          <w:p w:rsidR="0094293D" w:rsidRPr="00822C52" w:rsidRDefault="0094293D" w:rsidP="0094293D">
            <w:pPr>
              <w:pStyle w:val="Tabletext"/>
              <w:jc w:val="center"/>
              <w:rPr>
                <w:rFonts w:cs="Tahoma"/>
              </w:rPr>
            </w:pPr>
            <w:r w:rsidRPr="00822C52">
              <w:rPr>
                <w:rFonts w:cs="Tahoma"/>
              </w:rPr>
              <w:t>1/22 (5%)</w:t>
            </w:r>
          </w:p>
          <w:p w:rsidR="0094293D" w:rsidRDefault="0094293D" w:rsidP="0094293D">
            <w:pPr>
              <w:pStyle w:val="Tabletext"/>
              <w:jc w:val="center"/>
              <w:rPr>
                <w:rFonts w:cs="Tahoma"/>
              </w:rPr>
            </w:pPr>
            <w:r w:rsidRPr="00822C52">
              <w:rPr>
                <w:rFonts w:cs="Tahoma"/>
              </w:rPr>
              <w:t>1/22 (5%)</w:t>
            </w:r>
          </w:p>
          <w:p w:rsidR="0094293D" w:rsidRPr="00822C52" w:rsidRDefault="0094293D" w:rsidP="0094293D">
            <w:pPr>
              <w:pStyle w:val="Tabletext"/>
              <w:jc w:val="center"/>
              <w:rPr>
                <w:rFonts w:cs="Tahoma"/>
              </w:rPr>
            </w:pPr>
            <w:r>
              <w:rPr>
                <w:rFonts w:cs="Tahoma"/>
              </w:rPr>
              <w:t>2/22 (9%)</w:t>
            </w:r>
          </w:p>
        </w:tc>
        <w:tc>
          <w:tcPr>
            <w:tcW w:w="1843" w:type="dxa"/>
            <w:shd w:val="clear" w:color="auto" w:fill="auto"/>
          </w:tcPr>
          <w:p w:rsidR="0094293D" w:rsidRDefault="0094293D" w:rsidP="0094293D">
            <w:pPr>
              <w:pStyle w:val="Tabletext"/>
              <w:jc w:val="center"/>
              <w:rPr>
                <w:rFonts w:cs="Tahoma"/>
              </w:rPr>
            </w:pPr>
            <w:r>
              <w:rPr>
                <w:rFonts w:cs="Tahoma"/>
              </w:rPr>
              <w:t>2/11 (18%)</w:t>
            </w:r>
          </w:p>
          <w:p w:rsidR="0094293D" w:rsidRPr="00822C52" w:rsidRDefault="0094293D" w:rsidP="0094293D">
            <w:pPr>
              <w:pStyle w:val="Tabletext"/>
              <w:jc w:val="center"/>
              <w:rPr>
                <w:rFonts w:cs="Tahoma"/>
              </w:rPr>
            </w:pPr>
            <w:r w:rsidRPr="00822C52">
              <w:rPr>
                <w:rFonts w:cs="Tahoma"/>
              </w:rPr>
              <w:t>1/11 (9%)</w:t>
            </w:r>
          </w:p>
          <w:p w:rsidR="0094293D" w:rsidRDefault="0094293D" w:rsidP="0094293D">
            <w:pPr>
              <w:pStyle w:val="Tabletext"/>
              <w:jc w:val="center"/>
              <w:rPr>
                <w:rFonts w:cs="Tahoma"/>
              </w:rPr>
            </w:pPr>
            <w:r w:rsidRPr="00822C52">
              <w:rPr>
                <w:rFonts w:cs="Tahoma"/>
              </w:rPr>
              <w:t>2/9 (18%)</w:t>
            </w:r>
          </w:p>
          <w:p w:rsidR="0094293D" w:rsidRPr="00822C52" w:rsidRDefault="0094293D" w:rsidP="0094293D">
            <w:pPr>
              <w:pStyle w:val="Tabletext"/>
              <w:jc w:val="center"/>
              <w:rPr>
                <w:rFonts w:cs="Tahoma"/>
              </w:rPr>
            </w:pPr>
            <w:r>
              <w:rPr>
                <w:rFonts w:cs="Tahoma"/>
              </w:rPr>
              <w:t>2/11 (18%)</w:t>
            </w:r>
          </w:p>
        </w:tc>
        <w:tc>
          <w:tcPr>
            <w:tcW w:w="1842" w:type="dxa"/>
          </w:tcPr>
          <w:p w:rsidR="0094293D" w:rsidRDefault="0094293D" w:rsidP="0094293D">
            <w:pPr>
              <w:pStyle w:val="Tabletext"/>
              <w:rPr>
                <w:rFonts w:cs="Tahoma"/>
              </w:rPr>
            </w:pPr>
            <w:r>
              <w:rPr>
                <w:rFonts w:cs="Tahoma"/>
              </w:rPr>
              <w:t>0.75 (0.15, 3.85)</w:t>
            </w:r>
          </w:p>
          <w:p w:rsidR="0094293D" w:rsidRDefault="0094293D" w:rsidP="0094293D">
            <w:pPr>
              <w:pStyle w:val="Tabletext"/>
              <w:rPr>
                <w:rFonts w:cs="Tahoma"/>
              </w:rPr>
            </w:pPr>
            <w:r>
              <w:rPr>
                <w:rFonts w:cs="Tahoma"/>
              </w:rPr>
              <w:t>0.50 (0.03, 7.26)</w:t>
            </w:r>
          </w:p>
          <w:p w:rsidR="0094293D" w:rsidRDefault="0094293D" w:rsidP="0094293D">
            <w:pPr>
              <w:pStyle w:val="Tabletext"/>
              <w:rPr>
                <w:rFonts w:cs="Tahoma"/>
              </w:rPr>
            </w:pPr>
            <w:r>
              <w:rPr>
                <w:rFonts w:cs="Tahoma"/>
              </w:rPr>
              <w:t>0.25 (0.03, 2.47)</w:t>
            </w:r>
          </w:p>
          <w:p w:rsidR="0094293D" w:rsidRPr="00822C52" w:rsidRDefault="0094293D" w:rsidP="0094293D">
            <w:pPr>
              <w:pStyle w:val="Tabletext"/>
              <w:rPr>
                <w:rFonts w:cs="Tahoma"/>
              </w:rPr>
            </w:pPr>
            <w:r>
              <w:rPr>
                <w:rFonts w:cs="Tahoma"/>
              </w:rPr>
              <w:t>0.05 (0.08, 3.09)</w:t>
            </w:r>
          </w:p>
        </w:tc>
      </w:tr>
      <w:tr w:rsidR="0075777C" w:rsidRPr="00822C52" w:rsidTr="0094293D">
        <w:trPr>
          <w:trHeight w:val="70"/>
        </w:trPr>
        <w:tc>
          <w:tcPr>
            <w:tcW w:w="1838" w:type="dxa"/>
          </w:tcPr>
          <w:p w:rsidR="0075777C" w:rsidRPr="00822C52" w:rsidRDefault="0075777C" w:rsidP="00887161">
            <w:pPr>
              <w:pStyle w:val="Tabletext"/>
              <w:rPr>
                <w:rFonts w:cs="Tahoma"/>
              </w:rPr>
            </w:pPr>
            <w:r w:rsidRPr="00822C52">
              <w:rPr>
                <w:rFonts w:cs="Tahoma"/>
              </w:rPr>
              <w:t>Han 2017</w:t>
            </w:r>
            <w:r w:rsidR="001D34EE" w:rsidRPr="001A1C44">
              <w:rPr>
                <w:rFonts w:cs="Tahoma"/>
                <w:noProof/>
                <w:vertAlign w:val="superscript"/>
              </w:rPr>
              <w:t>38</w:t>
            </w:r>
            <w:r>
              <w:rPr>
                <w:rFonts w:cs="Tahoma"/>
              </w:rPr>
              <w:t xml:space="preserve"> </w:t>
            </w:r>
            <w:r>
              <w:rPr>
                <w:rFonts w:cs="Tahoma"/>
                <w:vertAlign w:val="superscript"/>
              </w:rPr>
              <w:t>a</w:t>
            </w:r>
          </w:p>
          <w:p w:rsidR="0094293D" w:rsidRDefault="0094293D" w:rsidP="0094293D">
            <w:pPr>
              <w:pStyle w:val="Tabletext"/>
              <w:rPr>
                <w:rFonts w:cs="Tahoma"/>
              </w:rPr>
            </w:pPr>
            <w:r>
              <w:rPr>
                <w:rFonts w:cs="Tahoma"/>
              </w:rPr>
              <w:t>Bosentan/iloprost</w:t>
            </w:r>
          </w:p>
          <w:p w:rsidR="0075777C" w:rsidRPr="00822C52" w:rsidRDefault="0094293D" w:rsidP="00887161">
            <w:pPr>
              <w:pStyle w:val="Tabletext"/>
              <w:rPr>
                <w:rFonts w:cs="Tahoma"/>
              </w:rPr>
            </w:pPr>
            <w:r>
              <w:rPr>
                <w:rFonts w:cs="Tahoma"/>
              </w:rPr>
              <w:t>12 weeks</w:t>
            </w:r>
          </w:p>
        </w:tc>
        <w:tc>
          <w:tcPr>
            <w:tcW w:w="2552" w:type="dxa"/>
          </w:tcPr>
          <w:p w:rsidR="0075777C" w:rsidRPr="00822C52" w:rsidRDefault="0075777C" w:rsidP="00887161">
            <w:pPr>
              <w:pStyle w:val="Tabletext"/>
              <w:rPr>
                <w:rFonts w:cs="Tahoma"/>
              </w:rPr>
            </w:pPr>
            <w:r w:rsidRPr="00822C52">
              <w:rPr>
                <w:rFonts w:cs="Tahoma"/>
              </w:rPr>
              <w:t>Any AE</w:t>
            </w:r>
          </w:p>
          <w:p w:rsidR="0075777C" w:rsidRPr="00822C52" w:rsidRDefault="0075777C" w:rsidP="00887161">
            <w:pPr>
              <w:pStyle w:val="Tabletext"/>
              <w:rPr>
                <w:rFonts w:cs="Tahoma"/>
              </w:rPr>
            </w:pPr>
            <w:r w:rsidRPr="00822C52">
              <w:rPr>
                <w:rFonts w:cs="Tahoma"/>
              </w:rPr>
              <w:t>Serious AEs leading to discontinuation</w:t>
            </w:r>
          </w:p>
        </w:tc>
        <w:tc>
          <w:tcPr>
            <w:tcW w:w="1559" w:type="dxa"/>
            <w:shd w:val="clear" w:color="auto" w:fill="auto"/>
          </w:tcPr>
          <w:p w:rsidR="0075777C" w:rsidRPr="00822C52" w:rsidRDefault="0075777C" w:rsidP="00887161">
            <w:pPr>
              <w:pStyle w:val="Tabletext"/>
              <w:jc w:val="center"/>
              <w:rPr>
                <w:rFonts w:cs="Tahoma"/>
              </w:rPr>
            </w:pPr>
            <w:r w:rsidRPr="00822C52">
              <w:rPr>
                <w:rFonts w:cs="Tahoma"/>
              </w:rPr>
              <w:t>7</w:t>
            </w:r>
            <w:r>
              <w:rPr>
                <w:rFonts w:cs="Tahoma"/>
              </w:rPr>
              <w:t>/8</w:t>
            </w:r>
            <w:r w:rsidRPr="00822C52">
              <w:rPr>
                <w:rFonts w:cs="Tahoma"/>
              </w:rPr>
              <w:t xml:space="preserve"> (8</w:t>
            </w:r>
            <w:r w:rsidR="0050638A">
              <w:rPr>
                <w:rFonts w:cs="Tahoma"/>
              </w:rPr>
              <w:t>8</w:t>
            </w:r>
            <w:r w:rsidRPr="00822C52">
              <w:rPr>
                <w:rFonts w:cs="Tahoma"/>
              </w:rPr>
              <w:t>%)</w:t>
            </w:r>
          </w:p>
          <w:p w:rsidR="0075777C" w:rsidRPr="00822C52" w:rsidRDefault="0075777C" w:rsidP="00887161">
            <w:pPr>
              <w:pStyle w:val="Tabletext"/>
              <w:jc w:val="center"/>
              <w:rPr>
                <w:rFonts w:cs="Tahoma"/>
                <w:highlight w:val="cyan"/>
              </w:rPr>
            </w:pPr>
            <w:r w:rsidRPr="00822C52">
              <w:rPr>
                <w:rFonts w:cs="Tahoma"/>
              </w:rPr>
              <w:t>0</w:t>
            </w:r>
            <w:r>
              <w:rPr>
                <w:rFonts w:cs="Tahoma"/>
              </w:rPr>
              <w:t>/8</w:t>
            </w:r>
            <w:r w:rsidRPr="00822C52">
              <w:rPr>
                <w:rFonts w:cs="Tahoma"/>
              </w:rPr>
              <w:t xml:space="preserve"> (0%)</w:t>
            </w:r>
          </w:p>
        </w:tc>
        <w:tc>
          <w:tcPr>
            <w:tcW w:w="1843" w:type="dxa"/>
            <w:shd w:val="clear" w:color="auto" w:fill="auto"/>
          </w:tcPr>
          <w:p w:rsidR="0075777C" w:rsidRPr="00822C52" w:rsidRDefault="0075777C" w:rsidP="00887161">
            <w:pPr>
              <w:pStyle w:val="Tabletext"/>
              <w:jc w:val="center"/>
              <w:rPr>
                <w:rFonts w:cs="Tahoma"/>
              </w:rPr>
            </w:pPr>
            <w:r w:rsidRPr="00822C52">
              <w:rPr>
                <w:rFonts w:cs="Tahoma"/>
              </w:rPr>
              <w:t>5</w:t>
            </w:r>
            <w:r>
              <w:rPr>
                <w:rFonts w:cs="Tahoma"/>
              </w:rPr>
              <w:t>/6</w:t>
            </w:r>
            <w:r w:rsidR="0050638A">
              <w:rPr>
                <w:rFonts w:cs="Tahoma"/>
              </w:rPr>
              <w:t xml:space="preserve"> (83</w:t>
            </w:r>
            <w:r w:rsidRPr="00822C52">
              <w:rPr>
                <w:rFonts w:cs="Tahoma"/>
              </w:rPr>
              <w:t>%)</w:t>
            </w:r>
          </w:p>
          <w:p w:rsidR="0075777C" w:rsidRPr="00822C52" w:rsidRDefault="0075777C" w:rsidP="00887161">
            <w:pPr>
              <w:pStyle w:val="Tabletext"/>
              <w:jc w:val="center"/>
              <w:rPr>
                <w:rFonts w:cs="Tahoma"/>
                <w:highlight w:val="cyan"/>
              </w:rPr>
            </w:pPr>
            <w:r w:rsidRPr="00822C52">
              <w:rPr>
                <w:rFonts w:cs="Tahoma"/>
              </w:rPr>
              <w:t>0</w:t>
            </w:r>
            <w:r>
              <w:rPr>
                <w:rFonts w:cs="Tahoma"/>
              </w:rPr>
              <w:t>/6</w:t>
            </w:r>
            <w:r w:rsidRPr="00822C52">
              <w:rPr>
                <w:rFonts w:cs="Tahoma"/>
              </w:rPr>
              <w:t xml:space="preserve"> (0%)</w:t>
            </w:r>
          </w:p>
        </w:tc>
        <w:tc>
          <w:tcPr>
            <w:tcW w:w="1842" w:type="dxa"/>
          </w:tcPr>
          <w:p w:rsidR="0075777C" w:rsidRPr="00DA6B01" w:rsidRDefault="0075777C" w:rsidP="00887161">
            <w:pPr>
              <w:pStyle w:val="Tabletext"/>
              <w:rPr>
                <w:rFonts w:cs="Tahoma"/>
              </w:rPr>
            </w:pPr>
            <w:r>
              <w:rPr>
                <w:rFonts w:cs="Tahoma"/>
              </w:rPr>
              <w:t>1.05 (0.67, 1.64)</w:t>
            </w:r>
          </w:p>
          <w:p w:rsidR="0075777C" w:rsidRPr="00822C52" w:rsidRDefault="0075777C" w:rsidP="00887161">
            <w:pPr>
              <w:pStyle w:val="Tabletext"/>
              <w:rPr>
                <w:rFonts w:cs="Tahoma"/>
                <w:highlight w:val="cyan"/>
              </w:rPr>
            </w:pPr>
            <w:r w:rsidRPr="00DA6B01">
              <w:rPr>
                <w:rFonts w:cs="Tahoma"/>
              </w:rPr>
              <w:t>Not calculable</w:t>
            </w:r>
          </w:p>
        </w:tc>
      </w:tr>
    </w:tbl>
    <w:p w:rsidR="0075777C" w:rsidRPr="00822C52" w:rsidRDefault="0075777C" w:rsidP="00887161">
      <w:pPr>
        <w:pStyle w:val="Tablenote"/>
      </w:pPr>
      <w:proofErr w:type="gramStart"/>
      <w:r>
        <w:rPr>
          <w:vertAlign w:val="superscript"/>
        </w:rPr>
        <w:t>a</w:t>
      </w:r>
      <w:proofErr w:type="gramEnd"/>
      <w:r w:rsidRPr="00822C52">
        <w:t xml:space="preserve"> 1 patient (12.5%) in the ERA + </w:t>
      </w:r>
      <w:r w:rsidR="00887161" w:rsidRPr="00822C52">
        <w:t>prostanoid</w:t>
      </w:r>
      <w:r w:rsidRPr="00822C52">
        <w:t xml:space="preserve"> group had CTEPH.</w:t>
      </w:r>
    </w:p>
    <w:p w:rsidR="00C30B1C" w:rsidRDefault="0075777C" w:rsidP="00887161">
      <w:pPr>
        <w:pStyle w:val="Tablenote"/>
      </w:pPr>
      <w:r w:rsidRPr="00822C52">
        <w:t xml:space="preserve">AE = adverse event; CI = confidence interval; </w:t>
      </w:r>
      <w:r>
        <w:t>CTEPH = c</w:t>
      </w:r>
      <w:r w:rsidRPr="00DE3429">
        <w:t xml:space="preserve">hronic </w:t>
      </w:r>
      <w:r>
        <w:t>t</w:t>
      </w:r>
      <w:r w:rsidRPr="00DE3429">
        <w:t xml:space="preserve">hromboembolic </w:t>
      </w:r>
      <w:r>
        <w:t>p</w:t>
      </w:r>
      <w:r w:rsidRPr="00DE3429">
        <w:t xml:space="preserve">ulmonary </w:t>
      </w:r>
      <w:r>
        <w:t>h</w:t>
      </w:r>
      <w:r w:rsidRPr="00DE3429">
        <w:t>ypertension</w:t>
      </w:r>
      <w:r>
        <w:t>;</w:t>
      </w:r>
      <w:r w:rsidRPr="00DE3429">
        <w:t xml:space="preserve"> </w:t>
      </w:r>
      <w:r w:rsidRPr="00822C52">
        <w:t xml:space="preserve">ERA = endothelin receptor antagonist; n = number of </w:t>
      </w:r>
      <w:r w:rsidR="00C30B1C">
        <w:t xml:space="preserve">patients with </w:t>
      </w:r>
      <w:r w:rsidRPr="00822C52">
        <w:t>events; N = number of patients; PAH = pulmonary arterial hypertension; RR = relative risk</w:t>
      </w:r>
    </w:p>
    <w:p w:rsidR="0075777C" w:rsidRPr="00822C52" w:rsidRDefault="00761752" w:rsidP="0075777C">
      <w:pPr>
        <w:pStyle w:val="Heading4"/>
      </w:pPr>
      <w:r>
        <w:t>4.4.3.3</w:t>
      </w:r>
      <w:r>
        <w:tab/>
      </w:r>
      <w:r w:rsidR="005035F1">
        <w:tab/>
      </w:r>
      <w:r w:rsidR="0075777C">
        <w:t>PDE-5 inhibitor</w:t>
      </w:r>
      <w:r w:rsidR="0075777C" w:rsidRPr="00822C52">
        <w:t xml:space="preserve"> </w:t>
      </w:r>
      <w:r w:rsidR="0075777C">
        <w:t xml:space="preserve">in </w:t>
      </w:r>
      <w:r w:rsidR="0075777C" w:rsidRPr="00822C52">
        <w:t>addition to ERA</w:t>
      </w:r>
    </w:p>
    <w:p w:rsidR="0075777C" w:rsidRPr="00822C52" w:rsidRDefault="0075777C" w:rsidP="0075777C">
      <w:r>
        <w:t xml:space="preserve">Five RCTs reported on </w:t>
      </w:r>
      <w:r w:rsidRPr="00DE5444">
        <w:t xml:space="preserve">the effectiveness of a PDE-5 inhibitor in addition to ERA in treating PAH compared with placebo plus </w:t>
      </w:r>
      <w:r>
        <w:t>ERA</w:t>
      </w:r>
      <w:r w:rsidRPr="00DE5444">
        <w:t>.</w:t>
      </w:r>
    </w:p>
    <w:p w:rsidR="0075777C" w:rsidRPr="00822C52" w:rsidRDefault="0075777C" w:rsidP="0075777C">
      <w:r w:rsidRPr="00822C52">
        <w:t>The AMBITION</w:t>
      </w:r>
      <w:r w:rsidR="001D34EE" w:rsidRPr="001A1C44">
        <w:rPr>
          <w:noProof/>
          <w:vertAlign w:val="superscript"/>
        </w:rPr>
        <w:t>30</w:t>
      </w:r>
      <w:r w:rsidRPr="00822C52">
        <w:t xml:space="preserve"> double-blind trial randomised patients with WHO FC II/III PAH to receive combination therapy with ambrisentan plus tadalafil, or monotherapy with ambrisentan plus placebo, or tadalafil plus placebo. The mean duration of use of the randomly assigned study medication from the start of therapy to the final assessment visit was 74 wee</w:t>
      </w:r>
      <w:r w:rsidR="00466A07">
        <w:t xml:space="preserve">ks (79 weeks in the combination </w:t>
      </w:r>
      <w:r w:rsidRPr="00822C52">
        <w:t>therapy group and 69 weeks in the monotherapy group</w:t>
      </w:r>
      <w:r>
        <w:t>s</w:t>
      </w:r>
      <w:r w:rsidRPr="00822C52">
        <w:t xml:space="preserve">). </w:t>
      </w:r>
      <w:r>
        <w:t>The me</w:t>
      </w:r>
      <w:r w:rsidR="00466A07">
        <w:t>an</w:t>
      </w:r>
      <w:r>
        <w:t xml:space="preserve"> follow-up time from randomisation to the end of the study was </w:t>
      </w:r>
      <w:r w:rsidR="00466A07">
        <w:t>87</w:t>
      </w:r>
      <w:r>
        <w:t xml:space="preserve"> weeks (</w:t>
      </w:r>
      <w:r w:rsidR="00466A07">
        <w:t>89</w:t>
      </w:r>
      <w:r w:rsidR="00466A07" w:rsidRPr="00822C52">
        <w:t xml:space="preserve"> weeks in the combination</w:t>
      </w:r>
      <w:r w:rsidR="00466A07">
        <w:t xml:space="preserve"> </w:t>
      </w:r>
      <w:r w:rsidR="00466A07" w:rsidRPr="00822C52">
        <w:t xml:space="preserve">therapy group and </w:t>
      </w:r>
      <w:r w:rsidR="00466A07">
        <w:t>85</w:t>
      </w:r>
      <w:r w:rsidR="00466A07" w:rsidRPr="00822C52">
        <w:t xml:space="preserve"> weeks in the monotherapy group</w:t>
      </w:r>
      <w:r w:rsidR="00466A07">
        <w:t>s</w:t>
      </w:r>
      <w:r>
        <w:t xml:space="preserve">). </w:t>
      </w:r>
      <w:r w:rsidRPr="00822C52">
        <w:t xml:space="preserve">Patients were diagnosed with IPAH, HPAH, PAH-CTD, PAH-CHD, PAH-HIV or </w:t>
      </w:r>
      <w:r w:rsidR="009B47AA" w:rsidRPr="00EB1471">
        <w:t xml:space="preserve">drug/toxin-induced </w:t>
      </w:r>
      <w:r w:rsidRPr="00822C52">
        <w:t xml:space="preserve">PAH, and were stratified according to PAH aetiology and WHO FC. </w:t>
      </w:r>
      <w:r>
        <w:t>Coghlan et al (2016)</w:t>
      </w:r>
      <w:r w:rsidR="001D34EE" w:rsidRPr="001A1C44">
        <w:rPr>
          <w:noProof/>
          <w:vertAlign w:val="superscript"/>
        </w:rPr>
        <w:t>31</w:t>
      </w:r>
      <w:r>
        <w:t xml:space="preserve"> conducted a post hoc analysis of clinical worsening and safety in patients with PAH-CTD.</w:t>
      </w:r>
    </w:p>
    <w:p w:rsidR="0075777C" w:rsidRDefault="0075777C" w:rsidP="0075777C">
      <w:r>
        <w:t xml:space="preserve">The </w:t>
      </w:r>
      <w:r w:rsidRPr="00822C52">
        <w:t>Zhuang 2014</w:t>
      </w:r>
      <w:r w:rsidR="001D34EE" w:rsidRPr="001A1C44">
        <w:rPr>
          <w:noProof/>
          <w:vertAlign w:val="superscript"/>
        </w:rPr>
        <w:t>50</w:t>
      </w:r>
      <w:r>
        <w:t xml:space="preserve"> </w:t>
      </w:r>
      <w:r w:rsidRPr="00DD2E1E">
        <w:t xml:space="preserve">double-blind controlled study </w:t>
      </w:r>
      <w:r>
        <w:t>randomis</w:t>
      </w:r>
      <w:r w:rsidRPr="00DD2E1E">
        <w:t>ed</w:t>
      </w:r>
      <w:r>
        <w:t xml:space="preserve"> patients with symptomatic PAH receiving ambrisentan for 4 months or more, to additional treatment with tadalafil or placebo for 16 weeks. The randomization was stratified for baseline 6MWD and PAH aetiology (IPAH/HPAH and anorexigen use versus other types).</w:t>
      </w:r>
      <w:r w:rsidRPr="00DD2E1E">
        <w:t xml:space="preserve"> </w:t>
      </w:r>
      <w:r>
        <w:t>There were no significant differences between the tadalafil and placebo groups in any demographic or baseline characteristics, but the placebo group did have approximately twice as many patients with PAH caused by anorexigen use (7/64; 11% v</w:t>
      </w:r>
      <w:r w:rsidR="0095089E">
        <w:t>ersus</w:t>
      </w:r>
      <w:r>
        <w:t xml:space="preserve"> 4/60; 7%) or PAH-CHD (5/64; 8% versus 2/60; 3%). Pre-defined subgroup analysis </w:t>
      </w:r>
      <w:proofErr w:type="gramStart"/>
      <w:r>
        <w:t>was performed</w:t>
      </w:r>
      <w:proofErr w:type="gramEnd"/>
      <w:r>
        <w:t xml:space="preserve"> for 6MWD for patients with WHO FC III/IV.</w:t>
      </w:r>
    </w:p>
    <w:p w:rsidR="0075777C" w:rsidRPr="006316DF" w:rsidRDefault="0075777C" w:rsidP="0075777C">
      <w:r w:rsidRPr="006316DF">
        <w:t xml:space="preserve">The </w:t>
      </w:r>
      <w:r w:rsidRPr="00822C52">
        <w:t>PHIRST</w:t>
      </w:r>
      <w:r w:rsidR="001D34EE" w:rsidRPr="001D34EE">
        <w:rPr>
          <w:noProof/>
          <w:vertAlign w:val="superscript"/>
        </w:rPr>
        <w:t>12</w:t>
      </w:r>
      <w:r>
        <w:t xml:space="preserve"> </w:t>
      </w:r>
      <w:r w:rsidRPr="006316DF">
        <w:t xml:space="preserve">double-blind trial randomised PAH patients of </w:t>
      </w:r>
      <w:r w:rsidRPr="00AC7FDB">
        <w:t>any</w:t>
      </w:r>
      <w:r w:rsidRPr="006316DF">
        <w:t xml:space="preserve"> WHO FC to receive </w:t>
      </w:r>
      <w:r w:rsidR="00570FC8">
        <w:t>20 mg or 40 </w:t>
      </w:r>
      <w:r>
        <w:t xml:space="preserve">mg </w:t>
      </w:r>
      <w:r w:rsidRPr="006316DF">
        <w:t xml:space="preserve">tadalafil or placebo for 16 weeks. Background use of bosentan </w:t>
      </w:r>
      <w:proofErr w:type="gramStart"/>
      <w:r w:rsidRPr="006316DF">
        <w:t>was permitted</w:t>
      </w:r>
      <w:proofErr w:type="gramEnd"/>
      <w:r w:rsidRPr="006316DF">
        <w:t xml:space="preserve"> for patients taking a stable dose for a minimum of 12 weeks before screening. </w:t>
      </w:r>
      <w:r>
        <w:t xml:space="preserve">The results for those on background bosentan and randomised to either 40 mg tadalafil or placebo are included in this section. </w:t>
      </w:r>
      <w:r w:rsidRPr="006316DF">
        <w:t xml:space="preserve">The randomisation was stratified for baseline </w:t>
      </w:r>
      <w:r w:rsidR="0082368E">
        <w:t>walk distance</w:t>
      </w:r>
      <w:r w:rsidRPr="006316DF">
        <w:t xml:space="preserve"> (&lt;325 m or &gt;325 m), PAH aetiology (IPAH</w:t>
      </w:r>
      <w:r>
        <w:t>, HPAH</w:t>
      </w:r>
      <w:r w:rsidRPr="006316DF">
        <w:t xml:space="preserve"> and anorexigen use </w:t>
      </w:r>
      <w:r w:rsidRPr="00F61F37">
        <w:t>versus</w:t>
      </w:r>
      <w:r>
        <w:rPr>
          <w:i/>
        </w:rPr>
        <w:t xml:space="preserve"> </w:t>
      </w:r>
      <w:r w:rsidRPr="006316DF">
        <w:t>other types</w:t>
      </w:r>
      <w:r>
        <w:t xml:space="preserve"> of PAH</w:t>
      </w:r>
      <w:r w:rsidRPr="006316DF">
        <w:t xml:space="preserve">) and for bosentan use. </w:t>
      </w:r>
      <w:r>
        <w:t>The baseline characteristics were similar in the two treatment groups except that the placebo plus bosentan group had more patients with WHO FC III/IV PAH compared with the combination therapy groups (71% v</w:t>
      </w:r>
      <w:r w:rsidR="0095089E">
        <w:t>ersu</w:t>
      </w:r>
      <w:r>
        <w:t>s 58%)</w:t>
      </w:r>
      <w:r w:rsidRPr="006316DF">
        <w:t xml:space="preserve">. </w:t>
      </w:r>
      <w:r>
        <w:t>Pre-specified exploratory analysis for PAH patients receiving background bosentan was undertaken</w:t>
      </w:r>
      <w:r w:rsidR="001D34EE" w:rsidRPr="001A1C44">
        <w:rPr>
          <w:noProof/>
          <w:vertAlign w:val="superscript"/>
        </w:rPr>
        <w:t>45</w:t>
      </w:r>
      <w:r>
        <w:t xml:space="preserve">. </w:t>
      </w:r>
      <w:r w:rsidRPr="006316DF">
        <w:t xml:space="preserve">A </w:t>
      </w:r>
      <w:r>
        <w:t xml:space="preserve">post </w:t>
      </w:r>
      <w:r w:rsidRPr="00FD18C8">
        <w:t>hoc</w:t>
      </w:r>
      <w:r w:rsidRPr="006316DF">
        <w:t xml:space="preserve"> subgroup analysis for </w:t>
      </w:r>
      <w:r>
        <w:t xml:space="preserve">6MWD of </w:t>
      </w:r>
      <w:r w:rsidRPr="006316DF">
        <w:t>patients with WHO FC I</w:t>
      </w:r>
      <w:r>
        <w:t>II</w:t>
      </w:r>
      <w:r w:rsidRPr="006316DF">
        <w:t>/I</w:t>
      </w:r>
      <w:r>
        <w:t>V</w:t>
      </w:r>
      <w:r w:rsidRPr="006316DF">
        <w:t xml:space="preserve"> PAH</w:t>
      </w:r>
      <w:r>
        <w:t xml:space="preserve"> and patients with different PAH aetiologies who were receiving background bosentan</w:t>
      </w:r>
      <w:r w:rsidRPr="006316DF">
        <w:t xml:space="preserve"> was </w:t>
      </w:r>
      <w:r>
        <w:t xml:space="preserve">also </w:t>
      </w:r>
      <w:r w:rsidRPr="006316DF">
        <w:t xml:space="preserve">conducted by Barst </w:t>
      </w:r>
      <w:r w:rsidRPr="00CE7FEC">
        <w:t>et al</w:t>
      </w:r>
      <w:r w:rsidRPr="006316DF">
        <w:t>. (2011)</w:t>
      </w:r>
      <w:r w:rsidR="001D34EE" w:rsidRPr="001A1C44">
        <w:rPr>
          <w:noProof/>
          <w:vertAlign w:val="superscript"/>
        </w:rPr>
        <w:t>45</w:t>
      </w:r>
      <w:r w:rsidRPr="006316DF">
        <w:t>.</w:t>
      </w:r>
    </w:p>
    <w:p w:rsidR="0075777C" w:rsidRDefault="0075777C" w:rsidP="0075777C">
      <w:r>
        <w:t xml:space="preserve">The </w:t>
      </w:r>
      <w:r w:rsidRPr="00822C52">
        <w:t>Vizza 2017</w:t>
      </w:r>
      <w:r w:rsidR="001D34EE" w:rsidRPr="001A1C44">
        <w:rPr>
          <w:noProof/>
          <w:vertAlign w:val="superscript"/>
        </w:rPr>
        <w:t>49</w:t>
      </w:r>
      <w:r>
        <w:t xml:space="preserve"> RCT was a 12-week, multicentre, multinational, </w:t>
      </w:r>
      <w:proofErr w:type="gramStart"/>
      <w:r>
        <w:t>double-blind</w:t>
      </w:r>
      <w:proofErr w:type="gramEnd"/>
      <w:r>
        <w:t xml:space="preserve"> study in which patients with IPAH or PAH-CTD who were taking bosentan at a stable dose for ≥3 months were randomised to sildenafil or placebo. Randomisation was intended to be stratified by baseline 6MWD and PAH aetiology, but after blinding was broken, it was realized that only baseline 6MWD stratification had occurred. Thus, there were some imbalances in the proportion of patients in each of the strata: fewer PAH-CTD patients with a 6MWD &lt;325</w:t>
      </w:r>
      <w:r w:rsidR="00052F94">
        <w:t> </w:t>
      </w:r>
      <w:r>
        <w:t xml:space="preserve">m </w:t>
      </w:r>
      <w:proofErr w:type="gramStart"/>
      <w:r>
        <w:t>were assigned</w:t>
      </w:r>
      <w:proofErr w:type="gramEnd"/>
      <w:r>
        <w:t xml:space="preserve"> to the sildenafil treatment group (n=5) than to the placebo group (n=10). Additionally, more patients with WHO FC III were assigned to the placebo group (72%) compared with the sildenafil treatment groups (58%). Pre-specified analysis of the primary endpoint of 6MWD in patients with IPAH/HPAH or PAH-CTD </w:t>
      </w:r>
      <w:proofErr w:type="gramStart"/>
      <w:r>
        <w:t>was also conducted</w:t>
      </w:r>
      <w:proofErr w:type="gramEnd"/>
      <w:r>
        <w:t>.</w:t>
      </w:r>
    </w:p>
    <w:p w:rsidR="0075777C" w:rsidRDefault="0075777C" w:rsidP="0075777C">
      <w:r>
        <w:t xml:space="preserve">The </w:t>
      </w:r>
      <w:r w:rsidRPr="00822C52">
        <w:t>Mainguy 2013</w:t>
      </w:r>
      <w:r w:rsidR="001D34EE" w:rsidRPr="001A1C44">
        <w:rPr>
          <w:noProof/>
          <w:vertAlign w:val="superscript"/>
        </w:rPr>
        <w:t>39</w:t>
      </w:r>
      <w:r w:rsidRPr="00635C22">
        <w:t xml:space="preserve"> </w:t>
      </w:r>
      <w:r>
        <w:t xml:space="preserve">double-blind crossover trial randomised stable PAH patients already on PAH monotherapy to sildenafil or placebo for 28 days. This </w:t>
      </w:r>
      <w:proofErr w:type="gramStart"/>
      <w:r>
        <w:t>was followed</w:t>
      </w:r>
      <w:proofErr w:type="gramEnd"/>
      <w:r>
        <w:t xml:space="preserve"> by a 28-day washout period before patients were crossed over to placebo or sildenafil for a further 28-day period. </w:t>
      </w:r>
      <w:r w:rsidRPr="004F3635">
        <w:t xml:space="preserve">Most patients had </w:t>
      </w:r>
      <w:r>
        <w:t>I</w:t>
      </w:r>
      <w:r w:rsidRPr="004F3635">
        <w:t>PAH or PAH</w:t>
      </w:r>
      <w:r>
        <w:t>-CTD and were in WHO FC II. They were mostly being treated with ERAs (n= 15 with bosentan and n=</w:t>
      </w:r>
      <w:proofErr w:type="gramStart"/>
      <w:r>
        <w:t>3</w:t>
      </w:r>
      <w:proofErr w:type="gramEnd"/>
      <w:r>
        <w:t xml:space="preserve"> with ambrisentan), but 2 patients were being treated with epoprostenol.</w:t>
      </w:r>
    </w:p>
    <w:p w:rsidR="0075777C" w:rsidRPr="00822C52" w:rsidRDefault="0075777C" w:rsidP="0075777C">
      <w:r w:rsidRPr="00822C52">
        <w:t xml:space="preserve">The AMBITION trial had a low risk of bias, and the </w:t>
      </w:r>
      <w:r>
        <w:t>PHIRST, Z</w:t>
      </w:r>
      <w:r w:rsidR="008D6E18">
        <w:t>h</w:t>
      </w:r>
      <w:r>
        <w:t>uang 2014, Vizza 2017</w:t>
      </w:r>
      <w:r w:rsidRPr="00822C52">
        <w:t xml:space="preserve"> and </w:t>
      </w:r>
      <w:r>
        <w:t xml:space="preserve">Mainguy 2013 </w:t>
      </w:r>
      <w:r w:rsidRPr="00822C52">
        <w:t xml:space="preserve">trials had a low-to-moderate risk of bias. The increased risk was mainly due to </w:t>
      </w:r>
      <w:r>
        <w:t xml:space="preserve">lack of clarity in describing the randomisation allocations and blinding of assessments. </w:t>
      </w:r>
      <w:r w:rsidRPr="00822C52">
        <w:t xml:space="preserve">There was also a large variation in the duration of the trials; varying from </w:t>
      </w:r>
      <w:r>
        <w:t>4</w:t>
      </w:r>
      <w:r w:rsidRPr="00822C52">
        <w:t xml:space="preserve"> weeks</w:t>
      </w:r>
      <w:r>
        <w:t xml:space="preserve"> in the cross-over trial</w:t>
      </w:r>
      <w:r w:rsidRPr="00822C52">
        <w:t xml:space="preserve"> to </w:t>
      </w:r>
      <w:r>
        <w:t>a mean 74</w:t>
      </w:r>
      <w:r w:rsidRPr="00822C52">
        <w:t xml:space="preserve"> weeks</w:t>
      </w:r>
      <w:r>
        <w:t xml:space="preserve"> in the AMBITION trial</w:t>
      </w:r>
      <w:r w:rsidRPr="00822C52">
        <w:t>, as described above.</w:t>
      </w:r>
    </w:p>
    <w:p w:rsidR="0075777C" w:rsidRDefault="0077344D" w:rsidP="0075777C">
      <w:pPr>
        <w:pStyle w:val="Heading5"/>
      </w:pPr>
      <w:r>
        <w:t>a.</w:t>
      </w:r>
      <w:r w:rsidR="007B6C7C">
        <w:tab/>
      </w:r>
      <w:r w:rsidR="0075777C" w:rsidRPr="00822C52">
        <w:t>Study-defined clinical worsening</w:t>
      </w:r>
    </w:p>
    <w:p w:rsidR="0075777C" w:rsidRPr="00822C52" w:rsidRDefault="0075777C" w:rsidP="0075777C">
      <w:r>
        <w:t xml:space="preserve">Four RCTs reported on the effectiveness of </w:t>
      </w:r>
      <w:r w:rsidRPr="00157F57">
        <w:t xml:space="preserve">PDE-5 inhibitor </w:t>
      </w:r>
      <w:proofErr w:type="gramStart"/>
      <w:r>
        <w:t>plus</w:t>
      </w:r>
      <w:proofErr w:type="gramEnd"/>
      <w:r>
        <w:t xml:space="preserve"> an</w:t>
      </w:r>
      <w:r w:rsidRPr="00157F57">
        <w:t xml:space="preserve"> ERA compared with placebo </w:t>
      </w:r>
      <w:r>
        <w:t>plus</w:t>
      </w:r>
      <w:r w:rsidRPr="00157F57">
        <w:t xml:space="preserve"> ERA in preventing clinical worsening in PAH patients</w:t>
      </w:r>
      <w:r>
        <w:t xml:space="preserve"> of any WHO FC and disease aetiology. The AMBITION trial also reported clinical worsening in the PAH-CTD patient subgroup.</w:t>
      </w:r>
      <w:r w:rsidR="00E411CE" w:rsidRPr="00E411CE">
        <w:t xml:space="preserve"> </w:t>
      </w:r>
      <w:r w:rsidR="00E411CE" w:rsidRPr="00E03F94">
        <w:t>The definition of clinical worsening included death,</w:t>
      </w:r>
      <w:r w:rsidR="00E411CE" w:rsidRPr="00E411CE">
        <w:t xml:space="preserve"> </w:t>
      </w:r>
      <w:r w:rsidR="00E411CE" w:rsidRPr="00E03F94">
        <w:t xml:space="preserve">hospitalisation due to </w:t>
      </w:r>
      <w:proofErr w:type="gramStart"/>
      <w:r w:rsidR="00E411CE" w:rsidRPr="00E03F94">
        <w:t>PAH</w:t>
      </w:r>
      <w:r w:rsidR="00E411CE">
        <w:t>,</w:t>
      </w:r>
      <w:proofErr w:type="gramEnd"/>
      <w:r w:rsidR="00E411CE">
        <w:t xml:space="preserve"> lung transplantation</w:t>
      </w:r>
      <w:r w:rsidR="00E411CE" w:rsidRPr="00E03F94">
        <w:t xml:space="preserve"> </w:t>
      </w:r>
      <w:r w:rsidR="00E411CE">
        <w:t xml:space="preserve">and start of new therapy in </w:t>
      </w:r>
      <w:r w:rsidR="00E411CE" w:rsidRPr="00E03F94">
        <w:t>all trials</w:t>
      </w:r>
      <w:r w:rsidR="00E411CE">
        <w:t xml:space="preserve"> that reported this outcome</w:t>
      </w:r>
      <w:r w:rsidR="00E411CE" w:rsidRPr="00E03F94">
        <w:t xml:space="preserve"> (see Section 4.</w:t>
      </w:r>
      <w:r w:rsidR="00E411CE">
        <w:t>3.5</w:t>
      </w:r>
      <w:r w:rsidR="00E411CE" w:rsidRPr="00E03F94">
        <w:t xml:space="preserve"> for further details).</w:t>
      </w:r>
    </w:p>
    <w:p w:rsidR="0075777C" w:rsidRPr="00B607A5" w:rsidRDefault="0077344D" w:rsidP="0077344D">
      <w:pPr>
        <w:pStyle w:val="Heading6"/>
      </w:pPr>
      <w:proofErr w:type="gramStart"/>
      <w:r w:rsidRPr="00B607A5">
        <w:t>a</w:t>
      </w:r>
      <w:r w:rsidR="0075777C" w:rsidRPr="00B607A5">
        <w:t>.i</w:t>
      </w:r>
      <w:proofErr w:type="gramEnd"/>
      <w:r w:rsidR="0075777C" w:rsidRPr="00B607A5">
        <w:tab/>
        <w:t>PAH patients, irrespective of disease severity or aetiology</w:t>
      </w:r>
    </w:p>
    <w:p w:rsidR="0075777C" w:rsidRPr="006316DF" w:rsidRDefault="0075777C" w:rsidP="0075777C">
      <w:r>
        <w:t>Only the AMBITION trial</w:t>
      </w:r>
      <w:r w:rsidRPr="006316DF">
        <w:t xml:space="preserve"> reported the HR for </w:t>
      </w:r>
      <w:r>
        <w:t xml:space="preserve">all PAH </w:t>
      </w:r>
      <w:r w:rsidRPr="006316DF">
        <w:t xml:space="preserve">patients experiencing clinical worsening while </w:t>
      </w:r>
      <w:r>
        <w:t>receiving</w:t>
      </w:r>
      <w:r w:rsidRPr="006316DF">
        <w:t xml:space="preserve"> </w:t>
      </w:r>
      <w:r w:rsidRPr="007E28B1">
        <w:t xml:space="preserve">PDE-5 inhibitor </w:t>
      </w:r>
      <w:r>
        <w:t>plus</w:t>
      </w:r>
      <w:r w:rsidRPr="007E28B1">
        <w:t xml:space="preserve"> ERA</w:t>
      </w:r>
      <w:r>
        <w:t xml:space="preserve"> treatment</w:t>
      </w:r>
      <w:r w:rsidRPr="007E28B1">
        <w:t xml:space="preserve"> </w:t>
      </w:r>
      <w:r w:rsidRPr="006316DF">
        <w:t xml:space="preserve">compared with </w:t>
      </w:r>
      <w:r>
        <w:t>treatment with a</w:t>
      </w:r>
      <w:r w:rsidRPr="006316DF">
        <w:t xml:space="preserve">n ERA </w:t>
      </w:r>
      <w:r>
        <w:t>alone (</w:t>
      </w:r>
      <w:r w:rsidR="003951FA">
        <w:t>Table 4.</w:t>
      </w:r>
      <w:r w:rsidR="003951FA">
        <w:rPr>
          <w:noProof/>
        </w:rPr>
        <w:t>61</w:t>
      </w:r>
      <w:r>
        <w:t>)</w:t>
      </w:r>
      <w:r w:rsidRPr="006316DF">
        <w:t>. In th</w:t>
      </w:r>
      <w:r>
        <w:t>is trial</w:t>
      </w:r>
      <w:r w:rsidRPr="006316DF">
        <w:t xml:space="preserve">, patients receiving </w:t>
      </w:r>
      <w:r>
        <w:t>combination therapy</w:t>
      </w:r>
      <w:r w:rsidRPr="006316DF">
        <w:t xml:space="preserve"> were </w:t>
      </w:r>
      <w:r>
        <w:t xml:space="preserve">2-times less likely </w:t>
      </w:r>
      <w:r w:rsidRPr="006316DF">
        <w:t xml:space="preserve">to have clinical worsening than patients who received </w:t>
      </w:r>
      <w:r>
        <w:t xml:space="preserve">monotherapy </w:t>
      </w:r>
      <w:r w:rsidRPr="006316DF">
        <w:t xml:space="preserve">over the </w:t>
      </w:r>
      <w:r>
        <w:t>74</w:t>
      </w:r>
      <w:r w:rsidRPr="006316DF">
        <w:t xml:space="preserve">-week study period. </w:t>
      </w:r>
      <w:r>
        <w:t>The Zhuang 2014 RCT reported a statistically significant reduction in the proportion of patients having a clinical worsening event in the combination therapy group compared with the monotherapy group</w:t>
      </w:r>
      <w:r w:rsidR="005267B0">
        <w:t>.</w:t>
      </w:r>
    </w:p>
    <w:p w:rsidR="0075777C" w:rsidRPr="00DD7790" w:rsidRDefault="00272F8F" w:rsidP="00BC5A2B">
      <w:pPr>
        <w:pStyle w:val="Caption"/>
      </w:pPr>
      <w:bookmarkStart w:id="199" w:name="_Ref504392531"/>
      <w:bookmarkStart w:id="200" w:name="_Toc38360358"/>
      <w:r>
        <w:t>Table 4.</w:t>
      </w:r>
      <w:r w:rsidR="003951FA">
        <w:rPr>
          <w:noProof/>
        </w:rPr>
        <w:t>61</w:t>
      </w:r>
      <w:bookmarkEnd w:id="199"/>
      <w:r w:rsidR="0094293D">
        <w:tab/>
      </w:r>
      <w:r w:rsidR="0075777C" w:rsidRPr="00DD7790">
        <w:t xml:space="preserve">The effectiveness of </w:t>
      </w:r>
      <w:r w:rsidR="00385078">
        <w:t xml:space="preserve">a </w:t>
      </w:r>
      <w:r w:rsidR="0075777C" w:rsidRPr="00DD7790">
        <w:t>PDE-5 inhibitor</w:t>
      </w:r>
      <w:r w:rsidR="0075777C">
        <w:t xml:space="preserve"> </w:t>
      </w:r>
      <w:r w:rsidR="00385078">
        <w:t>in addition to an</w:t>
      </w:r>
      <w:r w:rsidR="0075777C" w:rsidRPr="00DD7790">
        <w:t xml:space="preserve"> ERA compared with ERA</w:t>
      </w:r>
      <w:r w:rsidR="00385078">
        <w:t xml:space="preserve"> monotherapy</w:t>
      </w:r>
      <w:r w:rsidR="0075777C" w:rsidRPr="00DD7790">
        <w:t xml:space="preserve"> in preventing clinical worsening in all PAH patients</w:t>
      </w:r>
      <w:bookmarkEnd w:id="200"/>
    </w:p>
    <w:tbl>
      <w:tblPr>
        <w:tblStyle w:val="TableGrid7"/>
        <w:tblW w:w="9634" w:type="dxa"/>
        <w:tblLayout w:type="fixed"/>
        <w:tblLook w:val="04A0" w:firstRow="1" w:lastRow="0" w:firstColumn="1" w:lastColumn="0" w:noHBand="0" w:noVBand="1"/>
        <w:tblCaption w:val="The effectiveness of a PDE-5 inhibitor in addition to an ERA compared with ERA monotherapy in preventing clinical worsening in all PAH patients"/>
      </w:tblPr>
      <w:tblGrid>
        <w:gridCol w:w="1555"/>
        <w:gridCol w:w="1984"/>
        <w:gridCol w:w="2126"/>
        <w:gridCol w:w="1985"/>
        <w:gridCol w:w="1984"/>
      </w:tblGrid>
      <w:tr w:rsidR="0075777C" w:rsidRPr="00822C52" w:rsidTr="00E1509D">
        <w:trPr>
          <w:trHeight w:val="277"/>
          <w:tblHeader/>
        </w:trPr>
        <w:tc>
          <w:tcPr>
            <w:tcW w:w="1555" w:type="dxa"/>
            <w:vMerge w:val="restart"/>
            <w:shd w:val="clear" w:color="auto" w:fill="BFBFBF" w:themeFill="background1" w:themeFillShade="BF"/>
          </w:tcPr>
          <w:p w:rsidR="0075777C" w:rsidRPr="0094293D" w:rsidRDefault="0075777C" w:rsidP="0094293D">
            <w:pPr>
              <w:pStyle w:val="Tabletext"/>
              <w:rPr>
                <w:b/>
              </w:rPr>
            </w:pPr>
            <w:r w:rsidRPr="0094293D">
              <w:rPr>
                <w:b/>
              </w:rPr>
              <w:t>Study ID</w:t>
            </w:r>
          </w:p>
        </w:tc>
        <w:tc>
          <w:tcPr>
            <w:tcW w:w="1984" w:type="dxa"/>
            <w:vMerge w:val="restart"/>
            <w:shd w:val="clear" w:color="auto" w:fill="BFBFBF" w:themeFill="background1" w:themeFillShade="BF"/>
          </w:tcPr>
          <w:p w:rsidR="0075777C" w:rsidRPr="0094293D" w:rsidRDefault="0075777C" w:rsidP="0094293D">
            <w:pPr>
              <w:pStyle w:val="Tabletext"/>
              <w:rPr>
                <w:b/>
              </w:rPr>
            </w:pPr>
            <w:r w:rsidRPr="0094293D">
              <w:rPr>
                <w:b/>
              </w:rPr>
              <w:t>PDE-5i/ERA</w:t>
            </w:r>
          </w:p>
          <w:p w:rsidR="0075777C" w:rsidRPr="0094293D" w:rsidRDefault="0075777C" w:rsidP="0094293D">
            <w:pPr>
              <w:pStyle w:val="Tabletext"/>
              <w:rPr>
                <w:b/>
              </w:rPr>
            </w:pPr>
            <w:r w:rsidRPr="0094293D">
              <w:rPr>
                <w:b/>
              </w:rPr>
              <w:t>Follow-up period</w:t>
            </w:r>
          </w:p>
        </w:tc>
        <w:tc>
          <w:tcPr>
            <w:tcW w:w="4111" w:type="dxa"/>
            <w:gridSpan w:val="2"/>
            <w:shd w:val="clear" w:color="auto" w:fill="BFBFBF" w:themeFill="background1" w:themeFillShade="BF"/>
          </w:tcPr>
          <w:p w:rsidR="0075777C" w:rsidRPr="0094293D" w:rsidRDefault="0075777C" w:rsidP="0094293D">
            <w:pPr>
              <w:pStyle w:val="Tabletext"/>
              <w:jc w:val="center"/>
              <w:rPr>
                <w:b/>
              </w:rPr>
            </w:pPr>
            <w:proofErr w:type="gramStart"/>
            <w:r w:rsidRPr="0094293D">
              <w:rPr>
                <w:b/>
              </w:rPr>
              <w:t>n/N</w:t>
            </w:r>
            <w:proofErr w:type="gramEnd"/>
            <w:r w:rsidRPr="0094293D">
              <w:rPr>
                <w:b/>
              </w:rPr>
              <w:t xml:space="preserve"> (%)</w:t>
            </w:r>
          </w:p>
        </w:tc>
        <w:tc>
          <w:tcPr>
            <w:tcW w:w="1984" w:type="dxa"/>
            <w:vMerge w:val="restart"/>
            <w:shd w:val="clear" w:color="auto" w:fill="BFBFBF" w:themeFill="background1" w:themeFillShade="BF"/>
          </w:tcPr>
          <w:p w:rsidR="0075777C" w:rsidRPr="0094293D" w:rsidRDefault="0075777C" w:rsidP="0094293D">
            <w:pPr>
              <w:pStyle w:val="Tabletext"/>
              <w:rPr>
                <w:b/>
              </w:rPr>
            </w:pPr>
            <w:r w:rsidRPr="0094293D">
              <w:rPr>
                <w:b/>
              </w:rPr>
              <w:t>HR (95% CI)</w:t>
            </w:r>
          </w:p>
        </w:tc>
      </w:tr>
      <w:tr w:rsidR="0075777C" w:rsidRPr="00822C52" w:rsidTr="00E1509D">
        <w:trPr>
          <w:trHeight w:val="202"/>
          <w:tblHeader/>
        </w:trPr>
        <w:tc>
          <w:tcPr>
            <w:tcW w:w="1555" w:type="dxa"/>
            <w:vMerge/>
            <w:shd w:val="clear" w:color="auto" w:fill="BFBFBF" w:themeFill="background1" w:themeFillShade="BF"/>
          </w:tcPr>
          <w:p w:rsidR="0075777C" w:rsidRPr="00822C52" w:rsidRDefault="0075777C" w:rsidP="0094293D">
            <w:pPr>
              <w:pStyle w:val="Tabletext"/>
            </w:pPr>
          </w:p>
        </w:tc>
        <w:tc>
          <w:tcPr>
            <w:tcW w:w="1984" w:type="dxa"/>
            <w:vMerge/>
            <w:shd w:val="clear" w:color="auto" w:fill="BFBFBF" w:themeFill="background1" w:themeFillShade="BF"/>
          </w:tcPr>
          <w:p w:rsidR="0075777C" w:rsidRPr="00822C52" w:rsidRDefault="0075777C" w:rsidP="0094293D">
            <w:pPr>
              <w:pStyle w:val="Tabletext"/>
            </w:pPr>
          </w:p>
        </w:tc>
        <w:tc>
          <w:tcPr>
            <w:tcW w:w="2126" w:type="dxa"/>
            <w:shd w:val="clear" w:color="auto" w:fill="BFBFBF" w:themeFill="background1" w:themeFillShade="BF"/>
          </w:tcPr>
          <w:p w:rsidR="0075777C" w:rsidRPr="0094293D" w:rsidRDefault="0075777C" w:rsidP="0094293D">
            <w:pPr>
              <w:pStyle w:val="Tabletext"/>
              <w:jc w:val="center"/>
              <w:rPr>
                <w:b/>
              </w:rPr>
            </w:pPr>
            <w:r w:rsidRPr="0094293D">
              <w:rPr>
                <w:b/>
              </w:rPr>
              <w:t>PDE-5i + ERA</w:t>
            </w:r>
          </w:p>
        </w:tc>
        <w:tc>
          <w:tcPr>
            <w:tcW w:w="1985" w:type="dxa"/>
            <w:shd w:val="clear" w:color="auto" w:fill="BFBFBF" w:themeFill="background1" w:themeFillShade="BF"/>
          </w:tcPr>
          <w:p w:rsidR="0075777C" w:rsidRPr="0094293D" w:rsidRDefault="0075777C" w:rsidP="0094293D">
            <w:pPr>
              <w:pStyle w:val="Tabletext"/>
              <w:jc w:val="center"/>
              <w:rPr>
                <w:b/>
              </w:rPr>
            </w:pPr>
            <w:r w:rsidRPr="0094293D">
              <w:rPr>
                <w:b/>
              </w:rPr>
              <w:t>ERA</w:t>
            </w:r>
          </w:p>
        </w:tc>
        <w:tc>
          <w:tcPr>
            <w:tcW w:w="1984" w:type="dxa"/>
            <w:vMerge/>
            <w:shd w:val="clear" w:color="auto" w:fill="BFBFBF" w:themeFill="background1" w:themeFillShade="BF"/>
          </w:tcPr>
          <w:p w:rsidR="0075777C" w:rsidRPr="00822C52" w:rsidRDefault="0075777C" w:rsidP="0094293D">
            <w:pPr>
              <w:pStyle w:val="Tabletext"/>
            </w:pPr>
          </w:p>
        </w:tc>
      </w:tr>
      <w:tr w:rsidR="0075777C" w:rsidRPr="00822C52" w:rsidTr="00E1509D">
        <w:trPr>
          <w:trHeight w:val="70"/>
        </w:trPr>
        <w:tc>
          <w:tcPr>
            <w:tcW w:w="1555" w:type="dxa"/>
          </w:tcPr>
          <w:p w:rsidR="0075777C" w:rsidRPr="00822C52" w:rsidRDefault="0075777C" w:rsidP="001D34EE">
            <w:pPr>
              <w:pStyle w:val="Tabletext"/>
              <w:rPr>
                <w:rFonts w:cs="Tahoma"/>
              </w:rPr>
            </w:pPr>
            <w:r w:rsidRPr="00822C52">
              <w:rPr>
                <w:rFonts w:cs="Tahoma"/>
              </w:rPr>
              <w:t>AMBITION</w:t>
            </w:r>
            <w:r w:rsidR="001D34EE" w:rsidRPr="001A1C44">
              <w:rPr>
                <w:rFonts w:cs="Tahoma"/>
                <w:noProof/>
                <w:vertAlign w:val="superscript"/>
              </w:rPr>
              <w:t>30</w:t>
            </w:r>
          </w:p>
        </w:tc>
        <w:tc>
          <w:tcPr>
            <w:tcW w:w="1984" w:type="dxa"/>
          </w:tcPr>
          <w:p w:rsidR="0075777C" w:rsidRPr="00822C52" w:rsidRDefault="0075777C" w:rsidP="0094293D">
            <w:pPr>
              <w:pStyle w:val="Tabletext"/>
              <w:rPr>
                <w:rFonts w:cs="Tahoma"/>
                <w:highlight w:val="yellow"/>
              </w:rPr>
            </w:pPr>
            <w:r w:rsidRPr="00822C52">
              <w:rPr>
                <w:rFonts w:cs="Tahoma"/>
              </w:rPr>
              <w:t>Tadalafil/ambrisentan</w:t>
            </w:r>
          </w:p>
          <w:p w:rsidR="0075777C" w:rsidRDefault="0075777C" w:rsidP="0094293D">
            <w:pPr>
              <w:pStyle w:val="Tabletext"/>
              <w:rPr>
                <w:rFonts w:cs="Tahoma"/>
              </w:rPr>
            </w:pPr>
            <w:r w:rsidRPr="00822C52">
              <w:rPr>
                <w:rFonts w:cs="Tahoma"/>
              </w:rPr>
              <w:t xml:space="preserve">FAV: mean </w:t>
            </w:r>
            <w:r>
              <w:rPr>
                <w:rFonts w:cs="Tahoma"/>
              </w:rPr>
              <w:t>74</w:t>
            </w:r>
            <w:r w:rsidRPr="00822C52">
              <w:rPr>
                <w:rFonts w:cs="Tahoma"/>
              </w:rPr>
              <w:t xml:space="preserve"> weeks</w:t>
            </w:r>
          </w:p>
          <w:p w:rsidR="0075777C" w:rsidRPr="00812EB0" w:rsidRDefault="0075777C" w:rsidP="0038038B">
            <w:pPr>
              <w:pStyle w:val="Tabletext"/>
              <w:rPr>
                <w:rFonts w:cs="Tahoma"/>
              </w:rPr>
            </w:pPr>
            <w:r w:rsidRPr="00822C52">
              <w:rPr>
                <w:rFonts w:cs="Tahoma"/>
              </w:rPr>
              <w:t xml:space="preserve">EOS: </w:t>
            </w:r>
            <w:r>
              <w:rPr>
                <w:rFonts w:cs="Tahoma"/>
              </w:rPr>
              <w:t>me</w:t>
            </w:r>
            <w:r w:rsidR="0038038B">
              <w:rPr>
                <w:rFonts w:cs="Tahoma"/>
              </w:rPr>
              <w:t>an 87 weeks</w:t>
            </w:r>
          </w:p>
        </w:tc>
        <w:tc>
          <w:tcPr>
            <w:tcW w:w="2126" w:type="dxa"/>
          </w:tcPr>
          <w:p w:rsidR="0075777C" w:rsidRPr="00822C52" w:rsidRDefault="0075777C" w:rsidP="0094293D">
            <w:pPr>
              <w:pStyle w:val="Tabletext"/>
              <w:jc w:val="center"/>
              <w:rPr>
                <w:rFonts w:cs="Tahoma"/>
              </w:rPr>
            </w:pPr>
          </w:p>
          <w:p w:rsidR="0075777C" w:rsidRDefault="0050638A" w:rsidP="0094293D">
            <w:pPr>
              <w:pStyle w:val="Tabletext"/>
              <w:jc w:val="center"/>
              <w:rPr>
                <w:rFonts w:cs="Tahoma"/>
              </w:rPr>
            </w:pPr>
            <w:r>
              <w:rPr>
                <w:rFonts w:cs="Tahoma"/>
              </w:rPr>
              <w:t>46/253 (18</w:t>
            </w:r>
            <w:r w:rsidR="0075777C" w:rsidRPr="00822C52">
              <w:rPr>
                <w:rFonts w:cs="Tahoma"/>
              </w:rPr>
              <w:t>%)</w:t>
            </w:r>
          </w:p>
          <w:p w:rsidR="0075777C" w:rsidRPr="00812EB0" w:rsidRDefault="0075777C" w:rsidP="0050638A">
            <w:pPr>
              <w:pStyle w:val="Tabletext"/>
              <w:jc w:val="center"/>
              <w:rPr>
                <w:rFonts w:cs="Tahoma"/>
              </w:rPr>
            </w:pPr>
            <w:r>
              <w:rPr>
                <w:rFonts w:cs="Tahoma"/>
              </w:rPr>
              <w:t>52/253 (2</w:t>
            </w:r>
            <w:r w:rsidR="0050638A">
              <w:rPr>
                <w:rFonts w:cs="Tahoma"/>
              </w:rPr>
              <w:t>1</w:t>
            </w:r>
            <w:r>
              <w:rPr>
                <w:rFonts w:cs="Tahoma"/>
              </w:rPr>
              <w:t>%)</w:t>
            </w:r>
          </w:p>
        </w:tc>
        <w:tc>
          <w:tcPr>
            <w:tcW w:w="1985" w:type="dxa"/>
          </w:tcPr>
          <w:p w:rsidR="0075777C" w:rsidRPr="00822C52" w:rsidRDefault="0075777C" w:rsidP="0094293D">
            <w:pPr>
              <w:pStyle w:val="Tabletext"/>
              <w:jc w:val="center"/>
              <w:rPr>
                <w:rFonts w:cs="Tahoma"/>
              </w:rPr>
            </w:pPr>
          </w:p>
          <w:p w:rsidR="0075777C" w:rsidRDefault="0050638A" w:rsidP="0094293D">
            <w:pPr>
              <w:pStyle w:val="Tabletext"/>
              <w:jc w:val="center"/>
              <w:rPr>
                <w:rFonts w:cs="Tahoma"/>
              </w:rPr>
            </w:pPr>
            <w:r>
              <w:rPr>
                <w:rFonts w:cs="Tahoma"/>
              </w:rPr>
              <w:t>43/126 (34</w:t>
            </w:r>
            <w:r w:rsidR="0075777C" w:rsidRPr="00822C52">
              <w:rPr>
                <w:rFonts w:cs="Tahoma"/>
              </w:rPr>
              <w:t>%)</w:t>
            </w:r>
          </w:p>
          <w:p w:rsidR="0075777C" w:rsidRPr="00812EB0" w:rsidRDefault="0050638A" w:rsidP="0094293D">
            <w:pPr>
              <w:pStyle w:val="Tabletext"/>
              <w:jc w:val="center"/>
              <w:rPr>
                <w:rFonts w:cs="Tahoma"/>
              </w:rPr>
            </w:pPr>
            <w:r>
              <w:rPr>
                <w:rFonts w:cs="Tahoma"/>
              </w:rPr>
              <w:t>47/126 (37</w:t>
            </w:r>
            <w:r w:rsidR="0075777C">
              <w:rPr>
                <w:rFonts w:cs="Tahoma"/>
              </w:rPr>
              <w:t>%)</w:t>
            </w:r>
          </w:p>
        </w:tc>
        <w:tc>
          <w:tcPr>
            <w:tcW w:w="1984" w:type="dxa"/>
          </w:tcPr>
          <w:p w:rsidR="0075777C" w:rsidRPr="00822C52" w:rsidRDefault="0075777C" w:rsidP="0094293D">
            <w:pPr>
              <w:pStyle w:val="Tabletext"/>
              <w:rPr>
                <w:rFonts w:cs="Tahoma"/>
              </w:rPr>
            </w:pPr>
          </w:p>
          <w:p w:rsidR="0075777C" w:rsidRDefault="0095089E" w:rsidP="0094293D">
            <w:pPr>
              <w:pStyle w:val="Tabletext"/>
              <w:rPr>
                <w:rFonts w:cs="Tahoma"/>
              </w:rPr>
            </w:pPr>
            <w:r>
              <w:rPr>
                <w:rFonts w:cs="Tahoma"/>
              </w:rPr>
              <w:t>0.48 (</w:t>
            </w:r>
            <w:r w:rsidR="0075777C" w:rsidRPr="00822C52">
              <w:rPr>
                <w:rFonts w:cs="Tahoma"/>
              </w:rPr>
              <w:t>0.31, 0.72</w:t>
            </w:r>
            <w:r>
              <w:rPr>
                <w:rFonts w:cs="Tahoma"/>
              </w:rPr>
              <w:t>)</w:t>
            </w:r>
            <w:r w:rsidR="0075777C" w:rsidRPr="00822C52">
              <w:rPr>
                <w:rFonts w:cs="Tahoma"/>
              </w:rPr>
              <w:t>, p&lt;0.001</w:t>
            </w:r>
          </w:p>
          <w:p w:rsidR="0075777C" w:rsidRPr="00822C52" w:rsidRDefault="0075777C" w:rsidP="0094293D">
            <w:pPr>
              <w:pStyle w:val="Tabletext"/>
              <w:rPr>
                <w:rFonts w:cs="Tahoma"/>
              </w:rPr>
            </w:pPr>
            <w:r w:rsidRPr="00822C52">
              <w:rPr>
                <w:rFonts w:cs="Tahoma"/>
              </w:rPr>
              <w:t>0</w:t>
            </w:r>
            <w:r w:rsidR="0095089E">
              <w:rPr>
                <w:rFonts w:cs="Tahoma"/>
              </w:rPr>
              <w:t>.48 (0.32, 0.71)</w:t>
            </w:r>
            <w:r>
              <w:rPr>
                <w:rFonts w:cs="Tahoma"/>
              </w:rPr>
              <w:t>, p&lt;0.001</w:t>
            </w:r>
          </w:p>
        </w:tc>
      </w:tr>
      <w:tr w:rsidR="0075777C" w:rsidRPr="00822C52" w:rsidTr="00E1509D">
        <w:trPr>
          <w:trHeight w:val="70"/>
        </w:trPr>
        <w:tc>
          <w:tcPr>
            <w:tcW w:w="1555" w:type="dxa"/>
          </w:tcPr>
          <w:p w:rsidR="0075777C" w:rsidRDefault="0075777C" w:rsidP="0094293D">
            <w:pPr>
              <w:pStyle w:val="Tabletext"/>
            </w:pPr>
            <w:r w:rsidRPr="00822C52">
              <w:t>PHIRST</w:t>
            </w:r>
          </w:p>
          <w:p w:rsidR="0075777C" w:rsidRPr="00822C52" w:rsidRDefault="0075777C" w:rsidP="001D34EE">
            <w:pPr>
              <w:pStyle w:val="Tabletext"/>
            </w:pPr>
            <w:r>
              <w:t>Barst et al</w:t>
            </w:r>
            <w:r w:rsidRPr="00822C52">
              <w:t xml:space="preserve"> (2011)</w:t>
            </w:r>
            <w:r w:rsidR="001D34EE" w:rsidRPr="001A1C44">
              <w:rPr>
                <w:noProof/>
                <w:vertAlign w:val="superscript"/>
              </w:rPr>
              <w:t>45</w:t>
            </w:r>
          </w:p>
        </w:tc>
        <w:tc>
          <w:tcPr>
            <w:tcW w:w="1984" w:type="dxa"/>
          </w:tcPr>
          <w:p w:rsidR="0075777C" w:rsidRPr="00822C52" w:rsidRDefault="0075777C" w:rsidP="0094293D">
            <w:pPr>
              <w:pStyle w:val="Tabletext"/>
            </w:pPr>
            <w:r w:rsidRPr="00822C52">
              <w:t>Tadalafil/bosentan</w:t>
            </w:r>
          </w:p>
          <w:p w:rsidR="0075777C" w:rsidRPr="00822C52" w:rsidRDefault="0075777C" w:rsidP="0094293D">
            <w:pPr>
              <w:pStyle w:val="Tabletext"/>
            </w:pPr>
            <w:r w:rsidRPr="00822C52">
              <w:rPr>
                <w:rFonts w:cs="Tahoma"/>
              </w:rPr>
              <w:t>16 weeks</w:t>
            </w:r>
          </w:p>
        </w:tc>
        <w:tc>
          <w:tcPr>
            <w:tcW w:w="2126" w:type="dxa"/>
          </w:tcPr>
          <w:p w:rsidR="0075777C" w:rsidRPr="00822C52" w:rsidRDefault="0075777C" w:rsidP="0094293D">
            <w:pPr>
              <w:pStyle w:val="Tabletext"/>
              <w:jc w:val="center"/>
              <w:rPr>
                <w:rFonts w:cs="Tahoma"/>
              </w:rPr>
            </w:pPr>
            <w:r w:rsidRPr="00822C52">
              <w:rPr>
                <w:rFonts w:cs="Tahoma"/>
              </w:rPr>
              <w:t>2/42 (5%)</w:t>
            </w:r>
          </w:p>
        </w:tc>
        <w:tc>
          <w:tcPr>
            <w:tcW w:w="1985" w:type="dxa"/>
          </w:tcPr>
          <w:p w:rsidR="0075777C" w:rsidRPr="00822C52" w:rsidRDefault="0075777C" w:rsidP="0094293D">
            <w:pPr>
              <w:pStyle w:val="Tabletext"/>
              <w:jc w:val="center"/>
              <w:rPr>
                <w:rFonts w:cs="Tahoma"/>
              </w:rPr>
            </w:pPr>
            <w:r w:rsidRPr="00822C52">
              <w:rPr>
                <w:rFonts w:cs="Tahoma"/>
              </w:rPr>
              <w:t>5/45 (11%)</w:t>
            </w:r>
          </w:p>
        </w:tc>
        <w:tc>
          <w:tcPr>
            <w:tcW w:w="1984" w:type="dxa"/>
          </w:tcPr>
          <w:p w:rsidR="0075777C" w:rsidRPr="00822C52" w:rsidRDefault="0075777C" w:rsidP="0094293D">
            <w:pPr>
              <w:pStyle w:val="Tabletext"/>
              <w:rPr>
                <w:rFonts w:cs="Tahoma"/>
              </w:rPr>
            </w:pPr>
            <w:r w:rsidRPr="00822C52">
              <w:rPr>
                <w:rFonts w:cs="Tahoma"/>
              </w:rPr>
              <w:t>NR</w:t>
            </w:r>
          </w:p>
        </w:tc>
      </w:tr>
      <w:tr w:rsidR="0075777C" w:rsidRPr="00822C52" w:rsidTr="00E1509D">
        <w:trPr>
          <w:trHeight w:val="70"/>
        </w:trPr>
        <w:tc>
          <w:tcPr>
            <w:tcW w:w="1555" w:type="dxa"/>
          </w:tcPr>
          <w:p w:rsidR="0075777C" w:rsidRPr="00822C52" w:rsidRDefault="0075777C" w:rsidP="001D34EE">
            <w:pPr>
              <w:pStyle w:val="Tabletext"/>
            </w:pPr>
            <w:r w:rsidRPr="00822C52">
              <w:t>Zhuang 2014</w:t>
            </w:r>
            <w:r w:rsidR="001D34EE" w:rsidRPr="001A1C44">
              <w:rPr>
                <w:noProof/>
                <w:vertAlign w:val="superscript"/>
              </w:rPr>
              <w:t>50</w:t>
            </w:r>
          </w:p>
        </w:tc>
        <w:tc>
          <w:tcPr>
            <w:tcW w:w="1984" w:type="dxa"/>
          </w:tcPr>
          <w:p w:rsidR="0075777C" w:rsidRPr="00822C52" w:rsidRDefault="0075777C" w:rsidP="0094293D">
            <w:pPr>
              <w:pStyle w:val="Tabletext"/>
            </w:pPr>
            <w:r w:rsidRPr="00822C52">
              <w:t>Tadalafil/ambrisentan</w:t>
            </w:r>
          </w:p>
          <w:p w:rsidR="0075777C" w:rsidRPr="00822C52" w:rsidRDefault="0075777C" w:rsidP="0094293D">
            <w:pPr>
              <w:pStyle w:val="Tabletext"/>
              <w:rPr>
                <w:rFonts w:cs="Tahoma"/>
              </w:rPr>
            </w:pPr>
            <w:r w:rsidRPr="00822C52">
              <w:rPr>
                <w:rFonts w:cs="Tahoma"/>
              </w:rPr>
              <w:t>16 weeks</w:t>
            </w:r>
          </w:p>
        </w:tc>
        <w:tc>
          <w:tcPr>
            <w:tcW w:w="2126" w:type="dxa"/>
          </w:tcPr>
          <w:p w:rsidR="0075777C" w:rsidRPr="00822C52" w:rsidRDefault="0075777C" w:rsidP="0094293D">
            <w:pPr>
              <w:pStyle w:val="Tabletext"/>
              <w:jc w:val="center"/>
              <w:rPr>
                <w:rFonts w:cs="Tahoma"/>
                <w:highlight w:val="cyan"/>
              </w:rPr>
            </w:pPr>
            <w:r w:rsidRPr="00822C52">
              <w:rPr>
                <w:rFonts w:cs="Tahoma"/>
              </w:rPr>
              <w:t>5/60 (8%)</w:t>
            </w:r>
          </w:p>
        </w:tc>
        <w:tc>
          <w:tcPr>
            <w:tcW w:w="1985" w:type="dxa"/>
          </w:tcPr>
          <w:p w:rsidR="0075777C" w:rsidRPr="00822C52" w:rsidRDefault="0075777C" w:rsidP="0094293D">
            <w:pPr>
              <w:pStyle w:val="Tabletext"/>
              <w:jc w:val="center"/>
              <w:rPr>
                <w:rFonts w:cs="Tahoma"/>
                <w:highlight w:val="cyan"/>
              </w:rPr>
            </w:pPr>
            <w:r w:rsidRPr="00822C52">
              <w:rPr>
                <w:rFonts w:cs="Tahoma"/>
              </w:rPr>
              <w:t>14/64 (22%)</w:t>
            </w:r>
          </w:p>
        </w:tc>
        <w:tc>
          <w:tcPr>
            <w:tcW w:w="1984" w:type="dxa"/>
          </w:tcPr>
          <w:p w:rsidR="0075777C" w:rsidRPr="00822C52" w:rsidRDefault="0075777C" w:rsidP="0094293D">
            <w:pPr>
              <w:pStyle w:val="Tabletext"/>
              <w:rPr>
                <w:rFonts w:cs="Tahoma"/>
                <w:highlight w:val="cyan"/>
              </w:rPr>
            </w:pPr>
            <w:r w:rsidRPr="00822C52">
              <w:rPr>
                <w:rFonts w:cs="Tahoma"/>
              </w:rPr>
              <w:t>NR, p=0.046</w:t>
            </w:r>
          </w:p>
        </w:tc>
      </w:tr>
      <w:tr w:rsidR="0075777C" w:rsidRPr="00822C52" w:rsidTr="00E1509D">
        <w:trPr>
          <w:trHeight w:val="70"/>
        </w:trPr>
        <w:tc>
          <w:tcPr>
            <w:tcW w:w="1555" w:type="dxa"/>
          </w:tcPr>
          <w:p w:rsidR="0075777C" w:rsidRPr="00822C52" w:rsidRDefault="0075777C" w:rsidP="001D34EE">
            <w:pPr>
              <w:pStyle w:val="Tabletext"/>
            </w:pPr>
            <w:r w:rsidRPr="00822C52">
              <w:t>Vizza 2017</w:t>
            </w:r>
            <w:r w:rsidR="001D34EE" w:rsidRPr="001A1C44">
              <w:rPr>
                <w:noProof/>
                <w:vertAlign w:val="superscript"/>
              </w:rPr>
              <w:t>49</w:t>
            </w:r>
          </w:p>
        </w:tc>
        <w:tc>
          <w:tcPr>
            <w:tcW w:w="1984" w:type="dxa"/>
          </w:tcPr>
          <w:p w:rsidR="0075777C" w:rsidRPr="00822C52" w:rsidRDefault="0075777C" w:rsidP="0094293D">
            <w:pPr>
              <w:pStyle w:val="Tabletext"/>
            </w:pPr>
            <w:r w:rsidRPr="00822C52">
              <w:t>Sildenafil/bosentan</w:t>
            </w:r>
          </w:p>
          <w:p w:rsidR="0075777C" w:rsidRPr="00822C52" w:rsidRDefault="0075777C" w:rsidP="0094293D">
            <w:pPr>
              <w:pStyle w:val="Tabletext"/>
            </w:pPr>
            <w:r w:rsidRPr="00822C52">
              <w:t>12 weeks</w:t>
            </w:r>
          </w:p>
        </w:tc>
        <w:tc>
          <w:tcPr>
            <w:tcW w:w="2126" w:type="dxa"/>
          </w:tcPr>
          <w:p w:rsidR="0075777C" w:rsidRPr="00822C52" w:rsidRDefault="0075777C" w:rsidP="0094293D">
            <w:pPr>
              <w:pStyle w:val="Tabletext"/>
              <w:jc w:val="center"/>
              <w:rPr>
                <w:rFonts w:cs="Tahoma"/>
              </w:rPr>
            </w:pPr>
            <w:r w:rsidRPr="00822C52">
              <w:rPr>
                <w:rFonts w:cs="Tahoma"/>
              </w:rPr>
              <w:t>3/51 (6%)</w:t>
            </w:r>
          </w:p>
        </w:tc>
        <w:tc>
          <w:tcPr>
            <w:tcW w:w="1985" w:type="dxa"/>
          </w:tcPr>
          <w:p w:rsidR="0075777C" w:rsidRPr="00822C52" w:rsidRDefault="0075777C" w:rsidP="0094293D">
            <w:pPr>
              <w:pStyle w:val="Tabletext"/>
              <w:jc w:val="center"/>
              <w:rPr>
                <w:rFonts w:cs="Tahoma"/>
              </w:rPr>
            </w:pPr>
            <w:r w:rsidRPr="00822C52">
              <w:rPr>
                <w:rFonts w:cs="Tahoma"/>
              </w:rPr>
              <w:t>2/53 (6%)</w:t>
            </w:r>
          </w:p>
        </w:tc>
        <w:tc>
          <w:tcPr>
            <w:tcW w:w="1984" w:type="dxa"/>
          </w:tcPr>
          <w:p w:rsidR="0075777C" w:rsidRPr="00822C52" w:rsidRDefault="0075777C" w:rsidP="0094293D">
            <w:pPr>
              <w:pStyle w:val="Tabletext"/>
              <w:rPr>
                <w:rFonts w:cs="Tahoma"/>
              </w:rPr>
            </w:pPr>
            <w:r w:rsidRPr="00822C52">
              <w:rPr>
                <w:rFonts w:cs="Tahoma"/>
              </w:rPr>
              <w:t>NR</w:t>
            </w:r>
          </w:p>
        </w:tc>
      </w:tr>
    </w:tbl>
    <w:p w:rsidR="0075777C" w:rsidRDefault="0075777C" w:rsidP="0094293D">
      <w:pPr>
        <w:pStyle w:val="Tablenote"/>
      </w:pPr>
      <w:r w:rsidRPr="00822C52">
        <w:t xml:space="preserve">CI = confidence interval EOS = end of study; ERA = endothelin receptor antagonist; FAV = final assessment visit; HR = hazard ratio; n = number of </w:t>
      </w:r>
      <w:r w:rsidR="007064B3">
        <w:t xml:space="preserve">patients with </w:t>
      </w:r>
      <w:r w:rsidRPr="00822C52">
        <w:t xml:space="preserve">events; N = number of patients; NR = not reported; PAH = pulmonary arterial hypertension; </w:t>
      </w:r>
      <w:r>
        <w:t>PDE-5i</w:t>
      </w:r>
      <w:r w:rsidRPr="00822C52">
        <w:t xml:space="preserve"> = phosphodiesterase type-5 inhibitor</w:t>
      </w:r>
    </w:p>
    <w:p w:rsidR="0075777C" w:rsidRPr="00586718" w:rsidRDefault="0075777C" w:rsidP="0075777C">
      <w:r w:rsidRPr="006316DF">
        <w:t xml:space="preserve">A meta-analysis of the RR of having clinical worsening when being treated with </w:t>
      </w:r>
      <w:r>
        <w:t xml:space="preserve">a </w:t>
      </w:r>
      <w:r w:rsidRPr="002C2E5D">
        <w:t xml:space="preserve">PDE-5 inhibitor plus </w:t>
      </w:r>
      <w:r w:rsidRPr="006316DF">
        <w:t xml:space="preserve">an ERA compared with </w:t>
      </w:r>
      <w:r>
        <w:t xml:space="preserve">an ERA alone </w:t>
      </w:r>
      <w:proofErr w:type="gramStart"/>
      <w:r>
        <w:t>was performed</w:t>
      </w:r>
      <w:proofErr w:type="gramEnd"/>
      <w:r>
        <w:t xml:space="preserve"> (</w:t>
      </w:r>
      <w:r w:rsidR="003951FA">
        <w:t>Figure 4.</w:t>
      </w:r>
      <w:r w:rsidR="003951FA">
        <w:rPr>
          <w:noProof/>
        </w:rPr>
        <w:t>15</w:t>
      </w:r>
      <w:r w:rsidRPr="00586718">
        <w:t>). All</w:t>
      </w:r>
      <w:r w:rsidR="0085196B">
        <w:t xml:space="preserve"> except the Vizza 2017</w:t>
      </w:r>
      <w:r w:rsidR="00A03E34">
        <w:t xml:space="preserve"> </w:t>
      </w:r>
      <w:r w:rsidRPr="00586718">
        <w:t>stud</w:t>
      </w:r>
      <w:r w:rsidR="0085196B">
        <w:t>y</w:t>
      </w:r>
      <w:r w:rsidRPr="00586718">
        <w:t xml:space="preserve"> had a clinically significant point estimate favouring treatment with an ERA over placebo, but only the </w:t>
      </w:r>
      <w:r>
        <w:t>tadalafil plus ambrisenta</w:t>
      </w:r>
      <w:r w:rsidRPr="00586718">
        <w:t>n studies reached statistical significance</w:t>
      </w:r>
      <w:r>
        <w:t>; they were also the two largest studies</w:t>
      </w:r>
      <w:r w:rsidRPr="00586718">
        <w:t xml:space="preserve">. </w:t>
      </w:r>
      <w:r>
        <w:t xml:space="preserve">The wide CIs of the other two studies suggest they were underpowered to detect a significant difference for this outcome. </w:t>
      </w:r>
      <w:r w:rsidRPr="00586718">
        <w:t xml:space="preserve">Overall, patients </w:t>
      </w:r>
      <w:r>
        <w:t>receiving combination therapy had a 2</w:t>
      </w:r>
      <w:r w:rsidRPr="00586718">
        <w:t xml:space="preserve">-fold lower risk of having a clinical worsening event compared </w:t>
      </w:r>
      <w:r>
        <w:t>w</w:t>
      </w:r>
      <w:r w:rsidRPr="00586718">
        <w:t xml:space="preserve">ith those </w:t>
      </w:r>
      <w:r>
        <w:t>receiving ERA monotherapy</w:t>
      </w:r>
      <w:r w:rsidRPr="00586718">
        <w:t>.</w:t>
      </w:r>
    </w:p>
    <w:p w:rsidR="0075777C" w:rsidRDefault="0075777C" w:rsidP="0075777C">
      <w:pPr>
        <w:spacing w:after="40"/>
        <w:jc w:val="center"/>
      </w:pPr>
      <w:r>
        <w:rPr>
          <w:noProof/>
          <w:lang w:eastAsia="en-AU"/>
        </w:rPr>
        <w:drawing>
          <wp:inline distT="0" distB="0" distL="0" distR="0" wp14:anchorId="3EFDFFC4" wp14:editId="3149CD22">
            <wp:extent cx="6141950" cy="2197289"/>
            <wp:effectExtent l="0" t="0" r="0" b="0"/>
            <wp:docPr id="40" name="Picture 40" descr="The estimated RR from the meta-analysis was 0.53 (95% CI 0.38, 0.73)" title="Forest plot showing the RR of having a clinical worsening event while being treated with a PDE-5 inhibitor and an ERA compared with an ERA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52" t="3988" r="1058" b="2011"/>
                    <a:stretch/>
                  </pic:blipFill>
                  <pic:spPr bwMode="auto">
                    <a:xfrm>
                      <a:off x="0" y="0"/>
                      <a:ext cx="6210565" cy="2221836"/>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795577" w:rsidRDefault="0094293D" w:rsidP="00BC5A2B">
      <w:pPr>
        <w:pStyle w:val="Caption"/>
        <w:rPr>
          <w:rFonts w:ascii="Arial Narrow" w:hAnsi="Arial Narrow" w:cs="Tahoma"/>
          <w:u w:val="single"/>
        </w:rPr>
      </w:pPr>
      <w:bookmarkStart w:id="201" w:name="_Ref506303171"/>
      <w:bookmarkStart w:id="202" w:name="_Toc38360481"/>
      <w:r>
        <w:t>Figure 4.</w:t>
      </w:r>
      <w:r w:rsidR="003951FA">
        <w:rPr>
          <w:noProof/>
        </w:rPr>
        <w:t>15</w:t>
      </w:r>
      <w:bookmarkEnd w:id="201"/>
      <w:r>
        <w:tab/>
      </w:r>
      <w:r w:rsidR="0075777C" w:rsidRPr="00795577">
        <w:t xml:space="preserve">Forest plot showing the RR of having a clinical worsening event while being treated with </w:t>
      </w:r>
      <w:r w:rsidR="0075777C">
        <w:t xml:space="preserve">a PDE-5 inhibitor and </w:t>
      </w:r>
      <w:r w:rsidR="0075777C" w:rsidRPr="00795577">
        <w:t xml:space="preserve">an ERA compared with </w:t>
      </w:r>
      <w:r w:rsidR="0075777C">
        <w:t>an ERA alone</w:t>
      </w:r>
      <w:r w:rsidR="0075777C" w:rsidRPr="00795577">
        <w:t xml:space="preserve"> in </w:t>
      </w:r>
      <w:r w:rsidR="0075777C">
        <w:t>all PAH patients</w:t>
      </w:r>
      <w:bookmarkEnd w:id="202"/>
    </w:p>
    <w:p w:rsidR="007064B3" w:rsidRPr="006316DF" w:rsidRDefault="0075777C" w:rsidP="0094293D">
      <w:pPr>
        <w:pStyle w:val="Tablenote"/>
      </w:pPr>
      <w:r w:rsidRPr="00795577">
        <w:t>CI = confidence interval; ERA =</w:t>
      </w:r>
      <w:r>
        <w:t xml:space="preserve"> </w:t>
      </w:r>
      <w:r w:rsidR="0006512A">
        <w:t>endothelin receptor</w:t>
      </w:r>
      <w:r>
        <w:t xml:space="preserve"> antagonist</w:t>
      </w:r>
      <w:r w:rsidRPr="00795577">
        <w:t xml:space="preserve">; N = number of patients; </w:t>
      </w:r>
      <w:r w:rsidR="007064B3" w:rsidRPr="00715D78">
        <w:t xml:space="preserve">PAH = pulmonary arterial hypertension; </w:t>
      </w:r>
      <w:r>
        <w:t xml:space="preserve">PDE-5i = </w:t>
      </w:r>
      <w:r w:rsidRPr="002C2E5D">
        <w:t>phosphodiesterase type-5 inhibitor</w:t>
      </w:r>
      <w:r>
        <w:t>;</w:t>
      </w:r>
      <w:r w:rsidRPr="002C2E5D">
        <w:t xml:space="preserve"> </w:t>
      </w:r>
      <w:r w:rsidRPr="00795577">
        <w:t>RR = relative risk</w:t>
      </w:r>
    </w:p>
    <w:p w:rsidR="0075777C" w:rsidRPr="00B607A5" w:rsidRDefault="0077344D" w:rsidP="0077344D">
      <w:pPr>
        <w:pStyle w:val="Heading6"/>
      </w:pPr>
      <w:proofErr w:type="gramStart"/>
      <w:r w:rsidRPr="00B607A5">
        <w:t>a</w:t>
      </w:r>
      <w:r w:rsidR="0075777C" w:rsidRPr="00B607A5">
        <w:t>.iii</w:t>
      </w:r>
      <w:proofErr w:type="gramEnd"/>
      <w:r w:rsidR="0075777C" w:rsidRPr="00B607A5">
        <w:tab/>
        <w:t>PAH patients with different disease aetiologies</w:t>
      </w:r>
    </w:p>
    <w:p w:rsidR="0075777C" w:rsidRPr="00586718" w:rsidRDefault="0075777C" w:rsidP="00200D9E">
      <w:r w:rsidRPr="00586718">
        <w:t>Coghlan et al (2016)</w:t>
      </w:r>
      <w:r w:rsidR="001D34EE" w:rsidRPr="001A1C44">
        <w:rPr>
          <w:noProof/>
          <w:vertAlign w:val="superscript"/>
        </w:rPr>
        <w:t>31</w:t>
      </w:r>
      <w:r w:rsidRPr="00586718">
        <w:t xml:space="preserve"> </w:t>
      </w:r>
      <w:r>
        <w:t>reported on the proportion of patients with PAH-CTD who had clinical worsening while receiving combination therapy compared to those receiving monotherapy from the AMBITION trial (</w:t>
      </w:r>
      <w:r w:rsidR="003951FA">
        <w:t xml:space="preserve">Table </w:t>
      </w:r>
      <w:r w:rsidR="003951FA">
        <w:rPr>
          <w:noProof/>
        </w:rPr>
        <w:t>4.62</w:t>
      </w:r>
      <w:r>
        <w:t xml:space="preserve">). Combination therapy was just as effective for patients with PAH-CTD as it was for patients with any PAH aetiology. PAH-CTD </w:t>
      </w:r>
      <w:r w:rsidRPr="006316DF">
        <w:t xml:space="preserve">patients receiving </w:t>
      </w:r>
      <w:r>
        <w:t>combination therapy</w:t>
      </w:r>
      <w:r w:rsidRPr="006316DF">
        <w:t xml:space="preserve"> were </w:t>
      </w:r>
      <w:r>
        <w:t xml:space="preserve">also 2-times less likely </w:t>
      </w:r>
      <w:r w:rsidRPr="006316DF">
        <w:t xml:space="preserve">to have clinical worsening than patients who received </w:t>
      </w:r>
      <w:r>
        <w:t xml:space="preserve">monotherapy </w:t>
      </w:r>
      <w:r w:rsidRPr="006316DF">
        <w:t xml:space="preserve">over the </w:t>
      </w:r>
      <w:r>
        <w:t>74</w:t>
      </w:r>
      <w:r w:rsidRPr="006316DF">
        <w:t>-week study period.</w:t>
      </w:r>
    </w:p>
    <w:p w:rsidR="0075777C" w:rsidRPr="00DD7790" w:rsidRDefault="00272F8F" w:rsidP="00BC5A2B">
      <w:pPr>
        <w:pStyle w:val="Caption"/>
      </w:pPr>
      <w:bookmarkStart w:id="203" w:name="_Ref505252838"/>
      <w:bookmarkStart w:id="204" w:name="_Toc38360359"/>
      <w:r>
        <w:t>Table 4.</w:t>
      </w:r>
      <w:r w:rsidR="003951FA">
        <w:rPr>
          <w:noProof/>
        </w:rPr>
        <w:t>62</w:t>
      </w:r>
      <w:bookmarkEnd w:id="203"/>
      <w:r w:rsidR="00200D9E">
        <w:tab/>
      </w:r>
      <w:r w:rsidR="0075777C" w:rsidRPr="00DD7790">
        <w:t xml:space="preserve">The effectiveness of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DD7790">
        <w:t xml:space="preserve"> </w:t>
      </w:r>
      <w:r w:rsidR="0075777C" w:rsidRPr="00DD7790">
        <w:t>in preventing clinical worsening in patients with PAH-CTD</w:t>
      </w:r>
      <w:bookmarkEnd w:id="204"/>
    </w:p>
    <w:tbl>
      <w:tblPr>
        <w:tblStyle w:val="TableGrid7"/>
        <w:tblW w:w="9634" w:type="dxa"/>
        <w:tblLayout w:type="fixed"/>
        <w:tblLook w:val="04A0" w:firstRow="1" w:lastRow="0" w:firstColumn="1" w:lastColumn="0" w:noHBand="0" w:noVBand="1"/>
        <w:tblCaption w:val="The effectiveness of a PDE-5 inhibitor in addition to an ERA compared with ERA monotherapy in preventing clinical worsening in patients with PAH-CTD"/>
      </w:tblPr>
      <w:tblGrid>
        <w:gridCol w:w="1696"/>
        <w:gridCol w:w="1985"/>
        <w:gridCol w:w="1842"/>
        <w:gridCol w:w="1843"/>
        <w:gridCol w:w="2268"/>
      </w:tblGrid>
      <w:tr w:rsidR="0075777C" w:rsidRPr="00822C52" w:rsidTr="00200D9E">
        <w:trPr>
          <w:trHeight w:val="126"/>
          <w:tblHeader/>
        </w:trPr>
        <w:tc>
          <w:tcPr>
            <w:tcW w:w="1696" w:type="dxa"/>
            <w:vMerge w:val="restart"/>
            <w:shd w:val="clear" w:color="auto" w:fill="BFBFBF" w:themeFill="background1" w:themeFillShade="BF"/>
          </w:tcPr>
          <w:p w:rsidR="0075777C" w:rsidRPr="00200D9E" w:rsidRDefault="0075777C" w:rsidP="00200D9E">
            <w:pPr>
              <w:pStyle w:val="Tabletext"/>
              <w:rPr>
                <w:b/>
              </w:rPr>
            </w:pPr>
            <w:r w:rsidRPr="00200D9E">
              <w:rPr>
                <w:b/>
              </w:rPr>
              <w:t>Study ID</w:t>
            </w:r>
          </w:p>
          <w:p w:rsidR="0075777C" w:rsidRPr="00200D9E" w:rsidRDefault="0075777C" w:rsidP="00200D9E">
            <w:pPr>
              <w:pStyle w:val="Tabletext"/>
              <w:rPr>
                <w:b/>
              </w:rPr>
            </w:pPr>
            <w:r w:rsidRPr="00200D9E">
              <w:rPr>
                <w:b/>
              </w:rPr>
              <w:t>PAH aetiology</w:t>
            </w:r>
          </w:p>
        </w:tc>
        <w:tc>
          <w:tcPr>
            <w:tcW w:w="1985" w:type="dxa"/>
            <w:vMerge w:val="restart"/>
            <w:shd w:val="clear" w:color="auto" w:fill="BFBFBF" w:themeFill="background1" w:themeFillShade="BF"/>
          </w:tcPr>
          <w:p w:rsidR="0075777C" w:rsidRPr="00200D9E" w:rsidRDefault="0075777C" w:rsidP="00200D9E">
            <w:pPr>
              <w:pStyle w:val="Tabletext"/>
              <w:rPr>
                <w:b/>
              </w:rPr>
            </w:pPr>
            <w:r w:rsidRPr="00200D9E">
              <w:rPr>
                <w:b/>
              </w:rPr>
              <w:t>PDE-5i/ERA</w:t>
            </w:r>
          </w:p>
          <w:p w:rsidR="0075777C" w:rsidRPr="00200D9E" w:rsidRDefault="0075777C" w:rsidP="00200D9E">
            <w:pPr>
              <w:pStyle w:val="Tabletext"/>
              <w:rPr>
                <w:b/>
              </w:rPr>
            </w:pPr>
            <w:r w:rsidRPr="00200D9E">
              <w:rPr>
                <w:b/>
              </w:rPr>
              <w:t>Follow-up period</w:t>
            </w:r>
          </w:p>
        </w:tc>
        <w:tc>
          <w:tcPr>
            <w:tcW w:w="3685" w:type="dxa"/>
            <w:gridSpan w:val="2"/>
            <w:shd w:val="clear" w:color="auto" w:fill="BFBFBF" w:themeFill="background1" w:themeFillShade="BF"/>
          </w:tcPr>
          <w:p w:rsidR="0075777C" w:rsidRPr="00200D9E" w:rsidRDefault="0075777C" w:rsidP="00200D9E">
            <w:pPr>
              <w:pStyle w:val="Tabletext"/>
              <w:jc w:val="center"/>
              <w:rPr>
                <w:b/>
              </w:rPr>
            </w:pPr>
            <w:proofErr w:type="gramStart"/>
            <w:r w:rsidRPr="00200D9E">
              <w:rPr>
                <w:b/>
              </w:rPr>
              <w:t>n/N</w:t>
            </w:r>
            <w:proofErr w:type="gramEnd"/>
            <w:r w:rsidRPr="00200D9E">
              <w:rPr>
                <w:b/>
              </w:rPr>
              <w:t xml:space="preserve"> (%)</w:t>
            </w:r>
          </w:p>
        </w:tc>
        <w:tc>
          <w:tcPr>
            <w:tcW w:w="2268" w:type="dxa"/>
            <w:vMerge w:val="restart"/>
            <w:shd w:val="clear" w:color="auto" w:fill="BFBFBF" w:themeFill="background1" w:themeFillShade="BF"/>
          </w:tcPr>
          <w:p w:rsidR="0075777C" w:rsidRPr="00200D9E" w:rsidRDefault="0075777C" w:rsidP="00200D9E">
            <w:pPr>
              <w:pStyle w:val="Tabletext"/>
              <w:rPr>
                <w:b/>
              </w:rPr>
            </w:pPr>
            <w:r w:rsidRPr="00200D9E">
              <w:rPr>
                <w:b/>
              </w:rPr>
              <w:t>HR (95% CI)</w:t>
            </w:r>
          </w:p>
        </w:tc>
      </w:tr>
      <w:tr w:rsidR="0075777C" w:rsidRPr="00822C52" w:rsidTr="00200D9E">
        <w:trPr>
          <w:trHeight w:val="202"/>
          <w:tblHeader/>
        </w:trPr>
        <w:tc>
          <w:tcPr>
            <w:tcW w:w="1696" w:type="dxa"/>
            <w:vMerge/>
            <w:shd w:val="clear" w:color="auto" w:fill="BFBFBF" w:themeFill="background1" w:themeFillShade="BF"/>
          </w:tcPr>
          <w:p w:rsidR="0075777C" w:rsidRPr="00822C52" w:rsidRDefault="0075777C" w:rsidP="00200D9E">
            <w:pPr>
              <w:pStyle w:val="Tabletext"/>
            </w:pPr>
          </w:p>
        </w:tc>
        <w:tc>
          <w:tcPr>
            <w:tcW w:w="1985" w:type="dxa"/>
            <w:vMerge/>
            <w:shd w:val="clear" w:color="auto" w:fill="BFBFBF" w:themeFill="background1" w:themeFillShade="BF"/>
          </w:tcPr>
          <w:p w:rsidR="0075777C" w:rsidRPr="00822C52" w:rsidRDefault="0075777C" w:rsidP="00200D9E">
            <w:pPr>
              <w:pStyle w:val="Tabletext"/>
            </w:pPr>
          </w:p>
        </w:tc>
        <w:tc>
          <w:tcPr>
            <w:tcW w:w="1842" w:type="dxa"/>
            <w:shd w:val="clear" w:color="auto" w:fill="BFBFBF" w:themeFill="background1" w:themeFillShade="BF"/>
          </w:tcPr>
          <w:p w:rsidR="0075777C" w:rsidRPr="00200D9E" w:rsidRDefault="0075777C" w:rsidP="00200D9E">
            <w:pPr>
              <w:pStyle w:val="Tabletext"/>
              <w:jc w:val="center"/>
              <w:rPr>
                <w:b/>
              </w:rPr>
            </w:pPr>
            <w:r w:rsidRPr="00200D9E">
              <w:rPr>
                <w:b/>
              </w:rPr>
              <w:t>PDE-5i + ERA</w:t>
            </w:r>
          </w:p>
        </w:tc>
        <w:tc>
          <w:tcPr>
            <w:tcW w:w="1843" w:type="dxa"/>
            <w:shd w:val="clear" w:color="auto" w:fill="BFBFBF" w:themeFill="background1" w:themeFillShade="BF"/>
          </w:tcPr>
          <w:p w:rsidR="0075777C" w:rsidRPr="00200D9E" w:rsidRDefault="0075777C" w:rsidP="00200D9E">
            <w:pPr>
              <w:pStyle w:val="Tabletext"/>
              <w:jc w:val="center"/>
              <w:rPr>
                <w:b/>
              </w:rPr>
            </w:pPr>
            <w:r w:rsidRPr="00200D9E">
              <w:rPr>
                <w:b/>
              </w:rPr>
              <w:t>ERA</w:t>
            </w:r>
          </w:p>
        </w:tc>
        <w:tc>
          <w:tcPr>
            <w:tcW w:w="2268" w:type="dxa"/>
            <w:vMerge/>
            <w:shd w:val="clear" w:color="auto" w:fill="BFBFBF" w:themeFill="background1" w:themeFillShade="BF"/>
          </w:tcPr>
          <w:p w:rsidR="0075777C" w:rsidRPr="00822C52" w:rsidRDefault="0075777C" w:rsidP="00200D9E">
            <w:pPr>
              <w:pStyle w:val="Tabletext"/>
            </w:pPr>
          </w:p>
        </w:tc>
      </w:tr>
      <w:tr w:rsidR="0075777C" w:rsidRPr="00822C52" w:rsidTr="00200D9E">
        <w:trPr>
          <w:trHeight w:val="459"/>
        </w:trPr>
        <w:tc>
          <w:tcPr>
            <w:tcW w:w="1696" w:type="dxa"/>
          </w:tcPr>
          <w:p w:rsidR="0075777C" w:rsidRDefault="0075777C" w:rsidP="00200D9E">
            <w:pPr>
              <w:pStyle w:val="Tabletext"/>
              <w:rPr>
                <w:rFonts w:cs="Tahoma"/>
              </w:rPr>
            </w:pPr>
            <w:r w:rsidRPr="00822C52">
              <w:rPr>
                <w:rFonts w:cs="Tahoma"/>
              </w:rPr>
              <w:t>AMBITION</w:t>
            </w:r>
          </w:p>
          <w:p w:rsidR="0075777C" w:rsidRPr="00822C52" w:rsidRDefault="0075777C" w:rsidP="001D34EE">
            <w:pPr>
              <w:pStyle w:val="Tabletext"/>
              <w:rPr>
                <w:rFonts w:cs="Tahoma"/>
              </w:rPr>
            </w:pPr>
            <w:r w:rsidRPr="004D1DA8">
              <w:rPr>
                <w:rFonts w:cs="Tahoma"/>
              </w:rPr>
              <w:t>Coghlan et al (2016)</w:t>
            </w:r>
            <w:r w:rsidR="001D34EE" w:rsidRPr="001A1C44">
              <w:rPr>
                <w:rFonts w:cs="Tahoma"/>
                <w:noProof/>
                <w:vertAlign w:val="superscript"/>
              </w:rPr>
              <w:t>31</w:t>
            </w:r>
          </w:p>
        </w:tc>
        <w:tc>
          <w:tcPr>
            <w:tcW w:w="1985" w:type="dxa"/>
          </w:tcPr>
          <w:p w:rsidR="0075777C" w:rsidRPr="00822C52" w:rsidRDefault="0075777C" w:rsidP="00200D9E">
            <w:pPr>
              <w:pStyle w:val="Tabletext"/>
              <w:rPr>
                <w:rFonts w:cs="Tahoma"/>
              </w:rPr>
            </w:pPr>
            <w:r w:rsidRPr="00822C52">
              <w:rPr>
                <w:rFonts w:cs="Tahoma"/>
              </w:rPr>
              <w:t>Tadalafil/ambrisentan</w:t>
            </w:r>
          </w:p>
          <w:p w:rsidR="0075777C" w:rsidRPr="00822C52" w:rsidRDefault="0075777C" w:rsidP="00200D9E">
            <w:pPr>
              <w:pStyle w:val="Tabletext"/>
              <w:rPr>
                <w:rFonts w:cs="Tahoma"/>
                <w:highlight w:val="cyan"/>
              </w:rPr>
            </w:pPr>
            <w:r w:rsidRPr="00822C52">
              <w:rPr>
                <w:rFonts w:cs="Tahoma"/>
              </w:rPr>
              <w:t xml:space="preserve">FAV: mean </w:t>
            </w:r>
            <w:r>
              <w:rPr>
                <w:rFonts w:cs="Tahoma"/>
              </w:rPr>
              <w:t>74</w:t>
            </w:r>
            <w:r w:rsidRPr="00822C52">
              <w:rPr>
                <w:rFonts w:cs="Tahoma"/>
              </w:rPr>
              <w:t xml:space="preserve"> weeks</w:t>
            </w:r>
          </w:p>
        </w:tc>
        <w:tc>
          <w:tcPr>
            <w:tcW w:w="1842" w:type="dxa"/>
          </w:tcPr>
          <w:p w:rsidR="0075777C" w:rsidRPr="00822C52" w:rsidRDefault="0050638A" w:rsidP="00200D9E">
            <w:pPr>
              <w:pStyle w:val="Tabletext"/>
              <w:jc w:val="center"/>
              <w:rPr>
                <w:rFonts w:cs="Tahoma"/>
              </w:rPr>
            </w:pPr>
            <w:r>
              <w:rPr>
                <w:rFonts w:cs="Tahoma"/>
              </w:rPr>
              <w:t>2/103 (19</w:t>
            </w:r>
            <w:r w:rsidR="0075777C" w:rsidRPr="00822C52">
              <w:rPr>
                <w:rFonts w:cs="Tahoma"/>
              </w:rPr>
              <w:t>%)</w:t>
            </w:r>
          </w:p>
        </w:tc>
        <w:tc>
          <w:tcPr>
            <w:tcW w:w="1843" w:type="dxa"/>
          </w:tcPr>
          <w:p w:rsidR="0075777C" w:rsidRPr="00822C52" w:rsidRDefault="0075777C" w:rsidP="00200D9E">
            <w:pPr>
              <w:pStyle w:val="Tabletext"/>
              <w:jc w:val="center"/>
              <w:rPr>
                <w:rFonts w:cs="Tahoma"/>
              </w:rPr>
            </w:pPr>
            <w:r w:rsidRPr="00822C52">
              <w:rPr>
                <w:rFonts w:cs="Tahoma"/>
              </w:rPr>
              <w:t>NR/44</w:t>
            </w:r>
          </w:p>
        </w:tc>
        <w:tc>
          <w:tcPr>
            <w:tcW w:w="2268" w:type="dxa"/>
          </w:tcPr>
          <w:p w:rsidR="0075777C" w:rsidRPr="00822C52" w:rsidRDefault="0095089E" w:rsidP="0095089E">
            <w:pPr>
              <w:pStyle w:val="Tabletext"/>
              <w:rPr>
                <w:rFonts w:cs="Tahoma"/>
              </w:rPr>
            </w:pPr>
            <w:r>
              <w:rPr>
                <w:rFonts w:cs="Tahoma"/>
              </w:rPr>
              <w:t>0.51 (</w:t>
            </w:r>
            <w:r w:rsidR="0075777C" w:rsidRPr="00822C52">
              <w:rPr>
                <w:rFonts w:cs="Tahoma"/>
              </w:rPr>
              <w:t>0.25, 1.01</w:t>
            </w:r>
            <w:r>
              <w:rPr>
                <w:rFonts w:cs="Tahoma"/>
              </w:rPr>
              <w:t>)</w:t>
            </w:r>
          </w:p>
        </w:tc>
      </w:tr>
    </w:tbl>
    <w:p w:rsidR="00713CA2" w:rsidRDefault="0075777C" w:rsidP="00200D9E">
      <w:pPr>
        <w:pStyle w:val="Tablenote"/>
      </w:pPr>
      <w:r w:rsidRPr="00822C52">
        <w:t xml:space="preserve">CI = confidence interval; ERA = endothelin receptor antagonist; FAV = final assessment visit; HR = hazard ratio; n = number of </w:t>
      </w:r>
      <w:r w:rsidR="007064B3">
        <w:t xml:space="preserve">patients with </w:t>
      </w:r>
      <w:r w:rsidRPr="00822C52">
        <w:t>events; N = number of patients; NR = not reported; PAH</w:t>
      </w:r>
      <w:r w:rsidR="00774E89">
        <w:t>-</w:t>
      </w:r>
      <w:r w:rsidR="00774E89" w:rsidRPr="00822C52">
        <w:t xml:space="preserve">CTD </w:t>
      </w:r>
      <w:r w:rsidRPr="00822C52">
        <w:t xml:space="preserve">= pulmonary arterial hypertension </w:t>
      </w:r>
      <w:r w:rsidR="00774E89">
        <w:t xml:space="preserve">associated with </w:t>
      </w:r>
      <w:r w:rsidR="00774E89" w:rsidRPr="00822C52">
        <w:t xml:space="preserve">connective tissue disease; </w:t>
      </w:r>
      <w:r>
        <w:t>PDE-5i</w:t>
      </w:r>
      <w:r w:rsidRPr="00822C52">
        <w:t xml:space="preserve"> = phos</w:t>
      </w:r>
      <w:r>
        <w:t>phodiesterase type-5 inhibitor</w:t>
      </w:r>
    </w:p>
    <w:p w:rsidR="00713CA2" w:rsidRDefault="00713CA2">
      <w:pPr>
        <w:spacing w:before="0" w:line="240" w:lineRule="auto"/>
        <w:rPr>
          <w:rFonts w:ascii="Arial" w:eastAsiaTheme="minorEastAsia" w:hAnsi="Arial" w:cs="Baskerville"/>
          <w:sz w:val="18"/>
          <w:szCs w:val="20"/>
          <w:lang w:eastAsia="en-AU"/>
        </w:rPr>
      </w:pPr>
      <w:r>
        <w:br w:type="page"/>
      </w:r>
    </w:p>
    <w:p w:rsidR="0075777C" w:rsidRPr="00822C52" w:rsidRDefault="0077344D" w:rsidP="0075777C">
      <w:pPr>
        <w:pStyle w:val="Heading5"/>
      </w:pPr>
      <w:r>
        <w:t>b.</w:t>
      </w:r>
      <w:r w:rsidR="007B6C7C">
        <w:tab/>
      </w:r>
      <w:r w:rsidR="00C828F9">
        <w:t>All-cause m</w:t>
      </w:r>
      <w:r w:rsidR="00C828F9" w:rsidRPr="006316DF">
        <w:t>ortality</w:t>
      </w:r>
    </w:p>
    <w:p w:rsidR="0075777C" w:rsidRPr="00B607A5" w:rsidRDefault="0077344D" w:rsidP="0077344D">
      <w:pPr>
        <w:pStyle w:val="Heading6"/>
      </w:pPr>
      <w:proofErr w:type="gramStart"/>
      <w:r w:rsidRPr="00B607A5">
        <w:t>b</w:t>
      </w:r>
      <w:r w:rsidR="0075777C" w:rsidRPr="00B607A5">
        <w:t>.i</w:t>
      </w:r>
      <w:proofErr w:type="gramEnd"/>
      <w:r w:rsidR="0075777C" w:rsidRPr="00B607A5">
        <w:tab/>
        <w:t>PAH patients, irrespective of disease severity or aetiology</w:t>
      </w:r>
    </w:p>
    <w:p w:rsidR="0075777C" w:rsidRPr="00822C52" w:rsidRDefault="0075777C" w:rsidP="0075777C">
      <w:r>
        <w:t xml:space="preserve">Three RCTs reported on mortality rates for patients receiving </w:t>
      </w:r>
      <w:r w:rsidRPr="00157F57">
        <w:t xml:space="preserve">PDE-5 inhibitor </w:t>
      </w:r>
      <w:proofErr w:type="gramStart"/>
      <w:r>
        <w:t>plus</w:t>
      </w:r>
      <w:proofErr w:type="gramEnd"/>
      <w:r>
        <w:t xml:space="preserve"> </w:t>
      </w:r>
      <w:r w:rsidRPr="00157F57">
        <w:t xml:space="preserve">ERA </w:t>
      </w:r>
      <w:r>
        <w:t xml:space="preserve">combination therapy </w:t>
      </w:r>
      <w:r w:rsidRPr="00157F57">
        <w:t>compared with ERA</w:t>
      </w:r>
      <w:r>
        <w:t xml:space="preserve"> monotherapy </w:t>
      </w:r>
      <w:r w:rsidRPr="00157F57">
        <w:t>in PAH patients</w:t>
      </w:r>
      <w:r>
        <w:t xml:space="preserve"> of any WHO FC and disease aetiology (</w:t>
      </w:r>
      <w:r w:rsidR="003951FA">
        <w:t>Table 4.</w:t>
      </w:r>
      <w:r w:rsidR="003951FA">
        <w:rPr>
          <w:noProof/>
        </w:rPr>
        <w:t>63</w:t>
      </w:r>
      <w:r>
        <w:t xml:space="preserve">). The forest plots and pooled estimate in </w:t>
      </w:r>
      <w:r w:rsidR="003951FA">
        <w:t>Figure 4.</w:t>
      </w:r>
      <w:r w:rsidR="003951FA">
        <w:rPr>
          <w:noProof/>
        </w:rPr>
        <w:t>16</w:t>
      </w:r>
      <w:r w:rsidR="00FD5A29">
        <w:t xml:space="preserve"> </w:t>
      </w:r>
      <w:r>
        <w:t xml:space="preserve">show that </w:t>
      </w:r>
      <w:r w:rsidR="00BC4B63" w:rsidRPr="00BC4B63">
        <w:t xml:space="preserve">although the point estimate favoured combination therapy, </w:t>
      </w:r>
      <w:r>
        <w:t>there was no statistically significant difference in the risk of dying while receiving combination therapy does not differ significantly to that for patien</w:t>
      </w:r>
      <w:r w:rsidR="00D60D8E">
        <w:t>ts those receiving monotherapy.</w:t>
      </w:r>
    </w:p>
    <w:p w:rsidR="0075777C" w:rsidRPr="00DD7790" w:rsidRDefault="00272F8F" w:rsidP="00BC5A2B">
      <w:pPr>
        <w:pStyle w:val="Caption"/>
      </w:pPr>
      <w:bookmarkStart w:id="205" w:name="_Ref504397001"/>
      <w:bookmarkStart w:id="206" w:name="_Toc38360360"/>
      <w:r>
        <w:t>Table 4.</w:t>
      </w:r>
      <w:r w:rsidR="003951FA">
        <w:rPr>
          <w:noProof/>
        </w:rPr>
        <w:t>63</w:t>
      </w:r>
      <w:bookmarkEnd w:id="205"/>
      <w:r w:rsidR="00200D9E">
        <w:tab/>
      </w:r>
      <w:r w:rsidR="0075777C" w:rsidRPr="00DD7790">
        <w:t xml:space="preserve">Mortality rates for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DD7790">
        <w:t xml:space="preserve"> </w:t>
      </w:r>
      <w:r w:rsidR="0075777C" w:rsidRPr="00DD7790">
        <w:t>in all PAH patients</w:t>
      </w:r>
      <w:bookmarkEnd w:id="206"/>
    </w:p>
    <w:tbl>
      <w:tblPr>
        <w:tblStyle w:val="TableGrid7"/>
        <w:tblW w:w="9634" w:type="dxa"/>
        <w:tblLayout w:type="fixed"/>
        <w:tblLook w:val="04A0" w:firstRow="1" w:lastRow="0" w:firstColumn="1" w:lastColumn="0" w:noHBand="0" w:noVBand="1"/>
        <w:tblCaption w:val="Mortality rates for a PDE-5 inhibitor in addition to an ERA compared with ERA monotherapy in all PAH patients"/>
      </w:tblPr>
      <w:tblGrid>
        <w:gridCol w:w="1696"/>
        <w:gridCol w:w="1985"/>
        <w:gridCol w:w="1984"/>
        <w:gridCol w:w="1985"/>
        <w:gridCol w:w="1984"/>
      </w:tblGrid>
      <w:tr w:rsidR="0075777C" w:rsidRPr="00822C52" w:rsidTr="00200D9E">
        <w:trPr>
          <w:trHeight w:val="298"/>
          <w:tblHeader/>
        </w:trPr>
        <w:tc>
          <w:tcPr>
            <w:tcW w:w="1696" w:type="dxa"/>
            <w:vMerge w:val="restart"/>
            <w:shd w:val="clear" w:color="auto" w:fill="BFBFBF" w:themeFill="background1" w:themeFillShade="BF"/>
          </w:tcPr>
          <w:p w:rsidR="0075777C" w:rsidRPr="00200D9E" w:rsidRDefault="0075777C" w:rsidP="00200D9E">
            <w:pPr>
              <w:pStyle w:val="Tabletext"/>
              <w:rPr>
                <w:b/>
              </w:rPr>
            </w:pPr>
            <w:r w:rsidRPr="00200D9E">
              <w:rPr>
                <w:b/>
              </w:rPr>
              <w:t>Study ID</w:t>
            </w:r>
          </w:p>
        </w:tc>
        <w:tc>
          <w:tcPr>
            <w:tcW w:w="1985" w:type="dxa"/>
            <w:vMerge w:val="restart"/>
            <w:shd w:val="clear" w:color="auto" w:fill="BFBFBF" w:themeFill="background1" w:themeFillShade="BF"/>
          </w:tcPr>
          <w:p w:rsidR="0075777C" w:rsidRPr="00200D9E" w:rsidRDefault="0075777C" w:rsidP="00200D9E">
            <w:pPr>
              <w:pStyle w:val="Tabletext"/>
              <w:rPr>
                <w:b/>
              </w:rPr>
            </w:pPr>
            <w:r w:rsidRPr="00200D9E">
              <w:rPr>
                <w:b/>
              </w:rPr>
              <w:t>PDE-5i/ERA</w:t>
            </w:r>
          </w:p>
          <w:p w:rsidR="0075777C" w:rsidRPr="00200D9E" w:rsidRDefault="0075777C" w:rsidP="00200D9E">
            <w:pPr>
              <w:pStyle w:val="Tabletext"/>
              <w:rPr>
                <w:b/>
              </w:rPr>
            </w:pPr>
            <w:r w:rsidRPr="00200D9E">
              <w:rPr>
                <w:b/>
              </w:rPr>
              <w:t>Follow-up period</w:t>
            </w:r>
          </w:p>
        </w:tc>
        <w:tc>
          <w:tcPr>
            <w:tcW w:w="3969" w:type="dxa"/>
            <w:gridSpan w:val="2"/>
            <w:shd w:val="clear" w:color="auto" w:fill="BFBFBF" w:themeFill="background1" w:themeFillShade="BF"/>
          </w:tcPr>
          <w:p w:rsidR="0075777C" w:rsidRPr="00200D9E" w:rsidRDefault="0075777C" w:rsidP="00200D9E">
            <w:pPr>
              <w:pStyle w:val="Tabletext"/>
              <w:jc w:val="center"/>
              <w:rPr>
                <w:b/>
              </w:rPr>
            </w:pPr>
            <w:proofErr w:type="gramStart"/>
            <w:r w:rsidRPr="00200D9E">
              <w:rPr>
                <w:b/>
              </w:rPr>
              <w:t>n/N</w:t>
            </w:r>
            <w:proofErr w:type="gramEnd"/>
            <w:r w:rsidRPr="00200D9E">
              <w:rPr>
                <w:b/>
              </w:rPr>
              <w:t xml:space="preserve"> (%)</w:t>
            </w:r>
          </w:p>
        </w:tc>
        <w:tc>
          <w:tcPr>
            <w:tcW w:w="1984" w:type="dxa"/>
            <w:vMerge w:val="restart"/>
            <w:shd w:val="clear" w:color="auto" w:fill="BFBFBF" w:themeFill="background1" w:themeFillShade="BF"/>
          </w:tcPr>
          <w:p w:rsidR="0075777C" w:rsidRPr="00200D9E" w:rsidRDefault="0075777C" w:rsidP="00200D9E">
            <w:pPr>
              <w:pStyle w:val="Tabletext"/>
              <w:rPr>
                <w:b/>
              </w:rPr>
            </w:pPr>
            <w:r w:rsidRPr="00200D9E">
              <w:rPr>
                <w:b/>
              </w:rPr>
              <w:t>RR (95% CI)</w:t>
            </w:r>
          </w:p>
        </w:tc>
      </w:tr>
      <w:tr w:rsidR="0075777C" w:rsidRPr="00822C52" w:rsidTr="00200D9E">
        <w:trPr>
          <w:trHeight w:val="202"/>
          <w:tblHeader/>
        </w:trPr>
        <w:tc>
          <w:tcPr>
            <w:tcW w:w="1696" w:type="dxa"/>
            <w:vMerge/>
            <w:shd w:val="clear" w:color="auto" w:fill="BFBFBF" w:themeFill="background1" w:themeFillShade="BF"/>
          </w:tcPr>
          <w:p w:rsidR="0075777C" w:rsidRPr="00822C52" w:rsidRDefault="0075777C" w:rsidP="00200D9E">
            <w:pPr>
              <w:pStyle w:val="Tabletext"/>
              <w:rPr>
                <w:b/>
              </w:rPr>
            </w:pPr>
          </w:p>
        </w:tc>
        <w:tc>
          <w:tcPr>
            <w:tcW w:w="1985" w:type="dxa"/>
            <w:vMerge/>
            <w:shd w:val="clear" w:color="auto" w:fill="BFBFBF" w:themeFill="background1" w:themeFillShade="BF"/>
          </w:tcPr>
          <w:p w:rsidR="0075777C" w:rsidRPr="00822C52" w:rsidRDefault="0075777C" w:rsidP="00200D9E">
            <w:pPr>
              <w:pStyle w:val="Tabletext"/>
              <w:rPr>
                <w:b/>
              </w:rPr>
            </w:pPr>
          </w:p>
        </w:tc>
        <w:tc>
          <w:tcPr>
            <w:tcW w:w="1984" w:type="dxa"/>
            <w:shd w:val="clear" w:color="auto" w:fill="BFBFBF" w:themeFill="background1" w:themeFillShade="BF"/>
          </w:tcPr>
          <w:p w:rsidR="0075777C" w:rsidRPr="00822C52" w:rsidRDefault="0075777C" w:rsidP="00200D9E">
            <w:pPr>
              <w:pStyle w:val="Tabletext"/>
              <w:jc w:val="center"/>
            </w:pPr>
            <w:r>
              <w:rPr>
                <w:b/>
              </w:rPr>
              <w:t>PDE-5i</w:t>
            </w:r>
            <w:r w:rsidRPr="00822C52">
              <w:rPr>
                <w:b/>
              </w:rPr>
              <w:t xml:space="preserve"> + ERA</w:t>
            </w:r>
          </w:p>
        </w:tc>
        <w:tc>
          <w:tcPr>
            <w:tcW w:w="1985" w:type="dxa"/>
            <w:shd w:val="clear" w:color="auto" w:fill="BFBFBF" w:themeFill="background1" w:themeFillShade="BF"/>
          </w:tcPr>
          <w:p w:rsidR="0075777C" w:rsidRPr="00822C52" w:rsidRDefault="0075777C" w:rsidP="00200D9E">
            <w:pPr>
              <w:pStyle w:val="Tabletext"/>
              <w:jc w:val="center"/>
              <w:rPr>
                <w:b/>
              </w:rPr>
            </w:pPr>
            <w:r w:rsidRPr="00822C52">
              <w:rPr>
                <w:b/>
              </w:rPr>
              <w:t>ERA</w:t>
            </w:r>
          </w:p>
        </w:tc>
        <w:tc>
          <w:tcPr>
            <w:tcW w:w="1984" w:type="dxa"/>
            <w:vMerge/>
            <w:shd w:val="clear" w:color="auto" w:fill="BFBFBF" w:themeFill="background1" w:themeFillShade="BF"/>
          </w:tcPr>
          <w:p w:rsidR="0075777C" w:rsidRPr="00822C52" w:rsidRDefault="0075777C" w:rsidP="00200D9E">
            <w:pPr>
              <w:pStyle w:val="Tabletext"/>
              <w:rPr>
                <w:b/>
              </w:rPr>
            </w:pPr>
          </w:p>
        </w:tc>
      </w:tr>
      <w:tr w:rsidR="0075777C" w:rsidRPr="00822C52" w:rsidTr="00200D9E">
        <w:trPr>
          <w:trHeight w:val="70"/>
        </w:trPr>
        <w:tc>
          <w:tcPr>
            <w:tcW w:w="1696" w:type="dxa"/>
          </w:tcPr>
          <w:p w:rsidR="0075777C" w:rsidRDefault="0075777C" w:rsidP="00200D9E">
            <w:pPr>
              <w:pStyle w:val="Tabletext"/>
              <w:rPr>
                <w:rFonts w:cs="Tahoma"/>
              </w:rPr>
            </w:pPr>
            <w:r w:rsidRPr="00822C52">
              <w:rPr>
                <w:rFonts w:cs="Tahoma"/>
              </w:rPr>
              <w:t>AMBITION</w:t>
            </w:r>
          </w:p>
          <w:p w:rsidR="0075777C" w:rsidRPr="00822C52" w:rsidRDefault="0075777C" w:rsidP="001D34EE">
            <w:pPr>
              <w:pStyle w:val="Tabletext"/>
              <w:rPr>
                <w:rFonts w:cs="Tahoma"/>
              </w:rPr>
            </w:pPr>
            <w:r w:rsidRPr="004D1DA8">
              <w:rPr>
                <w:rFonts w:cs="Tahoma"/>
              </w:rPr>
              <w:t>Hoeper et al (2016)</w:t>
            </w:r>
            <w:r w:rsidR="001D34EE" w:rsidRPr="001A1C44">
              <w:rPr>
                <w:rFonts w:cs="Tahoma"/>
                <w:noProof/>
                <w:vertAlign w:val="superscript"/>
              </w:rPr>
              <w:t>32</w:t>
            </w:r>
          </w:p>
        </w:tc>
        <w:tc>
          <w:tcPr>
            <w:tcW w:w="1985" w:type="dxa"/>
          </w:tcPr>
          <w:p w:rsidR="0075777C" w:rsidRPr="00822C52" w:rsidRDefault="0075777C" w:rsidP="00200D9E">
            <w:pPr>
              <w:pStyle w:val="Tabletext"/>
              <w:rPr>
                <w:rFonts w:cs="Tahoma"/>
              </w:rPr>
            </w:pPr>
            <w:r w:rsidRPr="00822C52">
              <w:rPr>
                <w:rFonts w:cs="Tahoma"/>
              </w:rPr>
              <w:t>Tadalafil/ambrisentan</w:t>
            </w:r>
          </w:p>
          <w:p w:rsidR="0075777C" w:rsidRDefault="0075777C" w:rsidP="00200D9E">
            <w:pPr>
              <w:pStyle w:val="Tabletext"/>
              <w:rPr>
                <w:rFonts w:cs="Tahoma"/>
              </w:rPr>
            </w:pPr>
            <w:r>
              <w:rPr>
                <w:rFonts w:cs="Tahoma"/>
              </w:rPr>
              <w:t>FAV: mean 74 weeks</w:t>
            </w:r>
          </w:p>
          <w:p w:rsidR="0075777C" w:rsidRPr="00812EB0" w:rsidRDefault="0075777C" w:rsidP="00200D9E">
            <w:pPr>
              <w:pStyle w:val="Tabletext"/>
              <w:rPr>
                <w:rFonts w:cs="Tahoma"/>
              </w:rPr>
            </w:pPr>
            <w:r>
              <w:rPr>
                <w:rFonts w:cs="Tahoma"/>
              </w:rPr>
              <w:t xml:space="preserve">EOS: </w:t>
            </w:r>
            <w:r w:rsidR="0038038B" w:rsidRPr="0038038B">
              <w:rPr>
                <w:rFonts w:cs="Tahoma"/>
              </w:rPr>
              <w:t>mean 87 weeks</w:t>
            </w:r>
          </w:p>
        </w:tc>
        <w:tc>
          <w:tcPr>
            <w:tcW w:w="1984" w:type="dxa"/>
          </w:tcPr>
          <w:p w:rsidR="0075777C" w:rsidRPr="00822C52" w:rsidRDefault="0075777C" w:rsidP="00200D9E">
            <w:pPr>
              <w:pStyle w:val="Tabletext"/>
              <w:jc w:val="center"/>
              <w:rPr>
                <w:rFonts w:cs="Tahoma"/>
              </w:rPr>
            </w:pPr>
          </w:p>
          <w:p w:rsidR="0075777C" w:rsidRDefault="0050638A" w:rsidP="00200D9E">
            <w:pPr>
              <w:pStyle w:val="Tabletext"/>
              <w:jc w:val="center"/>
              <w:rPr>
                <w:rFonts w:cs="Tahoma"/>
              </w:rPr>
            </w:pPr>
            <w:r>
              <w:rPr>
                <w:rFonts w:cs="Tahoma"/>
              </w:rPr>
              <w:t>3/302 (1</w:t>
            </w:r>
            <w:r w:rsidR="0075777C" w:rsidRPr="00822C52">
              <w:rPr>
                <w:rFonts w:cs="Tahoma"/>
              </w:rPr>
              <w:t>%)</w:t>
            </w:r>
          </w:p>
          <w:p w:rsidR="0075777C" w:rsidRPr="00822C52" w:rsidRDefault="0075777C" w:rsidP="0050638A">
            <w:pPr>
              <w:pStyle w:val="Tabletext"/>
              <w:jc w:val="center"/>
              <w:rPr>
                <w:rFonts w:cs="Tahoma"/>
              </w:rPr>
            </w:pPr>
            <w:r>
              <w:rPr>
                <w:rFonts w:cs="Tahoma"/>
              </w:rPr>
              <w:t>29/302 (</w:t>
            </w:r>
            <w:r w:rsidR="0050638A">
              <w:rPr>
                <w:rFonts w:cs="Tahoma"/>
              </w:rPr>
              <w:t>10</w:t>
            </w:r>
            <w:r>
              <w:rPr>
                <w:rFonts w:cs="Tahoma"/>
              </w:rPr>
              <w:t>%)</w:t>
            </w:r>
          </w:p>
        </w:tc>
        <w:tc>
          <w:tcPr>
            <w:tcW w:w="1985" w:type="dxa"/>
          </w:tcPr>
          <w:p w:rsidR="0075777C" w:rsidRPr="00822C52" w:rsidRDefault="0075777C" w:rsidP="00200D9E">
            <w:pPr>
              <w:pStyle w:val="Tabletext"/>
              <w:jc w:val="center"/>
              <w:rPr>
                <w:rFonts w:cs="Tahoma"/>
              </w:rPr>
            </w:pPr>
          </w:p>
          <w:p w:rsidR="0075777C" w:rsidRDefault="0075777C" w:rsidP="00200D9E">
            <w:pPr>
              <w:pStyle w:val="Tabletext"/>
              <w:jc w:val="center"/>
              <w:rPr>
                <w:rFonts w:cs="Tahoma"/>
              </w:rPr>
            </w:pPr>
            <w:r w:rsidRPr="00822C52">
              <w:rPr>
                <w:rFonts w:cs="Tahoma"/>
              </w:rPr>
              <w:t>3/</w:t>
            </w:r>
            <w:r>
              <w:rPr>
                <w:rFonts w:cs="Tahoma"/>
              </w:rPr>
              <w:t>152</w:t>
            </w:r>
            <w:r w:rsidR="0050638A">
              <w:rPr>
                <w:rFonts w:cs="Tahoma"/>
              </w:rPr>
              <w:t xml:space="preserve"> (2</w:t>
            </w:r>
            <w:r w:rsidRPr="00822C52">
              <w:rPr>
                <w:rFonts w:cs="Tahoma"/>
              </w:rPr>
              <w:t>%)</w:t>
            </w:r>
          </w:p>
          <w:p w:rsidR="0075777C" w:rsidRPr="00822C52" w:rsidRDefault="0075777C" w:rsidP="0050638A">
            <w:pPr>
              <w:pStyle w:val="Tabletext"/>
              <w:jc w:val="center"/>
              <w:rPr>
                <w:rFonts w:cs="Tahoma"/>
              </w:rPr>
            </w:pPr>
            <w:r w:rsidRPr="00822C52">
              <w:rPr>
                <w:rFonts w:cs="Tahoma"/>
              </w:rPr>
              <w:t>19/152 (1</w:t>
            </w:r>
            <w:r w:rsidR="0050638A">
              <w:rPr>
                <w:rFonts w:cs="Tahoma"/>
              </w:rPr>
              <w:t>3</w:t>
            </w:r>
            <w:r w:rsidRPr="00822C52">
              <w:rPr>
                <w:rFonts w:cs="Tahoma"/>
              </w:rPr>
              <w:t>%)</w:t>
            </w:r>
          </w:p>
        </w:tc>
        <w:tc>
          <w:tcPr>
            <w:tcW w:w="1984" w:type="dxa"/>
          </w:tcPr>
          <w:p w:rsidR="0075777C" w:rsidRPr="00822C52" w:rsidRDefault="0075777C" w:rsidP="00200D9E">
            <w:pPr>
              <w:pStyle w:val="Tabletext"/>
              <w:rPr>
                <w:rFonts w:cs="Tahoma"/>
              </w:rPr>
            </w:pPr>
          </w:p>
          <w:p w:rsidR="0075777C" w:rsidRDefault="0075777C" w:rsidP="00200D9E">
            <w:pPr>
              <w:pStyle w:val="Tabletext"/>
              <w:rPr>
                <w:rFonts w:cs="Tahoma"/>
              </w:rPr>
            </w:pPr>
            <w:r w:rsidRPr="00822C52">
              <w:rPr>
                <w:rFonts w:cs="Tahoma"/>
              </w:rPr>
              <w:t>0.46 (0.09, 1.08)</w:t>
            </w:r>
          </w:p>
          <w:p w:rsidR="0075777C" w:rsidRPr="00822C52" w:rsidRDefault="0075777C" w:rsidP="00200D9E">
            <w:pPr>
              <w:pStyle w:val="Tabletext"/>
              <w:rPr>
                <w:rFonts w:cs="Tahoma"/>
              </w:rPr>
            </w:pPr>
            <w:r w:rsidRPr="00822C52">
              <w:rPr>
                <w:rFonts w:cs="Tahoma"/>
              </w:rPr>
              <w:t>0.74 (0.41, 1</w:t>
            </w:r>
            <w:r w:rsidR="00200D9E">
              <w:rPr>
                <w:rFonts w:cs="Tahoma"/>
              </w:rPr>
              <w:t>.32)</w:t>
            </w:r>
          </w:p>
        </w:tc>
      </w:tr>
      <w:tr w:rsidR="0075777C" w:rsidRPr="00822C52" w:rsidTr="00200D9E">
        <w:trPr>
          <w:trHeight w:val="70"/>
        </w:trPr>
        <w:tc>
          <w:tcPr>
            <w:tcW w:w="1696" w:type="dxa"/>
          </w:tcPr>
          <w:p w:rsidR="0075777C" w:rsidRPr="00822C52" w:rsidRDefault="0075777C" w:rsidP="001D34EE">
            <w:pPr>
              <w:pStyle w:val="Tabletext"/>
              <w:rPr>
                <w:rFonts w:cs="Tahoma"/>
              </w:rPr>
            </w:pPr>
            <w:r w:rsidRPr="00822C52">
              <w:t>Zhuang 2014</w:t>
            </w:r>
            <w:r w:rsidR="001D34EE" w:rsidRPr="001A1C44">
              <w:rPr>
                <w:noProof/>
                <w:vertAlign w:val="superscript"/>
              </w:rPr>
              <w:t>50</w:t>
            </w:r>
          </w:p>
        </w:tc>
        <w:tc>
          <w:tcPr>
            <w:tcW w:w="1985" w:type="dxa"/>
          </w:tcPr>
          <w:p w:rsidR="0075777C" w:rsidRPr="00822C52" w:rsidRDefault="0075777C" w:rsidP="00200D9E">
            <w:pPr>
              <w:pStyle w:val="Tabletext"/>
              <w:rPr>
                <w:rFonts w:cs="Tahoma"/>
              </w:rPr>
            </w:pPr>
            <w:r w:rsidRPr="00822C52">
              <w:rPr>
                <w:rFonts w:cs="Tahoma"/>
              </w:rPr>
              <w:t>Tadalafil/ambrisentan</w:t>
            </w:r>
          </w:p>
          <w:p w:rsidR="0075777C" w:rsidRPr="00822C52" w:rsidRDefault="0075777C" w:rsidP="00200D9E">
            <w:pPr>
              <w:pStyle w:val="Tabletext"/>
              <w:rPr>
                <w:rFonts w:cs="Tahoma"/>
              </w:rPr>
            </w:pPr>
            <w:r w:rsidRPr="00822C52">
              <w:rPr>
                <w:rFonts w:cs="Tahoma"/>
              </w:rPr>
              <w:t>16 weeks</w:t>
            </w:r>
          </w:p>
        </w:tc>
        <w:tc>
          <w:tcPr>
            <w:tcW w:w="1984" w:type="dxa"/>
          </w:tcPr>
          <w:p w:rsidR="0075777C" w:rsidRPr="00822C52" w:rsidRDefault="0075777C" w:rsidP="00200D9E">
            <w:pPr>
              <w:pStyle w:val="Tabletext"/>
              <w:jc w:val="center"/>
              <w:rPr>
                <w:rFonts w:cs="Tahoma"/>
              </w:rPr>
            </w:pPr>
            <w:r w:rsidRPr="00822C52">
              <w:rPr>
                <w:rFonts w:cs="Tahoma"/>
              </w:rPr>
              <w:t>0/60 (0%)</w:t>
            </w:r>
          </w:p>
        </w:tc>
        <w:tc>
          <w:tcPr>
            <w:tcW w:w="1985" w:type="dxa"/>
          </w:tcPr>
          <w:p w:rsidR="0075777C" w:rsidRPr="00822C52" w:rsidRDefault="0075777C" w:rsidP="00200D9E">
            <w:pPr>
              <w:pStyle w:val="Tabletext"/>
              <w:jc w:val="center"/>
              <w:rPr>
                <w:rFonts w:cs="Tahoma"/>
              </w:rPr>
            </w:pPr>
            <w:r w:rsidRPr="00822C52">
              <w:rPr>
                <w:rFonts w:cs="Tahoma"/>
              </w:rPr>
              <w:t>1/64 (2%)</w:t>
            </w:r>
          </w:p>
        </w:tc>
        <w:tc>
          <w:tcPr>
            <w:tcW w:w="1984" w:type="dxa"/>
          </w:tcPr>
          <w:p w:rsidR="0075777C" w:rsidRPr="00822C52" w:rsidRDefault="00626BE8" w:rsidP="00200D9E">
            <w:pPr>
              <w:pStyle w:val="Tabletext"/>
              <w:rPr>
                <w:rFonts w:cs="Tahoma"/>
              </w:rPr>
            </w:pPr>
            <w:r>
              <w:rPr>
                <w:rFonts w:cs="Tahoma"/>
              </w:rPr>
              <w:t>0</w:t>
            </w:r>
            <w:r w:rsidR="00200D9E">
              <w:rPr>
                <w:rFonts w:cs="Tahoma"/>
              </w:rPr>
              <w:t xml:space="preserve"> (not calculable), </w:t>
            </w:r>
            <w:r w:rsidR="0075777C" w:rsidRPr="00822C52">
              <w:rPr>
                <w:rFonts w:cs="Tahoma"/>
              </w:rPr>
              <w:t>p=1.00</w:t>
            </w:r>
          </w:p>
        </w:tc>
      </w:tr>
      <w:tr w:rsidR="0075777C" w:rsidRPr="00822C52" w:rsidTr="00200D9E">
        <w:trPr>
          <w:trHeight w:val="70"/>
        </w:trPr>
        <w:tc>
          <w:tcPr>
            <w:tcW w:w="1696" w:type="dxa"/>
          </w:tcPr>
          <w:p w:rsidR="0075777C" w:rsidRPr="00822C52" w:rsidRDefault="0075777C" w:rsidP="001D34EE">
            <w:pPr>
              <w:pStyle w:val="Tabletext"/>
            </w:pPr>
            <w:r w:rsidRPr="00822C52">
              <w:t>Vizza 2017</w:t>
            </w:r>
            <w:r w:rsidR="001D34EE" w:rsidRPr="001A1C44">
              <w:rPr>
                <w:noProof/>
                <w:vertAlign w:val="superscript"/>
              </w:rPr>
              <w:t>49</w:t>
            </w:r>
          </w:p>
        </w:tc>
        <w:tc>
          <w:tcPr>
            <w:tcW w:w="1985" w:type="dxa"/>
          </w:tcPr>
          <w:p w:rsidR="0075777C" w:rsidRPr="00822C52" w:rsidRDefault="0075777C" w:rsidP="00200D9E">
            <w:pPr>
              <w:pStyle w:val="Tabletext"/>
            </w:pPr>
            <w:r w:rsidRPr="00822C52">
              <w:rPr>
                <w:rFonts w:cs="Tahoma"/>
              </w:rPr>
              <w:t>Sildenafil/b</w:t>
            </w:r>
            <w:r w:rsidRPr="00822C52">
              <w:t>osentan</w:t>
            </w:r>
          </w:p>
          <w:p w:rsidR="0075777C" w:rsidRPr="00822C52" w:rsidRDefault="0075777C" w:rsidP="00200D9E">
            <w:pPr>
              <w:pStyle w:val="Tabletext"/>
              <w:rPr>
                <w:rFonts w:cs="Tahoma"/>
              </w:rPr>
            </w:pPr>
            <w:r w:rsidRPr="00822C52">
              <w:t>12 weeks</w:t>
            </w:r>
          </w:p>
        </w:tc>
        <w:tc>
          <w:tcPr>
            <w:tcW w:w="1984" w:type="dxa"/>
          </w:tcPr>
          <w:p w:rsidR="0075777C" w:rsidRPr="00822C52" w:rsidRDefault="0075777C" w:rsidP="00200D9E">
            <w:pPr>
              <w:pStyle w:val="Tabletext"/>
              <w:jc w:val="center"/>
              <w:rPr>
                <w:rFonts w:cs="Tahoma"/>
              </w:rPr>
            </w:pPr>
            <w:r w:rsidRPr="00822C52">
              <w:rPr>
                <w:rFonts w:cs="Tahoma"/>
              </w:rPr>
              <w:t>1/51 (2%)</w:t>
            </w:r>
          </w:p>
        </w:tc>
        <w:tc>
          <w:tcPr>
            <w:tcW w:w="1985" w:type="dxa"/>
          </w:tcPr>
          <w:p w:rsidR="0075777C" w:rsidRPr="00822C52" w:rsidRDefault="0075777C" w:rsidP="00200D9E">
            <w:pPr>
              <w:pStyle w:val="Tabletext"/>
              <w:jc w:val="center"/>
              <w:rPr>
                <w:rFonts w:cs="Tahoma"/>
              </w:rPr>
            </w:pPr>
            <w:r w:rsidRPr="00822C52">
              <w:rPr>
                <w:rFonts w:cs="Tahoma"/>
              </w:rPr>
              <w:t>0/53 (0%)</w:t>
            </w:r>
          </w:p>
        </w:tc>
        <w:tc>
          <w:tcPr>
            <w:tcW w:w="1984" w:type="dxa"/>
          </w:tcPr>
          <w:p w:rsidR="0075777C" w:rsidRPr="00822C52" w:rsidRDefault="0075777C" w:rsidP="00200D9E">
            <w:pPr>
              <w:pStyle w:val="Tabletext"/>
              <w:rPr>
                <w:rFonts w:cs="Tahoma"/>
              </w:rPr>
            </w:pPr>
            <w:r>
              <w:rPr>
                <w:rFonts w:cs="Tahoma"/>
              </w:rPr>
              <w:t>Not calculable</w:t>
            </w:r>
          </w:p>
        </w:tc>
      </w:tr>
    </w:tbl>
    <w:p w:rsidR="007064B3" w:rsidRDefault="0075777C" w:rsidP="00200D9E">
      <w:pPr>
        <w:pStyle w:val="Tablenote"/>
      </w:pPr>
      <w:r w:rsidRPr="00822C52">
        <w:t xml:space="preserve">CI = confidence interval; EOS = end of study; ERA = endothelin receptor antagonist; </w:t>
      </w:r>
      <w:r w:rsidR="007064B3" w:rsidRPr="007064B3">
        <w:t xml:space="preserve">FAV = final assessment visit; </w:t>
      </w:r>
      <w:r w:rsidRPr="00822C52">
        <w:t>n = number of</w:t>
      </w:r>
      <w:r w:rsidR="007064B3">
        <w:t xml:space="preserve"> patients with</w:t>
      </w:r>
      <w:r w:rsidRPr="00822C52">
        <w:t xml:space="preserve"> events; N = number of patients; PAH = pulmonary arterial hypertension; </w:t>
      </w:r>
      <w:r w:rsidRPr="00DA6B01">
        <w:t>PDE-5i = phosphodiesterase type-5 inhibitor</w:t>
      </w:r>
      <w:r>
        <w:t>;</w:t>
      </w:r>
      <w:r w:rsidRPr="00DA6B01">
        <w:t xml:space="preserve"> </w:t>
      </w:r>
      <w:r w:rsidRPr="00822C52">
        <w:t>RR = relative risk</w:t>
      </w:r>
    </w:p>
    <w:p w:rsidR="0075777C" w:rsidRDefault="0075777C" w:rsidP="00200D9E">
      <w:pPr>
        <w:spacing w:after="40" w:line="240" w:lineRule="auto"/>
      </w:pPr>
      <w:r>
        <w:rPr>
          <w:noProof/>
          <w:lang w:eastAsia="en-AU"/>
        </w:rPr>
        <w:drawing>
          <wp:inline distT="0" distB="0" distL="0" distR="0" wp14:anchorId="774F5D67" wp14:editId="3ABF2045">
            <wp:extent cx="6079387" cy="2122227"/>
            <wp:effectExtent l="0" t="0" r="0" b="0"/>
            <wp:docPr id="42" name="Picture 42" descr="The estimated RR from the meta-analysis was 0.64 (95% CI 0.18, 2.36)" title="Forest plot showing the RR of dying while being treated with a PDE-5 inhibitor and an ERA compared with an ERA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35" t="1312" r="1318" b="2366"/>
                    <a:stretch/>
                  </pic:blipFill>
                  <pic:spPr bwMode="auto">
                    <a:xfrm>
                      <a:off x="0" y="0"/>
                      <a:ext cx="6154654" cy="2148501"/>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795577" w:rsidRDefault="00200D9E" w:rsidP="00BC5A2B">
      <w:pPr>
        <w:pStyle w:val="Caption"/>
        <w:rPr>
          <w:rFonts w:ascii="Arial Narrow" w:hAnsi="Arial Narrow" w:cs="Tahoma"/>
          <w:u w:val="single"/>
        </w:rPr>
      </w:pPr>
      <w:bookmarkStart w:id="207" w:name="_Ref506477585"/>
      <w:bookmarkStart w:id="208" w:name="_Toc38360482"/>
      <w:r>
        <w:t>Figure 4.</w:t>
      </w:r>
      <w:r w:rsidR="003951FA">
        <w:rPr>
          <w:noProof/>
        </w:rPr>
        <w:t>16</w:t>
      </w:r>
      <w:bookmarkEnd w:id="207"/>
      <w:r>
        <w:tab/>
      </w:r>
      <w:r w:rsidR="0075777C" w:rsidRPr="00795577">
        <w:t xml:space="preserve">Forest plot showing the RR of </w:t>
      </w:r>
      <w:r w:rsidR="0075777C">
        <w:t>dying</w:t>
      </w:r>
      <w:r w:rsidR="0075777C" w:rsidRPr="00795577">
        <w:t xml:space="preserve"> while being treated with </w:t>
      </w:r>
      <w:r w:rsidR="0075777C">
        <w:t xml:space="preserve">a PDE-5 inhibitor and </w:t>
      </w:r>
      <w:r w:rsidR="0075777C" w:rsidRPr="00795577">
        <w:t xml:space="preserve">an ERA compared with </w:t>
      </w:r>
      <w:r w:rsidR="0075777C">
        <w:t>an ERA alone</w:t>
      </w:r>
      <w:r w:rsidR="0075777C" w:rsidRPr="00795577">
        <w:t xml:space="preserve"> in </w:t>
      </w:r>
      <w:r w:rsidR="0075777C">
        <w:t>all PAH patients</w:t>
      </w:r>
      <w:bookmarkEnd w:id="208"/>
    </w:p>
    <w:p w:rsidR="007064B3" w:rsidRPr="006316DF" w:rsidRDefault="0075777C" w:rsidP="00200D9E">
      <w:pPr>
        <w:pStyle w:val="Tablenote"/>
      </w:pPr>
      <w:r w:rsidRPr="00795577">
        <w:t>CI = confidence interval; ERA =</w:t>
      </w:r>
      <w:r>
        <w:t xml:space="preserve"> </w:t>
      </w:r>
      <w:r w:rsidR="0006512A">
        <w:t>endothelin receptor</w:t>
      </w:r>
      <w:r>
        <w:t xml:space="preserve"> antagonist</w:t>
      </w:r>
      <w:r w:rsidRPr="00795577">
        <w:t xml:space="preserve">; N = number of patients; </w:t>
      </w:r>
      <w:r w:rsidR="007064B3" w:rsidRPr="00715D78">
        <w:t xml:space="preserve">PAH = pulmonary arterial hypertension; </w:t>
      </w:r>
      <w:r>
        <w:t xml:space="preserve">PDE-5i = </w:t>
      </w:r>
      <w:r w:rsidRPr="002C2E5D">
        <w:t>phosphodiesterase type-5 inhibitor</w:t>
      </w:r>
      <w:r>
        <w:t>;</w:t>
      </w:r>
      <w:r w:rsidRPr="002C2E5D">
        <w:t xml:space="preserve"> </w:t>
      </w:r>
      <w:r w:rsidRPr="00795577">
        <w:t>RR = relative risk</w:t>
      </w:r>
    </w:p>
    <w:p w:rsidR="0075777C" w:rsidRPr="00822C52" w:rsidRDefault="0077344D" w:rsidP="0075777C">
      <w:pPr>
        <w:pStyle w:val="Heading5"/>
      </w:pPr>
      <w:r>
        <w:t>c.</w:t>
      </w:r>
      <w:r w:rsidR="007B6C7C">
        <w:tab/>
      </w:r>
      <w:r w:rsidR="00C828F9" w:rsidRPr="006316DF">
        <w:t>Hospitalisation</w:t>
      </w:r>
      <w:r w:rsidR="00C828F9" w:rsidRPr="0046652B">
        <w:t xml:space="preserve"> due to worsening PAH</w:t>
      </w:r>
    </w:p>
    <w:p w:rsidR="0075777C" w:rsidRPr="00B607A5" w:rsidRDefault="0077344D" w:rsidP="0077344D">
      <w:pPr>
        <w:pStyle w:val="Heading6"/>
      </w:pPr>
      <w:proofErr w:type="gramStart"/>
      <w:r w:rsidRPr="00B607A5">
        <w:t>c</w:t>
      </w:r>
      <w:r w:rsidR="0075777C" w:rsidRPr="00B607A5">
        <w:t>.i</w:t>
      </w:r>
      <w:proofErr w:type="gramEnd"/>
      <w:r w:rsidR="0075777C" w:rsidRPr="00B607A5">
        <w:tab/>
        <w:t>PAH patients, irrespective of disease severity or aetiology</w:t>
      </w:r>
    </w:p>
    <w:p w:rsidR="00F10128" w:rsidRDefault="0075777C" w:rsidP="0075777C">
      <w:r>
        <w:t>Three RCTs reported on hospitalisation</w:t>
      </w:r>
      <w:r w:rsidR="003507C5">
        <w:t>s due to worsening PAH</w:t>
      </w:r>
      <w:r>
        <w:t xml:space="preserve"> for patients receiving </w:t>
      </w:r>
      <w:r w:rsidRPr="00157F57">
        <w:t xml:space="preserve">PDE-5 inhibitor </w:t>
      </w:r>
      <w:proofErr w:type="gramStart"/>
      <w:r>
        <w:t>plus</w:t>
      </w:r>
      <w:proofErr w:type="gramEnd"/>
      <w:r>
        <w:t xml:space="preserve"> </w:t>
      </w:r>
      <w:r w:rsidRPr="00157F57">
        <w:t xml:space="preserve">ERA </w:t>
      </w:r>
      <w:r>
        <w:t xml:space="preserve">combination therapy </w:t>
      </w:r>
      <w:r w:rsidRPr="00157F57">
        <w:t>compared with ERA</w:t>
      </w:r>
      <w:r>
        <w:t xml:space="preserve"> monotherapy </w:t>
      </w:r>
      <w:r w:rsidRPr="00157F57">
        <w:t>in PAH patients</w:t>
      </w:r>
      <w:r>
        <w:t xml:space="preserve"> of any WHO FC and disease aetiology (</w:t>
      </w:r>
      <w:r w:rsidR="003951FA">
        <w:t>Table 4.</w:t>
      </w:r>
      <w:r w:rsidR="003951FA">
        <w:rPr>
          <w:noProof/>
        </w:rPr>
        <w:t>64</w:t>
      </w:r>
      <w:r>
        <w:t>). The forest plot shows that two of the studies had very wide CIs and were underpowered for this outcome (</w:t>
      </w:r>
      <w:r w:rsidR="003951FA">
        <w:t>Figure 4.</w:t>
      </w:r>
      <w:r w:rsidR="003951FA">
        <w:rPr>
          <w:noProof/>
        </w:rPr>
        <w:t>17</w:t>
      </w:r>
      <w:r>
        <w:t xml:space="preserve">). </w:t>
      </w:r>
      <w:r w:rsidR="00394D5B">
        <w:t>Nevertheless, t</w:t>
      </w:r>
      <w:r>
        <w:t xml:space="preserve">he pooled RR </w:t>
      </w:r>
      <w:r w:rsidR="00394D5B">
        <w:t xml:space="preserve">significantly </w:t>
      </w:r>
      <w:r>
        <w:t>favoured combination therapy</w:t>
      </w:r>
      <w:r w:rsidR="00394D5B">
        <w:t xml:space="preserve"> over monotherapy</w:t>
      </w:r>
      <w:r>
        <w:t>.</w:t>
      </w:r>
    </w:p>
    <w:p w:rsidR="0075777C" w:rsidRPr="00DD7790" w:rsidRDefault="00272F8F" w:rsidP="00BC5A2B">
      <w:pPr>
        <w:pStyle w:val="Caption"/>
      </w:pPr>
      <w:bookmarkStart w:id="209" w:name="_Ref504397027"/>
      <w:bookmarkStart w:id="210" w:name="_Toc38360361"/>
      <w:r>
        <w:t>Table 4.</w:t>
      </w:r>
      <w:r w:rsidR="003951FA">
        <w:rPr>
          <w:noProof/>
        </w:rPr>
        <w:t>64</w:t>
      </w:r>
      <w:bookmarkEnd w:id="209"/>
      <w:r w:rsidR="00200D9E">
        <w:tab/>
      </w:r>
      <w:r w:rsidR="0075777C" w:rsidRPr="00DD7790">
        <w:t xml:space="preserve">Hospitalisation </w:t>
      </w:r>
      <w:r w:rsidR="003507C5">
        <w:t>due to PAH</w:t>
      </w:r>
      <w:r w:rsidR="003507C5" w:rsidRPr="00DD7790">
        <w:t xml:space="preserve"> </w:t>
      </w:r>
      <w:r w:rsidR="0075777C" w:rsidRPr="00DD7790">
        <w:t xml:space="preserve">for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DD7790">
        <w:t xml:space="preserve"> </w:t>
      </w:r>
      <w:r w:rsidR="0075777C" w:rsidRPr="00DD7790">
        <w:t>in all patients with PAH</w:t>
      </w:r>
      <w:bookmarkEnd w:id="210"/>
    </w:p>
    <w:tbl>
      <w:tblPr>
        <w:tblStyle w:val="TableGrid7"/>
        <w:tblW w:w="9634" w:type="dxa"/>
        <w:tblLayout w:type="fixed"/>
        <w:tblLook w:val="04A0" w:firstRow="1" w:lastRow="0" w:firstColumn="1" w:lastColumn="0" w:noHBand="0" w:noVBand="1"/>
        <w:tblCaption w:val="Hospitalisation due to PAH for a PDE-5 inhibitor in addition to an ERA compared with ERA monotherapy in all patients with PAH"/>
      </w:tblPr>
      <w:tblGrid>
        <w:gridCol w:w="1413"/>
        <w:gridCol w:w="2268"/>
        <w:gridCol w:w="1417"/>
        <w:gridCol w:w="1985"/>
        <w:gridCol w:w="2551"/>
      </w:tblGrid>
      <w:tr w:rsidR="0075777C" w:rsidRPr="00822C52" w:rsidTr="00503643">
        <w:trPr>
          <w:trHeight w:val="170"/>
          <w:tblHeader/>
        </w:trPr>
        <w:tc>
          <w:tcPr>
            <w:tcW w:w="1413" w:type="dxa"/>
            <w:vMerge w:val="restart"/>
            <w:shd w:val="clear" w:color="auto" w:fill="BFBFBF" w:themeFill="background1" w:themeFillShade="BF"/>
          </w:tcPr>
          <w:p w:rsidR="0075777C" w:rsidRPr="00200D9E" w:rsidRDefault="0075777C" w:rsidP="00200D9E">
            <w:pPr>
              <w:pStyle w:val="Tabletext"/>
              <w:rPr>
                <w:b/>
              </w:rPr>
            </w:pPr>
            <w:r w:rsidRPr="00200D9E">
              <w:rPr>
                <w:b/>
              </w:rPr>
              <w:t>Study ID</w:t>
            </w:r>
          </w:p>
        </w:tc>
        <w:tc>
          <w:tcPr>
            <w:tcW w:w="2268" w:type="dxa"/>
            <w:vMerge w:val="restart"/>
            <w:shd w:val="clear" w:color="auto" w:fill="BFBFBF" w:themeFill="background1" w:themeFillShade="BF"/>
          </w:tcPr>
          <w:p w:rsidR="0075777C" w:rsidRPr="00200D9E" w:rsidRDefault="0075777C" w:rsidP="00200D9E">
            <w:pPr>
              <w:pStyle w:val="Tabletext"/>
              <w:rPr>
                <w:b/>
              </w:rPr>
            </w:pPr>
            <w:r w:rsidRPr="00200D9E">
              <w:rPr>
                <w:b/>
              </w:rPr>
              <w:t>PDE-5i/ERA</w:t>
            </w:r>
          </w:p>
          <w:p w:rsidR="0075777C" w:rsidRPr="00200D9E" w:rsidRDefault="00200D9E" w:rsidP="00200D9E">
            <w:pPr>
              <w:pStyle w:val="Tabletext"/>
              <w:rPr>
                <w:b/>
              </w:rPr>
            </w:pPr>
            <w:r w:rsidRPr="00200D9E">
              <w:rPr>
                <w:b/>
              </w:rPr>
              <w:t>Follow-up period</w:t>
            </w:r>
          </w:p>
        </w:tc>
        <w:tc>
          <w:tcPr>
            <w:tcW w:w="3402" w:type="dxa"/>
            <w:gridSpan w:val="2"/>
            <w:shd w:val="clear" w:color="auto" w:fill="BFBFBF" w:themeFill="background1" w:themeFillShade="BF"/>
          </w:tcPr>
          <w:p w:rsidR="0075777C" w:rsidRPr="00200D9E" w:rsidRDefault="0075777C" w:rsidP="00200D9E">
            <w:pPr>
              <w:pStyle w:val="Tabletext"/>
              <w:jc w:val="center"/>
              <w:rPr>
                <w:b/>
              </w:rPr>
            </w:pPr>
            <w:proofErr w:type="gramStart"/>
            <w:r w:rsidRPr="00200D9E">
              <w:rPr>
                <w:b/>
              </w:rPr>
              <w:t>n/N</w:t>
            </w:r>
            <w:proofErr w:type="gramEnd"/>
            <w:r w:rsidRPr="00200D9E">
              <w:rPr>
                <w:b/>
              </w:rPr>
              <w:t xml:space="preserve"> (%)</w:t>
            </w:r>
          </w:p>
        </w:tc>
        <w:tc>
          <w:tcPr>
            <w:tcW w:w="2551" w:type="dxa"/>
            <w:vMerge w:val="restart"/>
            <w:shd w:val="clear" w:color="auto" w:fill="BFBFBF" w:themeFill="background1" w:themeFillShade="BF"/>
          </w:tcPr>
          <w:p w:rsidR="0075777C" w:rsidRPr="00200D9E" w:rsidRDefault="003507C5" w:rsidP="00200D9E">
            <w:pPr>
              <w:pStyle w:val="Tabletext"/>
              <w:rPr>
                <w:b/>
              </w:rPr>
            </w:pPr>
            <w:r>
              <w:rPr>
                <w:b/>
              </w:rPr>
              <w:t>H</w:t>
            </w:r>
            <w:r w:rsidR="0075777C" w:rsidRPr="00200D9E">
              <w:rPr>
                <w:b/>
              </w:rPr>
              <w:t>R (95% CI)</w:t>
            </w:r>
          </w:p>
        </w:tc>
      </w:tr>
      <w:tr w:rsidR="0075777C" w:rsidRPr="00822C52" w:rsidTr="00503643">
        <w:trPr>
          <w:trHeight w:val="202"/>
          <w:tblHeader/>
        </w:trPr>
        <w:tc>
          <w:tcPr>
            <w:tcW w:w="1413" w:type="dxa"/>
            <w:vMerge/>
            <w:shd w:val="clear" w:color="auto" w:fill="BFBFBF" w:themeFill="background1" w:themeFillShade="BF"/>
          </w:tcPr>
          <w:p w:rsidR="0075777C" w:rsidRPr="00D15B28" w:rsidRDefault="0075777C" w:rsidP="00200D9E">
            <w:pPr>
              <w:pStyle w:val="Tabletext"/>
            </w:pPr>
          </w:p>
        </w:tc>
        <w:tc>
          <w:tcPr>
            <w:tcW w:w="2268" w:type="dxa"/>
            <w:vMerge/>
            <w:shd w:val="clear" w:color="auto" w:fill="BFBFBF" w:themeFill="background1" w:themeFillShade="BF"/>
          </w:tcPr>
          <w:p w:rsidR="0075777C" w:rsidRPr="00D15B28" w:rsidRDefault="0075777C" w:rsidP="00200D9E">
            <w:pPr>
              <w:pStyle w:val="Tabletext"/>
            </w:pPr>
          </w:p>
        </w:tc>
        <w:tc>
          <w:tcPr>
            <w:tcW w:w="1417" w:type="dxa"/>
            <w:shd w:val="clear" w:color="auto" w:fill="BFBFBF" w:themeFill="background1" w:themeFillShade="BF"/>
          </w:tcPr>
          <w:p w:rsidR="0075777C" w:rsidRPr="00200D9E" w:rsidRDefault="0075777C" w:rsidP="00200D9E">
            <w:pPr>
              <w:pStyle w:val="Tabletext"/>
              <w:jc w:val="center"/>
              <w:rPr>
                <w:b/>
              </w:rPr>
            </w:pPr>
            <w:r w:rsidRPr="00200D9E">
              <w:rPr>
                <w:b/>
              </w:rPr>
              <w:t>PDE-5i + ERA</w:t>
            </w:r>
          </w:p>
        </w:tc>
        <w:tc>
          <w:tcPr>
            <w:tcW w:w="1985" w:type="dxa"/>
            <w:shd w:val="clear" w:color="auto" w:fill="BFBFBF" w:themeFill="background1" w:themeFillShade="BF"/>
          </w:tcPr>
          <w:p w:rsidR="0075777C" w:rsidRPr="00200D9E" w:rsidRDefault="0075777C" w:rsidP="00200D9E">
            <w:pPr>
              <w:pStyle w:val="Tabletext"/>
              <w:jc w:val="center"/>
              <w:rPr>
                <w:b/>
              </w:rPr>
            </w:pPr>
            <w:r w:rsidRPr="00200D9E">
              <w:rPr>
                <w:b/>
              </w:rPr>
              <w:t>ERA</w:t>
            </w:r>
          </w:p>
        </w:tc>
        <w:tc>
          <w:tcPr>
            <w:tcW w:w="2551" w:type="dxa"/>
            <w:vMerge/>
            <w:shd w:val="clear" w:color="auto" w:fill="BFBFBF" w:themeFill="background1" w:themeFillShade="BF"/>
          </w:tcPr>
          <w:p w:rsidR="0075777C" w:rsidRPr="00D15B28" w:rsidRDefault="0075777C" w:rsidP="00200D9E">
            <w:pPr>
              <w:pStyle w:val="Tabletext"/>
            </w:pPr>
          </w:p>
        </w:tc>
      </w:tr>
      <w:tr w:rsidR="0075777C" w:rsidRPr="00822C52" w:rsidTr="00503643">
        <w:trPr>
          <w:trHeight w:val="362"/>
        </w:trPr>
        <w:tc>
          <w:tcPr>
            <w:tcW w:w="1413" w:type="dxa"/>
          </w:tcPr>
          <w:p w:rsidR="0075777C" w:rsidRPr="00D15B28" w:rsidRDefault="0075777C" w:rsidP="001D34EE">
            <w:pPr>
              <w:pStyle w:val="Tabletext"/>
              <w:rPr>
                <w:rFonts w:cs="Tahoma"/>
              </w:rPr>
            </w:pPr>
            <w:r w:rsidRPr="00D15B28">
              <w:rPr>
                <w:rFonts w:cs="Tahoma"/>
              </w:rPr>
              <w:t>AMBITION</w:t>
            </w:r>
            <w:r w:rsidR="001D34EE" w:rsidRPr="001A1C44">
              <w:rPr>
                <w:rFonts w:cs="Tahoma"/>
                <w:noProof/>
                <w:vertAlign w:val="superscript"/>
              </w:rPr>
              <w:t>30</w:t>
            </w:r>
          </w:p>
        </w:tc>
        <w:tc>
          <w:tcPr>
            <w:tcW w:w="2268" w:type="dxa"/>
          </w:tcPr>
          <w:p w:rsidR="0075777C" w:rsidRPr="00D15B28" w:rsidRDefault="0075777C" w:rsidP="00200D9E">
            <w:pPr>
              <w:pStyle w:val="Tabletext"/>
              <w:rPr>
                <w:rFonts w:cs="Tahoma"/>
              </w:rPr>
            </w:pPr>
            <w:r w:rsidRPr="00D15B28">
              <w:rPr>
                <w:rFonts w:cs="Tahoma"/>
              </w:rPr>
              <w:t>Tadalafil/ambrisentan</w:t>
            </w:r>
          </w:p>
          <w:p w:rsidR="0075777C" w:rsidRPr="00D15B28" w:rsidRDefault="0075777C" w:rsidP="00200D9E">
            <w:pPr>
              <w:pStyle w:val="Tabletext"/>
              <w:rPr>
                <w:rFonts w:cs="Tahoma"/>
              </w:rPr>
            </w:pPr>
            <w:r w:rsidRPr="00D15B28">
              <w:rPr>
                <w:rFonts w:cs="Tahoma"/>
              </w:rPr>
              <w:t xml:space="preserve">FAV: mean </w:t>
            </w:r>
            <w:r>
              <w:rPr>
                <w:rFonts w:cs="Tahoma"/>
              </w:rPr>
              <w:t>74</w:t>
            </w:r>
            <w:r w:rsidRPr="00D15B28">
              <w:rPr>
                <w:rFonts w:cs="Tahoma"/>
              </w:rPr>
              <w:t xml:space="preserve"> weeks</w:t>
            </w:r>
          </w:p>
        </w:tc>
        <w:tc>
          <w:tcPr>
            <w:tcW w:w="1417" w:type="dxa"/>
          </w:tcPr>
          <w:p w:rsidR="0075777C" w:rsidRPr="00D15B28" w:rsidRDefault="003507C5" w:rsidP="00200D9E">
            <w:pPr>
              <w:pStyle w:val="Tabletext"/>
              <w:jc w:val="center"/>
              <w:rPr>
                <w:rFonts w:cs="Tahoma"/>
              </w:rPr>
            </w:pPr>
            <w:r>
              <w:rPr>
                <w:rFonts w:cs="Tahoma"/>
              </w:rPr>
              <w:t>19/253 (8%)</w:t>
            </w:r>
          </w:p>
        </w:tc>
        <w:tc>
          <w:tcPr>
            <w:tcW w:w="1985" w:type="dxa"/>
          </w:tcPr>
          <w:p w:rsidR="0075777C" w:rsidRPr="00D15B28" w:rsidRDefault="003507C5" w:rsidP="00200D9E">
            <w:pPr>
              <w:pStyle w:val="Tabletext"/>
              <w:jc w:val="center"/>
              <w:rPr>
                <w:rFonts w:cs="Tahoma"/>
              </w:rPr>
            </w:pPr>
            <w:r>
              <w:rPr>
                <w:rFonts w:cs="Tahoma"/>
              </w:rPr>
              <w:t>27/126 (21%)</w:t>
            </w:r>
          </w:p>
        </w:tc>
        <w:tc>
          <w:tcPr>
            <w:tcW w:w="2551" w:type="dxa"/>
          </w:tcPr>
          <w:p w:rsidR="0075777C" w:rsidRPr="00D15B28" w:rsidRDefault="003507C5" w:rsidP="00200D9E">
            <w:pPr>
              <w:pStyle w:val="Tabletext"/>
              <w:rPr>
                <w:rFonts w:cs="Tahoma"/>
              </w:rPr>
            </w:pPr>
            <w:r w:rsidRPr="003507C5">
              <w:rPr>
                <w:rFonts w:cs="Tahoma"/>
              </w:rPr>
              <w:t>0.32 (0.18, 0.58)</w:t>
            </w:r>
          </w:p>
        </w:tc>
      </w:tr>
      <w:tr w:rsidR="0075777C" w:rsidRPr="00822C52" w:rsidTr="00503643">
        <w:trPr>
          <w:trHeight w:val="453"/>
        </w:trPr>
        <w:tc>
          <w:tcPr>
            <w:tcW w:w="1413" w:type="dxa"/>
          </w:tcPr>
          <w:p w:rsidR="0075777C" w:rsidRPr="00D15B28" w:rsidRDefault="0075777C" w:rsidP="001D34EE">
            <w:pPr>
              <w:pStyle w:val="Tabletext"/>
            </w:pPr>
            <w:r w:rsidRPr="00D15B28">
              <w:t>Zhuang 2014</w:t>
            </w:r>
            <w:r w:rsidR="001D34EE" w:rsidRPr="001A1C44">
              <w:rPr>
                <w:noProof/>
                <w:vertAlign w:val="superscript"/>
              </w:rPr>
              <w:t>50</w:t>
            </w:r>
          </w:p>
        </w:tc>
        <w:tc>
          <w:tcPr>
            <w:tcW w:w="2268" w:type="dxa"/>
          </w:tcPr>
          <w:p w:rsidR="00E26A38" w:rsidRPr="00D15B28" w:rsidRDefault="0075777C" w:rsidP="00200D9E">
            <w:pPr>
              <w:pStyle w:val="Tabletext"/>
              <w:rPr>
                <w:rFonts w:cs="Tahoma"/>
              </w:rPr>
            </w:pPr>
            <w:r w:rsidRPr="00D15B28">
              <w:rPr>
                <w:rFonts w:cs="Tahoma"/>
              </w:rPr>
              <w:t>Tadalafil/ambrisentan</w:t>
            </w:r>
          </w:p>
          <w:p w:rsidR="0075777C" w:rsidRPr="00D15B28" w:rsidRDefault="0075777C" w:rsidP="00200D9E">
            <w:pPr>
              <w:pStyle w:val="Tabletext"/>
              <w:rPr>
                <w:rFonts w:cs="Tahoma"/>
              </w:rPr>
            </w:pPr>
            <w:r w:rsidRPr="00D15B28">
              <w:rPr>
                <w:rFonts w:cs="Tahoma"/>
              </w:rPr>
              <w:t>16 weeks</w:t>
            </w:r>
          </w:p>
        </w:tc>
        <w:tc>
          <w:tcPr>
            <w:tcW w:w="1417" w:type="dxa"/>
          </w:tcPr>
          <w:p w:rsidR="0075777C" w:rsidRPr="00D15B28" w:rsidRDefault="0075777C" w:rsidP="00200D9E">
            <w:pPr>
              <w:pStyle w:val="Tabletext"/>
              <w:jc w:val="center"/>
              <w:rPr>
                <w:rFonts w:cs="Tahoma"/>
              </w:rPr>
            </w:pPr>
            <w:r w:rsidRPr="00D15B28">
              <w:rPr>
                <w:rFonts w:cs="Tahoma"/>
              </w:rPr>
              <w:t>0/60 (0%)</w:t>
            </w:r>
          </w:p>
        </w:tc>
        <w:tc>
          <w:tcPr>
            <w:tcW w:w="1985" w:type="dxa"/>
          </w:tcPr>
          <w:p w:rsidR="0075777C" w:rsidRPr="00D15B28" w:rsidRDefault="0075777C" w:rsidP="00200D9E">
            <w:pPr>
              <w:pStyle w:val="Tabletext"/>
              <w:jc w:val="center"/>
              <w:rPr>
                <w:rFonts w:cs="Tahoma"/>
              </w:rPr>
            </w:pPr>
            <w:r w:rsidRPr="00D15B28">
              <w:rPr>
                <w:rFonts w:cs="Tahoma"/>
              </w:rPr>
              <w:t>2/64 (3%)</w:t>
            </w:r>
          </w:p>
        </w:tc>
        <w:tc>
          <w:tcPr>
            <w:tcW w:w="2551" w:type="dxa"/>
          </w:tcPr>
          <w:p w:rsidR="0075777C" w:rsidRPr="00D15B28" w:rsidRDefault="003507C5" w:rsidP="00200D9E">
            <w:pPr>
              <w:pStyle w:val="Tabletext"/>
              <w:rPr>
                <w:rFonts w:cs="Tahoma"/>
              </w:rPr>
            </w:pPr>
            <w:r>
              <w:rPr>
                <w:rFonts w:cs="Tahoma"/>
              </w:rPr>
              <w:t>NR</w:t>
            </w:r>
          </w:p>
        </w:tc>
      </w:tr>
      <w:tr w:rsidR="0075777C" w:rsidRPr="00822C52" w:rsidTr="00503643">
        <w:trPr>
          <w:trHeight w:val="389"/>
        </w:trPr>
        <w:tc>
          <w:tcPr>
            <w:tcW w:w="1413" w:type="dxa"/>
          </w:tcPr>
          <w:p w:rsidR="0075777C" w:rsidRPr="00D15B28" w:rsidRDefault="0075777C" w:rsidP="001D34EE">
            <w:pPr>
              <w:pStyle w:val="Tabletext"/>
            </w:pPr>
            <w:r w:rsidRPr="00D15B28">
              <w:t>Vizza 2017</w:t>
            </w:r>
            <w:r w:rsidR="001D34EE" w:rsidRPr="001A1C44">
              <w:rPr>
                <w:noProof/>
                <w:vertAlign w:val="superscript"/>
              </w:rPr>
              <w:t>49</w:t>
            </w:r>
          </w:p>
        </w:tc>
        <w:tc>
          <w:tcPr>
            <w:tcW w:w="2268" w:type="dxa"/>
          </w:tcPr>
          <w:p w:rsidR="0075777C" w:rsidRPr="00D15B28" w:rsidRDefault="0075777C" w:rsidP="00200D9E">
            <w:pPr>
              <w:pStyle w:val="Tabletext"/>
            </w:pPr>
            <w:r w:rsidRPr="00D15B28">
              <w:rPr>
                <w:rFonts w:cs="Tahoma"/>
              </w:rPr>
              <w:t>Sildenafil/b</w:t>
            </w:r>
            <w:r w:rsidRPr="00D15B28">
              <w:t>osentan</w:t>
            </w:r>
          </w:p>
          <w:p w:rsidR="0075777C" w:rsidRPr="00D15B28" w:rsidRDefault="0075777C" w:rsidP="00200D9E">
            <w:pPr>
              <w:pStyle w:val="Tabletext"/>
              <w:rPr>
                <w:rFonts w:cs="Tahoma"/>
              </w:rPr>
            </w:pPr>
            <w:r w:rsidRPr="00D15B28">
              <w:rPr>
                <w:rFonts w:cs="Tahoma"/>
              </w:rPr>
              <w:t>12 weeks</w:t>
            </w:r>
          </w:p>
        </w:tc>
        <w:tc>
          <w:tcPr>
            <w:tcW w:w="1417" w:type="dxa"/>
          </w:tcPr>
          <w:p w:rsidR="0075777C" w:rsidRPr="00D15B28" w:rsidRDefault="0075777C" w:rsidP="00200D9E">
            <w:pPr>
              <w:pStyle w:val="Tabletext"/>
              <w:jc w:val="center"/>
              <w:rPr>
                <w:rFonts w:cs="Tahoma"/>
              </w:rPr>
            </w:pPr>
            <w:r w:rsidRPr="00D15B28">
              <w:rPr>
                <w:rFonts w:cs="Tahoma"/>
              </w:rPr>
              <w:t>2/51 (4%)</w:t>
            </w:r>
          </w:p>
        </w:tc>
        <w:tc>
          <w:tcPr>
            <w:tcW w:w="1985" w:type="dxa"/>
          </w:tcPr>
          <w:p w:rsidR="0075777C" w:rsidRPr="00D15B28" w:rsidRDefault="0075777C" w:rsidP="00200D9E">
            <w:pPr>
              <w:pStyle w:val="Tabletext"/>
              <w:jc w:val="center"/>
              <w:rPr>
                <w:rFonts w:cs="Tahoma"/>
              </w:rPr>
            </w:pPr>
            <w:r w:rsidRPr="00D15B28">
              <w:rPr>
                <w:rFonts w:cs="Tahoma"/>
              </w:rPr>
              <w:t>2/53 (4%)</w:t>
            </w:r>
          </w:p>
        </w:tc>
        <w:tc>
          <w:tcPr>
            <w:tcW w:w="2551" w:type="dxa"/>
          </w:tcPr>
          <w:p w:rsidR="0075777C" w:rsidRPr="00D15B28" w:rsidRDefault="003507C5" w:rsidP="00200D9E">
            <w:pPr>
              <w:pStyle w:val="Tabletext"/>
              <w:rPr>
                <w:rFonts w:cs="Tahoma"/>
              </w:rPr>
            </w:pPr>
            <w:r>
              <w:rPr>
                <w:rFonts w:cs="Tahoma"/>
              </w:rPr>
              <w:t>NR</w:t>
            </w:r>
          </w:p>
        </w:tc>
      </w:tr>
    </w:tbl>
    <w:p w:rsidR="007064B3" w:rsidRDefault="0075777C" w:rsidP="00200D9E">
      <w:pPr>
        <w:pStyle w:val="Tablenote"/>
      </w:pPr>
      <w:r w:rsidRPr="00822C52">
        <w:t xml:space="preserve">CI = confidence interval; ERA = endothelin receptor antagonist; FAV = final assessment visit; n = number of </w:t>
      </w:r>
      <w:r w:rsidR="007064B3">
        <w:t xml:space="preserve">patients with </w:t>
      </w:r>
      <w:r w:rsidRPr="00822C52">
        <w:t xml:space="preserve">events; N = number of patients; </w:t>
      </w:r>
      <w:r w:rsidR="007064B3" w:rsidRPr="00715D78">
        <w:t xml:space="preserve">PAH = pulmonary arterial hypertension; </w:t>
      </w:r>
      <w:r>
        <w:t>PDE-5i</w:t>
      </w:r>
      <w:r w:rsidRPr="00822C52">
        <w:t xml:space="preserve"> = phosphodiesterase type-5 inhibitor; RR = relative risk</w:t>
      </w:r>
    </w:p>
    <w:p w:rsidR="0075777C" w:rsidRDefault="00394D5B" w:rsidP="00200D9E">
      <w:pPr>
        <w:spacing w:after="40" w:line="240" w:lineRule="auto"/>
        <w:jc w:val="center"/>
      </w:pPr>
      <w:r>
        <w:rPr>
          <w:noProof/>
          <w:lang w:eastAsia="en-AU"/>
        </w:rPr>
        <w:drawing>
          <wp:inline distT="0" distB="0" distL="0" distR="0" wp14:anchorId="5145C79D" wp14:editId="7D07B5FC">
            <wp:extent cx="6119129" cy="2510103"/>
            <wp:effectExtent l="0" t="0" r="0" b="5080"/>
            <wp:docPr id="1" name="Picture 1" descr="The estimated RR from the meta-analysis was 0.42 (95% CI 0.25, 0.70)" title="Forest plot showing the RR of being hospitalised due to worsening PAH while being treated with a PDE-5 inhibitor and an ERA compared with an ERA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231" t="2568" r="1418" b="1890"/>
                    <a:stretch/>
                  </pic:blipFill>
                  <pic:spPr bwMode="auto">
                    <a:xfrm>
                      <a:off x="0" y="0"/>
                      <a:ext cx="6132972" cy="2515781"/>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795577" w:rsidRDefault="00200D9E" w:rsidP="00BC5A2B">
      <w:pPr>
        <w:pStyle w:val="Caption"/>
        <w:rPr>
          <w:rFonts w:ascii="Arial Narrow" w:hAnsi="Arial Narrow" w:cs="Tahoma"/>
          <w:u w:val="single"/>
        </w:rPr>
      </w:pPr>
      <w:bookmarkStart w:id="211" w:name="_Ref506303600"/>
      <w:bookmarkStart w:id="212" w:name="_Toc38360483"/>
      <w:r>
        <w:t>Figure 4.</w:t>
      </w:r>
      <w:r w:rsidR="003951FA">
        <w:rPr>
          <w:noProof/>
        </w:rPr>
        <w:t>17</w:t>
      </w:r>
      <w:bookmarkEnd w:id="211"/>
      <w:r>
        <w:tab/>
      </w:r>
      <w:r w:rsidR="0075777C" w:rsidRPr="00795577">
        <w:t xml:space="preserve">Forest plot showing the RR of </w:t>
      </w:r>
      <w:r w:rsidR="0075777C">
        <w:t>being hospitalised</w:t>
      </w:r>
      <w:r w:rsidR="0075777C" w:rsidRPr="00795577">
        <w:t xml:space="preserve"> </w:t>
      </w:r>
      <w:r w:rsidR="003507C5">
        <w:t xml:space="preserve">due to </w:t>
      </w:r>
      <w:r w:rsidR="007E3E71">
        <w:t xml:space="preserve">worsening </w:t>
      </w:r>
      <w:r w:rsidR="003507C5">
        <w:t xml:space="preserve">PAH </w:t>
      </w:r>
      <w:r w:rsidR="0075777C" w:rsidRPr="00795577">
        <w:t xml:space="preserve">while being treated with </w:t>
      </w:r>
      <w:r w:rsidR="0075777C">
        <w:t xml:space="preserve">a PDE-5 inhibitor and </w:t>
      </w:r>
      <w:r w:rsidR="0075777C" w:rsidRPr="00795577">
        <w:t xml:space="preserve">an ERA compared with </w:t>
      </w:r>
      <w:r w:rsidR="0075777C">
        <w:t>an ERA alone</w:t>
      </w:r>
      <w:r w:rsidR="0075777C" w:rsidRPr="00795577">
        <w:t xml:space="preserve"> in </w:t>
      </w:r>
      <w:r w:rsidR="0075777C">
        <w:t>all PAH patients</w:t>
      </w:r>
      <w:bookmarkEnd w:id="212"/>
    </w:p>
    <w:p w:rsidR="007064B3" w:rsidRPr="006316DF" w:rsidRDefault="0075777C" w:rsidP="00200D9E">
      <w:pPr>
        <w:pStyle w:val="Tablenote"/>
      </w:pPr>
      <w:r w:rsidRPr="00795577">
        <w:t>CI = confidence interval; ERA =</w:t>
      </w:r>
      <w:r>
        <w:t xml:space="preserve"> </w:t>
      </w:r>
      <w:r w:rsidR="0006512A">
        <w:t>endothelin receptor</w:t>
      </w:r>
      <w:r>
        <w:t xml:space="preserve"> antagonist</w:t>
      </w:r>
      <w:r w:rsidRPr="00795577">
        <w:t xml:space="preserve">; N = number of patients; </w:t>
      </w:r>
      <w:r w:rsidR="007064B3" w:rsidRPr="00715D78">
        <w:t xml:space="preserve">PAH = pulmonary arterial hypertension; </w:t>
      </w:r>
      <w:r>
        <w:t xml:space="preserve">PDE-5i = </w:t>
      </w:r>
      <w:r w:rsidRPr="002C2E5D">
        <w:t>phosphodiesterase type-5 inhibitor</w:t>
      </w:r>
      <w:r>
        <w:t>;</w:t>
      </w:r>
      <w:r w:rsidRPr="002C2E5D">
        <w:t xml:space="preserve"> </w:t>
      </w:r>
      <w:r w:rsidRPr="00795577">
        <w:t>RR = relative risk</w:t>
      </w:r>
    </w:p>
    <w:p w:rsidR="0075777C" w:rsidRPr="00822C52" w:rsidRDefault="0077344D" w:rsidP="0075777C">
      <w:pPr>
        <w:pStyle w:val="Heading5"/>
      </w:pPr>
      <w:r>
        <w:t>d.</w:t>
      </w:r>
      <w:r w:rsidR="007B6C7C">
        <w:tab/>
      </w:r>
      <w:r w:rsidR="0075777C" w:rsidRPr="00822C52">
        <w:t xml:space="preserve">Change in WHO </w:t>
      </w:r>
      <w:r w:rsidR="0075777C">
        <w:t>FC</w:t>
      </w:r>
      <w:r w:rsidR="007B6C7C">
        <w:t xml:space="preserve"> from baseline</w:t>
      </w:r>
    </w:p>
    <w:p w:rsidR="0075777C" w:rsidRPr="00822C52" w:rsidRDefault="0075777C" w:rsidP="0075777C">
      <w:r>
        <w:t xml:space="preserve">Four RCTs reported on the effectiveness of a </w:t>
      </w:r>
      <w:r w:rsidRPr="00157F57">
        <w:t xml:space="preserve">PDE-5 inhibitor </w:t>
      </w:r>
      <w:r>
        <w:t>and an</w:t>
      </w:r>
      <w:r w:rsidRPr="00157F57">
        <w:t xml:space="preserve"> ERA compared with </w:t>
      </w:r>
      <w:r>
        <w:t xml:space="preserve">an </w:t>
      </w:r>
      <w:r w:rsidRPr="00157F57">
        <w:t>ERA</w:t>
      </w:r>
      <w:r>
        <w:t xml:space="preserve"> alone</w:t>
      </w:r>
      <w:r w:rsidRPr="00157F57">
        <w:t xml:space="preserve"> in </w:t>
      </w:r>
      <w:r>
        <w:t>improving WHO FC</w:t>
      </w:r>
      <w:r w:rsidRPr="00157F57">
        <w:t xml:space="preserve"> in PAH patients</w:t>
      </w:r>
      <w:r>
        <w:t xml:space="preserve"> of any WHO FC and disease aetiology. The PHIRST trial also rep</w:t>
      </w:r>
      <w:r w:rsidR="00302512">
        <w:t>orted clinical worsening in I</w:t>
      </w:r>
      <w:r>
        <w:t>PAH</w:t>
      </w:r>
      <w:r w:rsidR="00302512">
        <w:t>/HPAH</w:t>
      </w:r>
      <w:r>
        <w:t xml:space="preserve"> and PAH-CTD patient subgroups.</w:t>
      </w:r>
    </w:p>
    <w:p w:rsidR="0075777C" w:rsidRPr="00B607A5" w:rsidRDefault="0077344D" w:rsidP="0077344D">
      <w:pPr>
        <w:pStyle w:val="Heading6"/>
      </w:pPr>
      <w:proofErr w:type="gramStart"/>
      <w:r w:rsidRPr="00B607A5">
        <w:t>d</w:t>
      </w:r>
      <w:r w:rsidR="0075777C" w:rsidRPr="00B607A5">
        <w:t>.i</w:t>
      </w:r>
      <w:proofErr w:type="gramEnd"/>
      <w:r w:rsidR="0075777C" w:rsidRPr="00B607A5">
        <w:tab/>
        <w:t>PAH patients, irrespective of disease severity or aetiology</w:t>
      </w:r>
    </w:p>
    <w:p w:rsidR="0075777C" w:rsidRDefault="0075777C" w:rsidP="0075777C">
      <w:r>
        <w:t xml:space="preserve">In three </w:t>
      </w:r>
      <w:proofErr w:type="gramStart"/>
      <w:r>
        <w:t>RCTs</w:t>
      </w:r>
      <w:proofErr w:type="gramEnd"/>
      <w:r>
        <w:t xml:space="preserve"> a greater proportion of patients receiving combination therapy improved their WHO FC over the study period compared with patients receiving monotherapy. However, in the PHIRST trial more patients in the monotherapy group improved compared to those in the combination therapy group (</w:t>
      </w:r>
      <w:r w:rsidR="003951FA">
        <w:t>Table 4.</w:t>
      </w:r>
      <w:r w:rsidR="003951FA">
        <w:rPr>
          <w:noProof/>
        </w:rPr>
        <w:t>65</w:t>
      </w:r>
      <w:r>
        <w:t xml:space="preserve">). More patients in the monotherapy group worsened compared with the combination therapy group in all four studies. Meta-analysis </w:t>
      </w:r>
      <w:r w:rsidRPr="006316DF">
        <w:t xml:space="preserve">of the RR of </w:t>
      </w:r>
      <w:r>
        <w:t>improving the WHO FC</w:t>
      </w:r>
      <w:r w:rsidRPr="006316DF">
        <w:t xml:space="preserve"> when being treated with </w:t>
      </w:r>
      <w:r>
        <w:t xml:space="preserve">a </w:t>
      </w:r>
      <w:r w:rsidRPr="002C2E5D">
        <w:t xml:space="preserve">PDE-5 inhibitor plus </w:t>
      </w:r>
      <w:r w:rsidRPr="006316DF">
        <w:t xml:space="preserve">an ERA compared with </w:t>
      </w:r>
      <w:r>
        <w:t>an ERA alone showed no significant difference between the two treatment groups (</w:t>
      </w:r>
      <w:r w:rsidR="003951FA">
        <w:t>Figure 4.</w:t>
      </w:r>
      <w:r w:rsidR="003951FA">
        <w:rPr>
          <w:noProof/>
        </w:rPr>
        <w:t>18</w:t>
      </w:r>
      <w:r>
        <w:t xml:space="preserve">). However, the pooled RR for worsening of WHO FC favoured combination therapy over monotherapy with a 40% reduction in risk but did not quite </w:t>
      </w:r>
      <w:r w:rsidR="00D60D8E">
        <w:t>reach statistical significance.</w:t>
      </w:r>
    </w:p>
    <w:p w:rsidR="0075777C" w:rsidRPr="00DD7790" w:rsidRDefault="00272F8F" w:rsidP="00BC5A2B">
      <w:pPr>
        <w:pStyle w:val="Caption"/>
      </w:pPr>
      <w:bookmarkStart w:id="213" w:name="_Ref504398880"/>
      <w:bookmarkStart w:id="214" w:name="_Toc38360362"/>
      <w:r>
        <w:t>Table 4.</w:t>
      </w:r>
      <w:r w:rsidR="003951FA">
        <w:rPr>
          <w:noProof/>
        </w:rPr>
        <w:t>65</w:t>
      </w:r>
      <w:bookmarkEnd w:id="213"/>
      <w:r w:rsidR="00200D9E">
        <w:tab/>
      </w:r>
      <w:r w:rsidR="0075777C" w:rsidRPr="00DD7790">
        <w:t xml:space="preserve">The effectiveness of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DD7790">
        <w:t xml:space="preserve"> </w:t>
      </w:r>
      <w:r w:rsidR="0075777C" w:rsidRPr="00DD7790">
        <w:t>in improving WHO FC in all patients with PAH</w:t>
      </w:r>
      <w:bookmarkEnd w:id="214"/>
    </w:p>
    <w:tbl>
      <w:tblPr>
        <w:tblStyle w:val="TableGrid7"/>
        <w:tblW w:w="9634" w:type="dxa"/>
        <w:tblLayout w:type="fixed"/>
        <w:tblLook w:val="04A0" w:firstRow="1" w:lastRow="0" w:firstColumn="1" w:lastColumn="0" w:noHBand="0" w:noVBand="1"/>
        <w:tblCaption w:val="The effectiveness of a PDE-5 inhibitor in addition to an ERA compared with ERA monotherapy in improving WHO FC in all patients with PAH"/>
      </w:tblPr>
      <w:tblGrid>
        <w:gridCol w:w="2263"/>
        <w:gridCol w:w="1276"/>
        <w:gridCol w:w="2126"/>
        <w:gridCol w:w="1985"/>
        <w:gridCol w:w="1984"/>
      </w:tblGrid>
      <w:tr w:rsidR="0075777C" w:rsidRPr="00822C52" w:rsidTr="00503643">
        <w:trPr>
          <w:trHeight w:val="365"/>
          <w:tblHeader/>
        </w:trPr>
        <w:tc>
          <w:tcPr>
            <w:tcW w:w="2263" w:type="dxa"/>
            <w:vMerge w:val="restart"/>
            <w:shd w:val="clear" w:color="auto" w:fill="BFBFBF" w:themeFill="background1" w:themeFillShade="BF"/>
          </w:tcPr>
          <w:p w:rsidR="0075777C" w:rsidRPr="00200D9E" w:rsidRDefault="0075777C" w:rsidP="00200D9E">
            <w:pPr>
              <w:pStyle w:val="Tabletext"/>
              <w:rPr>
                <w:b/>
              </w:rPr>
            </w:pPr>
            <w:r w:rsidRPr="00200D9E">
              <w:rPr>
                <w:b/>
              </w:rPr>
              <w:t>Study ID</w:t>
            </w:r>
          </w:p>
          <w:p w:rsidR="0075777C" w:rsidRPr="00200D9E" w:rsidRDefault="0075777C" w:rsidP="00200D9E">
            <w:pPr>
              <w:pStyle w:val="Tabletext"/>
              <w:rPr>
                <w:b/>
              </w:rPr>
            </w:pPr>
            <w:r w:rsidRPr="00200D9E">
              <w:rPr>
                <w:b/>
              </w:rPr>
              <w:t>Follow-up period</w:t>
            </w:r>
          </w:p>
          <w:p w:rsidR="0075777C" w:rsidRPr="00200D9E" w:rsidRDefault="0075777C" w:rsidP="00200D9E">
            <w:pPr>
              <w:pStyle w:val="Tabletext"/>
              <w:rPr>
                <w:b/>
              </w:rPr>
            </w:pPr>
            <w:r w:rsidRPr="00200D9E">
              <w:rPr>
                <w:b/>
              </w:rPr>
              <w:t>PDE-5i/ERA</w:t>
            </w:r>
          </w:p>
        </w:tc>
        <w:tc>
          <w:tcPr>
            <w:tcW w:w="1276" w:type="dxa"/>
            <w:vMerge w:val="restart"/>
            <w:shd w:val="clear" w:color="auto" w:fill="BFBFBF" w:themeFill="background1" w:themeFillShade="BF"/>
          </w:tcPr>
          <w:p w:rsidR="0075777C" w:rsidRPr="00200D9E" w:rsidRDefault="0075777C" w:rsidP="00200D9E">
            <w:pPr>
              <w:pStyle w:val="Tabletext"/>
              <w:rPr>
                <w:b/>
              </w:rPr>
            </w:pPr>
            <w:r w:rsidRPr="00200D9E">
              <w:rPr>
                <w:b/>
              </w:rPr>
              <w:t>Change in WHO FC</w:t>
            </w:r>
          </w:p>
        </w:tc>
        <w:tc>
          <w:tcPr>
            <w:tcW w:w="4111" w:type="dxa"/>
            <w:gridSpan w:val="2"/>
            <w:shd w:val="clear" w:color="auto" w:fill="BFBFBF" w:themeFill="background1" w:themeFillShade="BF"/>
          </w:tcPr>
          <w:p w:rsidR="0075777C" w:rsidRPr="00200D9E" w:rsidRDefault="0075777C" w:rsidP="00200D9E">
            <w:pPr>
              <w:pStyle w:val="Tabletext"/>
              <w:jc w:val="center"/>
              <w:rPr>
                <w:b/>
              </w:rPr>
            </w:pPr>
            <w:proofErr w:type="gramStart"/>
            <w:r w:rsidRPr="00200D9E">
              <w:rPr>
                <w:b/>
              </w:rPr>
              <w:t>n/N</w:t>
            </w:r>
            <w:proofErr w:type="gramEnd"/>
            <w:r w:rsidRPr="00200D9E">
              <w:rPr>
                <w:b/>
              </w:rPr>
              <w:t xml:space="preserve"> (%)</w:t>
            </w:r>
          </w:p>
        </w:tc>
        <w:tc>
          <w:tcPr>
            <w:tcW w:w="1984" w:type="dxa"/>
            <w:vMerge w:val="restart"/>
            <w:shd w:val="clear" w:color="auto" w:fill="BFBFBF" w:themeFill="background1" w:themeFillShade="BF"/>
          </w:tcPr>
          <w:p w:rsidR="0075777C" w:rsidRPr="00200D9E" w:rsidRDefault="0075777C" w:rsidP="00200D9E">
            <w:pPr>
              <w:pStyle w:val="Tabletext"/>
              <w:rPr>
                <w:b/>
              </w:rPr>
            </w:pPr>
            <w:r w:rsidRPr="00200D9E">
              <w:rPr>
                <w:b/>
              </w:rPr>
              <w:t>RR (95% CI)</w:t>
            </w:r>
          </w:p>
        </w:tc>
      </w:tr>
      <w:tr w:rsidR="0075777C" w:rsidRPr="00822C52" w:rsidTr="00503643">
        <w:trPr>
          <w:trHeight w:val="202"/>
          <w:tblHeader/>
        </w:trPr>
        <w:tc>
          <w:tcPr>
            <w:tcW w:w="2263" w:type="dxa"/>
            <w:vMerge/>
            <w:shd w:val="clear" w:color="auto" w:fill="BFBFBF" w:themeFill="background1" w:themeFillShade="BF"/>
          </w:tcPr>
          <w:p w:rsidR="0075777C" w:rsidRPr="00822C52" w:rsidRDefault="0075777C" w:rsidP="00200D9E">
            <w:pPr>
              <w:pStyle w:val="Tabletext"/>
            </w:pPr>
          </w:p>
        </w:tc>
        <w:tc>
          <w:tcPr>
            <w:tcW w:w="1276" w:type="dxa"/>
            <w:vMerge/>
            <w:shd w:val="clear" w:color="auto" w:fill="BFBFBF" w:themeFill="background1" w:themeFillShade="BF"/>
          </w:tcPr>
          <w:p w:rsidR="0075777C" w:rsidRPr="00822C52" w:rsidRDefault="0075777C" w:rsidP="00200D9E">
            <w:pPr>
              <w:pStyle w:val="Tabletext"/>
            </w:pPr>
          </w:p>
        </w:tc>
        <w:tc>
          <w:tcPr>
            <w:tcW w:w="2126" w:type="dxa"/>
            <w:shd w:val="clear" w:color="auto" w:fill="BFBFBF" w:themeFill="background1" w:themeFillShade="BF"/>
          </w:tcPr>
          <w:p w:rsidR="0075777C" w:rsidRPr="00200D9E" w:rsidRDefault="0075777C" w:rsidP="00200D9E">
            <w:pPr>
              <w:pStyle w:val="Tabletext"/>
              <w:jc w:val="center"/>
              <w:rPr>
                <w:b/>
              </w:rPr>
            </w:pPr>
            <w:r w:rsidRPr="00200D9E">
              <w:rPr>
                <w:b/>
              </w:rPr>
              <w:t>PDE-5i + ERA</w:t>
            </w:r>
          </w:p>
        </w:tc>
        <w:tc>
          <w:tcPr>
            <w:tcW w:w="1985" w:type="dxa"/>
            <w:shd w:val="clear" w:color="auto" w:fill="BFBFBF" w:themeFill="background1" w:themeFillShade="BF"/>
          </w:tcPr>
          <w:p w:rsidR="0075777C" w:rsidRPr="00200D9E" w:rsidRDefault="0075777C" w:rsidP="00200D9E">
            <w:pPr>
              <w:pStyle w:val="Tabletext"/>
              <w:jc w:val="center"/>
              <w:rPr>
                <w:b/>
              </w:rPr>
            </w:pPr>
            <w:r w:rsidRPr="00200D9E">
              <w:rPr>
                <w:b/>
              </w:rPr>
              <w:t>ERA</w:t>
            </w:r>
          </w:p>
        </w:tc>
        <w:tc>
          <w:tcPr>
            <w:tcW w:w="1984" w:type="dxa"/>
            <w:vMerge/>
            <w:shd w:val="clear" w:color="auto" w:fill="BFBFBF" w:themeFill="background1" w:themeFillShade="BF"/>
          </w:tcPr>
          <w:p w:rsidR="0075777C" w:rsidRPr="00822C52" w:rsidRDefault="0075777C" w:rsidP="00200D9E">
            <w:pPr>
              <w:pStyle w:val="Tabletext"/>
            </w:pPr>
          </w:p>
        </w:tc>
      </w:tr>
      <w:tr w:rsidR="0075777C" w:rsidRPr="00822C52" w:rsidTr="00503643">
        <w:trPr>
          <w:trHeight w:val="70"/>
        </w:trPr>
        <w:tc>
          <w:tcPr>
            <w:tcW w:w="2263" w:type="dxa"/>
            <w:vMerge w:val="restart"/>
          </w:tcPr>
          <w:p w:rsidR="0075777C" w:rsidRPr="00822C52" w:rsidRDefault="0075777C" w:rsidP="00200D9E">
            <w:pPr>
              <w:pStyle w:val="Tabletext"/>
            </w:pPr>
            <w:r w:rsidRPr="00822C52">
              <w:t>AMBITION</w:t>
            </w:r>
            <w:r w:rsidR="001D34EE" w:rsidRPr="001A1C44">
              <w:rPr>
                <w:noProof/>
                <w:vertAlign w:val="superscript"/>
              </w:rPr>
              <w:t>30</w:t>
            </w:r>
          </w:p>
          <w:p w:rsidR="0075777C" w:rsidRPr="00822C52" w:rsidRDefault="0075777C" w:rsidP="00200D9E">
            <w:pPr>
              <w:pStyle w:val="Tabletext"/>
            </w:pPr>
            <w:r w:rsidRPr="00822C52">
              <w:t>24 weeks</w:t>
            </w:r>
          </w:p>
          <w:p w:rsidR="0075777C" w:rsidRPr="00822C52" w:rsidRDefault="0075777C" w:rsidP="00200D9E">
            <w:pPr>
              <w:pStyle w:val="Tabletext"/>
              <w:rPr>
                <w:rFonts w:cs="Tahoma"/>
              </w:rPr>
            </w:pPr>
            <w:r w:rsidRPr="00822C52">
              <w:rPr>
                <w:rFonts w:cs="Tahoma"/>
              </w:rPr>
              <w:t>Tadalafil/ambrisentan</w:t>
            </w:r>
          </w:p>
        </w:tc>
        <w:tc>
          <w:tcPr>
            <w:tcW w:w="1276" w:type="dxa"/>
          </w:tcPr>
          <w:p w:rsidR="0075777C" w:rsidRPr="00822C52" w:rsidRDefault="0075777C" w:rsidP="00200D9E">
            <w:pPr>
              <w:pStyle w:val="Tabletext"/>
              <w:rPr>
                <w:rFonts w:cs="Tahoma"/>
              </w:rPr>
            </w:pPr>
            <w:r w:rsidRPr="00822C52">
              <w:rPr>
                <w:rFonts w:cs="Tahoma"/>
              </w:rPr>
              <w:t>Improved</w:t>
            </w:r>
          </w:p>
        </w:tc>
        <w:tc>
          <w:tcPr>
            <w:tcW w:w="2126" w:type="dxa"/>
          </w:tcPr>
          <w:p w:rsidR="0075777C" w:rsidRPr="00822C52" w:rsidRDefault="0075777C" w:rsidP="00200D9E">
            <w:pPr>
              <w:pStyle w:val="Tabletext"/>
              <w:jc w:val="center"/>
              <w:rPr>
                <w:rFonts w:cs="Tahoma"/>
              </w:rPr>
            </w:pPr>
            <w:r w:rsidRPr="00822C52">
              <w:rPr>
                <w:rFonts w:cs="Tahoma"/>
              </w:rPr>
              <w:t>94/252 (37%)</w:t>
            </w:r>
          </w:p>
        </w:tc>
        <w:tc>
          <w:tcPr>
            <w:tcW w:w="1985" w:type="dxa"/>
          </w:tcPr>
          <w:p w:rsidR="0075777C" w:rsidRPr="00822C52" w:rsidRDefault="0075777C" w:rsidP="00200D9E">
            <w:pPr>
              <w:pStyle w:val="Tabletext"/>
              <w:jc w:val="center"/>
              <w:rPr>
                <w:rFonts w:cs="Tahoma"/>
              </w:rPr>
            </w:pPr>
            <w:r w:rsidRPr="00822C52">
              <w:rPr>
                <w:rFonts w:cs="Tahoma"/>
              </w:rPr>
              <w:t>42/124 (34%)</w:t>
            </w:r>
          </w:p>
        </w:tc>
        <w:tc>
          <w:tcPr>
            <w:tcW w:w="1984" w:type="dxa"/>
          </w:tcPr>
          <w:p w:rsidR="0075777C" w:rsidRPr="00822C52" w:rsidRDefault="0075777C" w:rsidP="00200D9E">
            <w:pPr>
              <w:pStyle w:val="Tabletext"/>
              <w:rPr>
                <w:rFonts w:cs="Tahoma"/>
              </w:rPr>
            </w:pPr>
            <w:r>
              <w:rPr>
                <w:rFonts w:cs="Tahoma"/>
              </w:rPr>
              <w:t>1.10 (0.82, 1.48)</w:t>
            </w:r>
          </w:p>
        </w:tc>
      </w:tr>
      <w:tr w:rsidR="0075777C" w:rsidRPr="00822C52" w:rsidTr="00503643">
        <w:trPr>
          <w:trHeight w:val="70"/>
        </w:trPr>
        <w:tc>
          <w:tcPr>
            <w:tcW w:w="2263" w:type="dxa"/>
            <w:vMerge/>
          </w:tcPr>
          <w:p w:rsidR="0075777C" w:rsidRPr="00822C52" w:rsidRDefault="0075777C" w:rsidP="00200D9E">
            <w:pPr>
              <w:pStyle w:val="Tabletext"/>
              <w:rPr>
                <w:rFonts w:cs="Tahoma"/>
              </w:rPr>
            </w:pPr>
          </w:p>
        </w:tc>
        <w:tc>
          <w:tcPr>
            <w:tcW w:w="1276" w:type="dxa"/>
          </w:tcPr>
          <w:p w:rsidR="0075777C" w:rsidRPr="00822C52" w:rsidRDefault="0075777C" w:rsidP="00200D9E">
            <w:pPr>
              <w:pStyle w:val="Tabletext"/>
              <w:rPr>
                <w:rFonts w:cs="Tahoma"/>
              </w:rPr>
            </w:pPr>
            <w:r w:rsidRPr="00822C52">
              <w:rPr>
                <w:rFonts w:cs="Tahoma"/>
              </w:rPr>
              <w:t>Worsened</w:t>
            </w:r>
          </w:p>
        </w:tc>
        <w:tc>
          <w:tcPr>
            <w:tcW w:w="2126" w:type="dxa"/>
          </w:tcPr>
          <w:p w:rsidR="0075777C" w:rsidRPr="00822C52" w:rsidRDefault="0075777C" w:rsidP="00200D9E">
            <w:pPr>
              <w:pStyle w:val="Tabletext"/>
              <w:jc w:val="center"/>
              <w:rPr>
                <w:rFonts w:cs="Tahoma"/>
              </w:rPr>
            </w:pPr>
            <w:r w:rsidRPr="00822C52">
              <w:rPr>
                <w:rFonts w:cs="Tahoma"/>
              </w:rPr>
              <w:t>12/252 (5%)</w:t>
            </w:r>
          </w:p>
        </w:tc>
        <w:tc>
          <w:tcPr>
            <w:tcW w:w="1985" w:type="dxa"/>
          </w:tcPr>
          <w:p w:rsidR="0075777C" w:rsidRPr="00822C52" w:rsidRDefault="0075777C" w:rsidP="00200D9E">
            <w:pPr>
              <w:pStyle w:val="Tabletext"/>
              <w:jc w:val="center"/>
              <w:rPr>
                <w:rFonts w:cs="Tahoma"/>
              </w:rPr>
            </w:pPr>
            <w:r w:rsidRPr="00822C52">
              <w:rPr>
                <w:rFonts w:cs="Tahoma"/>
              </w:rPr>
              <w:t>9/124 (7%)</w:t>
            </w:r>
          </w:p>
        </w:tc>
        <w:tc>
          <w:tcPr>
            <w:tcW w:w="1984" w:type="dxa"/>
          </w:tcPr>
          <w:p w:rsidR="0075777C" w:rsidRPr="00822C52" w:rsidRDefault="0075777C" w:rsidP="00200D9E">
            <w:pPr>
              <w:pStyle w:val="Tabletext"/>
              <w:rPr>
                <w:rFonts w:cs="Tahoma"/>
              </w:rPr>
            </w:pPr>
            <w:r>
              <w:rPr>
                <w:rFonts w:cs="Tahoma"/>
              </w:rPr>
              <w:t>0.66 (0.28, 1.52)</w:t>
            </w:r>
          </w:p>
        </w:tc>
      </w:tr>
      <w:tr w:rsidR="0075777C" w:rsidRPr="00822C52" w:rsidTr="00503643">
        <w:trPr>
          <w:trHeight w:val="70"/>
        </w:trPr>
        <w:tc>
          <w:tcPr>
            <w:tcW w:w="2263" w:type="dxa"/>
            <w:vMerge w:val="restart"/>
          </w:tcPr>
          <w:p w:rsidR="0075777C" w:rsidRDefault="0075777C" w:rsidP="00200D9E">
            <w:pPr>
              <w:pStyle w:val="Tabletext"/>
            </w:pPr>
            <w:r>
              <w:t>PHIRST</w:t>
            </w:r>
          </w:p>
          <w:p w:rsidR="0075777C" w:rsidRPr="00822C52" w:rsidRDefault="0075777C" w:rsidP="00200D9E">
            <w:pPr>
              <w:pStyle w:val="Tabletext"/>
            </w:pPr>
            <w:r>
              <w:t>Barst et al</w:t>
            </w:r>
            <w:r w:rsidRPr="00822C52">
              <w:t xml:space="preserve"> (2011)</w:t>
            </w:r>
            <w:r w:rsidR="001D34EE" w:rsidRPr="001A1C44">
              <w:rPr>
                <w:noProof/>
                <w:vertAlign w:val="superscript"/>
              </w:rPr>
              <w:t>45</w:t>
            </w:r>
          </w:p>
          <w:p w:rsidR="0075777C" w:rsidRPr="00822C52" w:rsidRDefault="0075777C" w:rsidP="00200D9E">
            <w:pPr>
              <w:pStyle w:val="Tabletext"/>
            </w:pPr>
            <w:r w:rsidRPr="00822C52">
              <w:t>16 weeks</w:t>
            </w:r>
          </w:p>
          <w:p w:rsidR="0075777C" w:rsidRPr="00822C52" w:rsidRDefault="0075777C" w:rsidP="00200D9E">
            <w:pPr>
              <w:pStyle w:val="Tabletext"/>
              <w:rPr>
                <w:rFonts w:cs="Tahoma"/>
              </w:rPr>
            </w:pPr>
            <w:r w:rsidRPr="00822C52">
              <w:t>Tadalafil/bosentan</w:t>
            </w:r>
          </w:p>
        </w:tc>
        <w:tc>
          <w:tcPr>
            <w:tcW w:w="1276" w:type="dxa"/>
          </w:tcPr>
          <w:p w:rsidR="0075777C" w:rsidRPr="00822C52" w:rsidRDefault="0075777C" w:rsidP="00200D9E">
            <w:pPr>
              <w:pStyle w:val="Tabletext"/>
              <w:rPr>
                <w:rFonts w:cs="Tahoma"/>
              </w:rPr>
            </w:pPr>
            <w:r w:rsidRPr="00822C52">
              <w:rPr>
                <w:rFonts w:cs="Tahoma"/>
              </w:rPr>
              <w:t>Improved</w:t>
            </w:r>
          </w:p>
        </w:tc>
        <w:tc>
          <w:tcPr>
            <w:tcW w:w="2126" w:type="dxa"/>
          </w:tcPr>
          <w:p w:rsidR="0075777C" w:rsidRPr="00822C52" w:rsidRDefault="0075777C" w:rsidP="00200D9E">
            <w:pPr>
              <w:pStyle w:val="Tabletext"/>
              <w:jc w:val="center"/>
              <w:rPr>
                <w:rFonts w:cs="Tahoma"/>
              </w:rPr>
            </w:pPr>
            <w:r w:rsidRPr="00822C52">
              <w:rPr>
                <w:rFonts w:cs="Tahoma"/>
              </w:rPr>
              <w:t>4/42 (10%)</w:t>
            </w:r>
          </w:p>
        </w:tc>
        <w:tc>
          <w:tcPr>
            <w:tcW w:w="1985" w:type="dxa"/>
          </w:tcPr>
          <w:p w:rsidR="0075777C" w:rsidRPr="00822C52" w:rsidRDefault="0075777C" w:rsidP="00200D9E">
            <w:pPr>
              <w:pStyle w:val="Tabletext"/>
              <w:jc w:val="center"/>
              <w:rPr>
                <w:rFonts w:cs="Tahoma"/>
              </w:rPr>
            </w:pPr>
            <w:r w:rsidRPr="00822C52">
              <w:rPr>
                <w:rFonts w:cs="Tahoma"/>
              </w:rPr>
              <w:t>11/45 (24%)</w:t>
            </w:r>
          </w:p>
        </w:tc>
        <w:tc>
          <w:tcPr>
            <w:tcW w:w="1984" w:type="dxa"/>
          </w:tcPr>
          <w:p w:rsidR="0075777C" w:rsidRPr="00822C52" w:rsidRDefault="0075777C" w:rsidP="00200D9E">
            <w:pPr>
              <w:pStyle w:val="Tabletext"/>
              <w:rPr>
                <w:rFonts w:cs="Tahoma"/>
              </w:rPr>
            </w:pPr>
            <w:r>
              <w:rPr>
                <w:rFonts w:cs="Tahoma"/>
              </w:rPr>
              <w:t>0.39 (0.13, 1.13)</w:t>
            </w:r>
          </w:p>
        </w:tc>
      </w:tr>
      <w:tr w:rsidR="0075777C" w:rsidRPr="00822C52" w:rsidTr="00503643">
        <w:trPr>
          <w:trHeight w:val="70"/>
        </w:trPr>
        <w:tc>
          <w:tcPr>
            <w:tcW w:w="2263" w:type="dxa"/>
            <w:vMerge/>
          </w:tcPr>
          <w:p w:rsidR="0075777C" w:rsidRPr="00822C52" w:rsidRDefault="0075777C" w:rsidP="00200D9E">
            <w:pPr>
              <w:pStyle w:val="Tabletext"/>
              <w:rPr>
                <w:rFonts w:cs="Tahoma"/>
              </w:rPr>
            </w:pPr>
          </w:p>
        </w:tc>
        <w:tc>
          <w:tcPr>
            <w:tcW w:w="1276" w:type="dxa"/>
          </w:tcPr>
          <w:p w:rsidR="0075777C" w:rsidRPr="00822C52" w:rsidRDefault="0075777C" w:rsidP="00200D9E">
            <w:pPr>
              <w:pStyle w:val="Tabletext"/>
              <w:rPr>
                <w:rFonts w:cs="Tahoma"/>
              </w:rPr>
            </w:pPr>
            <w:r w:rsidRPr="00822C52">
              <w:rPr>
                <w:rFonts w:cs="Tahoma"/>
              </w:rPr>
              <w:t>Worsened</w:t>
            </w:r>
          </w:p>
        </w:tc>
        <w:tc>
          <w:tcPr>
            <w:tcW w:w="2126" w:type="dxa"/>
          </w:tcPr>
          <w:p w:rsidR="0075777C" w:rsidRPr="00822C52" w:rsidRDefault="0075777C" w:rsidP="00200D9E">
            <w:pPr>
              <w:pStyle w:val="Tabletext"/>
              <w:jc w:val="center"/>
              <w:rPr>
                <w:rFonts w:cs="Tahoma"/>
              </w:rPr>
            </w:pPr>
            <w:r w:rsidRPr="00822C52">
              <w:rPr>
                <w:rFonts w:cs="Tahoma"/>
              </w:rPr>
              <w:t>4/42 (10%)</w:t>
            </w:r>
          </w:p>
        </w:tc>
        <w:tc>
          <w:tcPr>
            <w:tcW w:w="1985" w:type="dxa"/>
          </w:tcPr>
          <w:p w:rsidR="0075777C" w:rsidRPr="00822C52" w:rsidRDefault="0075777C" w:rsidP="00200D9E">
            <w:pPr>
              <w:pStyle w:val="Tabletext"/>
              <w:jc w:val="center"/>
              <w:rPr>
                <w:rFonts w:cs="Tahoma"/>
              </w:rPr>
            </w:pPr>
            <w:r w:rsidRPr="00822C52">
              <w:rPr>
                <w:rFonts w:cs="Tahoma"/>
              </w:rPr>
              <w:t>5/45 (11%)</w:t>
            </w:r>
          </w:p>
        </w:tc>
        <w:tc>
          <w:tcPr>
            <w:tcW w:w="1984" w:type="dxa"/>
          </w:tcPr>
          <w:p w:rsidR="0075777C" w:rsidRPr="00822C52" w:rsidRDefault="0075777C" w:rsidP="00200D9E">
            <w:pPr>
              <w:pStyle w:val="Tabletext"/>
              <w:rPr>
                <w:rFonts w:cs="Tahoma"/>
              </w:rPr>
            </w:pPr>
            <w:r>
              <w:rPr>
                <w:rFonts w:cs="Tahoma"/>
              </w:rPr>
              <w:t>0.86 (0.25, 2.98)</w:t>
            </w:r>
          </w:p>
        </w:tc>
      </w:tr>
      <w:tr w:rsidR="0075777C" w:rsidRPr="00822C52" w:rsidTr="00503643">
        <w:trPr>
          <w:trHeight w:val="70"/>
        </w:trPr>
        <w:tc>
          <w:tcPr>
            <w:tcW w:w="2263" w:type="dxa"/>
            <w:vMerge w:val="restart"/>
          </w:tcPr>
          <w:p w:rsidR="0075777C" w:rsidRPr="00822C52" w:rsidRDefault="0075777C" w:rsidP="00200D9E">
            <w:pPr>
              <w:pStyle w:val="Tabletext"/>
            </w:pPr>
            <w:r w:rsidRPr="00822C52">
              <w:t>Zhuang 2014</w:t>
            </w:r>
            <w:r w:rsidR="001D34EE" w:rsidRPr="001A1C44">
              <w:rPr>
                <w:noProof/>
                <w:vertAlign w:val="superscript"/>
              </w:rPr>
              <w:t>50</w:t>
            </w:r>
          </w:p>
          <w:p w:rsidR="0075777C" w:rsidRPr="00822C52" w:rsidRDefault="0075777C" w:rsidP="00200D9E">
            <w:pPr>
              <w:pStyle w:val="Tabletext"/>
            </w:pPr>
            <w:r w:rsidRPr="00822C52">
              <w:t>16 weeks</w:t>
            </w:r>
          </w:p>
          <w:p w:rsidR="0075777C" w:rsidRPr="00822C52" w:rsidRDefault="0075777C" w:rsidP="00200D9E">
            <w:pPr>
              <w:pStyle w:val="Tabletext"/>
              <w:rPr>
                <w:rFonts w:cs="Tahoma"/>
              </w:rPr>
            </w:pPr>
            <w:r w:rsidRPr="00822C52">
              <w:t>Tadalafil/ambrisentan</w:t>
            </w:r>
          </w:p>
        </w:tc>
        <w:tc>
          <w:tcPr>
            <w:tcW w:w="1276" w:type="dxa"/>
          </w:tcPr>
          <w:p w:rsidR="0075777C" w:rsidRPr="00822C52" w:rsidRDefault="0075777C" w:rsidP="00200D9E">
            <w:pPr>
              <w:pStyle w:val="Tabletext"/>
              <w:rPr>
                <w:rFonts w:cs="Tahoma"/>
              </w:rPr>
            </w:pPr>
            <w:r w:rsidRPr="00822C52">
              <w:rPr>
                <w:rFonts w:cs="Tahoma"/>
              </w:rPr>
              <w:t>Improved</w:t>
            </w:r>
          </w:p>
        </w:tc>
        <w:tc>
          <w:tcPr>
            <w:tcW w:w="2126" w:type="dxa"/>
          </w:tcPr>
          <w:p w:rsidR="0075777C" w:rsidRPr="00822C52" w:rsidRDefault="0075777C" w:rsidP="00200D9E">
            <w:pPr>
              <w:pStyle w:val="Tabletext"/>
              <w:jc w:val="center"/>
              <w:rPr>
                <w:rFonts w:cs="Tahoma"/>
              </w:rPr>
            </w:pPr>
            <w:r w:rsidRPr="00822C52">
              <w:rPr>
                <w:rFonts w:cs="Tahoma"/>
              </w:rPr>
              <w:t>26/60 (43%)</w:t>
            </w:r>
          </w:p>
        </w:tc>
        <w:tc>
          <w:tcPr>
            <w:tcW w:w="1985" w:type="dxa"/>
          </w:tcPr>
          <w:p w:rsidR="0075777C" w:rsidRPr="00822C52" w:rsidRDefault="0075777C" w:rsidP="00200D9E">
            <w:pPr>
              <w:pStyle w:val="Tabletext"/>
              <w:jc w:val="center"/>
              <w:rPr>
                <w:rFonts w:cs="Tahoma"/>
              </w:rPr>
            </w:pPr>
            <w:r w:rsidRPr="00822C52">
              <w:rPr>
                <w:rFonts w:cs="Tahoma"/>
              </w:rPr>
              <w:t>20/64 (31%)</w:t>
            </w:r>
          </w:p>
        </w:tc>
        <w:tc>
          <w:tcPr>
            <w:tcW w:w="1984" w:type="dxa"/>
          </w:tcPr>
          <w:p w:rsidR="0075777C" w:rsidRPr="00822C52" w:rsidRDefault="0075777C" w:rsidP="00200D9E">
            <w:pPr>
              <w:pStyle w:val="Tabletext"/>
              <w:rPr>
                <w:rFonts w:cs="Tahoma"/>
              </w:rPr>
            </w:pPr>
            <w:r>
              <w:rPr>
                <w:rFonts w:cs="Tahoma"/>
              </w:rPr>
              <w:t>1.39 (0.87, 2.21)</w:t>
            </w:r>
          </w:p>
        </w:tc>
      </w:tr>
      <w:tr w:rsidR="0075777C" w:rsidRPr="00822C52" w:rsidTr="00503643">
        <w:trPr>
          <w:trHeight w:val="70"/>
        </w:trPr>
        <w:tc>
          <w:tcPr>
            <w:tcW w:w="2263" w:type="dxa"/>
            <w:vMerge/>
          </w:tcPr>
          <w:p w:rsidR="0075777C" w:rsidRPr="00822C52" w:rsidRDefault="0075777C" w:rsidP="00200D9E">
            <w:pPr>
              <w:pStyle w:val="Tabletext"/>
              <w:rPr>
                <w:rFonts w:cs="Tahoma"/>
              </w:rPr>
            </w:pPr>
          </w:p>
        </w:tc>
        <w:tc>
          <w:tcPr>
            <w:tcW w:w="1276" w:type="dxa"/>
          </w:tcPr>
          <w:p w:rsidR="0075777C" w:rsidRPr="00822C52" w:rsidRDefault="0075777C" w:rsidP="00200D9E">
            <w:pPr>
              <w:pStyle w:val="Tabletext"/>
              <w:rPr>
                <w:rFonts w:cs="Tahoma"/>
              </w:rPr>
            </w:pPr>
            <w:r w:rsidRPr="00822C52">
              <w:rPr>
                <w:rFonts w:cs="Tahoma"/>
              </w:rPr>
              <w:t>Worsened</w:t>
            </w:r>
          </w:p>
        </w:tc>
        <w:tc>
          <w:tcPr>
            <w:tcW w:w="2126" w:type="dxa"/>
          </w:tcPr>
          <w:p w:rsidR="0075777C" w:rsidRPr="00822C52" w:rsidRDefault="0075777C" w:rsidP="00200D9E">
            <w:pPr>
              <w:pStyle w:val="Tabletext"/>
              <w:jc w:val="center"/>
              <w:rPr>
                <w:rFonts w:cs="Tahoma"/>
              </w:rPr>
            </w:pPr>
            <w:r w:rsidRPr="00822C52">
              <w:rPr>
                <w:rFonts w:cs="Tahoma"/>
              </w:rPr>
              <w:t>5/60 (8%)</w:t>
            </w:r>
          </w:p>
        </w:tc>
        <w:tc>
          <w:tcPr>
            <w:tcW w:w="1985" w:type="dxa"/>
          </w:tcPr>
          <w:p w:rsidR="0075777C" w:rsidRPr="00822C52" w:rsidRDefault="0075777C" w:rsidP="00200D9E">
            <w:pPr>
              <w:pStyle w:val="Tabletext"/>
              <w:jc w:val="center"/>
              <w:rPr>
                <w:rFonts w:cs="Tahoma"/>
              </w:rPr>
            </w:pPr>
            <w:r w:rsidRPr="00822C52">
              <w:rPr>
                <w:rFonts w:cs="Tahoma"/>
              </w:rPr>
              <w:t>12/64 (19%)</w:t>
            </w:r>
          </w:p>
        </w:tc>
        <w:tc>
          <w:tcPr>
            <w:tcW w:w="1984" w:type="dxa"/>
          </w:tcPr>
          <w:p w:rsidR="0075777C" w:rsidRPr="00822C52" w:rsidRDefault="0075777C" w:rsidP="00200D9E">
            <w:pPr>
              <w:pStyle w:val="Tabletext"/>
              <w:rPr>
                <w:rFonts w:cs="Tahoma"/>
              </w:rPr>
            </w:pPr>
            <w:r>
              <w:rPr>
                <w:rFonts w:cs="Tahoma"/>
              </w:rPr>
              <w:t>0.44 (0.17, 1.19)</w:t>
            </w:r>
          </w:p>
        </w:tc>
      </w:tr>
      <w:tr w:rsidR="0075777C" w:rsidRPr="00822C52" w:rsidTr="00503643">
        <w:trPr>
          <w:trHeight w:val="70"/>
        </w:trPr>
        <w:tc>
          <w:tcPr>
            <w:tcW w:w="2263" w:type="dxa"/>
            <w:vMerge w:val="restart"/>
          </w:tcPr>
          <w:p w:rsidR="0075777C" w:rsidRPr="00822C52" w:rsidRDefault="0075777C" w:rsidP="00200D9E">
            <w:pPr>
              <w:pStyle w:val="Tabletext"/>
            </w:pPr>
            <w:r w:rsidRPr="00822C52">
              <w:t>Vizza 2017</w:t>
            </w:r>
            <w:r w:rsidR="001D34EE" w:rsidRPr="001A1C44">
              <w:rPr>
                <w:noProof/>
                <w:vertAlign w:val="superscript"/>
              </w:rPr>
              <w:t>49</w:t>
            </w:r>
          </w:p>
          <w:p w:rsidR="0075777C" w:rsidRPr="00822C52" w:rsidRDefault="0075777C" w:rsidP="00200D9E">
            <w:pPr>
              <w:pStyle w:val="Tabletext"/>
            </w:pPr>
            <w:r w:rsidRPr="00822C52">
              <w:t>12 weeks</w:t>
            </w:r>
          </w:p>
          <w:p w:rsidR="0075777C" w:rsidRPr="00822C52" w:rsidRDefault="0075777C" w:rsidP="00200D9E">
            <w:pPr>
              <w:pStyle w:val="Tabletext"/>
              <w:rPr>
                <w:rFonts w:cs="Tahoma"/>
              </w:rPr>
            </w:pPr>
            <w:r w:rsidRPr="00822C52">
              <w:t>Sildenafil/bosentan</w:t>
            </w:r>
          </w:p>
        </w:tc>
        <w:tc>
          <w:tcPr>
            <w:tcW w:w="1276" w:type="dxa"/>
          </w:tcPr>
          <w:p w:rsidR="0075777C" w:rsidRPr="00822C52" w:rsidRDefault="0075777C" w:rsidP="00200D9E">
            <w:pPr>
              <w:pStyle w:val="Tabletext"/>
              <w:rPr>
                <w:rFonts w:cs="Tahoma"/>
              </w:rPr>
            </w:pPr>
            <w:r w:rsidRPr="00822C52">
              <w:rPr>
                <w:rFonts w:cs="Tahoma"/>
              </w:rPr>
              <w:t>Improved</w:t>
            </w:r>
          </w:p>
        </w:tc>
        <w:tc>
          <w:tcPr>
            <w:tcW w:w="2126" w:type="dxa"/>
          </w:tcPr>
          <w:p w:rsidR="0075777C" w:rsidRPr="00822C52" w:rsidRDefault="0075777C" w:rsidP="00200D9E">
            <w:pPr>
              <w:pStyle w:val="Tabletext"/>
              <w:jc w:val="center"/>
              <w:rPr>
                <w:rFonts w:cs="Tahoma"/>
              </w:rPr>
            </w:pPr>
            <w:r w:rsidRPr="00822C52">
              <w:rPr>
                <w:rFonts w:cs="Tahoma"/>
              </w:rPr>
              <w:t>10/51 (20%)</w:t>
            </w:r>
          </w:p>
        </w:tc>
        <w:tc>
          <w:tcPr>
            <w:tcW w:w="1985" w:type="dxa"/>
          </w:tcPr>
          <w:p w:rsidR="0075777C" w:rsidRPr="00822C52" w:rsidRDefault="0075777C" w:rsidP="00200D9E">
            <w:pPr>
              <w:pStyle w:val="Tabletext"/>
              <w:jc w:val="center"/>
              <w:rPr>
                <w:rFonts w:cs="Tahoma"/>
              </w:rPr>
            </w:pPr>
            <w:r w:rsidRPr="00822C52">
              <w:rPr>
                <w:rFonts w:cs="Tahoma"/>
              </w:rPr>
              <w:t>7/53 (13%)</w:t>
            </w:r>
          </w:p>
        </w:tc>
        <w:tc>
          <w:tcPr>
            <w:tcW w:w="1984" w:type="dxa"/>
          </w:tcPr>
          <w:p w:rsidR="0075777C" w:rsidRPr="00822C52" w:rsidRDefault="0075777C" w:rsidP="00200D9E">
            <w:pPr>
              <w:pStyle w:val="Tabletext"/>
              <w:rPr>
                <w:rFonts w:cs="Tahoma"/>
              </w:rPr>
            </w:pPr>
            <w:r>
              <w:rPr>
                <w:rFonts w:cs="Tahoma"/>
              </w:rPr>
              <w:t>1.48 (0.61, 3.60)</w:t>
            </w:r>
          </w:p>
        </w:tc>
      </w:tr>
      <w:tr w:rsidR="0075777C" w:rsidRPr="00822C52" w:rsidTr="00503643">
        <w:trPr>
          <w:trHeight w:val="70"/>
        </w:trPr>
        <w:tc>
          <w:tcPr>
            <w:tcW w:w="2263" w:type="dxa"/>
            <w:vMerge/>
          </w:tcPr>
          <w:p w:rsidR="0075777C" w:rsidRPr="00822C52" w:rsidRDefault="0075777C" w:rsidP="00200D9E">
            <w:pPr>
              <w:pStyle w:val="Tabletext"/>
              <w:rPr>
                <w:rFonts w:cs="Tahoma"/>
              </w:rPr>
            </w:pPr>
          </w:p>
        </w:tc>
        <w:tc>
          <w:tcPr>
            <w:tcW w:w="1276" w:type="dxa"/>
          </w:tcPr>
          <w:p w:rsidR="0075777C" w:rsidRPr="00822C52" w:rsidRDefault="0075777C" w:rsidP="00200D9E">
            <w:pPr>
              <w:pStyle w:val="Tabletext"/>
              <w:rPr>
                <w:rFonts w:cs="Tahoma"/>
              </w:rPr>
            </w:pPr>
            <w:r w:rsidRPr="00822C52">
              <w:rPr>
                <w:rFonts w:cs="Tahoma"/>
              </w:rPr>
              <w:t>Worsened</w:t>
            </w:r>
          </w:p>
        </w:tc>
        <w:tc>
          <w:tcPr>
            <w:tcW w:w="2126" w:type="dxa"/>
          </w:tcPr>
          <w:p w:rsidR="0075777C" w:rsidRPr="00822C52" w:rsidRDefault="0075777C" w:rsidP="00200D9E">
            <w:pPr>
              <w:pStyle w:val="Tabletext"/>
              <w:jc w:val="center"/>
              <w:rPr>
                <w:rFonts w:cs="Tahoma"/>
              </w:rPr>
            </w:pPr>
            <w:r w:rsidRPr="00822C52">
              <w:rPr>
                <w:rFonts w:cs="Tahoma"/>
              </w:rPr>
              <w:t>0/51 (0%)</w:t>
            </w:r>
          </w:p>
        </w:tc>
        <w:tc>
          <w:tcPr>
            <w:tcW w:w="1985" w:type="dxa"/>
          </w:tcPr>
          <w:p w:rsidR="0075777C" w:rsidRPr="00822C52" w:rsidRDefault="0075777C" w:rsidP="00200D9E">
            <w:pPr>
              <w:pStyle w:val="Tabletext"/>
              <w:jc w:val="center"/>
              <w:rPr>
                <w:rFonts w:cs="Tahoma"/>
              </w:rPr>
            </w:pPr>
            <w:r w:rsidRPr="00822C52">
              <w:rPr>
                <w:rFonts w:cs="Tahoma"/>
              </w:rPr>
              <w:t>1/53 (2%)</w:t>
            </w:r>
          </w:p>
        </w:tc>
        <w:tc>
          <w:tcPr>
            <w:tcW w:w="1984" w:type="dxa"/>
          </w:tcPr>
          <w:p w:rsidR="0075777C" w:rsidRPr="00822C52" w:rsidRDefault="0075777C" w:rsidP="00200D9E">
            <w:pPr>
              <w:pStyle w:val="Tabletext"/>
              <w:rPr>
                <w:rFonts w:cs="Tahoma"/>
              </w:rPr>
            </w:pPr>
            <w:r>
              <w:rPr>
                <w:rFonts w:cs="Tahoma"/>
              </w:rPr>
              <w:t>0 (not calculable)</w:t>
            </w:r>
          </w:p>
        </w:tc>
      </w:tr>
    </w:tbl>
    <w:p w:rsidR="005035F1" w:rsidRDefault="0075777C" w:rsidP="00A03E34">
      <w:pPr>
        <w:pStyle w:val="Tablenote"/>
      </w:pPr>
      <w:r w:rsidRPr="00822C52">
        <w:t>CI = confidence interval; ERA = endothelin receptor antagonist; FC = functional class; n = number of</w:t>
      </w:r>
      <w:r w:rsidR="00575ECF">
        <w:t xml:space="preserve"> patients with</w:t>
      </w:r>
      <w:r w:rsidRPr="00822C52">
        <w:t xml:space="preserve"> events; N = number of patients; PAH = pulmonary arterial hypertension; </w:t>
      </w:r>
      <w:r>
        <w:t>PDE-5i</w:t>
      </w:r>
      <w:r w:rsidRPr="00822C52">
        <w:t xml:space="preserve"> = phosphodiesterase type-5 inhibitor; </w:t>
      </w:r>
      <w:r w:rsidR="007064B3" w:rsidRPr="00822C52">
        <w:t xml:space="preserve">RR = relative risk; </w:t>
      </w:r>
      <w:r w:rsidRPr="00822C52">
        <w:t>WHO = World Health Organization</w:t>
      </w:r>
    </w:p>
    <w:p w:rsidR="0075777C" w:rsidRDefault="003B436F" w:rsidP="00200D9E">
      <w:pPr>
        <w:spacing w:after="40" w:line="240" w:lineRule="auto"/>
        <w:jc w:val="center"/>
      </w:pPr>
      <w:r>
        <w:rPr>
          <w:noProof/>
          <w:lang w:eastAsia="en-AU"/>
        </w:rPr>
        <w:drawing>
          <wp:inline distT="0" distB="0" distL="0" distR="0" wp14:anchorId="2BDD9097" wp14:editId="6E00B710">
            <wp:extent cx="6080078" cy="3569995"/>
            <wp:effectExtent l="0" t="0" r="0" b="0"/>
            <wp:docPr id="28" name="Picture 28" descr="The estimated RR for improved WHO FC from the meta-analysis was 1.11 (95% CI 0.77, 1.60). The estimated RR for worsened WHO FC from the meta-analysis was 0.60 (95% CI 0.34, 1.05). " title="Forest plot showing the RR of improving or worsening the PAH WHO FC while being treated with a PDE-5 inhibitor and an ERA compared with an ERA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6098469" cy="3580793"/>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795577" w:rsidRDefault="00200D9E" w:rsidP="00BC5A2B">
      <w:pPr>
        <w:pStyle w:val="Caption"/>
        <w:rPr>
          <w:rFonts w:ascii="Arial Narrow" w:hAnsi="Arial Narrow" w:cs="Tahoma"/>
          <w:u w:val="single"/>
        </w:rPr>
      </w:pPr>
      <w:bookmarkStart w:id="215" w:name="_Ref506477607"/>
      <w:bookmarkStart w:id="216" w:name="_Toc38360484"/>
      <w:r>
        <w:t>Figure 4.</w:t>
      </w:r>
      <w:r w:rsidR="003951FA">
        <w:rPr>
          <w:noProof/>
        </w:rPr>
        <w:t>18</w:t>
      </w:r>
      <w:bookmarkEnd w:id="215"/>
      <w:r>
        <w:tab/>
      </w:r>
      <w:r w:rsidR="0075777C" w:rsidRPr="00795577">
        <w:t xml:space="preserve">Forest plot showing the RR of </w:t>
      </w:r>
      <w:r w:rsidR="0075777C">
        <w:t>improving or worsening the PAH WHO FC</w:t>
      </w:r>
      <w:r w:rsidR="0075777C" w:rsidRPr="00795577">
        <w:t xml:space="preserve"> while being treated with </w:t>
      </w:r>
      <w:r w:rsidR="0075777C">
        <w:t xml:space="preserve">a PDE-5 inhibitor and </w:t>
      </w:r>
      <w:r w:rsidR="0075777C" w:rsidRPr="00795577">
        <w:t xml:space="preserve">an ERA compared with </w:t>
      </w:r>
      <w:r w:rsidR="0075777C">
        <w:t>an ERA alone</w:t>
      </w:r>
      <w:r w:rsidR="0075777C" w:rsidRPr="00795577">
        <w:t xml:space="preserve"> in </w:t>
      </w:r>
      <w:r w:rsidR="0075777C">
        <w:t>all PAH patients</w:t>
      </w:r>
      <w:bookmarkEnd w:id="216"/>
    </w:p>
    <w:p w:rsidR="00575ECF" w:rsidRPr="006316DF" w:rsidRDefault="0075777C" w:rsidP="00200D9E">
      <w:pPr>
        <w:pStyle w:val="Tablenote"/>
      </w:pPr>
      <w:r w:rsidRPr="00795577">
        <w:t>CI = confidence interval; ERA =</w:t>
      </w:r>
      <w:r>
        <w:t xml:space="preserve"> </w:t>
      </w:r>
      <w:r w:rsidR="0006512A">
        <w:t>endothelin receptor</w:t>
      </w:r>
      <w:r>
        <w:t xml:space="preserve"> antagonist</w:t>
      </w:r>
      <w:r w:rsidRPr="00795577">
        <w:t xml:space="preserve">; </w:t>
      </w:r>
      <w:r w:rsidR="00575ECF" w:rsidRPr="006F774E">
        <w:t xml:space="preserve">FC = functional class; </w:t>
      </w:r>
      <w:r w:rsidRPr="00795577">
        <w:t xml:space="preserve">N = number of patients; </w:t>
      </w:r>
      <w:r w:rsidR="00575ECF" w:rsidRPr="00715D78">
        <w:t xml:space="preserve">PAH = pulmonary arterial hypertension; </w:t>
      </w:r>
      <w:r>
        <w:t xml:space="preserve">PDE-5i = </w:t>
      </w:r>
      <w:r w:rsidRPr="002C2E5D">
        <w:t>phosphodiesterase type-5 inhibitor</w:t>
      </w:r>
      <w:r>
        <w:t>;</w:t>
      </w:r>
      <w:r w:rsidRPr="002C2E5D">
        <w:t xml:space="preserve"> </w:t>
      </w:r>
      <w:r w:rsidRPr="00795577">
        <w:t>RR = relative risk</w:t>
      </w:r>
      <w:r w:rsidR="00575ECF" w:rsidRPr="00F20C66">
        <w:t xml:space="preserve">; </w:t>
      </w:r>
      <w:r w:rsidR="00575ECF" w:rsidRPr="009E3B52">
        <w:t>WHO = World Health Organization</w:t>
      </w:r>
    </w:p>
    <w:p w:rsidR="0075777C" w:rsidRPr="00822C52" w:rsidRDefault="007B6C7C" w:rsidP="0075777C">
      <w:pPr>
        <w:pStyle w:val="Heading5"/>
      </w:pPr>
      <w:r>
        <w:t>e</w:t>
      </w:r>
      <w:r w:rsidR="002E4833">
        <w:t>.</w:t>
      </w:r>
      <w:r>
        <w:tab/>
      </w:r>
      <w:r w:rsidR="0075777C" w:rsidRPr="00822C52">
        <w:t>Change in 6MWD from baseline</w:t>
      </w:r>
    </w:p>
    <w:p w:rsidR="0075777C" w:rsidRPr="00822C52" w:rsidRDefault="0075777C" w:rsidP="0075777C">
      <w:r>
        <w:t xml:space="preserve">Five RCTs reported on the effectiveness of </w:t>
      </w:r>
      <w:r w:rsidRPr="00157F57">
        <w:t xml:space="preserve">PDE-5 inhibitor </w:t>
      </w:r>
      <w:proofErr w:type="gramStart"/>
      <w:r>
        <w:t>plus</w:t>
      </w:r>
      <w:proofErr w:type="gramEnd"/>
      <w:r>
        <w:t xml:space="preserve"> an</w:t>
      </w:r>
      <w:r w:rsidRPr="00157F57">
        <w:t xml:space="preserve"> ERA compared with placebo </w:t>
      </w:r>
      <w:r>
        <w:t>plus</w:t>
      </w:r>
      <w:r w:rsidRPr="00157F57">
        <w:t xml:space="preserve"> ERA in </w:t>
      </w:r>
      <w:r>
        <w:t>improving 6MWD</w:t>
      </w:r>
      <w:r w:rsidRPr="00157F57">
        <w:t xml:space="preserve"> in PAH patients</w:t>
      </w:r>
      <w:r>
        <w:t xml:space="preserve"> of any WHO FC and disease aetiology. Two RCTs reported on the change in 6MWD for the WHO FC III/IV subgroup and two RCTs reported </w:t>
      </w:r>
      <w:r w:rsidRPr="00A8723A">
        <w:t xml:space="preserve">on the change in 6MWD </w:t>
      </w:r>
      <w:r w:rsidR="00302512">
        <w:t>in the I</w:t>
      </w:r>
      <w:r>
        <w:t>PAH</w:t>
      </w:r>
      <w:r w:rsidR="00302512">
        <w:t>/HPAH</w:t>
      </w:r>
      <w:r>
        <w:t xml:space="preserve"> and PAH-CTD patient subgroups.</w:t>
      </w:r>
    </w:p>
    <w:p w:rsidR="0075777C" w:rsidRPr="00B607A5" w:rsidRDefault="007B6C7C" w:rsidP="0077344D">
      <w:pPr>
        <w:pStyle w:val="Heading6"/>
      </w:pPr>
      <w:proofErr w:type="gramStart"/>
      <w:r w:rsidRPr="00B607A5">
        <w:t>e</w:t>
      </w:r>
      <w:r w:rsidR="0075777C" w:rsidRPr="00B607A5">
        <w:t>.i</w:t>
      </w:r>
      <w:proofErr w:type="gramEnd"/>
      <w:r w:rsidR="0075777C" w:rsidRPr="00B607A5">
        <w:tab/>
        <w:t>PAH patients, irrespective of disease severity or aetiology</w:t>
      </w:r>
    </w:p>
    <w:p w:rsidR="0075777C" w:rsidRDefault="0075777C" w:rsidP="0075777C">
      <w:r>
        <w:t xml:space="preserve">Three RCTs reported the mean or median change from baseline in 6MWD. All three of these studies showed a clinically significant improvement in the combination therapy group (over 40 m; </w:t>
      </w:r>
      <w:r w:rsidR="003951FA">
        <w:t>Table 4.</w:t>
      </w:r>
      <w:r w:rsidR="003951FA">
        <w:rPr>
          <w:noProof/>
        </w:rPr>
        <w:t>66</w:t>
      </w:r>
      <w:r>
        <w:t>) but not in the monotherapy group (18–27</w:t>
      </w:r>
      <w:r w:rsidR="00B60655">
        <w:t> </w:t>
      </w:r>
      <w:r>
        <w:t>m improvement). The mean difference between the combination therapy and monotherapy groups was statistically significant in two studies but only clinically significant in the Zhuang 2014 RCT.</w:t>
      </w:r>
    </w:p>
    <w:p w:rsidR="0075777C" w:rsidRPr="00822C52" w:rsidRDefault="0075777C" w:rsidP="0075777C">
      <w:r>
        <w:t xml:space="preserve">The remaining two studies only reported the mean difference in 6MWD between the combination therapy and monotherapy groups. Only the </w:t>
      </w:r>
      <w:r w:rsidRPr="00EC6477">
        <w:t>Mainguy 2013</w:t>
      </w:r>
      <w:r>
        <w:t xml:space="preserve"> RCT showed a statistically significant difference </w:t>
      </w:r>
      <w:r w:rsidRPr="00EC6477">
        <w:t xml:space="preserve">in 6MWD </w:t>
      </w:r>
      <w:r>
        <w:t xml:space="preserve">favouring </w:t>
      </w:r>
      <w:r w:rsidRPr="00EC6477">
        <w:t xml:space="preserve">combination therapy </w:t>
      </w:r>
      <w:r>
        <w:t xml:space="preserve">over </w:t>
      </w:r>
      <w:r w:rsidRPr="00EC6477">
        <w:t>monotherapy</w:t>
      </w:r>
      <w:r>
        <w:t xml:space="preserve"> but the distance was not clinically significant</w:t>
      </w:r>
      <w:r w:rsidRPr="00EC6477">
        <w:t>.</w:t>
      </w:r>
      <w:r>
        <w:t xml:space="preserve"> The other study showed no difference in change in 6MWD for combination therapy compared with monotherapy over the 12</w:t>
      </w:r>
      <w:r w:rsidR="00052F94">
        <w:noBreakHyphen/>
      </w:r>
      <w:r>
        <w:t>week study period.</w:t>
      </w:r>
    </w:p>
    <w:p w:rsidR="0075777C" w:rsidRDefault="00272F8F" w:rsidP="00BC5A2B">
      <w:pPr>
        <w:pStyle w:val="Caption"/>
      </w:pPr>
      <w:bookmarkStart w:id="217" w:name="_Ref504401925"/>
      <w:bookmarkStart w:id="218" w:name="_Toc38360363"/>
      <w:r>
        <w:t>Table 4.</w:t>
      </w:r>
      <w:r w:rsidR="003951FA">
        <w:rPr>
          <w:noProof/>
        </w:rPr>
        <w:t>66</w:t>
      </w:r>
      <w:bookmarkEnd w:id="217"/>
      <w:r w:rsidR="00757507">
        <w:tab/>
      </w:r>
      <w:r w:rsidR="0075777C" w:rsidRPr="00DD7790">
        <w:t xml:space="preserve">The effectiveness of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DD7790">
        <w:t xml:space="preserve"> </w:t>
      </w:r>
      <w:r w:rsidR="0075777C" w:rsidRPr="00DD7790">
        <w:t>in improving 6MWD in all PAH patients</w:t>
      </w:r>
      <w:bookmarkEnd w:id="218"/>
    </w:p>
    <w:tbl>
      <w:tblPr>
        <w:tblStyle w:val="TableGrid"/>
        <w:tblW w:w="9634" w:type="dxa"/>
        <w:tblLayout w:type="fixed"/>
        <w:tblLook w:val="04A0" w:firstRow="1" w:lastRow="0" w:firstColumn="1" w:lastColumn="0" w:noHBand="0" w:noVBand="1"/>
        <w:tblCaption w:val="The effectiveness of a PDE-5 inhibitor in addition to an ERA compared with ERA monotherapy in improving 6MWD in all PAH patients"/>
      </w:tblPr>
      <w:tblGrid>
        <w:gridCol w:w="1555"/>
        <w:gridCol w:w="992"/>
        <w:gridCol w:w="1204"/>
        <w:gridCol w:w="1347"/>
        <w:gridCol w:w="1276"/>
        <w:gridCol w:w="1559"/>
        <w:gridCol w:w="1701"/>
      </w:tblGrid>
      <w:tr w:rsidR="0075777C" w:rsidTr="00757507">
        <w:trPr>
          <w:cnfStyle w:val="100000000000" w:firstRow="1" w:lastRow="0" w:firstColumn="0" w:lastColumn="0" w:oddVBand="0" w:evenVBand="0" w:oddHBand="0" w:evenHBand="0" w:firstRowFirstColumn="0" w:firstRowLastColumn="0" w:lastRowFirstColumn="0" w:lastRowLastColumn="0"/>
        </w:trPr>
        <w:tc>
          <w:tcPr>
            <w:tcW w:w="1555" w:type="dxa"/>
            <w:vMerge w:val="restart"/>
            <w:shd w:val="clear" w:color="auto" w:fill="BFBFBF" w:themeFill="background1" w:themeFillShade="BF"/>
          </w:tcPr>
          <w:p w:rsidR="0075777C" w:rsidRPr="00757507" w:rsidRDefault="0075777C" w:rsidP="00757507">
            <w:pPr>
              <w:pStyle w:val="Tabletext"/>
              <w:rPr>
                <w:b/>
              </w:rPr>
            </w:pPr>
            <w:r w:rsidRPr="00757507">
              <w:rPr>
                <w:b/>
              </w:rPr>
              <w:t>Study ID</w:t>
            </w:r>
          </w:p>
          <w:p w:rsidR="0075777C" w:rsidRPr="00757507" w:rsidRDefault="0075777C" w:rsidP="00757507">
            <w:pPr>
              <w:pStyle w:val="Tabletext"/>
              <w:rPr>
                <w:b/>
              </w:rPr>
            </w:pPr>
            <w:r w:rsidRPr="00757507">
              <w:rPr>
                <w:b/>
              </w:rPr>
              <w:t>PDE-5i/ERA</w:t>
            </w:r>
          </w:p>
        </w:tc>
        <w:tc>
          <w:tcPr>
            <w:tcW w:w="992" w:type="dxa"/>
            <w:vMerge w:val="restart"/>
            <w:shd w:val="clear" w:color="auto" w:fill="BFBFBF" w:themeFill="background1" w:themeFillShade="BF"/>
          </w:tcPr>
          <w:p w:rsidR="0075777C" w:rsidRPr="00757507" w:rsidRDefault="0075777C" w:rsidP="00757507">
            <w:pPr>
              <w:pStyle w:val="Tabletext"/>
              <w:rPr>
                <w:b/>
              </w:rPr>
            </w:pPr>
            <w:r w:rsidRPr="00757507">
              <w:rPr>
                <w:b/>
              </w:rPr>
              <w:t>N</w:t>
            </w:r>
          </w:p>
          <w:p w:rsidR="0075777C" w:rsidRPr="00757507" w:rsidRDefault="0075777C" w:rsidP="00757507">
            <w:pPr>
              <w:pStyle w:val="Tabletext"/>
              <w:rPr>
                <w:b/>
              </w:rPr>
            </w:pPr>
            <w:r w:rsidRPr="00757507">
              <w:rPr>
                <w:b/>
              </w:rPr>
              <w:t>Follow-up period</w:t>
            </w:r>
          </w:p>
        </w:tc>
        <w:tc>
          <w:tcPr>
            <w:tcW w:w="2551" w:type="dxa"/>
            <w:gridSpan w:val="2"/>
            <w:shd w:val="clear" w:color="auto" w:fill="BFBFBF" w:themeFill="background1" w:themeFillShade="BF"/>
          </w:tcPr>
          <w:p w:rsidR="0075777C" w:rsidRPr="00757507" w:rsidRDefault="00AE77DC" w:rsidP="00AE77DC">
            <w:pPr>
              <w:pStyle w:val="Tabletext"/>
              <w:jc w:val="center"/>
              <w:rPr>
                <w:b/>
              </w:rPr>
            </w:pPr>
            <w:r>
              <w:rPr>
                <w:b/>
              </w:rPr>
              <w:t>M</w:t>
            </w:r>
            <w:r w:rsidR="0075777C" w:rsidRPr="00757507">
              <w:rPr>
                <w:b/>
              </w:rPr>
              <w:t xml:space="preserve">ean ± SD or median [IQR] </w:t>
            </w:r>
            <w:r>
              <w:rPr>
                <w:b/>
              </w:rPr>
              <w:t>b</w:t>
            </w:r>
            <w:r w:rsidRPr="00757507">
              <w:rPr>
                <w:b/>
              </w:rPr>
              <w:t>aseline</w:t>
            </w:r>
            <w:r>
              <w:rPr>
                <w:b/>
              </w:rPr>
              <w:t xml:space="preserve"> 6MWD,</w:t>
            </w:r>
            <w:r w:rsidRPr="00EC2524">
              <w:rPr>
                <w:b/>
              </w:rPr>
              <w:t xml:space="preserve"> </w:t>
            </w:r>
            <w:r w:rsidR="00503643">
              <w:rPr>
                <w:b/>
              </w:rPr>
              <w:t>metres</w:t>
            </w:r>
          </w:p>
        </w:tc>
        <w:tc>
          <w:tcPr>
            <w:tcW w:w="2835" w:type="dxa"/>
            <w:gridSpan w:val="2"/>
            <w:shd w:val="clear" w:color="auto" w:fill="BFBFBF" w:themeFill="background1" w:themeFillShade="BF"/>
          </w:tcPr>
          <w:p w:rsidR="0075777C" w:rsidRPr="00757507" w:rsidRDefault="0075777C" w:rsidP="00242BA3">
            <w:pPr>
              <w:pStyle w:val="Tabletext"/>
              <w:jc w:val="center"/>
              <w:rPr>
                <w:b/>
              </w:rPr>
            </w:pPr>
            <w:r w:rsidRPr="00757507">
              <w:rPr>
                <w:b/>
              </w:rPr>
              <w:t>Mean</w:t>
            </w:r>
            <w:r w:rsidR="00242BA3">
              <w:rPr>
                <w:b/>
              </w:rPr>
              <w:t xml:space="preserve"> ± SD </w:t>
            </w:r>
            <w:r w:rsidRPr="00757507">
              <w:rPr>
                <w:b/>
              </w:rPr>
              <w:t xml:space="preserve">(95% CI) or median [IQR] </w:t>
            </w:r>
            <w:r w:rsidRPr="00503643">
              <w:rPr>
                <w:rFonts w:cs="Arial"/>
                <w:b/>
              </w:rPr>
              <w:t>change from baseline</w:t>
            </w:r>
            <w:r w:rsidRPr="00757507">
              <w:rPr>
                <w:rFonts w:asciiTheme="minorHAnsi" w:hAnsiTheme="minorHAnsi"/>
                <w:b/>
              </w:rPr>
              <w:t>,</w:t>
            </w:r>
            <w:r w:rsidRPr="00757507">
              <w:rPr>
                <w:b/>
              </w:rPr>
              <w:t xml:space="preserve"> </w:t>
            </w:r>
            <w:r w:rsidR="00503643">
              <w:rPr>
                <w:b/>
              </w:rPr>
              <w:t>metres</w:t>
            </w:r>
          </w:p>
        </w:tc>
        <w:tc>
          <w:tcPr>
            <w:tcW w:w="1701" w:type="dxa"/>
            <w:vMerge w:val="restart"/>
            <w:shd w:val="clear" w:color="auto" w:fill="BFBFBF" w:themeFill="background1" w:themeFillShade="BF"/>
          </w:tcPr>
          <w:p w:rsidR="0075777C" w:rsidRPr="00757507" w:rsidRDefault="0075777C" w:rsidP="00757507">
            <w:pPr>
              <w:pStyle w:val="Tabletext"/>
              <w:rPr>
                <w:b/>
              </w:rPr>
            </w:pPr>
            <w:r w:rsidRPr="00503643">
              <w:rPr>
                <w:rFonts w:cs="Arial"/>
                <w:b/>
              </w:rPr>
              <w:t>Mean difference</w:t>
            </w:r>
            <w:r w:rsidRPr="00757507">
              <w:rPr>
                <w:rFonts w:asciiTheme="minorHAnsi" w:hAnsiTheme="minorHAnsi"/>
                <w:b/>
              </w:rPr>
              <w:t xml:space="preserve"> </w:t>
            </w:r>
            <w:r w:rsidRPr="00757507">
              <w:rPr>
                <w:b/>
              </w:rPr>
              <w:t xml:space="preserve">(95% CI), </w:t>
            </w:r>
            <w:r w:rsidR="00503643">
              <w:rPr>
                <w:b/>
              </w:rPr>
              <w:t>metres</w:t>
            </w:r>
          </w:p>
        </w:tc>
      </w:tr>
      <w:tr w:rsidR="0075777C" w:rsidTr="00757507">
        <w:tc>
          <w:tcPr>
            <w:tcW w:w="1555" w:type="dxa"/>
            <w:vMerge/>
          </w:tcPr>
          <w:p w:rsidR="0075777C" w:rsidRDefault="0075777C" w:rsidP="00757507">
            <w:pPr>
              <w:pStyle w:val="Tabletext"/>
            </w:pPr>
          </w:p>
        </w:tc>
        <w:tc>
          <w:tcPr>
            <w:tcW w:w="992" w:type="dxa"/>
            <w:vMerge/>
          </w:tcPr>
          <w:p w:rsidR="0075777C" w:rsidRDefault="0075777C" w:rsidP="00757507">
            <w:pPr>
              <w:pStyle w:val="Tabletext"/>
            </w:pPr>
          </w:p>
        </w:tc>
        <w:tc>
          <w:tcPr>
            <w:tcW w:w="1204"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PDE-5i + ERA</w:t>
            </w:r>
          </w:p>
        </w:tc>
        <w:tc>
          <w:tcPr>
            <w:tcW w:w="1347"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ERA</w:t>
            </w:r>
          </w:p>
        </w:tc>
        <w:tc>
          <w:tcPr>
            <w:tcW w:w="1276"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PDE-5i + ERA</w:t>
            </w:r>
          </w:p>
        </w:tc>
        <w:tc>
          <w:tcPr>
            <w:tcW w:w="1559"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ERA</w:t>
            </w:r>
          </w:p>
        </w:tc>
        <w:tc>
          <w:tcPr>
            <w:tcW w:w="1701" w:type="dxa"/>
            <w:vMerge/>
          </w:tcPr>
          <w:p w:rsidR="0075777C" w:rsidRDefault="0075777C" w:rsidP="00757507">
            <w:pPr>
              <w:pStyle w:val="Tabletext"/>
            </w:pPr>
          </w:p>
        </w:tc>
      </w:tr>
      <w:tr w:rsidR="0075777C" w:rsidTr="00757507">
        <w:tc>
          <w:tcPr>
            <w:tcW w:w="1555" w:type="dxa"/>
          </w:tcPr>
          <w:p w:rsidR="0075777C" w:rsidRPr="00757507" w:rsidRDefault="0075777C" w:rsidP="00757507">
            <w:pPr>
              <w:pStyle w:val="Tabletext"/>
            </w:pPr>
            <w:r w:rsidRPr="00757507">
              <w:t>AMBITION</w:t>
            </w:r>
            <w:r w:rsidR="001D34EE">
              <w:rPr>
                <w:noProof/>
                <w:vertAlign w:val="superscript"/>
              </w:rPr>
              <w:t>30</w:t>
            </w:r>
          </w:p>
          <w:p w:rsidR="0075777C" w:rsidRPr="00757507" w:rsidRDefault="00757507" w:rsidP="00757507">
            <w:pPr>
              <w:pStyle w:val="Tabletext"/>
            </w:pPr>
            <w:r>
              <w:t>Tadalafil/</w:t>
            </w:r>
            <w:r w:rsidR="0075777C" w:rsidRPr="00757507">
              <w:t>ambrisentan</w:t>
            </w:r>
          </w:p>
        </w:tc>
        <w:tc>
          <w:tcPr>
            <w:tcW w:w="992" w:type="dxa"/>
          </w:tcPr>
          <w:p w:rsidR="0075777C" w:rsidRPr="00757507" w:rsidRDefault="0075777C" w:rsidP="00757507">
            <w:pPr>
              <w:pStyle w:val="Tabletext"/>
            </w:pPr>
            <w:r w:rsidRPr="00757507">
              <w:t>N=379</w:t>
            </w:r>
          </w:p>
          <w:p w:rsidR="0075777C" w:rsidRPr="00757507" w:rsidRDefault="0075777C" w:rsidP="00757507">
            <w:pPr>
              <w:pStyle w:val="Tabletext"/>
            </w:pPr>
            <w:r w:rsidRPr="00757507">
              <w:t xml:space="preserve">24 weeks </w:t>
            </w:r>
          </w:p>
        </w:tc>
        <w:tc>
          <w:tcPr>
            <w:tcW w:w="1204" w:type="dxa"/>
          </w:tcPr>
          <w:p w:rsidR="0075777C" w:rsidRPr="00757507" w:rsidRDefault="0075777C" w:rsidP="00757507">
            <w:pPr>
              <w:pStyle w:val="Tabletext"/>
              <w:jc w:val="center"/>
            </w:pPr>
            <w:r w:rsidRPr="00757507">
              <w:t>357.0</w:t>
            </w:r>
            <w:r w:rsidRPr="00757507">
              <w:br/>
              <w:t>[292.0, 425.3]</w:t>
            </w:r>
          </w:p>
        </w:tc>
        <w:tc>
          <w:tcPr>
            <w:tcW w:w="1347" w:type="dxa"/>
          </w:tcPr>
          <w:p w:rsidR="0075777C" w:rsidRPr="00757507" w:rsidRDefault="0075777C" w:rsidP="00757507">
            <w:pPr>
              <w:pStyle w:val="Tabletext"/>
              <w:jc w:val="center"/>
            </w:pPr>
            <w:r w:rsidRPr="00757507">
              <w:t>368.5</w:t>
            </w:r>
            <w:r w:rsidRPr="00757507">
              <w:br/>
              <w:t>[310.0, 427.5]</w:t>
            </w:r>
          </w:p>
        </w:tc>
        <w:tc>
          <w:tcPr>
            <w:tcW w:w="1276" w:type="dxa"/>
          </w:tcPr>
          <w:p w:rsidR="0075777C" w:rsidRPr="00757507" w:rsidRDefault="0075777C" w:rsidP="00757507">
            <w:pPr>
              <w:pStyle w:val="Tabletext"/>
              <w:jc w:val="center"/>
            </w:pPr>
            <w:r w:rsidRPr="00757507">
              <w:t>49.0</w:t>
            </w:r>
            <w:r w:rsidRPr="00757507">
              <w:br/>
              <w:t>[4.6, 85.8]</w:t>
            </w:r>
          </w:p>
        </w:tc>
        <w:tc>
          <w:tcPr>
            <w:tcW w:w="1559" w:type="dxa"/>
          </w:tcPr>
          <w:p w:rsidR="0075777C" w:rsidRPr="00757507" w:rsidRDefault="0075777C" w:rsidP="00757507">
            <w:pPr>
              <w:pStyle w:val="Tabletext"/>
              <w:jc w:val="center"/>
            </w:pPr>
            <w:r w:rsidRPr="00757507">
              <w:t>27.0</w:t>
            </w:r>
            <w:r w:rsidRPr="00757507">
              <w:br/>
              <w:t>[-14.0, 63.3]</w:t>
            </w:r>
          </w:p>
        </w:tc>
        <w:tc>
          <w:tcPr>
            <w:tcW w:w="1701" w:type="dxa"/>
          </w:tcPr>
          <w:p w:rsidR="0075777C" w:rsidRPr="00757507" w:rsidRDefault="0075777C" w:rsidP="00242BA3">
            <w:pPr>
              <w:pStyle w:val="Tabletext"/>
            </w:pPr>
            <w:r w:rsidRPr="00757507">
              <w:t>22.0, p&lt;0.001</w:t>
            </w:r>
          </w:p>
        </w:tc>
      </w:tr>
      <w:tr w:rsidR="0075777C" w:rsidTr="00757507">
        <w:tc>
          <w:tcPr>
            <w:tcW w:w="1555" w:type="dxa"/>
          </w:tcPr>
          <w:p w:rsidR="0075777C" w:rsidRPr="00757507" w:rsidRDefault="0075777C" w:rsidP="00757507">
            <w:pPr>
              <w:pStyle w:val="Tabletext"/>
            </w:pPr>
            <w:r w:rsidRPr="00757507">
              <w:t>PHIRST</w:t>
            </w:r>
            <w:r w:rsidR="001D34EE">
              <w:rPr>
                <w:noProof/>
                <w:vertAlign w:val="superscript"/>
              </w:rPr>
              <w:t>12</w:t>
            </w:r>
          </w:p>
          <w:p w:rsidR="0075777C" w:rsidRPr="00757507" w:rsidRDefault="0075777C" w:rsidP="00757507">
            <w:pPr>
              <w:pStyle w:val="Tabletext"/>
            </w:pPr>
            <w:r w:rsidRPr="00757507">
              <w:t>Tadalafil/ bosentan</w:t>
            </w:r>
          </w:p>
        </w:tc>
        <w:tc>
          <w:tcPr>
            <w:tcW w:w="992" w:type="dxa"/>
          </w:tcPr>
          <w:p w:rsidR="0075777C" w:rsidRPr="00757507" w:rsidRDefault="0075777C" w:rsidP="00757507">
            <w:pPr>
              <w:pStyle w:val="Tabletext"/>
            </w:pPr>
            <w:r w:rsidRPr="00757507">
              <w:t>N=87</w:t>
            </w:r>
          </w:p>
          <w:p w:rsidR="0075777C" w:rsidRPr="00757507" w:rsidRDefault="0075777C" w:rsidP="00757507">
            <w:pPr>
              <w:pStyle w:val="Tabletext"/>
            </w:pPr>
            <w:r w:rsidRPr="00757507">
              <w:t>16 weeks</w:t>
            </w:r>
          </w:p>
        </w:tc>
        <w:tc>
          <w:tcPr>
            <w:tcW w:w="1204" w:type="dxa"/>
          </w:tcPr>
          <w:p w:rsidR="0075777C" w:rsidRPr="00757507" w:rsidRDefault="0075777C" w:rsidP="00757507">
            <w:pPr>
              <w:pStyle w:val="Tabletext"/>
              <w:jc w:val="center"/>
            </w:pPr>
            <w:r w:rsidRPr="00757507">
              <w:t>348.5 ± 84.9</w:t>
            </w:r>
          </w:p>
        </w:tc>
        <w:tc>
          <w:tcPr>
            <w:tcW w:w="1347" w:type="dxa"/>
          </w:tcPr>
          <w:p w:rsidR="0075777C" w:rsidRPr="00757507" w:rsidRDefault="0075777C" w:rsidP="00757507">
            <w:pPr>
              <w:pStyle w:val="Tabletext"/>
              <w:jc w:val="center"/>
            </w:pPr>
            <w:r w:rsidRPr="00757507">
              <w:t>360.9 ± 75.3</w:t>
            </w:r>
          </w:p>
        </w:tc>
        <w:tc>
          <w:tcPr>
            <w:tcW w:w="1276" w:type="dxa"/>
          </w:tcPr>
          <w:p w:rsidR="0075777C" w:rsidRPr="00757507" w:rsidRDefault="0075777C" w:rsidP="00757507">
            <w:pPr>
              <w:pStyle w:val="Tabletext"/>
              <w:jc w:val="center"/>
            </w:pPr>
            <w:r w:rsidRPr="00757507">
              <w:t>40.2</w:t>
            </w:r>
            <w:r w:rsidRPr="00757507">
              <w:br/>
              <w:t>(23.1, 57.2)</w:t>
            </w:r>
          </w:p>
        </w:tc>
        <w:tc>
          <w:tcPr>
            <w:tcW w:w="1559" w:type="dxa"/>
          </w:tcPr>
          <w:p w:rsidR="0075777C" w:rsidRPr="00757507" w:rsidRDefault="0075777C" w:rsidP="00757507">
            <w:pPr>
              <w:pStyle w:val="Tabletext"/>
              <w:jc w:val="center"/>
            </w:pPr>
            <w:r w:rsidRPr="00757507">
              <w:t>18.8</w:t>
            </w:r>
            <w:r w:rsidRPr="00757507">
              <w:br/>
              <w:t>(0.5, 37.2)</w:t>
            </w:r>
          </w:p>
        </w:tc>
        <w:tc>
          <w:tcPr>
            <w:tcW w:w="1701" w:type="dxa"/>
          </w:tcPr>
          <w:p w:rsidR="0075777C" w:rsidRPr="00757507" w:rsidRDefault="0075777C" w:rsidP="00757507">
            <w:pPr>
              <w:pStyle w:val="Tabletext"/>
            </w:pPr>
            <w:r w:rsidRPr="00757507">
              <w:t>22.7 (–2.4, 47.8), p=0.076</w:t>
            </w:r>
          </w:p>
        </w:tc>
      </w:tr>
      <w:tr w:rsidR="0075777C" w:rsidTr="00757507">
        <w:tc>
          <w:tcPr>
            <w:tcW w:w="1555" w:type="dxa"/>
          </w:tcPr>
          <w:p w:rsidR="0075777C" w:rsidRPr="00757507" w:rsidRDefault="0075777C" w:rsidP="00757507">
            <w:pPr>
              <w:pStyle w:val="Tabletext"/>
            </w:pPr>
            <w:r w:rsidRPr="00757507">
              <w:t>Zhuang 2014</w:t>
            </w:r>
            <w:r w:rsidR="001D34EE">
              <w:rPr>
                <w:noProof/>
                <w:vertAlign w:val="superscript"/>
              </w:rPr>
              <w:t>50</w:t>
            </w:r>
          </w:p>
          <w:p w:rsidR="0075777C" w:rsidRPr="00757507" w:rsidRDefault="00757507" w:rsidP="00757507">
            <w:pPr>
              <w:pStyle w:val="Tabletext"/>
            </w:pPr>
            <w:r>
              <w:t>Tadalafil/</w:t>
            </w:r>
            <w:r w:rsidR="0075777C" w:rsidRPr="00757507">
              <w:t>ambrisentan</w:t>
            </w:r>
          </w:p>
        </w:tc>
        <w:tc>
          <w:tcPr>
            <w:tcW w:w="992" w:type="dxa"/>
          </w:tcPr>
          <w:p w:rsidR="0075777C" w:rsidRPr="00757507" w:rsidRDefault="0075777C" w:rsidP="00757507">
            <w:pPr>
              <w:pStyle w:val="Tabletext"/>
            </w:pPr>
            <w:r w:rsidRPr="00757507">
              <w:t>N=124</w:t>
            </w:r>
          </w:p>
          <w:p w:rsidR="0075777C" w:rsidRPr="00757507" w:rsidRDefault="0075777C" w:rsidP="00757507">
            <w:pPr>
              <w:pStyle w:val="Tabletext"/>
            </w:pPr>
            <w:r w:rsidRPr="00757507">
              <w:t>16 weeks</w:t>
            </w:r>
          </w:p>
        </w:tc>
        <w:tc>
          <w:tcPr>
            <w:tcW w:w="1204" w:type="dxa"/>
          </w:tcPr>
          <w:p w:rsidR="0075777C" w:rsidRPr="00757507" w:rsidRDefault="0075777C" w:rsidP="00757507">
            <w:pPr>
              <w:pStyle w:val="Tabletext"/>
              <w:jc w:val="center"/>
            </w:pPr>
            <w:r w:rsidRPr="00757507">
              <w:t>NR</w:t>
            </w:r>
          </w:p>
        </w:tc>
        <w:tc>
          <w:tcPr>
            <w:tcW w:w="1347" w:type="dxa"/>
          </w:tcPr>
          <w:p w:rsidR="0075777C" w:rsidRPr="00757507" w:rsidRDefault="0075777C" w:rsidP="00757507">
            <w:pPr>
              <w:pStyle w:val="Tabletext"/>
              <w:jc w:val="center"/>
            </w:pPr>
            <w:r w:rsidRPr="00757507">
              <w:t>NR</w:t>
            </w:r>
          </w:p>
        </w:tc>
        <w:tc>
          <w:tcPr>
            <w:tcW w:w="1276" w:type="dxa"/>
          </w:tcPr>
          <w:p w:rsidR="0075777C" w:rsidRPr="00757507" w:rsidRDefault="0075777C" w:rsidP="00757507">
            <w:pPr>
              <w:pStyle w:val="Tabletext"/>
              <w:jc w:val="center"/>
            </w:pPr>
            <w:r w:rsidRPr="00757507">
              <w:t>54.4</w:t>
            </w:r>
            <w:r w:rsidRPr="00757507">
              <w:br/>
              <w:t>[30.2, 90.1]</w:t>
            </w:r>
          </w:p>
        </w:tc>
        <w:tc>
          <w:tcPr>
            <w:tcW w:w="1559" w:type="dxa"/>
          </w:tcPr>
          <w:p w:rsidR="0075777C" w:rsidRPr="00757507" w:rsidRDefault="0075777C" w:rsidP="00757507">
            <w:pPr>
              <w:pStyle w:val="Tabletext"/>
              <w:jc w:val="center"/>
            </w:pPr>
            <w:r w:rsidRPr="00757507">
              <w:t>18.3</w:t>
            </w:r>
            <w:r w:rsidRPr="00757507">
              <w:br/>
              <w:t>[4.3, 34.8]</w:t>
            </w:r>
          </w:p>
        </w:tc>
        <w:tc>
          <w:tcPr>
            <w:tcW w:w="1701" w:type="dxa"/>
          </w:tcPr>
          <w:p w:rsidR="0075777C" w:rsidRPr="00757507" w:rsidRDefault="0075777C" w:rsidP="00757507">
            <w:pPr>
              <w:pStyle w:val="Tabletext"/>
            </w:pPr>
            <w:r w:rsidRPr="00757507">
              <w:t>36.1, p&lt;0.05</w:t>
            </w:r>
          </w:p>
        </w:tc>
      </w:tr>
      <w:tr w:rsidR="0075777C" w:rsidTr="00757507">
        <w:tc>
          <w:tcPr>
            <w:tcW w:w="1555" w:type="dxa"/>
          </w:tcPr>
          <w:p w:rsidR="0075777C" w:rsidRPr="00757507" w:rsidRDefault="0075777C" w:rsidP="00757507">
            <w:pPr>
              <w:pStyle w:val="Tabletext"/>
            </w:pPr>
            <w:r w:rsidRPr="00757507">
              <w:t>Mainguy 2013</w:t>
            </w:r>
            <w:r w:rsidR="001D34EE">
              <w:rPr>
                <w:noProof/>
                <w:vertAlign w:val="superscript"/>
              </w:rPr>
              <w:t>39</w:t>
            </w:r>
            <w:r w:rsidRPr="00757507">
              <w:rPr>
                <w:vertAlign w:val="superscript"/>
              </w:rPr>
              <w:t xml:space="preserve"> a</w:t>
            </w:r>
          </w:p>
          <w:p w:rsidR="0075777C" w:rsidRPr="00757507" w:rsidRDefault="0075777C" w:rsidP="00757507">
            <w:pPr>
              <w:pStyle w:val="Tabletext"/>
            </w:pPr>
            <w:r w:rsidRPr="00757507">
              <w:t>Sildenafil/ERA</w:t>
            </w:r>
          </w:p>
        </w:tc>
        <w:tc>
          <w:tcPr>
            <w:tcW w:w="992" w:type="dxa"/>
          </w:tcPr>
          <w:p w:rsidR="0075777C" w:rsidRPr="00757507" w:rsidRDefault="0075777C" w:rsidP="00757507">
            <w:pPr>
              <w:pStyle w:val="Tabletext"/>
            </w:pPr>
            <w:r w:rsidRPr="00757507">
              <w:t>N=20</w:t>
            </w:r>
          </w:p>
          <w:p w:rsidR="0075777C" w:rsidRPr="00757507" w:rsidRDefault="0075777C" w:rsidP="00757507">
            <w:pPr>
              <w:pStyle w:val="Tabletext"/>
            </w:pPr>
            <w:r w:rsidRPr="00757507">
              <w:t>4 weeks</w:t>
            </w:r>
          </w:p>
        </w:tc>
        <w:tc>
          <w:tcPr>
            <w:tcW w:w="1204" w:type="dxa"/>
          </w:tcPr>
          <w:p w:rsidR="0075777C" w:rsidRPr="00757507" w:rsidRDefault="0075777C" w:rsidP="00757507">
            <w:pPr>
              <w:pStyle w:val="Tabletext"/>
              <w:jc w:val="center"/>
            </w:pPr>
            <w:r w:rsidRPr="00757507">
              <w:t>NR</w:t>
            </w:r>
          </w:p>
        </w:tc>
        <w:tc>
          <w:tcPr>
            <w:tcW w:w="1347" w:type="dxa"/>
          </w:tcPr>
          <w:p w:rsidR="0075777C" w:rsidRPr="00757507" w:rsidRDefault="0075777C" w:rsidP="00757507">
            <w:pPr>
              <w:pStyle w:val="Tabletext"/>
              <w:jc w:val="center"/>
            </w:pPr>
            <w:r w:rsidRPr="00757507">
              <w:t>NR</w:t>
            </w:r>
          </w:p>
        </w:tc>
        <w:tc>
          <w:tcPr>
            <w:tcW w:w="1276" w:type="dxa"/>
          </w:tcPr>
          <w:p w:rsidR="0075777C" w:rsidRPr="00757507" w:rsidRDefault="0075777C" w:rsidP="00757507">
            <w:pPr>
              <w:pStyle w:val="Tabletext"/>
              <w:jc w:val="center"/>
            </w:pPr>
            <w:r w:rsidRPr="00757507">
              <w:t>NR</w:t>
            </w:r>
          </w:p>
        </w:tc>
        <w:tc>
          <w:tcPr>
            <w:tcW w:w="1559" w:type="dxa"/>
          </w:tcPr>
          <w:p w:rsidR="0075777C" w:rsidRPr="00757507" w:rsidRDefault="0075777C" w:rsidP="00757507">
            <w:pPr>
              <w:pStyle w:val="Tabletext"/>
              <w:jc w:val="center"/>
            </w:pPr>
            <w:r w:rsidRPr="00757507">
              <w:t>NR</w:t>
            </w:r>
          </w:p>
        </w:tc>
        <w:tc>
          <w:tcPr>
            <w:tcW w:w="1701" w:type="dxa"/>
          </w:tcPr>
          <w:p w:rsidR="0075777C" w:rsidRPr="00757507" w:rsidRDefault="0075777C" w:rsidP="00757507">
            <w:pPr>
              <w:pStyle w:val="Tabletext"/>
            </w:pPr>
            <w:r w:rsidRPr="00757507">
              <w:t>18 (1, 24), p=0.02</w:t>
            </w:r>
          </w:p>
        </w:tc>
      </w:tr>
      <w:tr w:rsidR="0075777C" w:rsidTr="00757507">
        <w:tc>
          <w:tcPr>
            <w:tcW w:w="1555" w:type="dxa"/>
          </w:tcPr>
          <w:p w:rsidR="0075777C" w:rsidRPr="00757507" w:rsidRDefault="0075777C" w:rsidP="00757507">
            <w:pPr>
              <w:pStyle w:val="Tabletext"/>
            </w:pPr>
            <w:r w:rsidRPr="00757507">
              <w:t>Vizza 2017</w:t>
            </w:r>
            <w:r w:rsidR="001D34EE">
              <w:rPr>
                <w:noProof/>
                <w:vertAlign w:val="superscript"/>
              </w:rPr>
              <w:t>49</w:t>
            </w:r>
          </w:p>
          <w:p w:rsidR="0075777C" w:rsidRPr="00757507" w:rsidRDefault="00757507" w:rsidP="00757507">
            <w:pPr>
              <w:pStyle w:val="Tabletext"/>
            </w:pPr>
            <w:r>
              <w:t>Sildenafil/</w:t>
            </w:r>
            <w:r w:rsidR="0075777C" w:rsidRPr="00757507">
              <w:t>bosentan</w:t>
            </w:r>
          </w:p>
        </w:tc>
        <w:tc>
          <w:tcPr>
            <w:tcW w:w="992" w:type="dxa"/>
          </w:tcPr>
          <w:p w:rsidR="0075777C" w:rsidRPr="00757507" w:rsidRDefault="0075777C" w:rsidP="00757507">
            <w:pPr>
              <w:pStyle w:val="Tabletext"/>
            </w:pPr>
            <w:r w:rsidRPr="00757507">
              <w:t>N=104</w:t>
            </w:r>
          </w:p>
          <w:p w:rsidR="0075777C" w:rsidRPr="00757507" w:rsidRDefault="0075777C" w:rsidP="00757507">
            <w:pPr>
              <w:pStyle w:val="Tabletext"/>
            </w:pPr>
            <w:r w:rsidRPr="00757507">
              <w:t>12 weeks</w:t>
            </w:r>
          </w:p>
        </w:tc>
        <w:tc>
          <w:tcPr>
            <w:tcW w:w="1204" w:type="dxa"/>
          </w:tcPr>
          <w:p w:rsidR="0075777C" w:rsidRPr="00757507" w:rsidRDefault="0075777C" w:rsidP="00757507">
            <w:pPr>
              <w:pStyle w:val="Tabletext"/>
              <w:jc w:val="center"/>
            </w:pPr>
            <w:r w:rsidRPr="00757507">
              <w:t>NR</w:t>
            </w:r>
          </w:p>
        </w:tc>
        <w:tc>
          <w:tcPr>
            <w:tcW w:w="1347" w:type="dxa"/>
          </w:tcPr>
          <w:p w:rsidR="0075777C" w:rsidRPr="00757507" w:rsidRDefault="0075777C" w:rsidP="00757507">
            <w:pPr>
              <w:pStyle w:val="Tabletext"/>
              <w:jc w:val="center"/>
            </w:pPr>
            <w:r w:rsidRPr="00757507">
              <w:t>445 ± 97</w:t>
            </w:r>
          </w:p>
        </w:tc>
        <w:tc>
          <w:tcPr>
            <w:tcW w:w="1276" w:type="dxa"/>
          </w:tcPr>
          <w:p w:rsidR="0075777C" w:rsidRPr="00757507" w:rsidRDefault="0075777C" w:rsidP="00757507">
            <w:pPr>
              <w:pStyle w:val="Tabletext"/>
              <w:jc w:val="center"/>
            </w:pPr>
            <w:r w:rsidRPr="00757507">
              <w:t>NR</w:t>
            </w:r>
          </w:p>
        </w:tc>
        <w:tc>
          <w:tcPr>
            <w:tcW w:w="1559" w:type="dxa"/>
          </w:tcPr>
          <w:p w:rsidR="0075777C" w:rsidRPr="00757507" w:rsidRDefault="0075777C" w:rsidP="00757507">
            <w:pPr>
              <w:pStyle w:val="Tabletext"/>
              <w:jc w:val="center"/>
            </w:pPr>
            <w:r w:rsidRPr="00757507">
              <w:t>440 ± 98</w:t>
            </w:r>
          </w:p>
        </w:tc>
        <w:tc>
          <w:tcPr>
            <w:tcW w:w="1701" w:type="dxa"/>
          </w:tcPr>
          <w:p w:rsidR="0075777C" w:rsidRPr="00757507" w:rsidRDefault="0075777C" w:rsidP="00757507">
            <w:pPr>
              <w:pStyle w:val="Tabletext"/>
            </w:pPr>
            <w:r w:rsidRPr="00757507">
              <w:t>–2.4, p=0.6</w:t>
            </w:r>
          </w:p>
          <w:p w:rsidR="0075777C" w:rsidRPr="00757507" w:rsidRDefault="0075777C" w:rsidP="00757507">
            <w:pPr>
              <w:pStyle w:val="Tabletext"/>
            </w:pPr>
            <w:r w:rsidRPr="00757507">
              <w:t>(90% CI –21.8, 17.1)</w:t>
            </w:r>
          </w:p>
        </w:tc>
      </w:tr>
    </w:tbl>
    <w:p w:rsidR="0075777C" w:rsidRPr="00822C52" w:rsidRDefault="0075777C" w:rsidP="00757507">
      <w:pPr>
        <w:pStyle w:val="Tablenote"/>
      </w:pPr>
      <w:proofErr w:type="gramStart"/>
      <w:r w:rsidRPr="00635C22">
        <w:rPr>
          <w:vertAlign w:val="superscript"/>
        </w:rPr>
        <w:t>a</w:t>
      </w:r>
      <w:proofErr w:type="gramEnd"/>
      <w:r w:rsidRPr="00635C22">
        <w:rPr>
          <w:vertAlign w:val="superscript"/>
        </w:rPr>
        <w:t xml:space="preserve"> </w:t>
      </w:r>
      <w:r w:rsidRPr="00822C52">
        <w:t xml:space="preserve">2 patients </w:t>
      </w:r>
      <w:r>
        <w:t xml:space="preserve">in the cross-over study </w:t>
      </w:r>
      <w:r w:rsidRPr="00822C52">
        <w:t>had epoprostenol background therapy</w:t>
      </w:r>
    </w:p>
    <w:p w:rsidR="0075777C" w:rsidRPr="00822C52" w:rsidRDefault="0075777C" w:rsidP="00757507">
      <w:pPr>
        <w:pStyle w:val="Tablenote"/>
      </w:pPr>
      <w:r w:rsidRPr="00822C52">
        <w:t xml:space="preserve">6MWD = 6-minute </w:t>
      </w:r>
      <w:r w:rsidR="0082368E">
        <w:t>walk distance</w:t>
      </w:r>
      <w:r w:rsidRPr="00822C52">
        <w:t xml:space="preserve">; CI = confidence interval; ERA = endothelin receptor antagonist; IQR = interquartile range; N = number of patients; NR = not reported; PAH = pulmonary arterial hypertension; </w:t>
      </w:r>
      <w:r>
        <w:t>PDE-5i</w:t>
      </w:r>
      <w:r w:rsidRPr="00822C52">
        <w:t xml:space="preserve"> = phosphodiesterase type-5 inhibitor; SD = standard deviation</w:t>
      </w:r>
    </w:p>
    <w:p w:rsidR="0075777C" w:rsidRPr="00B607A5" w:rsidRDefault="007B6C7C" w:rsidP="0077344D">
      <w:pPr>
        <w:pStyle w:val="Heading6"/>
      </w:pPr>
      <w:proofErr w:type="gramStart"/>
      <w:r w:rsidRPr="00B607A5">
        <w:t>e</w:t>
      </w:r>
      <w:r w:rsidR="0075777C" w:rsidRPr="00B607A5">
        <w:t>.ii</w:t>
      </w:r>
      <w:proofErr w:type="gramEnd"/>
      <w:r w:rsidR="0075777C" w:rsidRPr="00B607A5">
        <w:tab/>
        <w:t>PAH patients with FC III or IV</w:t>
      </w:r>
    </w:p>
    <w:p w:rsidR="0075777C" w:rsidRPr="00822C52" w:rsidRDefault="0075777C" w:rsidP="0075777C">
      <w:r>
        <w:t>Two studies reported on the change in 6MWD for patients with WHO FC III/IV PAH from baseline (</w:t>
      </w:r>
      <w:r w:rsidR="003951FA">
        <w:t>Table 4.</w:t>
      </w:r>
      <w:r w:rsidR="003951FA">
        <w:rPr>
          <w:noProof/>
        </w:rPr>
        <w:t>67</w:t>
      </w:r>
      <w:r>
        <w:t>). In both studies patients receiving either combination therapy or monotherapy showed an improvement in 6MWD, and although the median improvement was larger for those receiving combination therapy, the distance did not quite reach clinically importance (35</w:t>
      </w:r>
      <w:r w:rsidR="00B60655">
        <w:t> </w:t>
      </w:r>
      <w:r>
        <w:t>m, see Section 4.</w:t>
      </w:r>
      <w:r w:rsidR="0002253F">
        <w:t>3.5</w:t>
      </w:r>
      <w:r>
        <w:t>).</w:t>
      </w:r>
    </w:p>
    <w:p w:rsidR="0075777C" w:rsidRDefault="00272F8F" w:rsidP="00BC5A2B">
      <w:pPr>
        <w:pStyle w:val="Caption"/>
      </w:pPr>
      <w:bookmarkStart w:id="219" w:name="_Ref504656495"/>
      <w:bookmarkStart w:id="220" w:name="_Toc38360364"/>
      <w:r>
        <w:t>Table 4.</w:t>
      </w:r>
      <w:r w:rsidR="003951FA">
        <w:rPr>
          <w:noProof/>
        </w:rPr>
        <w:t>67</w:t>
      </w:r>
      <w:bookmarkEnd w:id="219"/>
      <w:r w:rsidR="00757507">
        <w:tab/>
      </w:r>
      <w:r w:rsidR="0075777C" w:rsidRPr="00DD7790">
        <w:t xml:space="preserve">The effectiveness of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75777C" w:rsidRPr="00DD7790">
        <w:t xml:space="preserve"> in improving 6MWD in patients with FC III/IV PAH</w:t>
      </w:r>
      <w:bookmarkEnd w:id="220"/>
    </w:p>
    <w:tbl>
      <w:tblPr>
        <w:tblStyle w:val="TableGrid"/>
        <w:tblW w:w="9634" w:type="dxa"/>
        <w:tblLook w:val="04A0" w:firstRow="1" w:lastRow="0" w:firstColumn="1" w:lastColumn="0" w:noHBand="0" w:noVBand="1"/>
        <w:tblCaption w:val="The effectiveness of a PDE-5 inhibitor in addition to an ERA compared with ERA monotherapy in improving 6MWD in patients with FC III/IV PAH"/>
      </w:tblPr>
      <w:tblGrid>
        <w:gridCol w:w="2027"/>
        <w:gridCol w:w="1366"/>
        <w:gridCol w:w="1211"/>
        <w:gridCol w:w="1205"/>
        <w:gridCol w:w="1221"/>
        <w:gridCol w:w="1216"/>
        <w:gridCol w:w="1388"/>
      </w:tblGrid>
      <w:tr w:rsidR="0075777C" w:rsidTr="00757507">
        <w:trPr>
          <w:cnfStyle w:val="100000000000" w:firstRow="1" w:lastRow="0" w:firstColumn="0" w:lastColumn="0" w:oddVBand="0" w:evenVBand="0" w:oddHBand="0" w:evenHBand="0" w:firstRowFirstColumn="0" w:firstRowLastColumn="0" w:lastRowFirstColumn="0" w:lastRowLastColumn="0"/>
        </w:trPr>
        <w:tc>
          <w:tcPr>
            <w:tcW w:w="1696" w:type="dxa"/>
            <w:vMerge w:val="restart"/>
            <w:shd w:val="clear" w:color="auto" w:fill="BFBFBF" w:themeFill="background1" w:themeFillShade="BF"/>
          </w:tcPr>
          <w:p w:rsidR="0075777C" w:rsidRPr="00757507" w:rsidRDefault="0075777C" w:rsidP="00757507">
            <w:pPr>
              <w:pStyle w:val="Tabletext"/>
              <w:rPr>
                <w:b/>
              </w:rPr>
            </w:pPr>
            <w:r w:rsidRPr="00757507">
              <w:rPr>
                <w:b/>
              </w:rPr>
              <w:t>Study ID</w:t>
            </w:r>
          </w:p>
          <w:p w:rsidR="0075777C" w:rsidRPr="00757507" w:rsidRDefault="0075777C" w:rsidP="00757507">
            <w:pPr>
              <w:pStyle w:val="Tabletext"/>
              <w:rPr>
                <w:b/>
              </w:rPr>
            </w:pPr>
            <w:r w:rsidRPr="00757507">
              <w:rPr>
                <w:b/>
              </w:rPr>
              <w:t>PDE-5i/ERA</w:t>
            </w:r>
          </w:p>
        </w:tc>
        <w:tc>
          <w:tcPr>
            <w:tcW w:w="1418" w:type="dxa"/>
            <w:vMerge w:val="restart"/>
            <w:shd w:val="clear" w:color="auto" w:fill="BFBFBF" w:themeFill="background1" w:themeFillShade="BF"/>
          </w:tcPr>
          <w:p w:rsidR="0075777C" w:rsidRPr="00757507" w:rsidRDefault="0075777C" w:rsidP="00757507">
            <w:pPr>
              <w:pStyle w:val="Tabletext"/>
              <w:rPr>
                <w:b/>
              </w:rPr>
            </w:pPr>
            <w:r w:rsidRPr="00757507">
              <w:rPr>
                <w:b/>
              </w:rPr>
              <w:t>N</w:t>
            </w:r>
          </w:p>
          <w:p w:rsidR="0075777C" w:rsidRPr="00757507" w:rsidRDefault="0075777C" w:rsidP="00757507">
            <w:pPr>
              <w:pStyle w:val="Tabletext"/>
              <w:rPr>
                <w:b/>
              </w:rPr>
            </w:pPr>
            <w:r w:rsidRPr="00757507">
              <w:rPr>
                <w:b/>
              </w:rPr>
              <w:t>Follow-up period</w:t>
            </w:r>
          </w:p>
        </w:tc>
        <w:tc>
          <w:tcPr>
            <w:tcW w:w="2551" w:type="dxa"/>
            <w:gridSpan w:val="2"/>
            <w:shd w:val="clear" w:color="auto" w:fill="BFBFBF" w:themeFill="background1" w:themeFillShade="BF"/>
          </w:tcPr>
          <w:p w:rsidR="0075777C" w:rsidRPr="00503643" w:rsidRDefault="00242BA3" w:rsidP="00242BA3">
            <w:pPr>
              <w:pStyle w:val="Tabletext"/>
              <w:jc w:val="center"/>
              <w:rPr>
                <w:rFonts w:cs="Arial"/>
                <w:b/>
              </w:rPr>
            </w:pPr>
            <w:r w:rsidRPr="00503643">
              <w:rPr>
                <w:rFonts w:cs="Arial"/>
                <w:b/>
              </w:rPr>
              <w:t xml:space="preserve">Median baseline 6MWD, </w:t>
            </w:r>
            <w:r w:rsidR="00503643" w:rsidRPr="00503643">
              <w:rPr>
                <w:rFonts w:cs="Arial"/>
                <w:b/>
              </w:rPr>
              <w:t>metres</w:t>
            </w:r>
          </w:p>
        </w:tc>
        <w:tc>
          <w:tcPr>
            <w:tcW w:w="2552" w:type="dxa"/>
            <w:gridSpan w:val="2"/>
            <w:shd w:val="clear" w:color="auto" w:fill="BFBFBF" w:themeFill="background1" w:themeFillShade="BF"/>
          </w:tcPr>
          <w:p w:rsidR="0075777C" w:rsidRPr="00503643" w:rsidRDefault="0075777C" w:rsidP="00757507">
            <w:pPr>
              <w:pStyle w:val="Tabletext"/>
              <w:jc w:val="center"/>
              <w:rPr>
                <w:rFonts w:cs="Arial"/>
                <w:b/>
              </w:rPr>
            </w:pPr>
            <w:r w:rsidRPr="00503643">
              <w:rPr>
                <w:rFonts w:cs="Arial"/>
                <w:b/>
              </w:rPr>
              <w:t xml:space="preserve">Median change from baseline (95% CI), </w:t>
            </w:r>
            <w:r w:rsidR="00503643" w:rsidRPr="00503643">
              <w:rPr>
                <w:rFonts w:cs="Arial"/>
                <w:b/>
              </w:rPr>
              <w:t>metres</w:t>
            </w:r>
          </w:p>
        </w:tc>
        <w:tc>
          <w:tcPr>
            <w:tcW w:w="1417" w:type="dxa"/>
            <w:vMerge w:val="restart"/>
            <w:shd w:val="clear" w:color="auto" w:fill="BFBFBF" w:themeFill="background1" w:themeFillShade="BF"/>
          </w:tcPr>
          <w:p w:rsidR="0075777C" w:rsidRPr="00503643" w:rsidRDefault="0075777C" w:rsidP="00757507">
            <w:pPr>
              <w:pStyle w:val="Tabletext"/>
              <w:rPr>
                <w:rFonts w:cs="Arial"/>
                <w:b/>
              </w:rPr>
            </w:pPr>
            <w:r w:rsidRPr="00503643">
              <w:rPr>
                <w:rFonts w:cs="Arial"/>
                <w:b/>
              </w:rPr>
              <w:t xml:space="preserve">Mean difference (95% CI), </w:t>
            </w:r>
            <w:r w:rsidR="00503643" w:rsidRPr="00503643">
              <w:rPr>
                <w:rFonts w:cs="Arial"/>
                <w:b/>
              </w:rPr>
              <w:t>metres</w:t>
            </w:r>
          </w:p>
        </w:tc>
      </w:tr>
      <w:tr w:rsidR="0075777C" w:rsidTr="00757507">
        <w:tc>
          <w:tcPr>
            <w:tcW w:w="1696" w:type="dxa"/>
            <w:vMerge/>
          </w:tcPr>
          <w:p w:rsidR="0075777C" w:rsidRDefault="0075777C" w:rsidP="00757507">
            <w:pPr>
              <w:pStyle w:val="Tabletext"/>
            </w:pPr>
          </w:p>
        </w:tc>
        <w:tc>
          <w:tcPr>
            <w:tcW w:w="1418" w:type="dxa"/>
            <w:vMerge/>
          </w:tcPr>
          <w:p w:rsidR="0075777C" w:rsidRDefault="0075777C" w:rsidP="00757507">
            <w:pPr>
              <w:pStyle w:val="Tabletext"/>
            </w:pPr>
          </w:p>
        </w:tc>
        <w:tc>
          <w:tcPr>
            <w:tcW w:w="1276"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PDE-5i + ERA</w:t>
            </w:r>
          </w:p>
        </w:tc>
        <w:tc>
          <w:tcPr>
            <w:tcW w:w="1275"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ERA</w:t>
            </w:r>
          </w:p>
        </w:tc>
        <w:tc>
          <w:tcPr>
            <w:tcW w:w="1276"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PDE-5i + ERA</w:t>
            </w:r>
          </w:p>
        </w:tc>
        <w:tc>
          <w:tcPr>
            <w:tcW w:w="1276"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ERA</w:t>
            </w:r>
          </w:p>
        </w:tc>
        <w:tc>
          <w:tcPr>
            <w:tcW w:w="1417" w:type="dxa"/>
            <w:vMerge/>
          </w:tcPr>
          <w:p w:rsidR="0075777C" w:rsidRDefault="0075777C" w:rsidP="00757507">
            <w:pPr>
              <w:pStyle w:val="Tabletext"/>
            </w:pPr>
          </w:p>
        </w:tc>
      </w:tr>
      <w:tr w:rsidR="0075777C" w:rsidTr="00757507">
        <w:tc>
          <w:tcPr>
            <w:tcW w:w="1696" w:type="dxa"/>
          </w:tcPr>
          <w:p w:rsidR="0075777C" w:rsidRPr="00757507" w:rsidRDefault="0075777C" w:rsidP="00757507">
            <w:pPr>
              <w:pStyle w:val="Tabletext"/>
            </w:pPr>
            <w:r w:rsidRPr="00757507">
              <w:t>PHIRST</w:t>
            </w:r>
          </w:p>
          <w:p w:rsidR="0075777C" w:rsidRPr="00757507" w:rsidRDefault="0075777C" w:rsidP="00757507">
            <w:pPr>
              <w:pStyle w:val="Tabletext"/>
            </w:pPr>
            <w:r w:rsidRPr="00757507">
              <w:t>Barst et al (2011)</w:t>
            </w:r>
            <w:r w:rsidR="001D34EE">
              <w:rPr>
                <w:noProof/>
                <w:vertAlign w:val="superscript"/>
              </w:rPr>
              <w:t>45</w:t>
            </w:r>
          </w:p>
          <w:p w:rsidR="0075777C" w:rsidRPr="00757507" w:rsidRDefault="00757507" w:rsidP="00757507">
            <w:pPr>
              <w:pStyle w:val="Tabletext"/>
            </w:pPr>
            <w:r>
              <w:t>Tadalafil/</w:t>
            </w:r>
            <w:r w:rsidR="0075777C" w:rsidRPr="00757507">
              <w:t>bosentan</w:t>
            </w:r>
          </w:p>
        </w:tc>
        <w:tc>
          <w:tcPr>
            <w:tcW w:w="1418" w:type="dxa"/>
          </w:tcPr>
          <w:p w:rsidR="0075777C" w:rsidRPr="00757507" w:rsidRDefault="0075777C" w:rsidP="00757507">
            <w:pPr>
              <w:pStyle w:val="Tabletext"/>
            </w:pPr>
            <w:r w:rsidRPr="00757507">
              <w:t>N=54</w:t>
            </w:r>
          </w:p>
          <w:p w:rsidR="0075777C" w:rsidRPr="00757507" w:rsidRDefault="0075777C" w:rsidP="00757507">
            <w:pPr>
              <w:pStyle w:val="Tabletext"/>
            </w:pPr>
            <w:r w:rsidRPr="00757507">
              <w:t>16 weeks</w:t>
            </w:r>
          </w:p>
        </w:tc>
        <w:tc>
          <w:tcPr>
            <w:tcW w:w="1276" w:type="dxa"/>
          </w:tcPr>
          <w:p w:rsidR="0075777C" w:rsidRPr="00757507" w:rsidRDefault="0075777C" w:rsidP="00757507">
            <w:pPr>
              <w:pStyle w:val="Tabletext"/>
              <w:jc w:val="center"/>
            </w:pPr>
            <w:r w:rsidRPr="00757507">
              <w:t>NR</w:t>
            </w:r>
          </w:p>
        </w:tc>
        <w:tc>
          <w:tcPr>
            <w:tcW w:w="1275" w:type="dxa"/>
          </w:tcPr>
          <w:p w:rsidR="0075777C" w:rsidRPr="00757507" w:rsidRDefault="0075777C" w:rsidP="00757507">
            <w:pPr>
              <w:pStyle w:val="Tabletext"/>
              <w:jc w:val="center"/>
            </w:pPr>
            <w:r w:rsidRPr="00757507">
              <w:t>NR</w:t>
            </w:r>
          </w:p>
        </w:tc>
        <w:tc>
          <w:tcPr>
            <w:tcW w:w="1276" w:type="dxa"/>
          </w:tcPr>
          <w:p w:rsidR="0075777C" w:rsidRPr="00757507" w:rsidRDefault="0075777C" w:rsidP="00757507">
            <w:pPr>
              <w:pStyle w:val="Tabletext"/>
              <w:jc w:val="center"/>
            </w:pPr>
            <w:r w:rsidRPr="00757507">
              <w:t>30.0</w:t>
            </w:r>
            <w:r w:rsidRPr="00757507">
              <w:br/>
              <w:t>(12.7, 68.5)</w:t>
            </w:r>
          </w:p>
        </w:tc>
        <w:tc>
          <w:tcPr>
            <w:tcW w:w="1276" w:type="dxa"/>
          </w:tcPr>
          <w:p w:rsidR="0075777C" w:rsidRPr="00757507" w:rsidRDefault="0075777C" w:rsidP="00757507">
            <w:pPr>
              <w:pStyle w:val="Tabletext"/>
              <w:jc w:val="center"/>
            </w:pPr>
            <w:r w:rsidRPr="00757507">
              <w:t>16.5</w:t>
            </w:r>
            <w:r w:rsidRPr="00757507">
              <w:br/>
              <w:t>(–5.6, 43.0)</w:t>
            </w:r>
          </w:p>
        </w:tc>
        <w:tc>
          <w:tcPr>
            <w:tcW w:w="1417" w:type="dxa"/>
          </w:tcPr>
          <w:p w:rsidR="0075777C" w:rsidRPr="00757507" w:rsidRDefault="0075777C" w:rsidP="00757507">
            <w:pPr>
              <w:pStyle w:val="Tabletext"/>
            </w:pPr>
            <w:r w:rsidRPr="00757507">
              <w:t>13.5</w:t>
            </w:r>
          </w:p>
        </w:tc>
      </w:tr>
      <w:tr w:rsidR="0075777C" w:rsidTr="00757507">
        <w:tc>
          <w:tcPr>
            <w:tcW w:w="1696" w:type="dxa"/>
          </w:tcPr>
          <w:p w:rsidR="0075777C" w:rsidRPr="00757507" w:rsidRDefault="0075777C" w:rsidP="00757507">
            <w:pPr>
              <w:pStyle w:val="Tabletext"/>
            </w:pPr>
            <w:r w:rsidRPr="00757507">
              <w:t>Zhuang 2014</w:t>
            </w:r>
            <w:r w:rsidR="001D34EE">
              <w:rPr>
                <w:noProof/>
                <w:vertAlign w:val="superscript"/>
              </w:rPr>
              <w:t>50</w:t>
            </w:r>
          </w:p>
          <w:p w:rsidR="0075777C" w:rsidRPr="00757507" w:rsidRDefault="00757507" w:rsidP="00757507">
            <w:pPr>
              <w:pStyle w:val="Tabletext"/>
            </w:pPr>
            <w:r>
              <w:t>Tadalafil/</w:t>
            </w:r>
            <w:r w:rsidR="0075777C" w:rsidRPr="00757507">
              <w:t>ambrisentan</w:t>
            </w:r>
          </w:p>
        </w:tc>
        <w:tc>
          <w:tcPr>
            <w:tcW w:w="1418" w:type="dxa"/>
          </w:tcPr>
          <w:p w:rsidR="0075777C" w:rsidRPr="00757507" w:rsidRDefault="0075777C" w:rsidP="00757507">
            <w:pPr>
              <w:pStyle w:val="Tabletext"/>
            </w:pPr>
            <w:r w:rsidRPr="00757507">
              <w:t>N=53</w:t>
            </w:r>
          </w:p>
          <w:p w:rsidR="0075777C" w:rsidRPr="00757507" w:rsidRDefault="0075777C" w:rsidP="00757507">
            <w:pPr>
              <w:pStyle w:val="Tabletext"/>
            </w:pPr>
            <w:r w:rsidRPr="00757507">
              <w:t>16 weeks</w:t>
            </w:r>
          </w:p>
        </w:tc>
        <w:tc>
          <w:tcPr>
            <w:tcW w:w="1276" w:type="dxa"/>
          </w:tcPr>
          <w:p w:rsidR="0075777C" w:rsidRPr="00757507" w:rsidRDefault="0075777C" w:rsidP="00757507">
            <w:pPr>
              <w:pStyle w:val="Tabletext"/>
              <w:jc w:val="center"/>
            </w:pPr>
            <w:r w:rsidRPr="00757507">
              <w:t>NR</w:t>
            </w:r>
          </w:p>
        </w:tc>
        <w:tc>
          <w:tcPr>
            <w:tcW w:w="1275" w:type="dxa"/>
          </w:tcPr>
          <w:p w:rsidR="0075777C" w:rsidRPr="00757507" w:rsidRDefault="0075777C" w:rsidP="00757507">
            <w:pPr>
              <w:pStyle w:val="Tabletext"/>
              <w:jc w:val="center"/>
            </w:pPr>
            <w:r w:rsidRPr="00757507">
              <w:t>NR</w:t>
            </w:r>
          </w:p>
        </w:tc>
        <w:tc>
          <w:tcPr>
            <w:tcW w:w="1276" w:type="dxa"/>
          </w:tcPr>
          <w:p w:rsidR="0075777C" w:rsidRPr="00757507" w:rsidRDefault="0075777C" w:rsidP="00757507">
            <w:pPr>
              <w:pStyle w:val="Tabletext"/>
              <w:jc w:val="center"/>
            </w:pPr>
            <w:r w:rsidRPr="00757507">
              <w:t>33.8</w:t>
            </w:r>
          </w:p>
          <w:p w:rsidR="0075777C" w:rsidRPr="00757507" w:rsidRDefault="0075777C" w:rsidP="00757507">
            <w:pPr>
              <w:pStyle w:val="Tabletext"/>
              <w:jc w:val="center"/>
            </w:pPr>
            <w:r w:rsidRPr="00757507">
              <w:t>(10.9, 57.5)</w:t>
            </w:r>
          </w:p>
        </w:tc>
        <w:tc>
          <w:tcPr>
            <w:tcW w:w="1276" w:type="dxa"/>
          </w:tcPr>
          <w:p w:rsidR="0075777C" w:rsidRPr="00757507" w:rsidRDefault="0075777C" w:rsidP="00757507">
            <w:pPr>
              <w:pStyle w:val="Tabletext"/>
              <w:jc w:val="center"/>
            </w:pPr>
            <w:r w:rsidRPr="00757507">
              <w:t>13.7</w:t>
            </w:r>
          </w:p>
          <w:p w:rsidR="0075777C" w:rsidRPr="00757507" w:rsidRDefault="0075777C" w:rsidP="00757507">
            <w:pPr>
              <w:pStyle w:val="Tabletext"/>
              <w:jc w:val="center"/>
            </w:pPr>
            <w:r w:rsidRPr="00757507">
              <w:t>(–8.7, 47.3)</w:t>
            </w:r>
          </w:p>
        </w:tc>
        <w:tc>
          <w:tcPr>
            <w:tcW w:w="1417" w:type="dxa"/>
          </w:tcPr>
          <w:p w:rsidR="0075777C" w:rsidRPr="00757507" w:rsidRDefault="0075777C" w:rsidP="00757507">
            <w:pPr>
              <w:pStyle w:val="Tabletext"/>
            </w:pPr>
            <w:r w:rsidRPr="00757507">
              <w:t>20.1, p=0.136</w:t>
            </w:r>
          </w:p>
        </w:tc>
      </w:tr>
    </w:tbl>
    <w:p w:rsidR="0075777C" w:rsidRPr="00822C52" w:rsidRDefault="0075777C" w:rsidP="00757507">
      <w:pPr>
        <w:pStyle w:val="Tablenote"/>
      </w:pPr>
      <w:r w:rsidRPr="00822C52">
        <w:t xml:space="preserve">6MWD = 6-minute </w:t>
      </w:r>
      <w:r w:rsidR="0082368E">
        <w:t>walk distance</w:t>
      </w:r>
      <w:r w:rsidRPr="00822C52">
        <w:t xml:space="preserve">; CI = confidence interval; ERA = endothelin receptor antagonist; FC = functional class; N = number of patients; NR = not reported; PAH = pulmonary arterial hypertension; </w:t>
      </w:r>
      <w:r>
        <w:t xml:space="preserve">PDE-5i </w:t>
      </w:r>
      <w:r w:rsidRPr="00822C52">
        <w:t>= phosphodiesterase type-5 inhibitor; SD = standard deviation; WHO = World Health Organization</w:t>
      </w:r>
    </w:p>
    <w:p w:rsidR="0075777C" w:rsidRPr="00B607A5" w:rsidRDefault="007B6C7C" w:rsidP="0077344D">
      <w:pPr>
        <w:pStyle w:val="Heading6"/>
      </w:pPr>
      <w:proofErr w:type="gramStart"/>
      <w:r w:rsidRPr="00B607A5">
        <w:t>e</w:t>
      </w:r>
      <w:r w:rsidR="0075777C" w:rsidRPr="00B607A5">
        <w:t>.iii</w:t>
      </w:r>
      <w:proofErr w:type="gramEnd"/>
      <w:r w:rsidR="0075777C" w:rsidRPr="00B607A5">
        <w:tab/>
        <w:t>PAH patients with different disease aetiologies</w:t>
      </w:r>
    </w:p>
    <w:p w:rsidR="0075777C" w:rsidRDefault="0075777C" w:rsidP="0075777C">
      <w:r>
        <w:t>Two studies reported on the change in 6MWD for patients with either IPAH/HPAH or PAH-CTD from baseline (</w:t>
      </w:r>
      <w:r w:rsidR="003951FA">
        <w:t>Table 4.</w:t>
      </w:r>
      <w:r w:rsidR="003951FA">
        <w:rPr>
          <w:noProof/>
        </w:rPr>
        <w:t>68</w:t>
      </w:r>
      <w:r>
        <w:t>), but Vizza 2017 only depicted the change in 6MWD in a gra</w:t>
      </w:r>
      <w:r w:rsidR="00B60655">
        <w:t>p</w:t>
      </w:r>
      <w:r>
        <w:t>h (</w:t>
      </w:r>
      <w:r w:rsidR="003951FA">
        <w:t>Figure 4.</w:t>
      </w:r>
      <w:r w:rsidR="003951FA">
        <w:rPr>
          <w:noProof/>
        </w:rPr>
        <w:t>19</w:t>
      </w:r>
      <w:r>
        <w:t>). Patients with IPAH/HPAH receiving combination therapy had a greater improvement in 6MWD than those receiving monotherapy in both studies, but the difference was not clinically important. In the PHIRST trial. Patients with PAH-CTD receiving combination therapy also improved their 6MWD by more than those receiving monotherapy. However, in the Vizza 2017 study, patients with PAH-CTD receiving combination therapy performed poorly, with a decreased 6MWD, compared to an increase in those receiving monotherapy (</w:t>
      </w:r>
      <w:r w:rsidR="003951FA">
        <w:t>Figure 4.</w:t>
      </w:r>
      <w:r w:rsidR="003951FA">
        <w:rPr>
          <w:noProof/>
        </w:rPr>
        <w:t>19</w:t>
      </w:r>
      <w:r>
        <w:t>).</w:t>
      </w:r>
    </w:p>
    <w:p w:rsidR="0075777C" w:rsidRDefault="00272F8F" w:rsidP="00BC5A2B">
      <w:pPr>
        <w:pStyle w:val="Caption"/>
      </w:pPr>
      <w:bookmarkStart w:id="221" w:name="_Ref504563778"/>
      <w:bookmarkStart w:id="222" w:name="_Toc38360365"/>
      <w:r>
        <w:t>Table 4.</w:t>
      </w:r>
      <w:r w:rsidR="003951FA">
        <w:rPr>
          <w:noProof/>
        </w:rPr>
        <w:t>68</w:t>
      </w:r>
      <w:bookmarkEnd w:id="221"/>
      <w:r w:rsidR="00757507">
        <w:tab/>
      </w:r>
      <w:r w:rsidR="0075777C" w:rsidRPr="00DD7790">
        <w:t xml:space="preserve">The effectiveness of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DD7790">
        <w:t xml:space="preserve"> </w:t>
      </w:r>
      <w:r w:rsidR="0075777C" w:rsidRPr="00DD7790">
        <w:t>in improving 6MWD in patients with different PAH aetiologies</w:t>
      </w:r>
      <w:bookmarkEnd w:id="222"/>
    </w:p>
    <w:tbl>
      <w:tblPr>
        <w:tblStyle w:val="TableGrid"/>
        <w:tblW w:w="9634" w:type="dxa"/>
        <w:tblLook w:val="04A0" w:firstRow="1" w:lastRow="0" w:firstColumn="1" w:lastColumn="0" w:noHBand="0" w:noVBand="1"/>
        <w:tblCaption w:val="The effectiveness of a PDE-5 inhibitor in addition to an ERA compared with ERA monotherapy in improving 6MWD in patients with different PAH aetiologies"/>
      </w:tblPr>
      <w:tblGrid>
        <w:gridCol w:w="1413"/>
        <w:gridCol w:w="1418"/>
        <w:gridCol w:w="1133"/>
        <w:gridCol w:w="1205"/>
        <w:gridCol w:w="1276"/>
        <w:gridCol w:w="1276"/>
        <w:gridCol w:w="1913"/>
      </w:tblGrid>
      <w:tr w:rsidR="0075777C" w:rsidTr="00302512">
        <w:trPr>
          <w:cnfStyle w:val="100000000000" w:firstRow="1" w:lastRow="0" w:firstColumn="0" w:lastColumn="0" w:oddVBand="0" w:evenVBand="0" w:oddHBand="0" w:evenHBand="0" w:firstRowFirstColumn="0" w:firstRowLastColumn="0" w:lastRowFirstColumn="0" w:lastRowLastColumn="0"/>
        </w:trPr>
        <w:tc>
          <w:tcPr>
            <w:tcW w:w="1413" w:type="dxa"/>
            <w:vMerge w:val="restart"/>
            <w:shd w:val="clear" w:color="auto" w:fill="BFBFBF" w:themeFill="background1" w:themeFillShade="BF"/>
          </w:tcPr>
          <w:p w:rsidR="0075777C" w:rsidRPr="00757507" w:rsidRDefault="0075777C" w:rsidP="00757507">
            <w:pPr>
              <w:pStyle w:val="Tabletext"/>
              <w:rPr>
                <w:b/>
              </w:rPr>
            </w:pPr>
            <w:r w:rsidRPr="00757507">
              <w:rPr>
                <w:b/>
              </w:rPr>
              <w:t>Study ID</w:t>
            </w:r>
          </w:p>
          <w:p w:rsidR="0075777C" w:rsidRPr="00757507" w:rsidRDefault="0075777C" w:rsidP="00757507">
            <w:pPr>
              <w:pStyle w:val="Tabletext"/>
              <w:rPr>
                <w:b/>
              </w:rPr>
            </w:pPr>
            <w:r w:rsidRPr="00757507">
              <w:rPr>
                <w:b/>
              </w:rPr>
              <w:t>PDE-5i/ERA</w:t>
            </w:r>
          </w:p>
        </w:tc>
        <w:tc>
          <w:tcPr>
            <w:tcW w:w="1418" w:type="dxa"/>
            <w:vMerge w:val="restart"/>
            <w:shd w:val="clear" w:color="auto" w:fill="BFBFBF" w:themeFill="background1" w:themeFillShade="BF"/>
          </w:tcPr>
          <w:p w:rsidR="0075777C" w:rsidRPr="00757507" w:rsidRDefault="0075777C" w:rsidP="00757507">
            <w:pPr>
              <w:pStyle w:val="Tabletext"/>
              <w:rPr>
                <w:b/>
              </w:rPr>
            </w:pPr>
            <w:r w:rsidRPr="00757507">
              <w:rPr>
                <w:b/>
              </w:rPr>
              <w:t>N</w:t>
            </w:r>
          </w:p>
          <w:p w:rsidR="0075777C" w:rsidRPr="00757507" w:rsidRDefault="0075777C" w:rsidP="00757507">
            <w:pPr>
              <w:pStyle w:val="Tabletext"/>
              <w:rPr>
                <w:b/>
              </w:rPr>
            </w:pPr>
            <w:r w:rsidRPr="00757507">
              <w:rPr>
                <w:b/>
              </w:rPr>
              <w:t>Follow-up period</w:t>
            </w:r>
          </w:p>
        </w:tc>
        <w:tc>
          <w:tcPr>
            <w:tcW w:w="2338" w:type="dxa"/>
            <w:gridSpan w:val="2"/>
            <w:shd w:val="clear" w:color="auto" w:fill="BFBFBF" w:themeFill="background1" w:themeFillShade="BF"/>
          </w:tcPr>
          <w:p w:rsidR="0075777C" w:rsidRPr="00503643" w:rsidRDefault="00EC2524" w:rsidP="00242BA3">
            <w:pPr>
              <w:pStyle w:val="Tabletext"/>
              <w:jc w:val="center"/>
              <w:rPr>
                <w:rFonts w:cs="Arial"/>
                <w:b/>
              </w:rPr>
            </w:pPr>
            <w:r w:rsidRPr="00503643">
              <w:rPr>
                <w:rFonts w:cs="Arial"/>
                <w:b/>
              </w:rPr>
              <w:t>M</w:t>
            </w:r>
            <w:r w:rsidR="0075777C" w:rsidRPr="00503643">
              <w:rPr>
                <w:rFonts w:cs="Arial"/>
                <w:b/>
              </w:rPr>
              <w:t>ean</w:t>
            </w:r>
            <w:r w:rsidRPr="00503643">
              <w:rPr>
                <w:rFonts w:cs="Arial"/>
                <w:b/>
              </w:rPr>
              <w:t xml:space="preserve"> baseline 6MWD</w:t>
            </w:r>
            <w:r w:rsidR="0075777C" w:rsidRPr="00503643">
              <w:rPr>
                <w:rFonts w:cs="Arial"/>
                <w:b/>
              </w:rPr>
              <w:t xml:space="preserve">, </w:t>
            </w:r>
            <w:r w:rsidR="00503643" w:rsidRPr="00503643">
              <w:rPr>
                <w:rFonts w:cs="Arial"/>
                <w:b/>
              </w:rPr>
              <w:t>metres</w:t>
            </w:r>
          </w:p>
        </w:tc>
        <w:tc>
          <w:tcPr>
            <w:tcW w:w="2552" w:type="dxa"/>
            <w:gridSpan w:val="2"/>
            <w:shd w:val="clear" w:color="auto" w:fill="BFBFBF" w:themeFill="background1" w:themeFillShade="BF"/>
          </w:tcPr>
          <w:p w:rsidR="0075777C" w:rsidRPr="00503643" w:rsidRDefault="0075777C" w:rsidP="00757507">
            <w:pPr>
              <w:pStyle w:val="Tabletext"/>
              <w:jc w:val="center"/>
              <w:rPr>
                <w:rFonts w:cs="Arial"/>
                <w:b/>
              </w:rPr>
            </w:pPr>
            <w:r w:rsidRPr="00503643">
              <w:rPr>
                <w:rFonts w:cs="Arial"/>
                <w:b/>
              </w:rPr>
              <w:t xml:space="preserve">Median change from baseline (95% CI), </w:t>
            </w:r>
            <w:r w:rsidR="00503643" w:rsidRPr="00503643">
              <w:rPr>
                <w:rFonts w:cs="Arial"/>
                <w:b/>
              </w:rPr>
              <w:t>metres</w:t>
            </w:r>
          </w:p>
        </w:tc>
        <w:tc>
          <w:tcPr>
            <w:tcW w:w="1913" w:type="dxa"/>
            <w:vMerge w:val="restart"/>
            <w:shd w:val="clear" w:color="auto" w:fill="BFBFBF" w:themeFill="background1" w:themeFillShade="BF"/>
          </w:tcPr>
          <w:p w:rsidR="0075777C" w:rsidRPr="00503643" w:rsidRDefault="0075777C" w:rsidP="00575ECF">
            <w:pPr>
              <w:pStyle w:val="Tabletext"/>
              <w:rPr>
                <w:rFonts w:cs="Arial"/>
                <w:b/>
              </w:rPr>
            </w:pPr>
            <w:r w:rsidRPr="00503643">
              <w:rPr>
                <w:rFonts w:cs="Arial"/>
                <w:b/>
              </w:rPr>
              <w:t xml:space="preserve">Mean difference, </w:t>
            </w:r>
            <w:r w:rsidR="00503643" w:rsidRPr="00503643">
              <w:rPr>
                <w:rFonts w:cs="Arial"/>
                <w:b/>
              </w:rPr>
              <w:t>metres</w:t>
            </w:r>
          </w:p>
        </w:tc>
      </w:tr>
      <w:tr w:rsidR="0075777C" w:rsidTr="00302512">
        <w:tc>
          <w:tcPr>
            <w:tcW w:w="1413" w:type="dxa"/>
            <w:vMerge/>
          </w:tcPr>
          <w:p w:rsidR="0075777C" w:rsidRDefault="0075777C" w:rsidP="00757507">
            <w:pPr>
              <w:pStyle w:val="Tabletext"/>
            </w:pPr>
          </w:p>
        </w:tc>
        <w:tc>
          <w:tcPr>
            <w:tcW w:w="1418" w:type="dxa"/>
            <w:vMerge/>
          </w:tcPr>
          <w:p w:rsidR="0075777C" w:rsidRDefault="0075777C" w:rsidP="00757507">
            <w:pPr>
              <w:pStyle w:val="Tabletext"/>
            </w:pPr>
          </w:p>
        </w:tc>
        <w:tc>
          <w:tcPr>
            <w:tcW w:w="1133"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PDE-5i + ERA</w:t>
            </w:r>
          </w:p>
        </w:tc>
        <w:tc>
          <w:tcPr>
            <w:tcW w:w="1205"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ERA</w:t>
            </w:r>
          </w:p>
        </w:tc>
        <w:tc>
          <w:tcPr>
            <w:tcW w:w="1276"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PDE-5i + ERA</w:t>
            </w:r>
          </w:p>
        </w:tc>
        <w:tc>
          <w:tcPr>
            <w:tcW w:w="1276" w:type="dxa"/>
            <w:shd w:val="clear" w:color="auto" w:fill="BFBFBF" w:themeFill="background1" w:themeFillShade="BF"/>
          </w:tcPr>
          <w:p w:rsidR="0075777C" w:rsidRPr="00757507" w:rsidRDefault="0075777C" w:rsidP="00757507">
            <w:pPr>
              <w:pStyle w:val="Tabletext"/>
              <w:jc w:val="center"/>
              <w:rPr>
                <w:b/>
              </w:rPr>
            </w:pPr>
            <w:r w:rsidRPr="00757507">
              <w:rPr>
                <w:rFonts w:asciiTheme="minorHAnsi" w:hAnsiTheme="minorHAnsi"/>
                <w:b/>
              </w:rPr>
              <w:t>ERA</w:t>
            </w:r>
          </w:p>
        </w:tc>
        <w:tc>
          <w:tcPr>
            <w:tcW w:w="1913" w:type="dxa"/>
            <w:vMerge/>
          </w:tcPr>
          <w:p w:rsidR="0075777C" w:rsidRDefault="0075777C" w:rsidP="00757507">
            <w:pPr>
              <w:pStyle w:val="Tabletext"/>
            </w:pPr>
          </w:p>
        </w:tc>
      </w:tr>
      <w:tr w:rsidR="0075777C" w:rsidTr="00302512">
        <w:tc>
          <w:tcPr>
            <w:tcW w:w="1413" w:type="dxa"/>
          </w:tcPr>
          <w:p w:rsidR="0075777C" w:rsidRPr="00757507" w:rsidRDefault="0075777C" w:rsidP="00757507">
            <w:pPr>
              <w:pStyle w:val="Tabletext"/>
            </w:pPr>
            <w:r w:rsidRPr="00757507">
              <w:t>PHIRST</w:t>
            </w:r>
          </w:p>
          <w:p w:rsidR="0075777C" w:rsidRPr="00757507" w:rsidRDefault="0075777C" w:rsidP="00757507">
            <w:pPr>
              <w:pStyle w:val="Tabletext"/>
            </w:pPr>
            <w:r w:rsidRPr="00757507">
              <w:t>Barst et al (2011)</w:t>
            </w:r>
            <w:r w:rsidR="001D34EE">
              <w:rPr>
                <w:noProof/>
                <w:vertAlign w:val="superscript"/>
              </w:rPr>
              <w:t>45</w:t>
            </w:r>
          </w:p>
          <w:p w:rsidR="0075777C" w:rsidRPr="00757507" w:rsidRDefault="0075777C" w:rsidP="00757507">
            <w:pPr>
              <w:pStyle w:val="Tabletext"/>
            </w:pPr>
            <w:r w:rsidRPr="00757507">
              <w:t>Tadalafil/ bosentan</w:t>
            </w:r>
          </w:p>
        </w:tc>
        <w:tc>
          <w:tcPr>
            <w:tcW w:w="1418" w:type="dxa"/>
          </w:tcPr>
          <w:p w:rsidR="0075777C" w:rsidRPr="00757507" w:rsidRDefault="0075777C" w:rsidP="00757507">
            <w:pPr>
              <w:pStyle w:val="Tabletext"/>
            </w:pPr>
            <w:r w:rsidRPr="00757507">
              <w:t>16 weeks</w:t>
            </w:r>
          </w:p>
          <w:p w:rsidR="0075777C" w:rsidRPr="00757507" w:rsidRDefault="00302512" w:rsidP="00757507">
            <w:pPr>
              <w:pStyle w:val="Tabletext"/>
            </w:pPr>
            <w:r>
              <w:t>I</w:t>
            </w:r>
            <w:r w:rsidR="0075777C" w:rsidRPr="00757507">
              <w:t>PAH</w:t>
            </w:r>
            <w:r>
              <w:t>/HPAH</w:t>
            </w:r>
            <w:r w:rsidR="004C1FAC">
              <w:t xml:space="preserve"> </w:t>
            </w:r>
            <w:r w:rsidR="0075777C" w:rsidRPr="00757507">
              <w:t>(N=53)</w:t>
            </w:r>
          </w:p>
          <w:p w:rsidR="0075777C" w:rsidRPr="00757507" w:rsidRDefault="0075777C" w:rsidP="004C1FAC">
            <w:pPr>
              <w:pStyle w:val="Tabletext"/>
            </w:pPr>
            <w:r w:rsidRPr="00757507">
              <w:t>PAH-CTD</w:t>
            </w:r>
            <w:r w:rsidR="004C1FAC">
              <w:t xml:space="preserve"> </w:t>
            </w:r>
            <w:r w:rsidRPr="00757507">
              <w:t>(N=17)</w:t>
            </w:r>
          </w:p>
        </w:tc>
        <w:tc>
          <w:tcPr>
            <w:tcW w:w="1133" w:type="dxa"/>
          </w:tcPr>
          <w:p w:rsidR="0075777C" w:rsidRPr="00757507" w:rsidRDefault="0075777C" w:rsidP="00757507">
            <w:pPr>
              <w:pStyle w:val="Tabletext"/>
              <w:jc w:val="center"/>
            </w:pPr>
          </w:p>
          <w:p w:rsidR="0075777C" w:rsidRPr="00757507" w:rsidRDefault="0075777C" w:rsidP="00757507">
            <w:pPr>
              <w:pStyle w:val="Tabletext"/>
              <w:jc w:val="center"/>
            </w:pPr>
            <w:r w:rsidRPr="00757507">
              <w:t>NR</w:t>
            </w:r>
          </w:p>
          <w:p w:rsidR="0075777C" w:rsidRPr="00757507" w:rsidRDefault="0075777C" w:rsidP="00757507">
            <w:pPr>
              <w:pStyle w:val="Tabletext"/>
              <w:jc w:val="center"/>
            </w:pPr>
            <w:r w:rsidRPr="00757507">
              <w:t>NR</w:t>
            </w:r>
          </w:p>
        </w:tc>
        <w:tc>
          <w:tcPr>
            <w:tcW w:w="1205" w:type="dxa"/>
          </w:tcPr>
          <w:p w:rsidR="0075777C" w:rsidRPr="00757507" w:rsidRDefault="0075777C" w:rsidP="00757507">
            <w:pPr>
              <w:pStyle w:val="Tabletext"/>
              <w:jc w:val="center"/>
            </w:pPr>
          </w:p>
          <w:p w:rsidR="0075777C" w:rsidRPr="00757507" w:rsidRDefault="0075777C" w:rsidP="00757507">
            <w:pPr>
              <w:pStyle w:val="Tabletext"/>
              <w:jc w:val="center"/>
            </w:pPr>
            <w:r w:rsidRPr="00757507">
              <w:t>NR</w:t>
            </w:r>
          </w:p>
          <w:p w:rsidR="0075777C" w:rsidRPr="00757507" w:rsidRDefault="0075777C" w:rsidP="00757507">
            <w:pPr>
              <w:pStyle w:val="Tabletext"/>
              <w:jc w:val="center"/>
            </w:pPr>
            <w:r w:rsidRPr="00757507">
              <w:t>NR</w:t>
            </w:r>
          </w:p>
        </w:tc>
        <w:tc>
          <w:tcPr>
            <w:tcW w:w="1276" w:type="dxa"/>
          </w:tcPr>
          <w:p w:rsidR="0075777C" w:rsidRPr="00757507" w:rsidRDefault="0075777C" w:rsidP="00757507">
            <w:pPr>
              <w:pStyle w:val="Tabletext"/>
              <w:jc w:val="center"/>
            </w:pPr>
          </w:p>
          <w:p w:rsidR="0075777C" w:rsidRPr="00757507" w:rsidRDefault="0075777C" w:rsidP="00757507">
            <w:pPr>
              <w:pStyle w:val="Tabletext"/>
              <w:jc w:val="center"/>
            </w:pPr>
            <w:r w:rsidRPr="00757507">
              <w:t>32.1 (7.4, 56.0)</w:t>
            </w:r>
          </w:p>
          <w:p w:rsidR="0075777C" w:rsidRPr="00757507" w:rsidRDefault="0075777C" w:rsidP="00757507">
            <w:pPr>
              <w:pStyle w:val="Tabletext"/>
              <w:jc w:val="center"/>
            </w:pPr>
            <w:r w:rsidRPr="00757507">
              <w:t>22.0 (−8.0, 70.9)</w:t>
            </w:r>
          </w:p>
        </w:tc>
        <w:tc>
          <w:tcPr>
            <w:tcW w:w="1276" w:type="dxa"/>
          </w:tcPr>
          <w:p w:rsidR="0075777C" w:rsidRPr="00757507" w:rsidRDefault="0075777C" w:rsidP="00757507">
            <w:pPr>
              <w:pStyle w:val="Tabletext"/>
              <w:jc w:val="center"/>
            </w:pPr>
          </w:p>
          <w:p w:rsidR="0075777C" w:rsidRPr="00757507" w:rsidRDefault="0075777C" w:rsidP="00757507">
            <w:pPr>
              <w:pStyle w:val="Tabletext"/>
              <w:jc w:val="center"/>
            </w:pPr>
            <w:r w:rsidRPr="00757507">
              <w:t>23.5 (−1.6, 46.1)</w:t>
            </w:r>
          </w:p>
          <w:p w:rsidR="0075777C" w:rsidRPr="00757507" w:rsidRDefault="0075777C" w:rsidP="00757507">
            <w:pPr>
              <w:pStyle w:val="Tabletext"/>
              <w:jc w:val="center"/>
            </w:pPr>
            <w:r w:rsidRPr="00757507">
              <w:t>1.3 (−49.6, 40.0)</w:t>
            </w:r>
          </w:p>
        </w:tc>
        <w:tc>
          <w:tcPr>
            <w:tcW w:w="1913" w:type="dxa"/>
          </w:tcPr>
          <w:p w:rsidR="0075777C" w:rsidRPr="00757507" w:rsidRDefault="0075777C" w:rsidP="00757507">
            <w:pPr>
              <w:pStyle w:val="Tabletext"/>
            </w:pPr>
          </w:p>
          <w:p w:rsidR="0075777C" w:rsidRPr="00757507" w:rsidRDefault="0075777C" w:rsidP="00757507">
            <w:pPr>
              <w:pStyle w:val="Tabletext"/>
            </w:pPr>
            <w:r w:rsidRPr="00757507">
              <w:t>8.6</w:t>
            </w:r>
          </w:p>
          <w:p w:rsidR="0075777C" w:rsidRPr="00757507" w:rsidRDefault="0075777C" w:rsidP="00757507">
            <w:pPr>
              <w:pStyle w:val="Tabletext"/>
            </w:pPr>
            <w:r w:rsidRPr="00757507">
              <w:t>20.7</w:t>
            </w:r>
          </w:p>
        </w:tc>
      </w:tr>
      <w:tr w:rsidR="0075777C" w:rsidTr="00302512">
        <w:tc>
          <w:tcPr>
            <w:tcW w:w="1413" w:type="dxa"/>
          </w:tcPr>
          <w:p w:rsidR="0075777C" w:rsidRPr="00757507" w:rsidRDefault="0075777C" w:rsidP="00757507">
            <w:pPr>
              <w:pStyle w:val="Tabletext"/>
            </w:pPr>
            <w:r w:rsidRPr="00757507">
              <w:t>Vizza 2017</w:t>
            </w:r>
            <w:r w:rsidR="001D34EE">
              <w:rPr>
                <w:noProof/>
                <w:vertAlign w:val="superscript"/>
              </w:rPr>
              <w:t>49</w:t>
            </w:r>
          </w:p>
          <w:p w:rsidR="0075777C" w:rsidRPr="00757507" w:rsidRDefault="0075777C" w:rsidP="00757507">
            <w:pPr>
              <w:pStyle w:val="Tabletext"/>
            </w:pPr>
            <w:r w:rsidRPr="00757507">
              <w:t>Sildenafil/ bosentan</w:t>
            </w:r>
          </w:p>
        </w:tc>
        <w:tc>
          <w:tcPr>
            <w:tcW w:w="1418" w:type="dxa"/>
          </w:tcPr>
          <w:p w:rsidR="0075777C" w:rsidRPr="00757507" w:rsidRDefault="0075777C" w:rsidP="00757507">
            <w:pPr>
              <w:pStyle w:val="Tabletext"/>
            </w:pPr>
            <w:r w:rsidRPr="00757507">
              <w:t>12 weeks</w:t>
            </w:r>
          </w:p>
          <w:p w:rsidR="0075777C" w:rsidRPr="00757507" w:rsidRDefault="00302512" w:rsidP="00757507">
            <w:pPr>
              <w:pStyle w:val="Tabletext"/>
            </w:pPr>
            <w:r>
              <w:t>I</w:t>
            </w:r>
            <w:r w:rsidRPr="00757507">
              <w:t>PAH</w:t>
            </w:r>
            <w:r>
              <w:t xml:space="preserve">/HPAH </w:t>
            </w:r>
            <w:r w:rsidR="0075777C" w:rsidRPr="00757507">
              <w:t>(n=67)</w:t>
            </w:r>
          </w:p>
          <w:p w:rsidR="0075777C" w:rsidRPr="00757507" w:rsidRDefault="0075777C" w:rsidP="00757507">
            <w:pPr>
              <w:pStyle w:val="Tabletext"/>
            </w:pPr>
            <w:r w:rsidRPr="00757507">
              <w:t>PAH-CTD (n=35)</w:t>
            </w:r>
          </w:p>
        </w:tc>
        <w:tc>
          <w:tcPr>
            <w:tcW w:w="1133" w:type="dxa"/>
          </w:tcPr>
          <w:p w:rsidR="0075777C" w:rsidRPr="00757507" w:rsidRDefault="0075777C" w:rsidP="00757507">
            <w:pPr>
              <w:pStyle w:val="Tabletext"/>
              <w:jc w:val="center"/>
            </w:pPr>
          </w:p>
          <w:p w:rsidR="0075777C" w:rsidRPr="00757507" w:rsidRDefault="0075777C" w:rsidP="00757507">
            <w:pPr>
              <w:pStyle w:val="Tabletext"/>
              <w:jc w:val="center"/>
            </w:pPr>
            <w:r w:rsidRPr="00757507">
              <w:t>NR</w:t>
            </w:r>
          </w:p>
          <w:p w:rsidR="0075777C" w:rsidRPr="00757507" w:rsidRDefault="0075777C" w:rsidP="00757507">
            <w:pPr>
              <w:pStyle w:val="Tabletext"/>
              <w:jc w:val="center"/>
            </w:pPr>
            <w:r w:rsidRPr="00757507">
              <w:t>NR</w:t>
            </w:r>
          </w:p>
        </w:tc>
        <w:tc>
          <w:tcPr>
            <w:tcW w:w="1205" w:type="dxa"/>
          </w:tcPr>
          <w:p w:rsidR="0075777C" w:rsidRPr="00757507" w:rsidRDefault="0075777C" w:rsidP="00757507">
            <w:pPr>
              <w:pStyle w:val="Tabletext"/>
              <w:jc w:val="center"/>
            </w:pPr>
          </w:p>
          <w:p w:rsidR="0075777C" w:rsidRPr="00757507" w:rsidRDefault="0075777C" w:rsidP="00757507">
            <w:pPr>
              <w:pStyle w:val="Tabletext"/>
              <w:jc w:val="center"/>
            </w:pPr>
            <w:r w:rsidRPr="00757507">
              <w:t>NR</w:t>
            </w:r>
          </w:p>
          <w:p w:rsidR="0075777C" w:rsidRPr="00757507" w:rsidRDefault="0075777C" w:rsidP="00757507">
            <w:pPr>
              <w:pStyle w:val="Tabletext"/>
              <w:jc w:val="center"/>
            </w:pPr>
            <w:r w:rsidRPr="00757507">
              <w:t>NR</w:t>
            </w:r>
          </w:p>
        </w:tc>
        <w:tc>
          <w:tcPr>
            <w:tcW w:w="1276" w:type="dxa"/>
          </w:tcPr>
          <w:p w:rsidR="0075777C" w:rsidRPr="00757507" w:rsidRDefault="0075777C" w:rsidP="00757507">
            <w:pPr>
              <w:pStyle w:val="Tabletext"/>
              <w:jc w:val="center"/>
            </w:pPr>
          </w:p>
          <w:p w:rsidR="0075777C" w:rsidRPr="00757507" w:rsidRDefault="0075777C" w:rsidP="00757507">
            <w:pPr>
              <w:pStyle w:val="Tabletext"/>
              <w:jc w:val="center"/>
            </w:pPr>
            <w:r w:rsidRPr="00757507">
              <w:t>NR</w:t>
            </w:r>
          </w:p>
          <w:p w:rsidR="0075777C" w:rsidRPr="00757507" w:rsidRDefault="0075777C" w:rsidP="00757507">
            <w:pPr>
              <w:pStyle w:val="Tabletext"/>
              <w:jc w:val="center"/>
            </w:pPr>
            <w:r w:rsidRPr="00757507">
              <w:t>NR</w:t>
            </w:r>
          </w:p>
        </w:tc>
        <w:tc>
          <w:tcPr>
            <w:tcW w:w="1276" w:type="dxa"/>
          </w:tcPr>
          <w:p w:rsidR="0075777C" w:rsidRPr="00757507" w:rsidRDefault="0075777C" w:rsidP="00757507">
            <w:pPr>
              <w:pStyle w:val="Tabletext"/>
              <w:jc w:val="center"/>
            </w:pPr>
          </w:p>
          <w:p w:rsidR="0075777C" w:rsidRPr="00757507" w:rsidRDefault="0075777C" w:rsidP="00757507">
            <w:pPr>
              <w:pStyle w:val="Tabletext"/>
              <w:jc w:val="center"/>
            </w:pPr>
            <w:r w:rsidRPr="00757507">
              <w:t>NR</w:t>
            </w:r>
          </w:p>
          <w:p w:rsidR="0075777C" w:rsidRPr="00757507" w:rsidRDefault="0075777C" w:rsidP="00757507">
            <w:pPr>
              <w:pStyle w:val="Tabletext"/>
              <w:jc w:val="center"/>
            </w:pPr>
            <w:r w:rsidRPr="00757507">
              <w:t>NR</w:t>
            </w:r>
          </w:p>
        </w:tc>
        <w:tc>
          <w:tcPr>
            <w:tcW w:w="1913" w:type="dxa"/>
          </w:tcPr>
          <w:p w:rsidR="0075777C" w:rsidRPr="00757507" w:rsidRDefault="0075777C" w:rsidP="00757507">
            <w:pPr>
              <w:pStyle w:val="Tabletext"/>
            </w:pPr>
          </w:p>
          <w:p w:rsidR="0075777C" w:rsidRPr="00757507" w:rsidRDefault="0075777C" w:rsidP="00757507">
            <w:pPr>
              <w:pStyle w:val="Tabletext"/>
            </w:pPr>
            <w:r w:rsidRPr="00757507">
              <w:t>13.6 (90% CI −10.0, 37.1)</w:t>
            </w:r>
          </w:p>
          <w:p w:rsidR="0075777C" w:rsidRPr="00757507" w:rsidRDefault="0075777C" w:rsidP="00757507">
            <w:pPr>
              <w:pStyle w:val="Tabletext"/>
            </w:pPr>
            <w:r w:rsidRPr="00757507">
              <w:t>−34.1 (90% CI −67.4, −0.8)</w:t>
            </w:r>
          </w:p>
        </w:tc>
      </w:tr>
    </w:tbl>
    <w:p w:rsidR="0075777C" w:rsidRDefault="0075777C" w:rsidP="00757507">
      <w:pPr>
        <w:pStyle w:val="Tablenote"/>
      </w:pPr>
      <w:r w:rsidRPr="00822C52">
        <w:t xml:space="preserve">6MWD = 6-minute </w:t>
      </w:r>
      <w:r w:rsidR="0082368E">
        <w:t>walk distance</w:t>
      </w:r>
      <w:r w:rsidRPr="00822C52">
        <w:t xml:space="preserve">; CI = confidence interval; ERA = endothelin receptor antagonist; </w:t>
      </w:r>
      <w:r w:rsidR="00302512">
        <w:t>HPAH =</w:t>
      </w:r>
      <w:r w:rsidR="00302512" w:rsidRPr="00822C52">
        <w:t xml:space="preserve"> heritable</w:t>
      </w:r>
      <w:r w:rsidR="00302512">
        <w:t xml:space="preserve"> PAH; </w:t>
      </w:r>
      <w:r w:rsidRPr="00822C52">
        <w:t>I</w:t>
      </w:r>
      <w:r w:rsidR="00774E89">
        <w:t>PAH</w:t>
      </w:r>
      <w:r w:rsidRPr="00822C52">
        <w:t xml:space="preserve"> = idiopathic </w:t>
      </w:r>
      <w:r w:rsidR="00774E89">
        <w:t>PAH</w:t>
      </w:r>
      <w:r w:rsidRPr="00822C52">
        <w:t xml:space="preserve">; NR = not reported; PAH = pulmonary arterial hypertension; </w:t>
      </w:r>
      <w:r w:rsidR="00774E89">
        <w:t>PAH-</w:t>
      </w:r>
      <w:r w:rsidR="00774E89" w:rsidRPr="00822C52">
        <w:t xml:space="preserve">CTD = </w:t>
      </w:r>
      <w:r w:rsidR="00774E89">
        <w:t xml:space="preserve">PAH associated with </w:t>
      </w:r>
      <w:r w:rsidR="00774E89" w:rsidRPr="00822C52">
        <w:t xml:space="preserve">connective tissue disease; </w:t>
      </w:r>
      <w:r>
        <w:t>PDE-5i</w:t>
      </w:r>
      <w:r w:rsidRPr="00822C52">
        <w:t xml:space="preserve"> = phosphodiesterase type-5 inhibitor</w:t>
      </w:r>
    </w:p>
    <w:p w:rsidR="0075777C" w:rsidRDefault="0075777C" w:rsidP="00757507">
      <w:pPr>
        <w:spacing w:after="40" w:line="240" w:lineRule="auto"/>
        <w:jc w:val="center"/>
      </w:pPr>
      <w:r>
        <w:rPr>
          <w:noProof/>
          <w:lang w:eastAsia="en-AU"/>
        </w:rPr>
        <w:drawing>
          <wp:inline distT="0" distB="0" distL="0" distR="0" wp14:anchorId="2C7BC239" wp14:editId="22D6BD48">
            <wp:extent cx="3864792" cy="2108579"/>
            <wp:effectExtent l="0" t="0" r="0" b="6350"/>
            <wp:docPr id="49" name="Picture 49" descr="Results showed that patients with PAH-CTD receiving combination therapy had a decreased 6MWD, compared to an increased 6MWD in those receiving monotherapy. However, patients with IPAH/HPAH receiving combination therapy had a greater improvement in 6MWD than those receiving monotherapy." title="Mean (±SE) change from baseline to week 12 in 6MWD by PAH aet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22606" cy="2140122"/>
                    </a:xfrm>
                    <a:prstGeom prst="rect">
                      <a:avLst/>
                    </a:prstGeom>
                    <a:noFill/>
                  </pic:spPr>
                </pic:pic>
              </a:graphicData>
            </a:graphic>
          </wp:inline>
        </w:drawing>
      </w:r>
    </w:p>
    <w:p w:rsidR="0075777C" w:rsidRPr="00795577" w:rsidRDefault="00757507" w:rsidP="00BC5A2B">
      <w:pPr>
        <w:pStyle w:val="Caption"/>
        <w:rPr>
          <w:rFonts w:ascii="Arial Narrow" w:hAnsi="Arial Narrow" w:cs="Tahoma"/>
          <w:u w:val="single"/>
        </w:rPr>
      </w:pPr>
      <w:bookmarkStart w:id="223" w:name="_Ref506304622"/>
      <w:bookmarkStart w:id="224" w:name="_Toc38360485"/>
      <w:r>
        <w:t>Figure 4.</w:t>
      </w:r>
      <w:r w:rsidR="003951FA">
        <w:rPr>
          <w:noProof/>
        </w:rPr>
        <w:t>19</w:t>
      </w:r>
      <w:bookmarkEnd w:id="223"/>
      <w:r>
        <w:tab/>
      </w:r>
      <w:r w:rsidR="0075777C">
        <w:t>Mean (±SE) change from baseline to week 12 in 6MWD by PAH aetiology</w:t>
      </w:r>
      <w:bookmarkEnd w:id="224"/>
    </w:p>
    <w:p w:rsidR="0075777C" w:rsidRDefault="0075777C" w:rsidP="00757507">
      <w:pPr>
        <w:pStyle w:val="Tablenote"/>
      </w:pPr>
      <w:r>
        <w:t xml:space="preserve">6MWD = 6-minute </w:t>
      </w:r>
      <w:r w:rsidR="0082368E">
        <w:t>walk distance</w:t>
      </w:r>
      <w:r>
        <w:t xml:space="preserve">; </w:t>
      </w:r>
      <w:r w:rsidRPr="00795577">
        <w:t>CI = confidence interval; ERA =</w:t>
      </w:r>
      <w:r>
        <w:t xml:space="preserve"> </w:t>
      </w:r>
      <w:r w:rsidR="0006512A">
        <w:t>endothelin receptor</w:t>
      </w:r>
      <w:r>
        <w:t xml:space="preserve"> antagonist</w:t>
      </w:r>
      <w:r w:rsidRPr="00795577">
        <w:t xml:space="preserve">; </w:t>
      </w:r>
      <w:r>
        <w:t xml:space="preserve">HPAH = heritable </w:t>
      </w:r>
      <w:r w:rsidR="00774E89">
        <w:t>PAH</w:t>
      </w:r>
      <w:r>
        <w:t xml:space="preserve">; IPAH = idiopathic </w:t>
      </w:r>
      <w:r w:rsidR="00774E89">
        <w:t>PAH</w:t>
      </w:r>
      <w:r>
        <w:t>; LS = least square; n</w:t>
      </w:r>
      <w:r w:rsidRPr="00795577">
        <w:t xml:space="preserve"> = number of patients; </w:t>
      </w:r>
      <w:r w:rsidRPr="00C83BF7">
        <w:t>PAH</w:t>
      </w:r>
      <w:r>
        <w:t xml:space="preserve"> = p</w:t>
      </w:r>
      <w:r w:rsidRPr="00C83BF7">
        <w:t xml:space="preserve">ulmonary </w:t>
      </w:r>
      <w:r>
        <w:t>a</w:t>
      </w:r>
      <w:r w:rsidRPr="00C83BF7">
        <w:t xml:space="preserve">rterial </w:t>
      </w:r>
      <w:r>
        <w:t>h</w:t>
      </w:r>
      <w:r w:rsidRPr="00C83BF7">
        <w:t>ypertension</w:t>
      </w:r>
      <w:r w:rsidR="00774E89">
        <w:t>; PAH-CTD =</w:t>
      </w:r>
      <w:r w:rsidRPr="00C83BF7">
        <w:t xml:space="preserve"> </w:t>
      </w:r>
      <w:r w:rsidR="00774E89">
        <w:t xml:space="preserve">PAH </w:t>
      </w:r>
      <w:r w:rsidRPr="00C83BF7">
        <w:t xml:space="preserve">associated with </w:t>
      </w:r>
      <w:r>
        <w:t>c</w:t>
      </w:r>
      <w:r w:rsidRPr="00C83BF7">
        <w:t xml:space="preserve">onnective </w:t>
      </w:r>
      <w:r>
        <w:t>t</w:t>
      </w:r>
      <w:r w:rsidRPr="00C83BF7">
        <w:t xml:space="preserve">issue </w:t>
      </w:r>
      <w:r>
        <w:t>d</w:t>
      </w:r>
      <w:r w:rsidRPr="00C83BF7">
        <w:t>isease</w:t>
      </w:r>
      <w:r w:rsidR="00575ECF">
        <w:t>; SE = standard error</w:t>
      </w:r>
    </w:p>
    <w:p w:rsidR="00AD3645" w:rsidRDefault="00AD3645" w:rsidP="00757507">
      <w:pPr>
        <w:pStyle w:val="Tablenote"/>
      </w:pPr>
      <w:r>
        <w:t>Source: Vizza et al (2017)</w:t>
      </w:r>
      <w:r w:rsidR="001D34EE" w:rsidRPr="001A1C44">
        <w:rPr>
          <w:noProof/>
          <w:vertAlign w:val="superscript"/>
        </w:rPr>
        <w:t>49</w:t>
      </w:r>
    </w:p>
    <w:p w:rsidR="0075777C" w:rsidRDefault="007B6C7C" w:rsidP="0075777C">
      <w:pPr>
        <w:pStyle w:val="Heading5"/>
      </w:pPr>
      <w:r>
        <w:t>f.</w:t>
      </w:r>
      <w:r>
        <w:tab/>
        <w:t>Change in QoL from baseline</w:t>
      </w:r>
    </w:p>
    <w:p w:rsidR="0075777C" w:rsidRPr="00822C52" w:rsidRDefault="0075777C" w:rsidP="0075777C">
      <w:r w:rsidRPr="008320AC">
        <w:t xml:space="preserve">None of the RCTs reported on the </w:t>
      </w:r>
      <w:r>
        <w:t>change in QoL for patients treated with a PDE-5 inhibitor and an ERA compared with those treated with an ERA alone.</w:t>
      </w:r>
    </w:p>
    <w:p w:rsidR="007B6C7C" w:rsidRPr="006316DF" w:rsidRDefault="007B6C7C" w:rsidP="007B6C7C">
      <w:pPr>
        <w:pStyle w:val="Heading5"/>
      </w:pPr>
      <w:r>
        <w:t>g.</w:t>
      </w:r>
      <w:r>
        <w:tab/>
      </w:r>
      <w:r w:rsidRPr="006316DF">
        <w:t xml:space="preserve">Change in </w:t>
      </w:r>
      <w:r>
        <w:t>haemodynamic parameters</w:t>
      </w:r>
      <w:r w:rsidRPr="006316DF">
        <w:t xml:space="preserve"> from baseline</w:t>
      </w:r>
    </w:p>
    <w:p w:rsidR="007B6C7C" w:rsidRPr="00B607A5" w:rsidRDefault="007B6C7C" w:rsidP="007B6C7C">
      <w:pPr>
        <w:pStyle w:val="Heading6"/>
      </w:pPr>
      <w:proofErr w:type="gramStart"/>
      <w:r w:rsidRPr="00B607A5">
        <w:t>g.i</w:t>
      </w:r>
      <w:proofErr w:type="gramEnd"/>
      <w:r w:rsidRPr="00B607A5">
        <w:tab/>
        <w:t>PAH patients, irrespective of disease severity or aetiology</w:t>
      </w:r>
    </w:p>
    <w:p w:rsidR="007B6C7C" w:rsidRDefault="007B6C7C" w:rsidP="007B6C7C">
      <w:r>
        <w:t>The Zhuang 2014 study reported the change in PVR and mPAP over the 16-week study period (</w:t>
      </w:r>
      <w:r w:rsidR="003951FA">
        <w:t>Table 4.</w:t>
      </w:r>
      <w:r w:rsidR="003951FA">
        <w:rPr>
          <w:noProof/>
        </w:rPr>
        <w:t>69</w:t>
      </w:r>
      <w:r>
        <w:t>). In this study, patients receiving combination therapy showed twice the improvement compared to those in the monotherapy group, but this difference was not statistical significance and is unlikely to be clinically important.</w:t>
      </w:r>
    </w:p>
    <w:p w:rsidR="007B6C7C" w:rsidRDefault="007B6C7C" w:rsidP="007B6C7C">
      <w:pPr>
        <w:pStyle w:val="Caption"/>
      </w:pPr>
      <w:bookmarkStart w:id="225" w:name="_Ref505354707"/>
      <w:bookmarkStart w:id="226" w:name="_Toc38360366"/>
      <w:r>
        <w:t>Table 4.</w:t>
      </w:r>
      <w:r w:rsidR="003951FA">
        <w:rPr>
          <w:noProof/>
        </w:rPr>
        <w:t>69</w:t>
      </w:r>
      <w:bookmarkEnd w:id="225"/>
      <w:r>
        <w:tab/>
      </w:r>
      <w:r w:rsidRPr="006316DF">
        <w:t xml:space="preserve">The effectiveness of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6316DF">
        <w:t xml:space="preserve"> </w:t>
      </w:r>
      <w:r w:rsidRPr="006316DF">
        <w:t xml:space="preserve">in improving </w:t>
      </w:r>
      <w:r>
        <w:t>haemodynamic parameters</w:t>
      </w:r>
      <w:r w:rsidRPr="00B642BB">
        <w:t xml:space="preserve"> in </w:t>
      </w:r>
      <w:r>
        <w:t>all PAH patients</w:t>
      </w:r>
      <w:bookmarkEnd w:id="226"/>
    </w:p>
    <w:tbl>
      <w:tblPr>
        <w:tblStyle w:val="TableGrid"/>
        <w:tblW w:w="9776" w:type="dxa"/>
        <w:tblLayout w:type="fixed"/>
        <w:tblLook w:val="04A0" w:firstRow="1" w:lastRow="0" w:firstColumn="1" w:lastColumn="0" w:noHBand="0" w:noVBand="1"/>
        <w:tblCaption w:val="The effectiveness of a PDE-5 inhibitor in addition to an ERA compared with ERA monotherapy in improving haemodynamic parameters in all PAH patients"/>
      </w:tblPr>
      <w:tblGrid>
        <w:gridCol w:w="1475"/>
        <w:gridCol w:w="1639"/>
        <w:gridCol w:w="1382"/>
        <w:gridCol w:w="1382"/>
        <w:gridCol w:w="1382"/>
        <w:gridCol w:w="1382"/>
        <w:gridCol w:w="1134"/>
      </w:tblGrid>
      <w:tr w:rsidR="007B6C7C" w:rsidTr="00C8682A">
        <w:trPr>
          <w:cnfStyle w:val="100000000000" w:firstRow="1" w:lastRow="0" w:firstColumn="0" w:lastColumn="0" w:oddVBand="0" w:evenVBand="0" w:oddHBand="0" w:evenHBand="0" w:firstRowFirstColumn="0" w:firstRowLastColumn="0" w:lastRowFirstColumn="0" w:lastRowLastColumn="0"/>
        </w:trPr>
        <w:tc>
          <w:tcPr>
            <w:tcW w:w="1475" w:type="dxa"/>
            <w:vMerge w:val="restart"/>
            <w:shd w:val="clear" w:color="auto" w:fill="BFBFBF" w:themeFill="background1" w:themeFillShade="BF"/>
          </w:tcPr>
          <w:p w:rsidR="007B6C7C" w:rsidRPr="00757507" w:rsidRDefault="007B6C7C" w:rsidP="007B6C7C">
            <w:pPr>
              <w:pStyle w:val="Tabletext"/>
              <w:rPr>
                <w:b/>
              </w:rPr>
            </w:pPr>
            <w:r w:rsidRPr="00757507">
              <w:rPr>
                <w:b/>
              </w:rPr>
              <w:t>Study ID</w:t>
            </w:r>
          </w:p>
          <w:p w:rsidR="007B6C7C" w:rsidRPr="00757507" w:rsidRDefault="001A599C" w:rsidP="007B6C7C">
            <w:pPr>
              <w:pStyle w:val="Tabletext"/>
              <w:rPr>
                <w:b/>
              </w:rPr>
            </w:pPr>
            <w:r w:rsidRPr="001A599C">
              <w:rPr>
                <w:b/>
              </w:rPr>
              <w:t>PDE-5 inhibitor</w:t>
            </w:r>
            <w:r>
              <w:rPr>
                <w:b/>
              </w:rPr>
              <w:t>/</w:t>
            </w:r>
            <w:r w:rsidR="007B6C7C" w:rsidRPr="00757507">
              <w:rPr>
                <w:b/>
              </w:rPr>
              <w:t>ERA</w:t>
            </w:r>
          </w:p>
          <w:p w:rsidR="007B6C7C" w:rsidRPr="00757507" w:rsidRDefault="007B6C7C" w:rsidP="007B6C7C">
            <w:pPr>
              <w:pStyle w:val="Tabletext"/>
              <w:rPr>
                <w:b/>
              </w:rPr>
            </w:pPr>
            <w:r w:rsidRPr="00757507">
              <w:rPr>
                <w:b/>
              </w:rPr>
              <w:t>Study period</w:t>
            </w:r>
          </w:p>
          <w:p w:rsidR="007B6C7C" w:rsidRPr="00757507" w:rsidRDefault="007B6C7C" w:rsidP="007B6C7C">
            <w:pPr>
              <w:pStyle w:val="Tabletext"/>
              <w:rPr>
                <w:b/>
              </w:rPr>
            </w:pPr>
            <w:r w:rsidRPr="00757507">
              <w:rPr>
                <w:b/>
              </w:rPr>
              <w:t xml:space="preserve">N </w:t>
            </w:r>
          </w:p>
        </w:tc>
        <w:tc>
          <w:tcPr>
            <w:tcW w:w="1639" w:type="dxa"/>
            <w:vMerge w:val="restart"/>
            <w:shd w:val="clear" w:color="auto" w:fill="BFBFBF" w:themeFill="background1" w:themeFillShade="BF"/>
          </w:tcPr>
          <w:p w:rsidR="007B6C7C" w:rsidRPr="00757507" w:rsidRDefault="007B6C7C" w:rsidP="007B6C7C">
            <w:pPr>
              <w:pStyle w:val="Tabletext"/>
              <w:rPr>
                <w:b/>
              </w:rPr>
            </w:pPr>
            <w:r w:rsidRPr="00757507">
              <w:rPr>
                <w:b/>
              </w:rPr>
              <w:t>Haemodynamic parameter</w:t>
            </w:r>
            <w:r w:rsidR="005E70D3" w:rsidRPr="005E70D3">
              <w:rPr>
                <w:b/>
                <w:vertAlign w:val="superscript"/>
              </w:rPr>
              <w:t>a</w:t>
            </w:r>
          </w:p>
        </w:tc>
        <w:tc>
          <w:tcPr>
            <w:tcW w:w="2764" w:type="dxa"/>
            <w:gridSpan w:val="2"/>
            <w:shd w:val="clear" w:color="auto" w:fill="BFBFBF" w:themeFill="background1" w:themeFillShade="BF"/>
          </w:tcPr>
          <w:p w:rsidR="007B6C7C" w:rsidRPr="00757507" w:rsidRDefault="007B6C7C" w:rsidP="007B6C7C">
            <w:pPr>
              <w:pStyle w:val="Tabletext"/>
              <w:jc w:val="center"/>
              <w:rPr>
                <w:b/>
              </w:rPr>
            </w:pPr>
            <w:r w:rsidRPr="00757507">
              <w:rPr>
                <w:b/>
              </w:rPr>
              <w:t>Mean ± SD baseline haemodynamic parameter</w:t>
            </w:r>
            <w:r w:rsidR="00242BA3">
              <w:rPr>
                <w:b/>
              </w:rPr>
              <w:t>s</w:t>
            </w:r>
          </w:p>
        </w:tc>
        <w:tc>
          <w:tcPr>
            <w:tcW w:w="2764" w:type="dxa"/>
            <w:gridSpan w:val="2"/>
            <w:shd w:val="clear" w:color="auto" w:fill="BFBFBF" w:themeFill="background1" w:themeFillShade="BF"/>
          </w:tcPr>
          <w:p w:rsidR="007B6C7C" w:rsidRPr="00757507" w:rsidRDefault="007B6C7C" w:rsidP="007B6C7C">
            <w:pPr>
              <w:pStyle w:val="Tabletext"/>
              <w:jc w:val="center"/>
              <w:rPr>
                <w:b/>
              </w:rPr>
            </w:pPr>
            <w:r w:rsidRPr="00757507">
              <w:rPr>
                <w:b/>
              </w:rPr>
              <w:t xml:space="preserve">Mean ± SD value at 16 weeks </w:t>
            </w:r>
            <w:r w:rsidR="00E6350D">
              <w:rPr>
                <w:b/>
              </w:rPr>
              <w:br/>
              <w:t>(</w:t>
            </w:r>
            <w:r w:rsidRPr="00757507">
              <w:rPr>
                <w:b/>
              </w:rPr>
              <w:t xml:space="preserve">% </w:t>
            </w:r>
            <w:r w:rsidRPr="00C8682A">
              <w:rPr>
                <w:rFonts w:cs="Arial"/>
                <w:b/>
              </w:rPr>
              <w:t>c</w:t>
            </w:r>
            <w:r w:rsidR="00E6350D" w:rsidRPr="00C8682A">
              <w:rPr>
                <w:rFonts w:cs="Arial"/>
                <w:b/>
              </w:rPr>
              <w:t>hange from baseline)</w:t>
            </w:r>
          </w:p>
        </w:tc>
        <w:tc>
          <w:tcPr>
            <w:tcW w:w="1134" w:type="dxa"/>
            <w:vMerge w:val="restart"/>
            <w:shd w:val="clear" w:color="auto" w:fill="BFBFBF" w:themeFill="background1" w:themeFillShade="BF"/>
          </w:tcPr>
          <w:p w:rsidR="007B6C7C" w:rsidRPr="00757507" w:rsidRDefault="007B6C7C" w:rsidP="00575ECF">
            <w:pPr>
              <w:pStyle w:val="Tabletext"/>
              <w:rPr>
                <w:b/>
              </w:rPr>
            </w:pPr>
            <w:r w:rsidRPr="00757507">
              <w:rPr>
                <w:b/>
              </w:rPr>
              <w:t>Mean % d</w:t>
            </w:r>
            <w:r w:rsidRPr="00757507">
              <w:rPr>
                <w:rFonts w:asciiTheme="minorHAnsi" w:hAnsiTheme="minorHAnsi"/>
                <w:b/>
              </w:rPr>
              <w:t>iff</w:t>
            </w:r>
            <w:r w:rsidRPr="00C8682A">
              <w:rPr>
                <w:b/>
              </w:rPr>
              <w:t xml:space="preserve">erence </w:t>
            </w:r>
          </w:p>
        </w:tc>
      </w:tr>
      <w:tr w:rsidR="007B6C7C" w:rsidTr="00C8682A">
        <w:tc>
          <w:tcPr>
            <w:tcW w:w="1475" w:type="dxa"/>
            <w:vMerge/>
          </w:tcPr>
          <w:p w:rsidR="007B6C7C" w:rsidRDefault="007B6C7C" w:rsidP="007B6C7C">
            <w:pPr>
              <w:pStyle w:val="Tabletext"/>
            </w:pPr>
          </w:p>
        </w:tc>
        <w:tc>
          <w:tcPr>
            <w:tcW w:w="1639" w:type="dxa"/>
            <w:vMerge/>
          </w:tcPr>
          <w:p w:rsidR="007B6C7C" w:rsidRDefault="007B6C7C" w:rsidP="007B6C7C">
            <w:pPr>
              <w:pStyle w:val="Tabletext"/>
            </w:pPr>
          </w:p>
        </w:tc>
        <w:tc>
          <w:tcPr>
            <w:tcW w:w="1382" w:type="dxa"/>
            <w:shd w:val="clear" w:color="auto" w:fill="BFBFBF" w:themeFill="background1" w:themeFillShade="BF"/>
          </w:tcPr>
          <w:p w:rsidR="007B6C7C" w:rsidRPr="00757507" w:rsidRDefault="007B6C7C" w:rsidP="007B6C7C">
            <w:pPr>
              <w:pStyle w:val="Tabletext"/>
              <w:jc w:val="center"/>
              <w:rPr>
                <w:b/>
              </w:rPr>
            </w:pPr>
            <w:r w:rsidRPr="00757507">
              <w:rPr>
                <w:rFonts w:asciiTheme="minorHAnsi" w:hAnsiTheme="minorHAnsi"/>
                <w:b/>
              </w:rPr>
              <w:t>PDE-5i + ERA</w:t>
            </w:r>
          </w:p>
        </w:tc>
        <w:tc>
          <w:tcPr>
            <w:tcW w:w="1382" w:type="dxa"/>
            <w:shd w:val="clear" w:color="auto" w:fill="BFBFBF" w:themeFill="background1" w:themeFillShade="BF"/>
          </w:tcPr>
          <w:p w:rsidR="007B6C7C" w:rsidRPr="00757507" w:rsidRDefault="007B6C7C" w:rsidP="007B6C7C">
            <w:pPr>
              <w:pStyle w:val="Tabletext"/>
              <w:jc w:val="center"/>
              <w:rPr>
                <w:b/>
              </w:rPr>
            </w:pPr>
            <w:r w:rsidRPr="00757507">
              <w:rPr>
                <w:rFonts w:asciiTheme="minorHAnsi" w:hAnsiTheme="minorHAnsi"/>
                <w:b/>
              </w:rPr>
              <w:t>ERA</w:t>
            </w:r>
          </w:p>
        </w:tc>
        <w:tc>
          <w:tcPr>
            <w:tcW w:w="1382" w:type="dxa"/>
            <w:shd w:val="clear" w:color="auto" w:fill="BFBFBF" w:themeFill="background1" w:themeFillShade="BF"/>
          </w:tcPr>
          <w:p w:rsidR="007B6C7C" w:rsidRPr="00757507" w:rsidRDefault="007B6C7C" w:rsidP="007B6C7C">
            <w:pPr>
              <w:pStyle w:val="Tabletext"/>
              <w:jc w:val="center"/>
              <w:rPr>
                <w:b/>
              </w:rPr>
            </w:pPr>
            <w:r w:rsidRPr="00757507">
              <w:rPr>
                <w:rFonts w:asciiTheme="minorHAnsi" w:hAnsiTheme="minorHAnsi"/>
                <w:b/>
              </w:rPr>
              <w:t>PDE-5i + ERA</w:t>
            </w:r>
          </w:p>
        </w:tc>
        <w:tc>
          <w:tcPr>
            <w:tcW w:w="1382" w:type="dxa"/>
            <w:shd w:val="clear" w:color="auto" w:fill="BFBFBF" w:themeFill="background1" w:themeFillShade="BF"/>
          </w:tcPr>
          <w:p w:rsidR="007B6C7C" w:rsidRPr="00757507" w:rsidRDefault="007B6C7C" w:rsidP="007B6C7C">
            <w:pPr>
              <w:pStyle w:val="Tabletext"/>
              <w:jc w:val="center"/>
              <w:rPr>
                <w:b/>
              </w:rPr>
            </w:pPr>
            <w:r w:rsidRPr="00757507">
              <w:rPr>
                <w:rFonts w:asciiTheme="minorHAnsi" w:hAnsiTheme="minorHAnsi"/>
                <w:b/>
              </w:rPr>
              <w:t>ERA</w:t>
            </w:r>
          </w:p>
        </w:tc>
        <w:tc>
          <w:tcPr>
            <w:tcW w:w="1134" w:type="dxa"/>
            <w:vMerge/>
          </w:tcPr>
          <w:p w:rsidR="007B6C7C" w:rsidRDefault="007B6C7C" w:rsidP="007B6C7C">
            <w:pPr>
              <w:pStyle w:val="Tabletext"/>
            </w:pPr>
          </w:p>
        </w:tc>
      </w:tr>
      <w:tr w:rsidR="007B6C7C" w:rsidTr="00C8682A">
        <w:tc>
          <w:tcPr>
            <w:tcW w:w="1475" w:type="dxa"/>
          </w:tcPr>
          <w:p w:rsidR="007B6C7C" w:rsidRPr="00822C52" w:rsidRDefault="007B6C7C" w:rsidP="007B6C7C">
            <w:pPr>
              <w:pStyle w:val="Tabletext"/>
              <w:rPr>
                <w:rFonts w:asciiTheme="minorHAnsi" w:hAnsiTheme="minorHAnsi"/>
              </w:rPr>
            </w:pPr>
            <w:r w:rsidRPr="001C295E">
              <w:t>Zhuang 2014</w:t>
            </w:r>
            <w:r w:rsidR="001D34EE" w:rsidRPr="001A1C44">
              <w:rPr>
                <w:rFonts w:asciiTheme="minorHAnsi" w:hAnsiTheme="minorHAnsi"/>
                <w:noProof/>
                <w:vertAlign w:val="superscript"/>
              </w:rPr>
              <w:t>50</w:t>
            </w:r>
          </w:p>
          <w:p w:rsidR="007B6C7C" w:rsidRDefault="007B6C7C" w:rsidP="007B6C7C">
            <w:pPr>
              <w:pStyle w:val="Tabletext"/>
            </w:pPr>
            <w:r>
              <w:t>Tadalafil/ambrisentan</w:t>
            </w:r>
          </w:p>
          <w:p w:rsidR="007B6C7C" w:rsidRDefault="007B6C7C" w:rsidP="007B6C7C">
            <w:pPr>
              <w:pStyle w:val="Tabletext"/>
            </w:pPr>
            <w:r>
              <w:t>16 weeks</w:t>
            </w:r>
          </w:p>
          <w:p w:rsidR="007B6C7C" w:rsidRDefault="007B6C7C" w:rsidP="007B6C7C">
            <w:pPr>
              <w:pStyle w:val="Tabletext"/>
            </w:pPr>
            <w:r>
              <w:t>N=124</w:t>
            </w:r>
          </w:p>
        </w:tc>
        <w:tc>
          <w:tcPr>
            <w:tcW w:w="1639" w:type="dxa"/>
          </w:tcPr>
          <w:p w:rsidR="007B6C7C" w:rsidRDefault="007B6C7C" w:rsidP="007B6C7C">
            <w:pPr>
              <w:pStyle w:val="Tabletext"/>
            </w:pPr>
            <w:r>
              <w:t>PVR (</w:t>
            </w:r>
            <w:r w:rsidR="001424AA" w:rsidRPr="001424AA">
              <w:t>dyn*sec*cm</w:t>
            </w:r>
            <w:r w:rsidR="001424AA" w:rsidRPr="001424AA">
              <w:rPr>
                <w:vertAlign w:val="superscript"/>
              </w:rPr>
              <w:t>-5</w:t>
            </w:r>
            <w:r>
              <w:t>)</w:t>
            </w:r>
          </w:p>
          <w:p w:rsidR="007B6C7C" w:rsidRDefault="007B6C7C" w:rsidP="007B6C7C">
            <w:pPr>
              <w:pStyle w:val="Tabletext"/>
            </w:pPr>
          </w:p>
          <w:p w:rsidR="007B6C7C" w:rsidRDefault="007B6C7C" w:rsidP="007B6C7C">
            <w:pPr>
              <w:pStyle w:val="Tabletext"/>
            </w:pPr>
            <w:r>
              <w:t>mPAP (mmHg)</w:t>
            </w:r>
          </w:p>
        </w:tc>
        <w:tc>
          <w:tcPr>
            <w:tcW w:w="1382" w:type="dxa"/>
          </w:tcPr>
          <w:p w:rsidR="007B6C7C" w:rsidRDefault="007B6C7C" w:rsidP="007B6C7C">
            <w:pPr>
              <w:pStyle w:val="Tabletext"/>
              <w:jc w:val="center"/>
              <w:rPr>
                <w:rFonts w:cs="Tahoma"/>
              </w:rPr>
            </w:pPr>
            <w:r w:rsidRPr="00B155D9">
              <w:rPr>
                <w:rFonts w:cs="Tahoma"/>
              </w:rPr>
              <w:t>837</w:t>
            </w:r>
            <w:r>
              <w:rPr>
                <w:rFonts w:cs="Tahoma"/>
              </w:rPr>
              <w:t xml:space="preserve"> </w:t>
            </w:r>
            <w:r w:rsidRPr="00B155D9">
              <w:rPr>
                <w:rFonts w:cs="Tahoma"/>
              </w:rPr>
              <w:t>±</w:t>
            </w:r>
            <w:r>
              <w:rPr>
                <w:rFonts w:cs="Tahoma"/>
              </w:rPr>
              <w:t xml:space="preserve"> </w:t>
            </w:r>
            <w:r w:rsidRPr="00B155D9">
              <w:rPr>
                <w:rFonts w:cs="Tahoma"/>
              </w:rPr>
              <w:t>389</w:t>
            </w:r>
          </w:p>
          <w:p w:rsidR="007B6C7C" w:rsidRDefault="007B6C7C" w:rsidP="007B6C7C">
            <w:pPr>
              <w:pStyle w:val="Tabletext"/>
              <w:jc w:val="center"/>
              <w:rPr>
                <w:rFonts w:cs="Tahoma"/>
              </w:rPr>
            </w:pPr>
          </w:p>
          <w:p w:rsidR="007B6C7C" w:rsidRPr="00C444C0" w:rsidRDefault="007B6C7C" w:rsidP="007B6C7C">
            <w:pPr>
              <w:pStyle w:val="Tabletext"/>
              <w:jc w:val="center"/>
            </w:pPr>
            <w:r w:rsidRPr="00202AD4">
              <w:t>5</w:t>
            </w:r>
            <w:r>
              <w:t>0 ± 12</w:t>
            </w:r>
          </w:p>
        </w:tc>
        <w:tc>
          <w:tcPr>
            <w:tcW w:w="1382" w:type="dxa"/>
          </w:tcPr>
          <w:p w:rsidR="007B6C7C" w:rsidRDefault="007B6C7C" w:rsidP="007B6C7C">
            <w:pPr>
              <w:pStyle w:val="Tabletext"/>
              <w:jc w:val="center"/>
              <w:rPr>
                <w:rFonts w:cs="Tahoma"/>
              </w:rPr>
            </w:pPr>
            <w:r w:rsidRPr="00B155D9">
              <w:rPr>
                <w:rFonts w:cs="Tahoma"/>
              </w:rPr>
              <w:t>843</w:t>
            </w:r>
            <w:r>
              <w:rPr>
                <w:rFonts w:cs="Tahoma"/>
              </w:rPr>
              <w:t xml:space="preserve"> </w:t>
            </w:r>
            <w:r w:rsidRPr="00B155D9">
              <w:rPr>
                <w:rFonts w:cs="Tahoma"/>
              </w:rPr>
              <w:t>±</w:t>
            </w:r>
            <w:r>
              <w:rPr>
                <w:rFonts w:cs="Tahoma"/>
              </w:rPr>
              <w:t xml:space="preserve"> </w:t>
            </w:r>
            <w:r w:rsidRPr="00B155D9">
              <w:rPr>
                <w:rFonts w:cs="Tahoma"/>
              </w:rPr>
              <w:t>423</w:t>
            </w:r>
          </w:p>
          <w:p w:rsidR="007B6C7C" w:rsidRDefault="007B6C7C" w:rsidP="007B6C7C">
            <w:pPr>
              <w:pStyle w:val="Tabletext"/>
              <w:jc w:val="center"/>
              <w:rPr>
                <w:rFonts w:cs="Tahoma"/>
              </w:rPr>
            </w:pPr>
          </w:p>
          <w:p w:rsidR="007B6C7C" w:rsidRPr="00C444C0" w:rsidRDefault="007B6C7C" w:rsidP="007B6C7C">
            <w:pPr>
              <w:pStyle w:val="Tabletext"/>
              <w:jc w:val="center"/>
            </w:pPr>
            <w:r>
              <w:t xml:space="preserve">53 ± </w:t>
            </w:r>
            <w:r w:rsidRPr="00202AD4">
              <w:t>9</w:t>
            </w:r>
          </w:p>
        </w:tc>
        <w:tc>
          <w:tcPr>
            <w:tcW w:w="1382" w:type="dxa"/>
          </w:tcPr>
          <w:p w:rsidR="007B6C7C" w:rsidRDefault="007B6C7C" w:rsidP="007B6C7C">
            <w:pPr>
              <w:pStyle w:val="Tabletext"/>
              <w:jc w:val="center"/>
            </w:pPr>
            <w:r w:rsidRPr="00B155D9">
              <w:rPr>
                <w:rFonts w:cs="Tahoma"/>
              </w:rPr>
              <w:t>623</w:t>
            </w:r>
            <w:r>
              <w:rPr>
                <w:rFonts w:cs="Tahoma"/>
              </w:rPr>
              <w:t xml:space="preserve"> </w:t>
            </w:r>
            <w:r w:rsidRPr="00B155D9">
              <w:rPr>
                <w:rFonts w:cs="Tahoma"/>
              </w:rPr>
              <w:t>±</w:t>
            </w:r>
            <w:r>
              <w:rPr>
                <w:rFonts w:cs="Tahoma"/>
              </w:rPr>
              <w:t xml:space="preserve"> </w:t>
            </w:r>
            <w:r w:rsidRPr="00B155D9">
              <w:rPr>
                <w:rFonts w:cs="Tahoma"/>
              </w:rPr>
              <w:t>365</w:t>
            </w:r>
          </w:p>
          <w:p w:rsidR="007B6C7C" w:rsidRDefault="00E6350D" w:rsidP="007B6C7C">
            <w:pPr>
              <w:pStyle w:val="Tabletext"/>
              <w:jc w:val="center"/>
            </w:pPr>
            <w:r>
              <w:t>(</w:t>
            </w:r>
            <w:r w:rsidR="007B6C7C">
              <w:t>−26.7%</w:t>
            </w:r>
            <w:r>
              <w:t>)</w:t>
            </w:r>
          </w:p>
          <w:p w:rsidR="007B6C7C" w:rsidRDefault="007B6C7C" w:rsidP="007B6C7C">
            <w:pPr>
              <w:pStyle w:val="Tabletext"/>
              <w:jc w:val="center"/>
            </w:pPr>
            <w:r>
              <w:t>43 ± 8</w:t>
            </w:r>
          </w:p>
          <w:p w:rsidR="007B6C7C" w:rsidRPr="00C444C0" w:rsidRDefault="00E6350D" w:rsidP="00E6350D">
            <w:pPr>
              <w:pStyle w:val="Tabletext"/>
              <w:jc w:val="center"/>
            </w:pPr>
            <w:r>
              <w:t>(</w:t>
            </w:r>
            <w:r w:rsidR="007B6C7C">
              <w:t>−14.2%</w:t>
            </w:r>
            <w:r>
              <w:t>)</w:t>
            </w:r>
          </w:p>
        </w:tc>
        <w:tc>
          <w:tcPr>
            <w:tcW w:w="1382" w:type="dxa"/>
          </w:tcPr>
          <w:p w:rsidR="007B6C7C" w:rsidRDefault="007B6C7C" w:rsidP="007B6C7C">
            <w:pPr>
              <w:pStyle w:val="Tabletext"/>
              <w:jc w:val="center"/>
            </w:pPr>
            <w:r w:rsidRPr="00B155D9">
              <w:t>735</w:t>
            </w:r>
            <w:r>
              <w:t xml:space="preserve"> </w:t>
            </w:r>
            <w:r w:rsidRPr="00B155D9">
              <w:t>±</w:t>
            </w:r>
            <w:r>
              <w:t xml:space="preserve"> </w:t>
            </w:r>
            <w:r w:rsidRPr="00B155D9">
              <w:t>375</w:t>
            </w:r>
          </w:p>
          <w:p w:rsidR="007B6C7C" w:rsidRDefault="00E6350D" w:rsidP="007B6C7C">
            <w:pPr>
              <w:pStyle w:val="Tabletext"/>
              <w:jc w:val="center"/>
            </w:pPr>
            <w:r>
              <w:t>(−12.8%)</w:t>
            </w:r>
          </w:p>
          <w:p w:rsidR="007B6C7C" w:rsidRDefault="007B6C7C" w:rsidP="007B6C7C">
            <w:pPr>
              <w:pStyle w:val="Tabletext"/>
              <w:jc w:val="center"/>
            </w:pPr>
            <w:r>
              <w:t>50 ± 10</w:t>
            </w:r>
          </w:p>
          <w:p w:rsidR="007B6C7C" w:rsidRPr="00C444C0" w:rsidRDefault="00E6350D" w:rsidP="00E6350D">
            <w:pPr>
              <w:pStyle w:val="Tabletext"/>
              <w:jc w:val="center"/>
            </w:pPr>
            <w:r>
              <w:t>(</w:t>
            </w:r>
            <w:r w:rsidR="007B6C7C">
              <w:t>−5.7%</w:t>
            </w:r>
            <w:r>
              <w:t>)</w:t>
            </w:r>
          </w:p>
        </w:tc>
        <w:tc>
          <w:tcPr>
            <w:tcW w:w="1134" w:type="dxa"/>
          </w:tcPr>
          <w:p w:rsidR="007B6C7C" w:rsidRDefault="007B6C7C" w:rsidP="007B6C7C">
            <w:pPr>
              <w:pStyle w:val="Tabletext"/>
            </w:pPr>
            <w:r>
              <w:t>−13.9%</w:t>
            </w:r>
          </w:p>
          <w:p w:rsidR="007B6C7C" w:rsidRDefault="007B6C7C" w:rsidP="007B6C7C">
            <w:pPr>
              <w:pStyle w:val="Tabletext"/>
            </w:pPr>
          </w:p>
          <w:p w:rsidR="007B6C7C" w:rsidRPr="00C444C0" w:rsidRDefault="007B6C7C" w:rsidP="007B6C7C">
            <w:pPr>
              <w:pStyle w:val="Tabletext"/>
            </w:pPr>
            <w:r>
              <w:t>−8.5%</w:t>
            </w:r>
          </w:p>
        </w:tc>
      </w:tr>
    </w:tbl>
    <w:p w:rsidR="005E70D3" w:rsidRDefault="005E70D3" w:rsidP="007B6C7C">
      <w:pPr>
        <w:pStyle w:val="Tablenote"/>
      </w:pPr>
      <w:proofErr w:type="gramStart"/>
      <w:r>
        <w:rPr>
          <w:vertAlign w:val="superscript"/>
        </w:rPr>
        <w:t>a</w:t>
      </w:r>
      <w:proofErr w:type="gramEnd"/>
      <w:r>
        <w:t xml:space="preserve"> A decrease in PVR or mPAP indicates improvement in </w:t>
      </w:r>
      <w:r w:rsidR="007E658F">
        <w:t>haemodynamic parameters</w:t>
      </w:r>
    </w:p>
    <w:p w:rsidR="00575ECF" w:rsidRPr="006316DF" w:rsidRDefault="00575ECF" w:rsidP="007B6C7C">
      <w:pPr>
        <w:pStyle w:val="Tablenote"/>
      </w:pPr>
      <w:r w:rsidRPr="009E3B52">
        <w:t xml:space="preserve">ERA = endothelin receptor antagonist; </w:t>
      </w:r>
      <w:r w:rsidR="007B6C7C">
        <w:t xml:space="preserve">mPAP = mean pulmonary artery pressure; </w:t>
      </w:r>
      <w:r w:rsidR="007B6C7C" w:rsidRPr="006316DF">
        <w:t>N = number of patients</w:t>
      </w:r>
      <w:r w:rsidR="007B6C7C">
        <w:t xml:space="preserve">; </w:t>
      </w:r>
      <w:r w:rsidRPr="00715D78">
        <w:t>PAH = pulmonary arterial hypertension;</w:t>
      </w:r>
      <w:r>
        <w:t xml:space="preserve"> </w:t>
      </w:r>
      <w:r w:rsidRPr="00BE3517">
        <w:t>PDE-5</w:t>
      </w:r>
      <w:r>
        <w:t>i</w:t>
      </w:r>
      <w:r w:rsidRPr="00BE3517">
        <w:t xml:space="preserve"> = phosphodiesterase type-5</w:t>
      </w:r>
      <w:r>
        <w:t xml:space="preserve"> inhibitor</w:t>
      </w:r>
      <w:r w:rsidRPr="00BE3517">
        <w:t xml:space="preserve">; </w:t>
      </w:r>
      <w:r w:rsidR="007B6C7C">
        <w:t xml:space="preserve">PVR = </w:t>
      </w:r>
      <w:r w:rsidR="007B6C7C" w:rsidRPr="007A4F5B">
        <w:t>pulmonary vascular resistance</w:t>
      </w:r>
      <w:r w:rsidR="007B6C7C" w:rsidRPr="00C51FB4">
        <w:t>;</w:t>
      </w:r>
      <w:r w:rsidR="007B6C7C">
        <w:t xml:space="preserve"> SD = standard deviation</w:t>
      </w:r>
    </w:p>
    <w:p w:rsidR="0075777C" w:rsidRPr="00150BDE" w:rsidRDefault="002E4833" w:rsidP="0075777C">
      <w:pPr>
        <w:pStyle w:val="Heading5"/>
      </w:pPr>
      <w:r>
        <w:t>h.</w:t>
      </w:r>
      <w:r w:rsidR="007B6C7C">
        <w:tab/>
      </w:r>
      <w:r w:rsidR="0075777C" w:rsidRPr="00150BDE">
        <w:t>Comparative safety</w:t>
      </w:r>
    </w:p>
    <w:p w:rsidR="0075777C" w:rsidRPr="00822C52" w:rsidRDefault="0075777C" w:rsidP="0075777C">
      <w:r>
        <w:t xml:space="preserve">Four RCTs reported on the comparative safety of </w:t>
      </w:r>
      <w:r w:rsidRPr="00157F57">
        <w:t xml:space="preserve">PDE-5 inhibitor </w:t>
      </w:r>
      <w:proofErr w:type="gramStart"/>
      <w:r>
        <w:t>plus</w:t>
      </w:r>
      <w:proofErr w:type="gramEnd"/>
      <w:r>
        <w:t xml:space="preserve"> an</w:t>
      </w:r>
      <w:r w:rsidRPr="00157F57">
        <w:t xml:space="preserve"> ERA </w:t>
      </w:r>
      <w:r>
        <w:t xml:space="preserve">combination therapy </w:t>
      </w:r>
      <w:r w:rsidRPr="00157F57">
        <w:t xml:space="preserve">compared with ERA </w:t>
      </w:r>
      <w:r>
        <w:t xml:space="preserve">monotherapy </w:t>
      </w:r>
      <w:r w:rsidRPr="00157F57">
        <w:t>in PAH patients</w:t>
      </w:r>
      <w:r>
        <w:t xml:space="preserve"> of any WHO FC and disease aetiology. The AMBITION trial also reported </w:t>
      </w:r>
      <w:r w:rsidRPr="00A8723A">
        <w:t xml:space="preserve">on the </w:t>
      </w:r>
      <w:r>
        <w:t>comparative safety of dual and mono therapy</w:t>
      </w:r>
      <w:r w:rsidRPr="00A8723A">
        <w:t xml:space="preserve"> </w:t>
      </w:r>
      <w:r>
        <w:t>in the PAH-CTD patient subgroup.</w:t>
      </w:r>
    </w:p>
    <w:p w:rsidR="0075777C" w:rsidRPr="00B607A5" w:rsidRDefault="002E4833" w:rsidP="0077344D">
      <w:pPr>
        <w:pStyle w:val="Heading6"/>
      </w:pPr>
      <w:proofErr w:type="gramStart"/>
      <w:r w:rsidRPr="00B607A5">
        <w:t>h</w:t>
      </w:r>
      <w:r w:rsidR="0075777C" w:rsidRPr="00B607A5">
        <w:t>.i</w:t>
      </w:r>
      <w:proofErr w:type="gramEnd"/>
      <w:r w:rsidR="0075777C" w:rsidRPr="00B607A5">
        <w:tab/>
        <w:t>PAH patients, irrespective of disease severity or aetiology</w:t>
      </w:r>
    </w:p>
    <w:p w:rsidR="0075777C" w:rsidRPr="00822C52" w:rsidRDefault="0075777C" w:rsidP="0075777C">
      <w:r>
        <w:t>Four studies reported on the proportion of any AE, serious AEs, AEs leading to discontinuation of study treatment and/or t</w:t>
      </w:r>
      <w:r w:rsidRPr="00DF7A46">
        <w:t>reatment-related AEs</w:t>
      </w:r>
      <w:r>
        <w:t xml:space="preserve"> occurring in patients receiving combination therapy with compared with those on monotherapy (</w:t>
      </w:r>
      <w:r w:rsidR="003951FA">
        <w:t>Table 4.</w:t>
      </w:r>
      <w:r w:rsidR="003951FA">
        <w:rPr>
          <w:noProof/>
        </w:rPr>
        <w:t>70</w:t>
      </w:r>
      <w:r>
        <w:t>). There were no statistically significant differences between the two treatment arms in any study (</w:t>
      </w:r>
      <w:r w:rsidR="003951FA">
        <w:t>Figure 4.</w:t>
      </w:r>
      <w:r w:rsidR="003951FA">
        <w:rPr>
          <w:noProof/>
        </w:rPr>
        <w:t>20</w:t>
      </w:r>
      <w:r>
        <w:t xml:space="preserve">). All AEs reported by these studies </w:t>
      </w:r>
      <w:proofErr w:type="gramStart"/>
      <w:r>
        <w:t>have been previously noted</w:t>
      </w:r>
      <w:proofErr w:type="gramEnd"/>
      <w:r>
        <w:t xml:space="preserve"> to occur among patients taking either a PDE-5 inhibitor or an ERA.</w:t>
      </w:r>
    </w:p>
    <w:p w:rsidR="00A73209" w:rsidRDefault="00A73209">
      <w:pPr>
        <w:spacing w:before="0" w:line="240" w:lineRule="auto"/>
        <w:rPr>
          <w:b/>
          <w:iCs/>
          <w:szCs w:val="18"/>
        </w:rPr>
      </w:pPr>
      <w:bookmarkStart w:id="227" w:name="_Ref504656544"/>
      <w:bookmarkStart w:id="228" w:name="_Toc38360367"/>
      <w:r>
        <w:br w:type="page"/>
      </w:r>
    </w:p>
    <w:p w:rsidR="0075777C" w:rsidRPr="00DD7790" w:rsidRDefault="00272F8F" w:rsidP="00BC5A2B">
      <w:pPr>
        <w:pStyle w:val="Caption"/>
      </w:pPr>
      <w:r>
        <w:t>Table 4.</w:t>
      </w:r>
      <w:r w:rsidR="003951FA">
        <w:rPr>
          <w:noProof/>
        </w:rPr>
        <w:t>70</w:t>
      </w:r>
      <w:bookmarkEnd w:id="227"/>
      <w:r w:rsidR="004C1FAC">
        <w:tab/>
      </w:r>
      <w:r w:rsidR="0075777C" w:rsidRPr="00DD7790">
        <w:t xml:space="preserve">The comparative safety of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DD7790">
        <w:t xml:space="preserve"> </w:t>
      </w:r>
      <w:r w:rsidR="0075777C" w:rsidRPr="00DD7790">
        <w:t>in all patients with PAH</w:t>
      </w:r>
      <w:bookmarkEnd w:id="228"/>
    </w:p>
    <w:tbl>
      <w:tblPr>
        <w:tblStyle w:val="TableGrid7"/>
        <w:tblW w:w="9634" w:type="dxa"/>
        <w:tblLayout w:type="fixed"/>
        <w:tblLook w:val="04A0" w:firstRow="1" w:lastRow="0" w:firstColumn="1" w:lastColumn="0" w:noHBand="0" w:noVBand="1"/>
        <w:tblCaption w:val="The comparative safety of a PDE-5 inhibitor in addition to an ERA compared with ERA monotherapy in all patients with PAH"/>
      </w:tblPr>
      <w:tblGrid>
        <w:gridCol w:w="1696"/>
        <w:gridCol w:w="2268"/>
        <w:gridCol w:w="1914"/>
        <w:gridCol w:w="1914"/>
        <w:gridCol w:w="1842"/>
      </w:tblGrid>
      <w:tr w:rsidR="0075777C" w:rsidRPr="00822C52" w:rsidTr="004C1FAC">
        <w:trPr>
          <w:trHeight w:val="416"/>
          <w:tblHeader/>
        </w:trPr>
        <w:tc>
          <w:tcPr>
            <w:tcW w:w="1696" w:type="dxa"/>
            <w:vMerge w:val="restart"/>
            <w:shd w:val="clear" w:color="auto" w:fill="BFBFBF" w:themeFill="background1" w:themeFillShade="BF"/>
          </w:tcPr>
          <w:p w:rsidR="0075777C" w:rsidRPr="004C1FAC" w:rsidRDefault="0075777C" w:rsidP="004C1FAC">
            <w:pPr>
              <w:pStyle w:val="Tabletext"/>
              <w:rPr>
                <w:b/>
              </w:rPr>
            </w:pPr>
            <w:r w:rsidRPr="004C1FAC">
              <w:rPr>
                <w:b/>
              </w:rPr>
              <w:t>Study ID</w:t>
            </w:r>
          </w:p>
          <w:p w:rsidR="0075777C" w:rsidRPr="004C1FAC" w:rsidRDefault="0075777C" w:rsidP="004C1FAC">
            <w:pPr>
              <w:pStyle w:val="Tabletext"/>
              <w:rPr>
                <w:b/>
              </w:rPr>
            </w:pPr>
            <w:r w:rsidRPr="004C1FAC">
              <w:rPr>
                <w:b/>
              </w:rPr>
              <w:t>Follow-up period</w:t>
            </w:r>
          </w:p>
          <w:p w:rsidR="0075777C" w:rsidRPr="004C1FAC" w:rsidRDefault="0075777C" w:rsidP="004C1FAC">
            <w:pPr>
              <w:pStyle w:val="Tabletext"/>
              <w:rPr>
                <w:b/>
              </w:rPr>
            </w:pPr>
            <w:r w:rsidRPr="004C1FAC">
              <w:rPr>
                <w:b/>
              </w:rPr>
              <w:t>PDE-5i/ERA</w:t>
            </w:r>
          </w:p>
        </w:tc>
        <w:tc>
          <w:tcPr>
            <w:tcW w:w="2268" w:type="dxa"/>
            <w:vMerge w:val="restart"/>
            <w:shd w:val="clear" w:color="auto" w:fill="BFBFBF" w:themeFill="background1" w:themeFillShade="BF"/>
          </w:tcPr>
          <w:p w:rsidR="0075777C" w:rsidRPr="004C1FAC" w:rsidRDefault="0075777C" w:rsidP="004C1FAC">
            <w:pPr>
              <w:pStyle w:val="Tabletext"/>
              <w:rPr>
                <w:b/>
              </w:rPr>
            </w:pPr>
            <w:r w:rsidRPr="004C1FAC">
              <w:rPr>
                <w:b/>
              </w:rPr>
              <w:t>AE</w:t>
            </w:r>
          </w:p>
        </w:tc>
        <w:tc>
          <w:tcPr>
            <w:tcW w:w="3828" w:type="dxa"/>
            <w:gridSpan w:val="2"/>
            <w:shd w:val="clear" w:color="auto" w:fill="BFBFBF" w:themeFill="background1" w:themeFillShade="BF"/>
          </w:tcPr>
          <w:p w:rsidR="0075777C" w:rsidRPr="004C1FAC" w:rsidRDefault="0075777C" w:rsidP="004C1FAC">
            <w:pPr>
              <w:pStyle w:val="Tabletext"/>
              <w:jc w:val="center"/>
              <w:rPr>
                <w:b/>
              </w:rPr>
            </w:pPr>
            <w:proofErr w:type="gramStart"/>
            <w:r w:rsidRPr="004C1FAC">
              <w:rPr>
                <w:b/>
              </w:rPr>
              <w:t>n/N</w:t>
            </w:r>
            <w:proofErr w:type="gramEnd"/>
            <w:r w:rsidRPr="004C1FAC">
              <w:rPr>
                <w:b/>
              </w:rPr>
              <w:t xml:space="preserve"> (%)</w:t>
            </w:r>
          </w:p>
        </w:tc>
        <w:tc>
          <w:tcPr>
            <w:tcW w:w="1842" w:type="dxa"/>
            <w:vMerge w:val="restart"/>
            <w:shd w:val="clear" w:color="auto" w:fill="BFBFBF" w:themeFill="background1" w:themeFillShade="BF"/>
          </w:tcPr>
          <w:p w:rsidR="0075777C" w:rsidRPr="004C1FAC" w:rsidRDefault="0075777C" w:rsidP="004C1FAC">
            <w:pPr>
              <w:pStyle w:val="Tabletext"/>
              <w:rPr>
                <w:b/>
              </w:rPr>
            </w:pPr>
            <w:r w:rsidRPr="004C1FAC">
              <w:rPr>
                <w:b/>
              </w:rPr>
              <w:t>RR (95% CI)</w:t>
            </w:r>
          </w:p>
        </w:tc>
      </w:tr>
      <w:tr w:rsidR="0075777C" w:rsidRPr="00822C52" w:rsidTr="004C1FAC">
        <w:trPr>
          <w:trHeight w:val="202"/>
          <w:tblHeader/>
        </w:trPr>
        <w:tc>
          <w:tcPr>
            <w:tcW w:w="1696" w:type="dxa"/>
            <w:vMerge/>
            <w:shd w:val="clear" w:color="auto" w:fill="BFBFBF" w:themeFill="background1" w:themeFillShade="BF"/>
          </w:tcPr>
          <w:p w:rsidR="0075777C" w:rsidRPr="00822C52" w:rsidRDefault="0075777C" w:rsidP="004C1FAC">
            <w:pPr>
              <w:pStyle w:val="Tabletext"/>
            </w:pPr>
          </w:p>
        </w:tc>
        <w:tc>
          <w:tcPr>
            <w:tcW w:w="2268" w:type="dxa"/>
            <w:vMerge/>
            <w:shd w:val="clear" w:color="auto" w:fill="BFBFBF" w:themeFill="background1" w:themeFillShade="BF"/>
          </w:tcPr>
          <w:p w:rsidR="0075777C" w:rsidRPr="00822C52" w:rsidRDefault="0075777C" w:rsidP="004C1FAC">
            <w:pPr>
              <w:pStyle w:val="Tabletext"/>
            </w:pPr>
          </w:p>
        </w:tc>
        <w:tc>
          <w:tcPr>
            <w:tcW w:w="1914" w:type="dxa"/>
            <w:shd w:val="clear" w:color="auto" w:fill="BFBFBF" w:themeFill="background1" w:themeFillShade="BF"/>
          </w:tcPr>
          <w:p w:rsidR="0075777C" w:rsidRPr="004C1FAC" w:rsidRDefault="0075777C" w:rsidP="004C1FAC">
            <w:pPr>
              <w:pStyle w:val="Tabletext"/>
              <w:jc w:val="center"/>
              <w:rPr>
                <w:b/>
              </w:rPr>
            </w:pPr>
            <w:r w:rsidRPr="004C1FAC">
              <w:rPr>
                <w:b/>
              </w:rPr>
              <w:t>PDE-5i + ERA</w:t>
            </w:r>
          </w:p>
        </w:tc>
        <w:tc>
          <w:tcPr>
            <w:tcW w:w="1914" w:type="dxa"/>
            <w:shd w:val="clear" w:color="auto" w:fill="BFBFBF" w:themeFill="background1" w:themeFillShade="BF"/>
          </w:tcPr>
          <w:p w:rsidR="0075777C" w:rsidRPr="004C1FAC" w:rsidRDefault="0075777C" w:rsidP="004C1FAC">
            <w:pPr>
              <w:pStyle w:val="Tabletext"/>
              <w:jc w:val="center"/>
              <w:rPr>
                <w:b/>
              </w:rPr>
            </w:pPr>
            <w:r w:rsidRPr="004C1FAC">
              <w:rPr>
                <w:b/>
              </w:rPr>
              <w:t>ERA</w:t>
            </w:r>
          </w:p>
        </w:tc>
        <w:tc>
          <w:tcPr>
            <w:tcW w:w="1842" w:type="dxa"/>
            <w:vMerge/>
            <w:shd w:val="clear" w:color="auto" w:fill="BFBFBF" w:themeFill="background1" w:themeFillShade="BF"/>
          </w:tcPr>
          <w:p w:rsidR="0075777C" w:rsidRPr="00822C52" w:rsidRDefault="0075777C" w:rsidP="004C1FAC">
            <w:pPr>
              <w:pStyle w:val="Tabletext"/>
            </w:pPr>
          </w:p>
        </w:tc>
      </w:tr>
      <w:tr w:rsidR="0075777C" w:rsidRPr="00822C52" w:rsidTr="004C1FAC">
        <w:trPr>
          <w:trHeight w:val="70"/>
        </w:trPr>
        <w:tc>
          <w:tcPr>
            <w:tcW w:w="1696" w:type="dxa"/>
          </w:tcPr>
          <w:p w:rsidR="0075777C" w:rsidRPr="00822C52" w:rsidRDefault="0075777C" w:rsidP="004C1FAC">
            <w:pPr>
              <w:pStyle w:val="Tabletext"/>
              <w:rPr>
                <w:rFonts w:cs="Tahoma"/>
              </w:rPr>
            </w:pPr>
            <w:r w:rsidRPr="00822C52">
              <w:rPr>
                <w:rFonts w:cs="Tahoma"/>
              </w:rPr>
              <w:t>AMBITION</w:t>
            </w:r>
            <w:r w:rsidR="001D34EE" w:rsidRPr="001A1C44">
              <w:rPr>
                <w:rFonts w:cs="Tahoma"/>
                <w:noProof/>
                <w:vertAlign w:val="superscript"/>
              </w:rPr>
              <w:t>30</w:t>
            </w:r>
          </w:p>
          <w:p w:rsidR="0075777C" w:rsidRPr="00822C52" w:rsidRDefault="0075777C" w:rsidP="004C1FAC">
            <w:pPr>
              <w:pStyle w:val="Tabletext"/>
              <w:rPr>
                <w:rFonts w:cs="Tahoma"/>
              </w:rPr>
            </w:pPr>
            <w:r w:rsidRPr="00822C52">
              <w:rPr>
                <w:rFonts w:cs="Tahoma"/>
              </w:rPr>
              <w:t xml:space="preserve">FAV: mean </w:t>
            </w:r>
            <w:r>
              <w:rPr>
                <w:rFonts w:cs="Tahoma"/>
              </w:rPr>
              <w:t>74</w:t>
            </w:r>
            <w:r w:rsidRPr="00822C52">
              <w:rPr>
                <w:rFonts w:cs="Tahoma"/>
              </w:rPr>
              <w:t xml:space="preserve"> weeks</w:t>
            </w:r>
          </w:p>
          <w:p w:rsidR="0075777C" w:rsidRPr="00822C52" w:rsidRDefault="004C1FAC" w:rsidP="004C1FAC">
            <w:pPr>
              <w:pStyle w:val="Tabletext"/>
              <w:rPr>
                <w:rFonts w:cs="Tahoma"/>
              </w:rPr>
            </w:pPr>
            <w:r>
              <w:rPr>
                <w:rFonts w:cs="Tahoma"/>
              </w:rPr>
              <w:t>Tadalafil/</w:t>
            </w:r>
            <w:r w:rsidR="0075777C" w:rsidRPr="00822C52">
              <w:rPr>
                <w:rFonts w:cs="Tahoma"/>
              </w:rPr>
              <w:t>ambrisentan</w:t>
            </w:r>
          </w:p>
        </w:tc>
        <w:tc>
          <w:tcPr>
            <w:tcW w:w="2268" w:type="dxa"/>
          </w:tcPr>
          <w:p w:rsidR="0075777C" w:rsidRPr="00822C52" w:rsidRDefault="0075777C" w:rsidP="004C1FAC">
            <w:pPr>
              <w:pStyle w:val="Tabletext"/>
              <w:rPr>
                <w:rFonts w:cs="Tahoma"/>
              </w:rPr>
            </w:pPr>
            <w:r w:rsidRPr="00822C52">
              <w:rPr>
                <w:rFonts w:cs="Tahoma"/>
              </w:rPr>
              <w:t>Serious AEs</w:t>
            </w:r>
          </w:p>
          <w:p w:rsidR="0075777C" w:rsidRPr="00822C52" w:rsidRDefault="0075777C" w:rsidP="004C1FAC">
            <w:pPr>
              <w:pStyle w:val="Tabletext"/>
              <w:rPr>
                <w:rFonts w:cs="Tahoma"/>
              </w:rPr>
            </w:pPr>
            <w:r w:rsidRPr="00822C52">
              <w:rPr>
                <w:rFonts w:cs="Tahoma"/>
              </w:rPr>
              <w:t>Discontinuation due to AE</w:t>
            </w:r>
            <w:r w:rsidR="00730401">
              <w:rPr>
                <w:rFonts w:cs="Tahoma"/>
              </w:rPr>
              <w:t>s</w:t>
            </w:r>
          </w:p>
        </w:tc>
        <w:tc>
          <w:tcPr>
            <w:tcW w:w="1914" w:type="dxa"/>
            <w:shd w:val="clear" w:color="auto" w:fill="auto"/>
          </w:tcPr>
          <w:p w:rsidR="0075777C" w:rsidRPr="00822C52" w:rsidRDefault="0075777C" w:rsidP="004C1FAC">
            <w:pPr>
              <w:pStyle w:val="Tabletext"/>
              <w:jc w:val="center"/>
              <w:rPr>
                <w:rFonts w:cs="Tahoma"/>
              </w:rPr>
            </w:pPr>
            <w:r w:rsidRPr="00822C52">
              <w:rPr>
                <w:rFonts w:cs="Tahoma"/>
              </w:rPr>
              <w:t>92/253 (36%)</w:t>
            </w:r>
          </w:p>
          <w:p w:rsidR="0075777C" w:rsidRPr="00822C52" w:rsidRDefault="0075777C" w:rsidP="004C1FAC">
            <w:pPr>
              <w:pStyle w:val="Tabletext"/>
              <w:jc w:val="center"/>
              <w:rPr>
                <w:rFonts w:cs="Tahoma"/>
              </w:rPr>
            </w:pPr>
            <w:r w:rsidRPr="00822C52">
              <w:rPr>
                <w:rFonts w:cs="Tahoma"/>
              </w:rPr>
              <w:t>31/253 (12%)</w:t>
            </w:r>
          </w:p>
        </w:tc>
        <w:tc>
          <w:tcPr>
            <w:tcW w:w="1914" w:type="dxa"/>
            <w:shd w:val="clear" w:color="auto" w:fill="auto"/>
          </w:tcPr>
          <w:p w:rsidR="0075777C" w:rsidRPr="00822C52" w:rsidRDefault="0075777C" w:rsidP="004C1FAC">
            <w:pPr>
              <w:pStyle w:val="Tabletext"/>
              <w:jc w:val="center"/>
              <w:rPr>
                <w:rFonts w:cs="Tahoma"/>
              </w:rPr>
            </w:pPr>
            <w:r w:rsidRPr="00822C52">
              <w:rPr>
                <w:rFonts w:cs="Tahoma"/>
              </w:rPr>
              <w:t>45/126 (36%)</w:t>
            </w:r>
          </w:p>
          <w:p w:rsidR="0075777C" w:rsidRPr="00822C52" w:rsidRDefault="0075777C" w:rsidP="004C1FAC">
            <w:pPr>
              <w:pStyle w:val="Tabletext"/>
              <w:jc w:val="center"/>
              <w:rPr>
                <w:rFonts w:cs="Tahoma"/>
              </w:rPr>
            </w:pPr>
            <w:r w:rsidRPr="00822C52">
              <w:rPr>
                <w:rFonts w:cs="Tahoma"/>
              </w:rPr>
              <w:t>14/126 (11%)</w:t>
            </w:r>
          </w:p>
        </w:tc>
        <w:tc>
          <w:tcPr>
            <w:tcW w:w="1842" w:type="dxa"/>
          </w:tcPr>
          <w:p w:rsidR="0075777C" w:rsidRDefault="0075777C" w:rsidP="004C1FAC">
            <w:pPr>
              <w:pStyle w:val="Tabletext"/>
              <w:rPr>
                <w:rFonts w:cs="Tahoma"/>
              </w:rPr>
            </w:pPr>
            <w:r>
              <w:rPr>
                <w:rFonts w:cs="Tahoma"/>
              </w:rPr>
              <w:t>1.02 (0.77, 1.35)</w:t>
            </w:r>
          </w:p>
          <w:p w:rsidR="0075777C" w:rsidRPr="00822C52" w:rsidRDefault="0075777C" w:rsidP="004C1FAC">
            <w:pPr>
              <w:pStyle w:val="Tabletext"/>
              <w:rPr>
                <w:rFonts w:cs="Tahoma"/>
              </w:rPr>
            </w:pPr>
            <w:r>
              <w:rPr>
                <w:rFonts w:cs="Tahoma"/>
              </w:rPr>
              <w:t>1.10 (0.61, 2.00)</w:t>
            </w:r>
          </w:p>
        </w:tc>
      </w:tr>
      <w:tr w:rsidR="0075777C" w:rsidRPr="00822C52" w:rsidTr="00BC4B63">
        <w:trPr>
          <w:cantSplit/>
          <w:trHeight w:val="70"/>
        </w:trPr>
        <w:tc>
          <w:tcPr>
            <w:tcW w:w="1696" w:type="dxa"/>
          </w:tcPr>
          <w:p w:rsidR="0075777C" w:rsidRDefault="0075777C" w:rsidP="004C1FAC">
            <w:pPr>
              <w:pStyle w:val="Tabletext"/>
              <w:rPr>
                <w:rFonts w:cs="Tahoma"/>
              </w:rPr>
            </w:pPr>
            <w:r w:rsidRPr="00822C52">
              <w:rPr>
                <w:rFonts w:cs="Tahoma"/>
              </w:rPr>
              <w:t>PHIRST</w:t>
            </w:r>
          </w:p>
          <w:p w:rsidR="0075777C" w:rsidRPr="00822C52" w:rsidRDefault="0075777C" w:rsidP="004C1FAC">
            <w:pPr>
              <w:pStyle w:val="Tabletext"/>
              <w:rPr>
                <w:rFonts w:cs="Tahoma"/>
              </w:rPr>
            </w:pPr>
            <w:r>
              <w:rPr>
                <w:rFonts w:cs="Tahoma"/>
              </w:rPr>
              <w:t>Barst et al (2011)</w:t>
            </w:r>
            <w:r w:rsidR="001D34EE" w:rsidRPr="001A1C44">
              <w:rPr>
                <w:rFonts w:cs="Tahoma"/>
                <w:noProof/>
                <w:vertAlign w:val="superscript"/>
              </w:rPr>
              <w:t>45</w:t>
            </w:r>
          </w:p>
          <w:p w:rsidR="0075777C" w:rsidRPr="00822C52" w:rsidRDefault="0075777C" w:rsidP="004C1FAC">
            <w:pPr>
              <w:pStyle w:val="Tabletext"/>
              <w:rPr>
                <w:rFonts w:cs="Tahoma"/>
              </w:rPr>
            </w:pPr>
            <w:r w:rsidRPr="00822C52">
              <w:rPr>
                <w:rFonts w:cs="Tahoma"/>
              </w:rPr>
              <w:t>16 weeks</w:t>
            </w:r>
          </w:p>
          <w:p w:rsidR="0075777C" w:rsidRPr="00822C52" w:rsidRDefault="0075777C" w:rsidP="004C1FAC">
            <w:pPr>
              <w:pStyle w:val="Tabletext"/>
              <w:rPr>
                <w:rFonts w:cs="Tahoma"/>
              </w:rPr>
            </w:pPr>
            <w:r w:rsidRPr="00822C52">
              <w:rPr>
                <w:rFonts w:cs="Tahoma"/>
              </w:rPr>
              <w:t>Tadalafil/bosentan</w:t>
            </w:r>
          </w:p>
        </w:tc>
        <w:tc>
          <w:tcPr>
            <w:tcW w:w="2268" w:type="dxa"/>
          </w:tcPr>
          <w:p w:rsidR="0075777C" w:rsidRPr="00822C52" w:rsidRDefault="0075777C" w:rsidP="004C1FAC">
            <w:pPr>
              <w:pStyle w:val="Tabletext"/>
              <w:rPr>
                <w:rFonts w:cs="Tahoma"/>
              </w:rPr>
            </w:pPr>
            <w:r w:rsidRPr="00822C52">
              <w:rPr>
                <w:rFonts w:cs="Tahoma"/>
              </w:rPr>
              <w:t>A</w:t>
            </w:r>
            <w:r>
              <w:rPr>
                <w:rFonts w:cs="Tahoma"/>
              </w:rPr>
              <w:t>ny</w:t>
            </w:r>
            <w:r w:rsidRPr="00822C52">
              <w:rPr>
                <w:rFonts w:cs="Tahoma"/>
              </w:rPr>
              <w:t xml:space="preserve"> AE</w:t>
            </w:r>
            <w:r w:rsidR="00730401">
              <w:rPr>
                <w:rFonts w:cs="Tahoma"/>
              </w:rPr>
              <w:t>s</w:t>
            </w:r>
          </w:p>
        </w:tc>
        <w:tc>
          <w:tcPr>
            <w:tcW w:w="1914" w:type="dxa"/>
            <w:shd w:val="clear" w:color="auto" w:fill="auto"/>
          </w:tcPr>
          <w:p w:rsidR="0075777C" w:rsidRPr="00822C52" w:rsidRDefault="0075777C" w:rsidP="004C1FAC">
            <w:pPr>
              <w:pStyle w:val="Tabletext"/>
              <w:jc w:val="center"/>
              <w:rPr>
                <w:rFonts w:cs="Tahoma"/>
              </w:rPr>
            </w:pPr>
            <w:r w:rsidRPr="00822C52">
              <w:rPr>
                <w:rFonts w:cs="Tahoma"/>
              </w:rPr>
              <w:t>39/42 (93%)</w:t>
            </w:r>
          </w:p>
        </w:tc>
        <w:tc>
          <w:tcPr>
            <w:tcW w:w="1914" w:type="dxa"/>
            <w:shd w:val="clear" w:color="auto" w:fill="auto"/>
          </w:tcPr>
          <w:p w:rsidR="0075777C" w:rsidRPr="00822C52" w:rsidRDefault="0075777C" w:rsidP="004C1FAC">
            <w:pPr>
              <w:pStyle w:val="Tabletext"/>
              <w:jc w:val="center"/>
              <w:rPr>
                <w:rFonts w:cs="Tahoma"/>
              </w:rPr>
            </w:pPr>
            <w:r w:rsidRPr="00822C52">
              <w:rPr>
                <w:rFonts w:cs="Tahoma"/>
              </w:rPr>
              <w:t>38/45 (84%)</w:t>
            </w:r>
          </w:p>
        </w:tc>
        <w:tc>
          <w:tcPr>
            <w:tcW w:w="1842" w:type="dxa"/>
          </w:tcPr>
          <w:p w:rsidR="0075777C" w:rsidRPr="00822C52" w:rsidRDefault="0075777C" w:rsidP="004C1FAC">
            <w:pPr>
              <w:pStyle w:val="Tabletext"/>
              <w:rPr>
                <w:rFonts w:cs="Tahoma"/>
              </w:rPr>
            </w:pPr>
            <w:r>
              <w:rPr>
                <w:rFonts w:cs="Tahoma"/>
              </w:rPr>
              <w:t>1.10 (0.95, 1.28)</w:t>
            </w:r>
          </w:p>
        </w:tc>
      </w:tr>
      <w:tr w:rsidR="0075777C" w:rsidRPr="00822C52" w:rsidTr="004C1FAC">
        <w:trPr>
          <w:trHeight w:val="70"/>
        </w:trPr>
        <w:tc>
          <w:tcPr>
            <w:tcW w:w="1696" w:type="dxa"/>
          </w:tcPr>
          <w:p w:rsidR="0075777C" w:rsidRPr="00822C52" w:rsidRDefault="0075777C" w:rsidP="004C1FAC">
            <w:pPr>
              <w:pStyle w:val="Tabletext"/>
              <w:rPr>
                <w:rFonts w:cs="Tahoma"/>
              </w:rPr>
            </w:pPr>
            <w:r w:rsidRPr="00822C52">
              <w:rPr>
                <w:rFonts w:cs="Tahoma"/>
              </w:rPr>
              <w:t>Zhuang 2014</w:t>
            </w:r>
            <w:r w:rsidR="001D34EE" w:rsidRPr="001A1C44">
              <w:rPr>
                <w:rFonts w:cs="Tahoma"/>
                <w:noProof/>
                <w:vertAlign w:val="superscript"/>
              </w:rPr>
              <w:t>50</w:t>
            </w:r>
          </w:p>
          <w:p w:rsidR="0075777C" w:rsidRPr="00822C52" w:rsidRDefault="0075777C" w:rsidP="004C1FAC">
            <w:pPr>
              <w:pStyle w:val="Tabletext"/>
              <w:rPr>
                <w:rFonts w:cs="Tahoma"/>
              </w:rPr>
            </w:pPr>
            <w:r w:rsidRPr="00822C52">
              <w:rPr>
                <w:rFonts w:cs="Tahoma"/>
              </w:rPr>
              <w:t>16 weeks</w:t>
            </w:r>
          </w:p>
          <w:p w:rsidR="0075777C" w:rsidRPr="00822C52" w:rsidRDefault="004C1FAC" w:rsidP="004C1FAC">
            <w:pPr>
              <w:pStyle w:val="Tabletext"/>
              <w:rPr>
                <w:rFonts w:cs="Tahoma"/>
              </w:rPr>
            </w:pPr>
            <w:r>
              <w:t>Tadalafil/</w:t>
            </w:r>
            <w:r w:rsidR="0075777C" w:rsidRPr="00822C52">
              <w:t>ambrisentan</w:t>
            </w:r>
          </w:p>
        </w:tc>
        <w:tc>
          <w:tcPr>
            <w:tcW w:w="2268" w:type="dxa"/>
          </w:tcPr>
          <w:p w:rsidR="0075777C" w:rsidRPr="00822C52" w:rsidRDefault="0075777C" w:rsidP="004C1FAC">
            <w:pPr>
              <w:pStyle w:val="Tabletext"/>
              <w:rPr>
                <w:rFonts w:cs="Tahoma"/>
              </w:rPr>
            </w:pPr>
            <w:r w:rsidRPr="00822C52">
              <w:rPr>
                <w:rFonts w:cs="Tahoma"/>
              </w:rPr>
              <w:t>Discontinuation due to AE</w:t>
            </w:r>
            <w:r w:rsidR="00730401">
              <w:rPr>
                <w:rFonts w:cs="Tahoma"/>
              </w:rPr>
              <w:t>s</w:t>
            </w:r>
          </w:p>
        </w:tc>
        <w:tc>
          <w:tcPr>
            <w:tcW w:w="1914" w:type="dxa"/>
            <w:shd w:val="clear" w:color="auto" w:fill="auto"/>
          </w:tcPr>
          <w:p w:rsidR="0075777C" w:rsidRPr="00822C52" w:rsidRDefault="0075777C" w:rsidP="004C1FAC">
            <w:pPr>
              <w:pStyle w:val="Tabletext"/>
              <w:jc w:val="center"/>
              <w:rPr>
                <w:rFonts w:cs="Tahoma"/>
              </w:rPr>
            </w:pPr>
            <w:r w:rsidRPr="00822C52">
              <w:rPr>
                <w:rFonts w:cs="Tahoma"/>
              </w:rPr>
              <w:t>3/60 (5%)</w:t>
            </w:r>
          </w:p>
        </w:tc>
        <w:tc>
          <w:tcPr>
            <w:tcW w:w="1914" w:type="dxa"/>
            <w:shd w:val="clear" w:color="auto" w:fill="auto"/>
          </w:tcPr>
          <w:p w:rsidR="0075777C" w:rsidRPr="00822C52" w:rsidRDefault="0075777C" w:rsidP="004C1FAC">
            <w:pPr>
              <w:pStyle w:val="Tabletext"/>
              <w:jc w:val="center"/>
              <w:rPr>
                <w:rFonts w:cs="Tahoma"/>
              </w:rPr>
            </w:pPr>
            <w:r w:rsidRPr="00822C52">
              <w:rPr>
                <w:rFonts w:cs="Tahoma"/>
              </w:rPr>
              <w:t>0/64 (0%)</w:t>
            </w:r>
          </w:p>
        </w:tc>
        <w:tc>
          <w:tcPr>
            <w:tcW w:w="1842" w:type="dxa"/>
          </w:tcPr>
          <w:p w:rsidR="0075777C" w:rsidRPr="00822C52" w:rsidRDefault="0075777C" w:rsidP="004C1FAC">
            <w:pPr>
              <w:pStyle w:val="Tabletext"/>
              <w:rPr>
                <w:rFonts w:cs="Tahoma"/>
              </w:rPr>
            </w:pPr>
            <w:r>
              <w:rPr>
                <w:rFonts w:cs="Tahoma"/>
              </w:rPr>
              <w:t>Not calculable</w:t>
            </w:r>
          </w:p>
        </w:tc>
      </w:tr>
      <w:tr w:rsidR="0075777C" w:rsidRPr="00822C52" w:rsidTr="004C1FAC">
        <w:trPr>
          <w:trHeight w:val="70"/>
        </w:trPr>
        <w:tc>
          <w:tcPr>
            <w:tcW w:w="1696" w:type="dxa"/>
          </w:tcPr>
          <w:p w:rsidR="0075777C" w:rsidRPr="00822C52" w:rsidRDefault="0075777C" w:rsidP="004C1FAC">
            <w:pPr>
              <w:pStyle w:val="Tabletext"/>
              <w:rPr>
                <w:rFonts w:cs="Tahoma"/>
              </w:rPr>
            </w:pPr>
            <w:r w:rsidRPr="00822C52">
              <w:rPr>
                <w:rFonts w:cs="Tahoma"/>
              </w:rPr>
              <w:t>Vizza 2017</w:t>
            </w:r>
            <w:r w:rsidR="001D34EE" w:rsidRPr="001A1C44">
              <w:rPr>
                <w:rFonts w:cs="Tahoma"/>
                <w:noProof/>
                <w:vertAlign w:val="superscript"/>
              </w:rPr>
              <w:t>49</w:t>
            </w:r>
          </w:p>
          <w:p w:rsidR="0075777C" w:rsidRPr="00822C52" w:rsidRDefault="0075777C" w:rsidP="004C1FAC">
            <w:pPr>
              <w:pStyle w:val="Tabletext"/>
              <w:rPr>
                <w:rFonts w:cs="Tahoma"/>
              </w:rPr>
            </w:pPr>
            <w:r w:rsidRPr="00822C52">
              <w:rPr>
                <w:rFonts w:cs="Tahoma"/>
              </w:rPr>
              <w:t>12 weeks</w:t>
            </w:r>
          </w:p>
          <w:p w:rsidR="0075777C" w:rsidRPr="00822C52" w:rsidRDefault="0075777C" w:rsidP="004C1FAC">
            <w:pPr>
              <w:pStyle w:val="Tabletext"/>
              <w:rPr>
                <w:rFonts w:cs="Tahoma"/>
              </w:rPr>
            </w:pPr>
            <w:r w:rsidRPr="00822C52">
              <w:rPr>
                <w:rFonts w:cs="Tahoma"/>
              </w:rPr>
              <w:t>Sildenafil/bosentan</w:t>
            </w:r>
          </w:p>
        </w:tc>
        <w:tc>
          <w:tcPr>
            <w:tcW w:w="2268" w:type="dxa"/>
          </w:tcPr>
          <w:p w:rsidR="0075777C" w:rsidRPr="00822C52" w:rsidRDefault="0075777C" w:rsidP="004C1FAC">
            <w:pPr>
              <w:pStyle w:val="Tabletext"/>
              <w:rPr>
                <w:rFonts w:cs="Tahoma"/>
              </w:rPr>
            </w:pPr>
            <w:r w:rsidRPr="00822C52">
              <w:rPr>
                <w:rFonts w:cs="Tahoma"/>
              </w:rPr>
              <w:t>Any AE</w:t>
            </w:r>
          </w:p>
          <w:p w:rsidR="0075777C" w:rsidRPr="00822C52" w:rsidRDefault="0075777C" w:rsidP="004C1FAC">
            <w:pPr>
              <w:pStyle w:val="Tabletext"/>
              <w:rPr>
                <w:rFonts w:cs="Tahoma"/>
              </w:rPr>
            </w:pPr>
            <w:r w:rsidRPr="00822C52">
              <w:rPr>
                <w:rFonts w:cs="Tahoma"/>
              </w:rPr>
              <w:t>Treatment-related AEs</w:t>
            </w:r>
          </w:p>
          <w:p w:rsidR="0075777C" w:rsidRPr="00822C52" w:rsidRDefault="00730401" w:rsidP="004C1FAC">
            <w:pPr>
              <w:pStyle w:val="Tabletext"/>
              <w:rPr>
                <w:rFonts w:cs="Tahoma"/>
              </w:rPr>
            </w:pPr>
            <w:r>
              <w:rPr>
                <w:rFonts w:cs="Tahoma"/>
              </w:rPr>
              <w:t>S</w:t>
            </w:r>
            <w:r w:rsidR="0075777C" w:rsidRPr="00822C52">
              <w:rPr>
                <w:rFonts w:cs="Tahoma"/>
              </w:rPr>
              <w:t>erious AEs</w:t>
            </w:r>
          </w:p>
          <w:p w:rsidR="0075777C" w:rsidRPr="00822C52" w:rsidRDefault="0075777C" w:rsidP="004C1FAC">
            <w:pPr>
              <w:pStyle w:val="Tabletext"/>
              <w:rPr>
                <w:rFonts w:cs="Tahoma"/>
              </w:rPr>
            </w:pPr>
            <w:r w:rsidRPr="00822C52">
              <w:rPr>
                <w:rFonts w:cs="Tahoma"/>
              </w:rPr>
              <w:t>Treatment-related serious AEs</w:t>
            </w:r>
          </w:p>
        </w:tc>
        <w:tc>
          <w:tcPr>
            <w:tcW w:w="1914" w:type="dxa"/>
            <w:shd w:val="clear" w:color="auto" w:fill="auto"/>
          </w:tcPr>
          <w:p w:rsidR="0075777C" w:rsidRPr="00822C52" w:rsidRDefault="0075777C" w:rsidP="004C1FAC">
            <w:pPr>
              <w:pStyle w:val="Tabletext"/>
              <w:jc w:val="center"/>
              <w:rPr>
                <w:rFonts w:cs="Tahoma"/>
              </w:rPr>
            </w:pPr>
            <w:r w:rsidRPr="00822C52">
              <w:rPr>
                <w:rFonts w:cs="Tahoma"/>
              </w:rPr>
              <w:t>34/50 (68%)</w:t>
            </w:r>
          </w:p>
          <w:p w:rsidR="0075777C" w:rsidRPr="00822C52" w:rsidRDefault="0075777C" w:rsidP="004C1FAC">
            <w:pPr>
              <w:pStyle w:val="Tabletext"/>
              <w:jc w:val="center"/>
              <w:rPr>
                <w:rFonts w:cs="Tahoma"/>
              </w:rPr>
            </w:pPr>
            <w:r w:rsidRPr="00822C52">
              <w:rPr>
                <w:rFonts w:cs="Tahoma"/>
              </w:rPr>
              <w:t>17/50 (34%)</w:t>
            </w:r>
          </w:p>
          <w:p w:rsidR="0075777C" w:rsidRPr="00822C52" w:rsidRDefault="0075777C" w:rsidP="004C1FAC">
            <w:pPr>
              <w:pStyle w:val="Tabletext"/>
              <w:jc w:val="center"/>
              <w:rPr>
                <w:rFonts w:cs="Tahoma"/>
              </w:rPr>
            </w:pPr>
            <w:r w:rsidRPr="00822C52">
              <w:rPr>
                <w:rFonts w:cs="Tahoma"/>
              </w:rPr>
              <w:t>9/50 (18%)</w:t>
            </w:r>
          </w:p>
          <w:p w:rsidR="0075777C" w:rsidRPr="00822C52" w:rsidRDefault="0075777C" w:rsidP="004C1FAC">
            <w:pPr>
              <w:pStyle w:val="Tabletext"/>
              <w:jc w:val="center"/>
              <w:rPr>
                <w:rFonts w:cs="Tahoma"/>
              </w:rPr>
            </w:pPr>
            <w:r w:rsidRPr="00822C52">
              <w:rPr>
                <w:rFonts w:cs="Tahoma"/>
              </w:rPr>
              <w:t>1/50 (2%)</w:t>
            </w:r>
          </w:p>
        </w:tc>
        <w:tc>
          <w:tcPr>
            <w:tcW w:w="1914" w:type="dxa"/>
            <w:shd w:val="clear" w:color="auto" w:fill="auto"/>
          </w:tcPr>
          <w:p w:rsidR="0075777C" w:rsidRPr="00822C52" w:rsidRDefault="0075777C" w:rsidP="004C1FAC">
            <w:pPr>
              <w:pStyle w:val="Tabletext"/>
              <w:jc w:val="center"/>
              <w:rPr>
                <w:rFonts w:cs="Tahoma"/>
              </w:rPr>
            </w:pPr>
            <w:r w:rsidRPr="00822C52">
              <w:rPr>
                <w:rFonts w:cs="Tahoma"/>
              </w:rPr>
              <w:t>41/53 (77%)</w:t>
            </w:r>
          </w:p>
          <w:p w:rsidR="0075777C" w:rsidRPr="00822C52" w:rsidRDefault="0075777C" w:rsidP="004C1FAC">
            <w:pPr>
              <w:pStyle w:val="Tabletext"/>
              <w:jc w:val="center"/>
              <w:rPr>
                <w:rFonts w:cs="Tahoma"/>
              </w:rPr>
            </w:pPr>
            <w:r w:rsidRPr="00822C52">
              <w:rPr>
                <w:rFonts w:cs="Tahoma"/>
              </w:rPr>
              <w:t>13/53 (25%)</w:t>
            </w:r>
          </w:p>
          <w:p w:rsidR="0075777C" w:rsidRPr="00822C52" w:rsidRDefault="0075777C" w:rsidP="004C1FAC">
            <w:pPr>
              <w:pStyle w:val="Tabletext"/>
              <w:jc w:val="center"/>
              <w:rPr>
                <w:rFonts w:cs="Tahoma"/>
              </w:rPr>
            </w:pPr>
            <w:r w:rsidRPr="00822C52">
              <w:rPr>
                <w:rFonts w:cs="Tahoma"/>
              </w:rPr>
              <w:t>12/53 (23%)</w:t>
            </w:r>
          </w:p>
          <w:p w:rsidR="0075777C" w:rsidRPr="00822C52" w:rsidRDefault="0075777C" w:rsidP="004C1FAC">
            <w:pPr>
              <w:pStyle w:val="Tabletext"/>
              <w:jc w:val="center"/>
              <w:rPr>
                <w:rFonts w:cs="Tahoma"/>
              </w:rPr>
            </w:pPr>
            <w:r w:rsidRPr="00822C52">
              <w:rPr>
                <w:rFonts w:cs="Tahoma"/>
              </w:rPr>
              <w:t>0/53 (0%)</w:t>
            </w:r>
          </w:p>
        </w:tc>
        <w:tc>
          <w:tcPr>
            <w:tcW w:w="1842" w:type="dxa"/>
          </w:tcPr>
          <w:p w:rsidR="0075777C" w:rsidRDefault="0075777C" w:rsidP="004C1FAC">
            <w:pPr>
              <w:pStyle w:val="Tabletext"/>
              <w:rPr>
                <w:rFonts w:cs="Tahoma"/>
              </w:rPr>
            </w:pPr>
            <w:r>
              <w:rPr>
                <w:rFonts w:cs="Tahoma"/>
              </w:rPr>
              <w:t>0.88 (0.69, 1.12)</w:t>
            </w:r>
          </w:p>
          <w:p w:rsidR="0075777C" w:rsidRDefault="0075777C" w:rsidP="004C1FAC">
            <w:pPr>
              <w:pStyle w:val="Tabletext"/>
              <w:rPr>
                <w:rFonts w:cs="Tahoma"/>
              </w:rPr>
            </w:pPr>
            <w:r>
              <w:rPr>
                <w:rFonts w:cs="Tahoma"/>
              </w:rPr>
              <w:t>1.39 (0.75, 2.55)</w:t>
            </w:r>
          </w:p>
          <w:p w:rsidR="0075777C" w:rsidRDefault="0075777C" w:rsidP="004C1FAC">
            <w:pPr>
              <w:pStyle w:val="Tabletext"/>
              <w:rPr>
                <w:rFonts w:cs="Tahoma"/>
              </w:rPr>
            </w:pPr>
            <w:r>
              <w:rPr>
                <w:rFonts w:cs="Tahoma"/>
              </w:rPr>
              <w:t>0.80 (0.37, 1.72)</w:t>
            </w:r>
          </w:p>
          <w:p w:rsidR="0075777C" w:rsidRPr="00822C52" w:rsidRDefault="0075777C" w:rsidP="004C1FAC">
            <w:pPr>
              <w:pStyle w:val="Tabletext"/>
              <w:rPr>
                <w:rFonts w:cs="Tahoma"/>
              </w:rPr>
            </w:pPr>
            <w:r>
              <w:rPr>
                <w:rFonts w:cs="Tahoma"/>
              </w:rPr>
              <w:t>Not calculable</w:t>
            </w:r>
          </w:p>
        </w:tc>
      </w:tr>
    </w:tbl>
    <w:p w:rsidR="00575ECF" w:rsidRDefault="0075777C" w:rsidP="004C1FAC">
      <w:pPr>
        <w:pStyle w:val="Tablenote"/>
      </w:pPr>
      <w:r w:rsidRPr="00822C52">
        <w:t xml:space="preserve">AE = adverse event; CI = confidence interval; ERA = endothelin receptor antagonist; FAV = final assessment visit; n = number of </w:t>
      </w:r>
      <w:r w:rsidR="00575ECF">
        <w:t xml:space="preserve">patients with </w:t>
      </w:r>
      <w:r w:rsidRPr="00822C52">
        <w:t xml:space="preserve">events; N = number of patients; PAH = pulmonary arterial hypertension; </w:t>
      </w:r>
      <w:r>
        <w:t>PDE-5i</w:t>
      </w:r>
      <w:r w:rsidRPr="00822C52">
        <w:t xml:space="preserve"> = phosphodiesterase type-5 inhibitor; RR = relative risk</w:t>
      </w:r>
    </w:p>
    <w:p w:rsidR="0075777C" w:rsidRDefault="0075777C" w:rsidP="004C1FAC">
      <w:pPr>
        <w:spacing w:after="40" w:line="240" w:lineRule="auto"/>
      </w:pPr>
      <w:r>
        <w:rPr>
          <w:noProof/>
          <w:lang w:eastAsia="en-AU"/>
        </w:rPr>
        <w:drawing>
          <wp:inline distT="0" distB="0" distL="0" distR="0" wp14:anchorId="23282BF4" wp14:editId="572AFD57">
            <wp:extent cx="6148317" cy="3443284"/>
            <wp:effectExtent l="0" t="0" r="5080" b="5080"/>
            <wp:docPr id="51" name="Picture 51" descr="The estimated RR for any AE from the meta-analysis was 1.00 (95% CI 0.79, 1.27). The estimated RR for serious AEs was 0.99 (95% CI 0.76, 1.29). The estimated RR for AEs leading to treatment discontinuation was 1.65 (95% CI 0.35, 7.81). " title="Forest plot showing the RR of having an AE, serious AE or an AE leading to treatment discontinuation while being treated with a PDE-5 inhibitor and an ERA compared with ERA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018" t="2817" r="1429" b="1559"/>
                    <a:stretch/>
                  </pic:blipFill>
                  <pic:spPr bwMode="auto">
                    <a:xfrm>
                      <a:off x="0" y="0"/>
                      <a:ext cx="6154155" cy="3446554"/>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DD7790" w:rsidRDefault="004C1FAC" w:rsidP="00BC5A2B">
      <w:pPr>
        <w:pStyle w:val="Caption"/>
        <w:rPr>
          <w:rFonts w:ascii="Arial Narrow" w:hAnsi="Arial Narrow" w:cs="Tahoma"/>
          <w:u w:val="single"/>
        </w:rPr>
      </w:pPr>
      <w:bookmarkStart w:id="229" w:name="_Ref506304886"/>
      <w:bookmarkStart w:id="230" w:name="_Toc38360486"/>
      <w:r>
        <w:t>Figure 4.</w:t>
      </w:r>
      <w:r w:rsidR="003951FA">
        <w:rPr>
          <w:noProof/>
        </w:rPr>
        <w:t>20</w:t>
      </w:r>
      <w:bookmarkEnd w:id="229"/>
      <w:r>
        <w:tab/>
      </w:r>
      <w:r w:rsidR="0075777C" w:rsidRPr="00DD7790">
        <w:t xml:space="preserve">Forest plot showing the RR of </w:t>
      </w:r>
      <w:r w:rsidR="0075777C">
        <w:t>having an AE, serious AE or an AE leading to treatment discontinuation</w:t>
      </w:r>
      <w:r w:rsidR="0075777C" w:rsidRPr="00DD7790">
        <w:t xml:space="preserve"> while </w:t>
      </w:r>
      <w:proofErr w:type="gramStart"/>
      <w:r w:rsidR="0075777C" w:rsidRPr="00DD7790">
        <w:t>being treated</w:t>
      </w:r>
      <w:proofErr w:type="gramEnd"/>
      <w:r w:rsidR="0075777C" w:rsidRPr="00DD7790">
        <w:t xml:space="preserve"> with </w:t>
      </w:r>
      <w:r w:rsidR="0075777C">
        <w:t xml:space="preserve">a </w:t>
      </w:r>
      <w:r w:rsidR="0075777C" w:rsidRPr="00DD7790">
        <w:t xml:space="preserve">PDE-5 inhibitor and an ERA compared with </w:t>
      </w:r>
      <w:r w:rsidR="0075777C">
        <w:t>ERA</w:t>
      </w:r>
      <w:r w:rsidR="0075777C" w:rsidRPr="00DD7790">
        <w:t xml:space="preserve"> alone in all PAH patients</w:t>
      </w:r>
      <w:bookmarkEnd w:id="230"/>
    </w:p>
    <w:p w:rsidR="001E16B8" w:rsidRPr="00822C52" w:rsidRDefault="001E16B8" w:rsidP="004C1FAC">
      <w:pPr>
        <w:pStyle w:val="Tablenote"/>
      </w:pPr>
      <w:r>
        <w:t xml:space="preserve">AE = adverse event; </w:t>
      </w:r>
      <w:r w:rsidR="0075777C" w:rsidRPr="00822C52">
        <w:t xml:space="preserve">CI = confidence interval; ERA = </w:t>
      </w:r>
      <w:r w:rsidR="0006512A">
        <w:t>endothelin receptor</w:t>
      </w:r>
      <w:r w:rsidR="0075777C" w:rsidRPr="00822C52">
        <w:t xml:space="preserve"> antagonists; N = number of patients; </w:t>
      </w:r>
      <w:r w:rsidRPr="00715D78">
        <w:t xml:space="preserve">PAH = pulmonary arterial hypertension; </w:t>
      </w:r>
      <w:r w:rsidR="0075777C">
        <w:t>PDE-5i</w:t>
      </w:r>
      <w:r w:rsidR="0075777C" w:rsidRPr="00822C52">
        <w:t xml:space="preserve"> = phosphodiesterase type-5 inhibitor; RR = relative risk</w:t>
      </w:r>
    </w:p>
    <w:p w:rsidR="0075777C" w:rsidRPr="00B607A5" w:rsidRDefault="002E4833" w:rsidP="0077344D">
      <w:pPr>
        <w:pStyle w:val="Heading6"/>
      </w:pPr>
      <w:proofErr w:type="gramStart"/>
      <w:r w:rsidRPr="00B607A5">
        <w:t>h</w:t>
      </w:r>
      <w:r w:rsidR="0075777C" w:rsidRPr="00B607A5">
        <w:t>.iii</w:t>
      </w:r>
      <w:proofErr w:type="gramEnd"/>
      <w:r w:rsidR="0075777C" w:rsidRPr="00B607A5">
        <w:tab/>
        <w:t>PAH patients with different disease aetiologies</w:t>
      </w:r>
    </w:p>
    <w:p w:rsidR="0075777C" w:rsidRPr="00822C52" w:rsidRDefault="0075777C" w:rsidP="0075777C">
      <w:proofErr w:type="gramStart"/>
      <w:r>
        <w:t xml:space="preserve">The AMBITION trial reported no </w:t>
      </w:r>
      <w:r w:rsidR="00972E50">
        <w:t xml:space="preserve">statistically significant </w:t>
      </w:r>
      <w:r>
        <w:t>difference in the proportion of patients with PAH-CTD receiving combination therapy who had an AE, serious AE or an A</w:t>
      </w:r>
      <w:r w:rsidR="00B60655">
        <w:t>E</w:t>
      </w:r>
      <w:r>
        <w:t xml:space="preserve"> leading to discontinuation of study treatment compared with those on monotherapy</w:t>
      </w:r>
      <w:r w:rsidR="00972E50">
        <w:t xml:space="preserve">, although the point estimate of RR for serious AEs (1.28; 95% CI 0.80, 2.04) suggests possible safety concerns in the use of combination therapy </w:t>
      </w:r>
      <w:r w:rsidR="00972E50" w:rsidRPr="00972E50">
        <w:t xml:space="preserve">in patients with PAH-CTD </w:t>
      </w:r>
      <w:r>
        <w:t>(</w:t>
      </w:r>
      <w:r w:rsidR="003951FA">
        <w:t>Table 4.</w:t>
      </w:r>
      <w:r w:rsidR="003951FA">
        <w:rPr>
          <w:noProof/>
        </w:rPr>
        <w:t>71</w:t>
      </w:r>
      <w:r>
        <w:t>).</w:t>
      </w:r>
      <w:proofErr w:type="gramEnd"/>
    </w:p>
    <w:p w:rsidR="0075777C" w:rsidRPr="00DD7790" w:rsidRDefault="00272F8F" w:rsidP="00BC5A2B">
      <w:pPr>
        <w:pStyle w:val="Caption"/>
      </w:pPr>
      <w:bookmarkStart w:id="231" w:name="_Ref504656573"/>
      <w:bookmarkStart w:id="232" w:name="_Toc38360368"/>
      <w:r>
        <w:t>Table 4.</w:t>
      </w:r>
      <w:r w:rsidR="003951FA">
        <w:rPr>
          <w:noProof/>
        </w:rPr>
        <w:t>71</w:t>
      </w:r>
      <w:bookmarkEnd w:id="231"/>
      <w:r w:rsidR="004C1FAC">
        <w:tab/>
      </w:r>
      <w:r w:rsidR="0075777C" w:rsidRPr="00DD7790">
        <w:t xml:space="preserve">The comparative safety of </w:t>
      </w:r>
      <w:r w:rsidR="00385078">
        <w:t xml:space="preserve">a </w:t>
      </w:r>
      <w:r w:rsidR="00385078" w:rsidRPr="00DD7790">
        <w:t>PDE-5 inhibitor</w:t>
      </w:r>
      <w:r w:rsidR="00385078">
        <w:t xml:space="preserve"> in addition to an</w:t>
      </w:r>
      <w:r w:rsidR="00385078" w:rsidRPr="00DD7790">
        <w:t xml:space="preserve"> ERA compared with ERA</w:t>
      </w:r>
      <w:r w:rsidR="00385078">
        <w:t xml:space="preserve"> monotherapy</w:t>
      </w:r>
      <w:r w:rsidR="00385078" w:rsidRPr="00DD7790">
        <w:t xml:space="preserve"> </w:t>
      </w:r>
      <w:r w:rsidR="0075777C" w:rsidRPr="00DD7790">
        <w:t>in patients with different PAH aetiologies</w:t>
      </w:r>
      <w:bookmarkEnd w:id="232"/>
    </w:p>
    <w:tbl>
      <w:tblPr>
        <w:tblStyle w:val="TableGrid7"/>
        <w:tblW w:w="9634" w:type="dxa"/>
        <w:tblLayout w:type="fixed"/>
        <w:tblLook w:val="04A0" w:firstRow="1" w:lastRow="0" w:firstColumn="1" w:lastColumn="0" w:noHBand="0" w:noVBand="1"/>
        <w:tblCaption w:val="The comparative safety of a PDE-5 inhibitor in addition to an ERA compared with ERA monotherapy in patients with different PAH aetiologies"/>
      </w:tblPr>
      <w:tblGrid>
        <w:gridCol w:w="1838"/>
        <w:gridCol w:w="1985"/>
        <w:gridCol w:w="1842"/>
        <w:gridCol w:w="1843"/>
        <w:gridCol w:w="2126"/>
      </w:tblGrid>
      <w:tr w:rsidR="0075777C" w:rsidRPr="00822C52" w:rsidTr="00345789">
        <w:trPr>
          <w:trHeight w:val="200"/>
          <w:tblHeader/>
        </w:trPr>
        <w:tc>
          <w:tcPr>
            <w:tcW w:w="1838" w:type="dxa"/>
            <w:vMerge w:val="restart"/>
            <w:shd w:val="clear" w:color="auto" w:fill="BFBFBF" w:themeFill="background1" w:themeFillShade="BF"/>
          </w:tcPr>
          <w:p w:rsidR="0075777C" w:rsidRPr="00345789" w:rsidRDefault="0075777C" w:rsidP="00345789">
            <w:pPr>
              <w:pStyle w:val="Tabletext"/>
              <w:rPr>
                <w:b/>
              </w:rPr>
            </w:pPr>
            <w:r w:rsidRPr="00345789">
              <w:rPr>
                <w:b/>
              </w:rPr>
              <w:t>Study ID</w:t>
            </w:r>
          </w:p>
          <w:p w:rsidR="0075777C" w:rsidRPr="00345789" w:rsidRDefault="0075777C" w:rsidP="00345789">
            <w:pPr>
              <w:pStyle w:val="Tabletext"/>
              <w:rPr>
                <w:b/>
              </w:rPr>
            </w:pPr>
            <w:r w:rsidRPr="00345789">
              <w:rPr>
                <w:b/>
              </w:rPr>
              <w:t>Follow-up period</w:t>
            </w:r>
          </w:p>
          <w:p w:rsidR="0075777C" w:rsidRPr="00345789" w:rsidRDefault="0075777C" w:rsidP="00345789">
            <w:pPr>
              <w:pStyle w:val="Tabletext"/>
              <w:rPr>
                <w:b/>
              </w:rPr>
            </w:pPr>
            <w:r w:rsidRPr="00345789">
              <w:rPr>
                <w:b/>
              </w:rPr>
              <w:t>PDE-5i/ERA</w:t>
            </w:r>
          </w:p>
        </w:tc>
        <w:tc>
          <w:tcPr>
            <w:tcW w:w="1985" w:type="dxa"/>
            <w:vMerge w:val="restart"/>
            <w:shd w:val="clear" w:color="auto" w:fill="BFBFBF" w:themeFill="background1" w:themeFillShade="BF"/>
          </w:tcPr>
          <w:p w:rsidR="0075777C" w:rsidRPr="00345789" w:rsidRDefault="0075777C" w:rsidP="00345789">
            <w:pPr>
              <w:pStyle w:val="Tabletext"/>
              <w:rPr>
                <w:b/>
              </w:rPr>
            </w:pPr>
            <w:r w:rsidRPr="00345789">
              <w:rPr>
                <w:b/>
              </w:rPr>
              <w:t>AE</w:t>
            </w:r>
          </w:p>
        </w:tc>
        <w:tc>
          <w:tcPr>
            <w:tcW w:w="3685" w:type="dxa"/>
            <w:gridSpan w:val="2"/>
            <w:shd w:val="clear" w:color="auto" w:fill="BFBFBF" w:themeFill="background1" w:themeFillShade="BF"/>
          </w:tcPr>
          <w:p w:rsidR="0075777C" w:rsidRPr="00345789" w:rsidRDefault="0075777C" w:rsidP="00345789">
            <w:pPr>
              <w:pStyle w:val="Tabletext"/>
              <w:jc w:val="center"/>
              <w:rPr>
                <w:b/>
              </w:rPr>
            </w:pPr>
            <w:proofErr w:type="gramStart"/>
            <w:r w:rsidRPr="00345789">
              <w:rPr>
                <w:b/>
              </w:rPr>
              <w:t>n/N</w:t>
            </w:r>
            <w:proofErr w:type="gramEnd"/>
            <w:r w:rsidRPr="00345789">
              <w:rPr>
                <w:b/>
              </w:rPr>
              <w:t xml:space="preserve"> (%)</w:t>
            </w:r>
          </w:p>
        </w:tc>
        <w:tc>
          <w:tcPr>
            <w:tcW w:w="2126" w:type="dxa"/>
            <w:vMerge w:val="restart"/>
            <w:shd w:val="clear" w:color="auto" w:fill="BFBFBF" w:themeFill="background1" w:themeFillShade="BF"/>
          </w:tcPr>
          <w:p w:rsidR="0075777C" w:rsidRPr="00345789" w:rsidRDefault="0075777C" w:rsidP="00345789">
            <w:pPr>
              <w:pStyle w:val="Tabletext"/>
              <w:rPr>
                <w:b/>
              </w:rPr>
            </w:pPr>
            <w:r w:rsidRPr="00345789">
              <w:rPr>
                <w:b/>
              </w:rPr>
              <w:t>RR (95% CI)</w:t>
            </w:r>
          </w:p>
        </w:tc>
      </w:tr>
      <w:tr w:rsidR="0075777C" w:rsidRPr="00822C52" w:rsidTr="00345789">
        <w:trPr>
          <w:trHeight w:val="202"/>
          <w:tblHeader/>
        </w:trPr>
        <w:tc>
          <w:tcPr>
            <w:tcW w:w="1838" w:type="dxa"/>
            <w:vMerge/>
            <w:shd w:val="clear" w:color="auto" w:fill="BFBFBF" w:themeFill="background1" w:themeFillShade="BF"/>
          </w:tcPr>
          <w:p w:rsidR="0075777C" w:rsidRPr="00822C52" w:rsidRDefault="0075777C" w:rsidP="00345789">
            <w:pPr>
              <w:pStyle w:val="Tabletext"/>
            </w:pPr>
          </w:p>
        </w:tc>
        <w:tc>
          <w:tcPr>
            <w:tcW w:w="1985" w:type="dxa"/>
            <w:vMerge/>
            <w:shd w:val="clear" w:color="auto" w:fill="BFBFBF" w:themeFill="background1" w:themeFillShade="BF"/>
          </w:tcPr>
          <w:p w:rsidR="0075777C" w:rsidRPr="00822C52" w:rsidRDefault="0075777C" w:rsidP="00345789">
            <w:pPr>
              <w:pStyle w:val="Tabletext"/>
            </w:pPr>
          </w:p>
        </w:tc>
        <w:tc>
          <w:tcPr>
            <w:tcW w:w="1842" w:type="dxa"/>
            <w:shd w:val="clear" w:color="auto" w:fill="BFBFBF" w:themeFill="background1" w:themeFillShade="BF"/>
          </w:tcPr>
          <w:p w:rsidR="0075777C" w:rsidRPr="00345789" w:rsidRDefault="0075777C" w:rsidP="00345789">
            <w:pPr>
              <w:pStyle w:val="Tabletext"/>
              <w:jc w:val="center"/>
              <w:rPr>
                <w:b/>
              </w:rPr>
            </w:pPr>
            <w:r w:rsidRPr="00345789">
              <w:rPr>
                <w:b/>
              </w:rPr>
              <w:t>PDE-5i + ERA</w:t>
            </w:r>
          </w:p>
        </w:tc>
        <w:tc>
          <w:tcPr>
            <w:tcW w:w="1843" w:type="dxa"/>
            <w:shd w:val="clear" w:color="auto" w:fill="BFBFBF" w:themeFill="background1" w:themeFillShade="BF"/>
          </w:tcPr>
          <w:p w:rsidR="0075777C" w:rsidRPr="00345789" w:rsidRDefault="0075777C" w:rsidP="00345789">
            <w:pPr>
              <w:pStyle w:val="Tabletext"/>
              <w:jc w:val="center"/>
              <w:rPr>
                <w:b/>
              </w:rPr>
            </w:pPr>
            <w:r w:rsidRPr="00345789">
              <w:rPr>
                <w:b/>
              </w:rPr>
              <w:t>ERA</w:t>
            </w:r>
          </w:p>
        </w:tc>
        <w:tc>
          <w:tcPr>
            <w:tcW w:w="2126" w:type="dxa"/>
            <w:vMerge/>
            <w:shd w:val="clear" w:color="auto" w:fill="BFBFBF" w:themeFill="background1" w:themeFillShade="BF"/>
          </w:tcPr>
          <w:p w:rsidR="0075777C" w:rsidRPr="00822C52" w:rsidRDefault="0075777C" w:rsidP="00345789">
            <w:pPr>
              <w:pStyle w:val="Tabletext"/>
            </w:pPr>
          </w:p>
        </w:tc>
      </w:tr>
      <w:tr w:rsidR="0075777C" w:rsidRPr="00822C52" w:rsidTr="00345789">
        <w:trPr>
          <w:trHeight w:val="70"/>
        </w:trPr>
        <w:tc>
          <w:tcPr>
            <w:tcW w:w="1838" w:type="dxa"/>
          </w:tcPr>
          <w:p w:rsidR="0075777C" w:rsidRDefault="0075777C" w:rsidP="00345789">
            <w:pPr>
              <w:pStyle w:val="Tabletext"/>
              <w:rPr>
                <w:rFonts w:cs="Tahoma"/>
              </w:rPr>
            </w:pPr>
            <w:r w:rsidRPr="00822C52">
              <w:rPr>
                <w:rFonts w:cs="Tahoma"/>
              </w:rPr>
              <w:t>AMBITION</w:t>
            </w:r>
          </w:p>
          <w:p w:rsidR="0075777C" w:rsidRPr="00822C52" w:rsidRDefault="0075777C" w:rsidP="00345789">
            <w:pPr>
              <w:pStyle w:val="Tabletext"/>
              <w:rPr>
                <w:rFonts w:cs="Tahoma"/>
              </w:rPr>
            </w:pPr>
            <w:r w:rsidRPr="004D1DA8">
              <w:rPr>
                <w:rFonts w:cs="Tahoma"/>
              </w:rPr>
              <w:t>Coghlan et al (2016)</w:t>
            </w:r>
            <w:r w:rsidR="001D34EE" w:rsidRPr="001A1C44">
              <w:rPr>
                <w:rFonts w:cs="Tahoma"/>
                <w:noProof/>
                <w:vertAlign w:val="superscript"/>
              </w:rPr>
              <w:t>31</w:t>
            </w:r>
          </w:p>
          <w:p w:rsidR="0075777C" w:rsidRPr="00822C52" w:rsidRDefault="0075777C" w:rsidP="00345789">
            <w:pPr>
              <w:pStyle w:val="Tabletext"/>
              <w:rPr>
                <w:rFonts w:cs="Tahoma"/>
              </w:rPr>
            </w:pPr>
            <w:r w:rsidRPr="00822C52">
              <w:rPr>
                <w:rFonts w:cs="Tahoma"/>
              </w:rPr>
              <w:t xml:space="preserve">FAV: mean </w:t>
            </w:r>
            <w:r>
              <w:rPr>
                <w:rFonts w:cs="Tahoma"/>
              </w:rPr>
              <w:t>74</w:t>
            </w:r>
            <w:r w:rsidRPr="00822C52">
              <w:rPr>
                <w:rFonts w:cs="Tahoma"/>
              </w:rPr>
              <w:t xml:space="preserve"> weeks</w:t>
            </w:r>
          </w:p>
          <w:p w:rsidR="0075777C" w:rsidRPr="00822C52" w:rsidRDefault="00345789" w:rsidP="00345789">
            <w:pPr>
              <w:pStyle w:val="Tabletext"/>
              <w:rPr>
                <w:rFonts w:cs="Tahoma"/>
              </w:rPr>
            </w:pPr>
            <w:r>
              <w:rPr>
                <w:rFonts w:cs="Tahoma"/>
              </w:rPr>
              <w:t>Tadalafil/</w:t>
            </w:r>
            <w:r w:rsidR="0075777C" w:rsidRPr="00822C52">
              <w:rPr>
                <w:rFonts w:cs="Tahoma"/>
              </w:rPr>
              <w:t>ambrisentan</w:t>
            </w:r>
          </w:p>
        </w:tc>
        <w:tc>
          <w:tcPr>
            <w:tcW w:w="1985" w:type="dxa"/>
          </w:tcPr>
          <w:p w:rsidR="0075777C" w:rsidRPr="00822C52" w:rsidRDefault="0075777C" w:rsidP="00345789">
            <w:pPr>
              <w:pStyle w:val="Tabletext"/>
              <w:rPr>
                <w:rFonts w:cs="Tahoma"/>
              </w:rPr>
            </w:pPr>
            <w:r w:rsidRPr="00822C52">
              <w:rPr>
                <w:rFonts w:cs="Tahoma"/>
              </w:rPr>
              <w:t>PAH-CTD</w:t>
            </w:r>
          </w:p>
          <w:p w:rsidR="0075777C" w:rsidRPr="00822C52" w:rsidRDefault="0075777C" w:rsidP="00345789">
            <w:pPr>
              <w:pStyle w:val="Tabletext"/>
              <w:rPr>
                <w:rFonts w:cs="Tahoma"/>
              </w:rPr>
            </w:pPr>
            <w:r w:rsidRPr="00822C52">
              <w:rPr>
                <w:rFonts w:cs="Tahoma"/>
              </w:rPr>
              <w:t>Any AE</w:t>
            </w:r>
          </w:p>
          <w:p w:rsidR="0075777C" w:rsidRPr="00822C52" w:rsidRDefault="0075777C" w:rsidP="00345789">
            <w:pPr>
              <w:pStyle w:val="Tabletext"/>
              <w:rPr>
                <w:rFonts w:cs="Tahoma"/>
              </w:rPr>
            </w:pPr>
            <w:r w:rsidRPr="00822C52">
              <w:rPr>
                <w:rFonts w:cs="Tahoma"/>
              </w:rPr>
              <w:t>Serious AEs</w:t>
            </w:r>
          </w:p>
          <w:p w:rsidR="0075777C" w:rsidRPr="00822C52" w:rsidRDefault="0075777C" w:rsidP="00345789">
            <w:pPr>
              <w:pStyle w:val="Tabletext"/>
              <w:rPr>
                <w:rFonts w:cs="Tahoma"/>
              </w:rPr>
            </w:pPr>
            <w:r>
              <w:rPr>
                <w:rFonts w:cs="Tahoma"/>
              </w:rPr>
              <w:t>Discontinuation due to AE</w:t>
            </w:r>
          </w:p>
        </w:tc>
        <w:tc>
          <w:tcPr>
            <w:tcW w:w="1842" w:type="dxa"/>
            <w:shd w:val="clear" w:color="auto" w:fill="auto"/>
          </w:tcPr>
          <w:p w:rsidR="0075777C" w:rsidRPr="00822C52" w:rsidRDefault="0075777C" w:rsidP="00345789">
            <w:pPr>
              <w:pStyle w:val="Tabletext"/>
              <w:jc w:val="center"/>
              <w:rPr>
                <w:rFonts w:cs="Tahoma"/>
              </w:rPr>
            </w:pPr>
          </w:p>
          <w:p w:rsidR="0075777C" w:rsidRPr="00822C52" w:rsidRDefault="0075777C" w:rsidP="00345789">
            <w:pPr>
              <w:pStyle w:val="Tabletext"/>
              <w:jc w:val="center"/>
              <w:rPr>
                <w:rFonts w:cs="Tahoma"/>
              </w:rPr>
            </w:pPr>
            <w:r w:rsidRPr="00822C52">
              <w:rPr>
                <w:rFonts w:cs="Tahoma"/>
              </w:rPr>
              <w:t>102/103 (99%)</w:t>
            </w:r>
          </w:p>
          <w:p w:rsidR="0075777C" w:rsidRPr="00822C52" w:rsidRDefault="0075777C" w:rsidP="00345789">
            <w:pPr>
              <w:pStyle w:val="Tabletext"/>
              <w:jc w:val="center"/>
              <w:rPr>
                <w:rFonts w:cs="Tahoma"/>
              </w:rPr>
            </w:pPr>
            <w:r w:rsidRPr="00822C52">
              <w:rPr>
                <w:rFonts w:cs="Tahoma"/>
              </w:rPr>
              <w:t>45/103 (44%)</w:t>
            </w:r>
          </w:p>
          <w:p w:rsidR="0075777C" w:rsidRPr="00822C52" w:rsidRDefault="0075777C" w:rsidP="00345789">
            <w:pPr>
              <w:pStyle w:val="Tabletext"/>
              <w:jc w:val="center"/>
              <w:rPr>
                <w:rFonts w:cs="Tahoma"/>
              </w:rPr>
            </w:pPr>
            <w:r>
              <w:rPr>
                <w:rFonts w:cs="Tahoma"/>
              </w:rPr>
              <w:t>14/103 (14%)</w:t>
            </w:r>
          </w:p>
        </w:tc>
        <w:tc>
          <w:tcPr>
            <w:tcW w:w="1843" w:type="dxa"/>
            <w:shd w:val="clear" w:color="auto" w:fill="auto"/>
          </w:tcPr>
          <w:p w:rsidR="0075777C" w:rsidRPr="00822C52" w:rsidRDefault="0075777C" w:rsidP="00345789">
            <w:pPr>
              <w:pStyle w:val="Tabletext"/>
              <w:jc w:val="center"/>
              <w:rPr>
                <w:rFonts w:cs="Tahoma"/>
              </w:rPr>
            </w:pPr>
          </w:p>
          <w:p w:rsidR="0075777C" w:rsidRPr="00822C52" w:rsidRDefault="0075777C" w:rsidP="00345789">
            <w:pPr>
              <w:pStyle w:val="Tabletext"/>
              <w:jc w:val="center"/>
              <w:rPr>
                <w:rFonts w:cs="Tahoma"/>
              </w:rPr>
            </w:pPr>
            <w:r w:rsidRPr="00822C52">
              <w:rPr>
                <w:rFonts w:cs="Tahoma"/>
              </w:rPr>
              <w:t>42/44 (95%)</w:t>
            </w:r>
          </w:p>
          <w:p w:rsidR="0075777C" w:rsidRPr="00822C52" w:rsidRDefault="0075777C" w:rsidP="00345789">
            <w:pPr>
              <w:pStyle w:val="Tabletext"/>
              <w:jc w:val="center"/>
              <w:rPr>
                <w:rFonts w:cs="Tahoma"/>
              </w:rPr>
            </w:pPr>
            <w:r w:rsidRPr="00822C52">
              <w:rPr>
                <w:rFonts w:cs="Tahoma"/>
              </w:rPr>
              <w:t>15/44 (34%)</w:t>
            </w:r>
          </w:p>
          <w:p w:rsidR="0075777C" w:rsidRPr="00822C52" w:rsidRDefault="0075777C" w:rsidP="00345789">
            <w:pPr>
              <w:pStyle w:val="Tabletext"/>
              <w:jc w:val="center"/>
              <w:rPr>
                <w:rFonts w:cs="Tahoma"/>
              </w:rPr>
            </w:pPr>
            <w:r>
              <w:rPr>
                <w:rFonts w:cs="Tahoma"/>
              </w:rPr>
              <w:t>8/44 (18%)</w:t>
            </w:r>
          </w:p>
        </w:tc>
        <w:tc>
          <w:tcPr>
            <w:tcW w:w="2126" w:type="dxa"/>
          </w:tcPr>
          <w:p w:rsidR="0075777C" w:rsidRDefault="0075777C" w:rsidP="00345789">
            <w:pPr>
              <w:pStyle w:val="Tabletext"/>
              <w:rPr>
                <w:rFonts w:cs="Tahoma"/>
              </w:rPr>
            </w:pPr>
          </w:p>
          <w:p w:rsidR="0075777C" w:rsidRDefault="0075777C" w:rsidP="00345789">
            <w:pPr>
              <w:pStyle w:val="Tabletext"/>
              <w:rPr>
                <w:rFonts w:cs="Tahoma"/>
              </w:rPr>
            </w:pPr>
            <w:r>
              <w:rPr>
                <w:rFonts w:cs="Tahoma"/>
              </w:rPr>
              <w:t>1.04 (0.97, 1.11)</w:t>
            </w:r>
          </w:p>
          <w:p w:rsidR="0075777C" w:rsidRDefault="0075777C" w:rsidP="00345789">
            <w:pPr>
              <w:pStyle w:val="Tabletext"/>
              <w:rPr>
                <w:rFonts w:cs="Tahoma"/>
              </w:rPr>
            </w:pPr>
            <w:r>
              <w:rPr>
                <w:rFonts w:cs="Tahoma"/>
              </w:rPr>
              <w:t>1.28 (0.80, 2.04)</w:t>
            </w:r>
          </w:p>
          <w:p w:rsidR="0075777C" w:rsidRPr="00822C52" w:rsidRDefault="0075777C" w:rsidP="00345789">
            <w:pPr>
              <w:pStyle w:val="Tabletext"/>
              <w:rPr>
                <w:rFonts w:cs="Tahoma"/>
              </w:rPr>
            </w:pPr>
            <w:r>
              <w:rPr>
                <w:rFonts w:cs="Tahoma"/>
              </w:rPr>
              <w:t>0.75 (0.34, 1.65)</w:t>
            </w:r>
          </w:p>
        </w:tc>
      </w:tr>
    </w:tbl>
    <w:p w:rsidR="0075777C" w:rsidRDefault="0075777C" w:rsidP="004C1FAC">
      <w:pPr>
        <w:pStyle w:val="Tablenote"/>
      </w:pPr>
      <w:r w:rsidRPr="00822C52">
        <w:t xml:space="preserve">AE = adverse event; CI = confidence interval; ERA = endothelin receptor antagonist; FAV = final assessment visit; n = number of </w:t>
      </w:r>
      <w:r w:rsidR="001E16B8">
        <w:t xml:space="preserve">patients with </w:t>
      </w:r>
      <w:r w:rsidRPr="00822C52">
        <w:t xml:space="preserve">events; N = number of patients; PAH = pulmonary arterial hypertension; </w:t>
      </w:r>
      <w:r w:rsidR="00774E89">
        <w:t>PAH-</w:t>
      </w:r>
      <w:r w:rsidR="00774E89" w:rsidRPr="00822C52">
        <w:t xml:space="preserve">CTD = </w:t>
      </w:r>
      <w:r w:rsidR="00774E89">
        <w:t xml:space="preserve">PAH associated with </w:t>
      </w:r>
      <w:r w:rsidR="00774E89" w:rsidRPr="00822C52">
        <w:t xml:space="preserve">connective tissue disease; </w:t>
      </w:r>
      <w:r>
        <w:t>PDE-5i</w:t>
      </w:r>
      <w:r w:rsidRPr="00822C52">
        <w:t xml:space="preserve"> = phosphodiesterase type-5 inhibitor; RR</w:t>
      </w:r>
      <w:r w:rsidR="00345789">
        <w:t xml:space="preserve"> = relative risk</w:t>
      </w:r>
    </w:p>
    <w:p w:rsidR="0075777C" w:rsidRPr="00822C52" w:rsidRDefault="00761752" w:rsidP="0017012F">
      <w:pPr>
        <w:pStyle w:val="Heading4"/>
      </w:pPr>
      <w:r>
        <w:t>4.4.3.</w:t>
      </w:r>
      <w:r w:rsidR="00441F08">
        <w:t>4</w:t>
      </w:r>
      <w:r>
        <w:tab/>
      </w:r>
      <w:r w:rsidR="005035F1">
        <w:tab/>
      </w:r>
      <w:r w:rsidR="0075777C">
        <w:t>PDE-5 inhibitor</w:t>
      </w:r>
      <w:r w:rsidR="0075777C" w:rsidRPr="00822C52">
        <w:t xml:space="preserve"> in addition to </w:t>
      </w:r>
      <w:r w:rsidR="0017012F" w:rsidRPr="0017012F">
        <w:t>prostanoid</w:t>
      </w:r>
    </w:p>
    <w:p w:rsidR="0075777C" w:rsidRPr="006316DF" w:rsidRDefault="0075777C" w:rsidP="0075777C">
      <w:r w:rsidRPr="00822C52">
        <w:t>The PACES</w:t>
      </w:r>
      <w:r>
        <w:t>-1</w:t>
      </w:r>
      <w:r w:rsidR="001D34EE" w:rsidRPr="001A1C44">
        <w:rPr>
          <w:noProof/>
          <w:vertAlign w:val="superscript"/>
        </w:rPr>
        <w:t>41</w:t>
      </w:r>
      <w:r>
        <w:t xml:space="preserve"> </w:t>
      </w:r>
      <w:r w:rsidRPr="00822C52">
        <w:t xml:space="preserve">double-blind trial </w:t>
      </w:r>
      <w:r>
        <w:t xml:space="preserve">reported on </w:t>
      </w:r>
      <w:r w:rsidRPr="00DE5444">
        <w:t xml:space="preserve">the effectiveness of a PDE-5 inhibitor in addition to </w:t>
      </w:r>
      <w:r>
        <w:t xml:space="preserve">a </w:t>
      </w:r>
      <w:r w:rsidR="0017012F" w:rsidRPr="0017012F">
        <w:t xml:space="preserve">prostanoid </w:t>
      </w:r>
      <w:r w:rsidRPr="00DE5444">
        <w:t xml:space="preserve">in treating PAH compared with placebo plus </w:t>
      </w:r>
      <w:r>
        <w:t xml:space="preserve">a </w:t>
      </w:r>
      <w:r w:rsidR="0017012F" w:rsidRPr="0017012F">
        <w:t>prostanoid</w:t>
      </w:r>
      <w:r w:rsidRPr="00DE5444">
        <w:t>.</w:t>
      </w:r>
      <w:r>
        <w:t xml:space="preserve"> Patients with IPAH, PAH-CTD, PAH-CHD or PAH associated with anorexigen use who were receiving long-term intravenous epoprostenol therapy were </w:t>
      </w:r>
      <w:r w:rsidRPr="00822C52">
        <w:t xml:space="preserve">randomised to receive combination therapy with </w:t>
      </w:r>
      <w:r>
        <w:t>sildenafil</w:t>
      </w:r>
      <w:r w:rsidRPr="00822C52">
        <w:t xml:space="preserve"> plus </w:t>
      </w:r>
      <w:r w:rsidRPr="00ED6F18">
        <w:t>epoprostenol</w:t>
      </w:r>
      <w:r w:rsidRPr="00822C52">
        <w:t>, or monotherapy with placebo</w:t>
      </w:r>
      <w:r w:rsidRPr="00ED6F18">
        <w:t xml:space="preserve"> </w:t>
      </w:r>
      <w:r w:rsidRPr="00822C52">
        <w:t>plus</w:t>
      </w:r>
      <w:r>
        <w:t xml:space="preserve"> epoprostenol for 16 weeks.</w:t>
      </w:r>
      <w:r w:rsidRPr="00ED6F18">
        <w:t xml:space="preserve"> </w:t>
      </w:r>
      <w:r>
        <w:t>Randomisation was stratified by the baseline 6MWD (&lt;325 m or ≥325 m) and aetiology of PAH (IPAH or other causes). T</w:t>
      </w:r>
      <w:r w:rsidRPr="006316DF">
        <w:t xml:space="preserve">he baseline characteristics for the </w:t>
      </w:r>
      <w:r>
        <w:t>two treatment groups were similar for demographic, WHO FC and haemodynamic assessments. The trial had a low risk of bias.</w:t>
      </w:r>
    </w:p>
    <w:p w:rsidR="0075777C" w:rsidRDefault="002E4833" w:rsidP="0075777C">
      <w:pPr>
        <w:pStyle w:val="Heading5"/>
      </w:pPr>
      <w:r>
        <w:t>a.</w:t>
      </w:r>
      <w:r w:rsidR="00761752">
        <w:tab/>
      </w:r>
      <w:r w:rsidR="0075777C" w:rsidRPr="00822C52">
        <w:t>Study-defined clinical worsening</w:t>
      </w:r>
    </w:p>
    <w:p w:rsidR="0075777C" w:rsidRPr="00822C52" w:rsidRDefault="0075777C" w:rsidP="0075777C">
      <w:r>
        <w:t>In the PACES-1 trial, c</w:t>
      </w:r>
      <w:r w:rsidRPr="007271D5">
        <w:t xml:space="preserve">linical worsening </w:t>
      </w:r>
      <w:r>
        <w:t xml:space="preserve">was </w:t>
      </w:r>
      <w:r w:rsidRPr="007271D5">
        <w:t>defined as death, lung transplantation, hospitali</w:t>
      </w:r>
      <w:r>
        <w:t>s</w:t>
      </w:r>
      <w:r w:rsidRPr="007271D5">
        <w:t>ation</w:t>
      </w:r>
      <w:r>
        <w:t xml:space="preserve"> </w:t>
      </w:r>
      <w:r w:rsidRPr="007271D5">
        <w:t xml:space="preserve">due to </w:t>
      </w:r>
      <w:r>
        <w:t>PAH</w:t>
      </w:r>
      <w:r w:rsidRPr="007271D5">
        <w:t>, initiation</w:t>
      </w:r>
      <w:r>
        <w:t xml:space="preserve"> </w:t>
      </w:r>
      <w:r w:rsidRPr="007271D5">
        <w:t>of bosentan therapy, or change in epoprostenol dose</w:t>
      </w:r>
      <w:r>
        <w:t xml:space="preserve"> </w:t>
      </w:r>
      <w:r w:rsidRPr="007271D5">
        <w:t xml:space="preserve">of </w:t>
      </w:r>
      <w:r>
        <w:t>&gt;</w:t>
      </w:r>
      <w:r w:rsidRPr="007271D5">
        <w:t>10% due to clinical deterioration.</w:t>
      </w:r>
    </w:p>
    <w:p w:rsidR="0075777C" w:rsidRPr="00B607A5" w:rsidRDefault="002E4833" w:rsidP="0077344D">
      <w:pPr>
        <w:pStyle w:val="Heading6"/>
      </w:pPr>
      <w:proofErr w:type="gramStart"/>
      <w:r w:rsidRPr="00B607A5">
        <w:t>a</w:t>
      </w:r>
      <w:r w:rsidR="0075777C" w:rsidRPr="00B607A5">
        <w:t>.i</w:t>
      </w:r>
      <w:proofErr w:type="gramEnd"/>
      <w:r w:rsidR="0075777C" w:rsidRPr="00B607A5">
        <w:tab/>
        <w:t>PAH patients, irrespective of disease severity or aetiology</w:t>
      </w:r>
    </w:p>
    <w:p w:rsidR="0075777C" w:rsidRPr="00822C52" w:rsidRDefault="0075777C" w:rsidP="0075777C">
      <w:r>
        <w:t>Patients receiving epoprostenol monotherapy had a statistically significant 3-fold greater risk of experiencing a clinical worsening event than those receiving s</w:t>
      </w:r>
      <w:r w:rsidRPr="007271D5">
        <w:t>ildenafil</w:t>
      </w:r>
      <w:r>
        <w:t xml:space="preserve"> plus </w:t>
      </w:r>
      <w:r w:rsidRPr="007271D5">
        <w:t>epoprostenol</w:t>
      </w:r>
      <w:r>
        <w:t xml:space="preserve"> combination therapy (</w:t>
      </w:r>
      <w:r w:rsidR="003951FA">
        <w:t>Table 4.</w:t>
      </w:r>
      <w:r w:rsidR="003951FA">
        <w:rPr>
          <w:noProof/>
        </w:rPr>
        <w:t>72</w:t>
      </w:r>
      <w:r>
        <w:t xml:space="preserve">; </w:t>
      </w:r>
      <w:r w:rsidR="00B21201">
        <w:t>ARD</w:t>
      </w:r>
      <w:r w:rsidR="00B60655">
        <w:t> </w:t>
      </w:r>
      <w:r>
        <w:t>=</w:t>
      </w:r>
      <w:r w:rsidR="00B60655">
        <w:t> </w:t>
      </w:r>
      <w:r w:rsidR="004C1FAC">
        <w:t>−</w:t>
      </w:r>
      <w:proofErr w:type="gramStart"/>
      <w:r w:rsidRPr="001277F0">
        <w:t>1</w:t>
      </w:r>
      <w:r>
        <w:t>2.4</w:t>
      </w:r>
      <w:r w:rsidRPr="001277F0">
        <w:t>%</w:t>
      </w:r>
      <w:proofErr w:type="gramEnd"/>
      <w:r w:rsidRPr="001277F0">
        <w:t xml:space="preserve">; 95% CI </w:t>
      </w:r>
      <w:r w:rsidR="004C1FAC">
        <w:t>−2</w:t>
      </w:r>
      <w:r w:rsidR="004C1FAC" w:rsidRPr="001277F0">
        <w:t>0.</w:t>
      </w:r>
      <w:r w:rsidR="004C1FAC">
        <w:t>1, −</w:t>
      </w:r>
      <w:r>
        <w:t>4</w:t>
      </w:r>
      <w:r w:rsidRPr="001277F0">
        <w:t>.</w:t>
      </w:r>
      <w:r>
        <w:t>6</w:t>
      </w:r>
      <w:r w:rsidR="004C1FAC">
        <w:t>; p</w:t>
      </w:r>
      <w:r w:rsidR="00B60655">
        <w:t> </w:t>
      </w:r>
      <w:r w:rsidR="004C1FAC">
        <w:t>=</w:t>
      </w:r>
      <w:r w:rsidR="00B60655">
        <w:t> </w:t>
      </w:r>
      <w:r w:rsidR="004C1FAC">
        <w:t>0.002</w:t>
      </w:r>
      <w:r w:rsidRPr="001277F0">
        <w:t>)</w:t>
      </w:r>
      <w:r>
        <w:t>. The NNT</w:t>
      </w:r>
      <w:r w:rsidRPr="001277F0">
        <w:t xml:space="preserve"> indicates that for every </w:t>
      </w:r>
      <w:r w:rsidR="00BD3EF5">
        <w:t>nine</w:t>
      </w:r>
      <w:r w:rsidRPr="001277F0">
        <w:t xml:space="preserve"> patients treated with </w:t>
      </w:r>
      <w:r>
        <w:t>PDE-5 inhibitor</w:t>
      </w:r>
      <w:r w:rsidRPr="001277F0">
        <w:t xml:space="preserve"> </w:t>
      </w:r>
      <w:proofErr w:type="gramStart"/>
      <w:r w:rsidRPr="001277F0">
        <w:t>plus</w:t>
      </w:r>
      <w:proofErr w:type="gramEnd"/>
      <w:r w:rsidRPr="001277F0">
        <w:t xml:space="preserve"> </w:t>
      </w:r>
      <w:r w:rsidR="004C1FAC" w:rsidRPr="001277F0">
        <w:t>prostanoid</w:t>
      </w:r>
      <w:r w:rsidRPr="001277F0">
        <w:t xml:space="preserve"> combination therapy one additional </w:t>
      </w:r>
      <w:r>
        <w:t>clinical worsening event</w:t>
      </w:r>
      <w:r w:rsidRPr="001277F0">
        <w:t xml:space="preserve"> was prevented compared with </w:t>
      </w:r>
      <w:r w:rsidR="004C1FAC">
        <w:t>prostanoid</w:t>
      </w:r>
      <w:r>
        <w:t xml:space="preserve"> </w:t>
      </w:r>
      <w:r w:rsidRPr="001277F0">
        <w:t>monotherapy.</w:t>
      </w:r>
    </w:p>
    <w:p w:rsidR="0075777C" w:rsidRPr="00DD7790" w:rsidRDefault="00272F8F" w:rsidP="00BC5A2B">
      <w:pPr>
        <w:pStyle w:val="Caption"/>
      </w:pPr>
      <w:bookmarkStart w:id="233" w:name="_Ref504656608"/>
      <w:bookmarkStart w:id="234" w:name="_Toc38360369"/>
      <w:r>
        <w:t>Table 4.</w:t>
      </w:r>
      <w:r w:rsidR="003951FA">
        <w:rPr>
          <w:noProof/>
        </w:rPr>
        <w:t>72</w:t>
      </w:r>
      <w:bookmarkEnd w:id="233"/>
      <w:r w:rsidR="004C1FAC">
        <w:tab/>
      </w:r>
      <w:r w:rsidR="0075777C" w:rsidRPr="00DD7790">
        <w:t xml:space="preserve">The effectiveness of </w:t>
      </w:r>
      <w:r w:rsidR="007E59EC">
        <w:t xml:space="preserve">a </w:t>
      </w:r>
      <w:r w:rsidR="0075777C" w:rsidRPr="00DD7790">
        <w:t xml:space="preserve">PDE-5 inhibitor </w:t>
      </w:r>
      <w:r w:rsidR="007E59EC">
        <w:t>in addition to a</w:t>
      </w:r>
      <w:r w:rsidR="0075777C" w:rsidRPr="00DD7790">
        <w:t xml:space="preserve"> pr</w:t>
      </w:r>
      <w:r w:rsidR="0075777C">
        <w:t xml:space="preserve">ostanoid compared with </w:t>
      </w:r>
      <w:r w:rsidR="0075777C" w:rsidRPr="00DD7790">
        <w:t xml:space="preserve">prostanoid </w:t>
      </w:r>
      <w:r w:rsidR="007E59EC">
        <w:t xml:space="preserve">monotherapy </w:t>
      </w:r>
      <w:r w:rsidR="0075777C" w:rsidRPr="00DD7790">
        <w:t>in preventing clinical worsening in all PAH patients</w:t>
      </w:r>
      <w:bookmarkEnd w:id="234"/>
    </w:p>
    <w:tbl>
      <w:tblPr>
        <w:tblStyle w:val="TableGrid7"/>
        <w:tblW w:w="9634" w:type="dxa"/>
        <w:tblLayout w:type="fixed"/>
        <w:tblLook w:val="04A0" w:firstRow="1" w:lastRow="0" w:firstColumn="1" w:lastColumn="0" w:noHBand="0" w:noVBand="1"/>
        <w:tblCaption w:val="The effectiveness of a PDE-5 inhibitor in addition to a prostanoid compared with prostanoid monotherapy in preventing clinical worsening in all PAH patients"/>
      </w:tblPr>
      <w:tblGrid>
        <w:gridCol w:w="1129"/>
        <w:gridCol w:w="2268"/>
        <w:gridCol w:w="1985"/>
        <w:gridCol w:w="1984"/>
        <w:gridCol w:w="2268"/>
      </w:tblGrid>
      <w:tr w:rsidR="0075777C" w:rsidRPr="00822C52" w:rsidTr="00345789">
        <w:trPr>
          <w:trHeight w:val="203"/>
          <w:tblHeader/>
        </w:trPr>
        <w:tc>
          <w:tcPr>
            <w:tcW w:w="1129" w:type="dxa"/>
            <w:vMerge w:val="restart"/>
            <w:shd w:val="clear" w:color="auto" w:fill="BFBFBF" w:themeFill="background1" w:themeFillShade="BF"/>
          </w:tcPr>
          <w:p w:rsidR="0075777C" w:rsidRPr="004C1FAC" w:rsidRDefault="0075777C" w:rsidP="004C1FAC">
            <w:pPr>
              <w:pStyle w:val="Tabletext"/>
              <w:rPr>
                <w:b/>
              </w:rPr>
            </w:pPr>
            <w:r w:rsidRPr="004C1FAC">
              <w:rPr>
                <w:b/>
              </w:rPr>
              <w:t>Study ID</w:t>
            </w:r>
          </w:p>
        </w:tc>
        <w:tc>
          <w:tcPr>
            <w:tcW w:w="2268" w:type="dxa"/>
            <w:vMerge w:val="restart"/>
            <w:shd w:val="clear" w:color="auto" w:fill="BFBFBF" w:themeFill="background1" w:themeFillShade="BF"/>
          </w:tcPr>
          <w:p w:rsidR="0075777C" w:rsidRPr="004C1FAC" w:rsidRDefault="0075777C" w:rsidP="004C1FAC">
            <w:pPr>
              <w:pStyle w:val="Tabletext"/>
              <w:rPr>
                <w:b/>
              </w:rPr>
            </w:pPr>
            <w:r w:rsidRPr="004C1FAC">
              <w:rPr>
                <w:b/>
              </w:rPr>
              <w:t>Follow-up period</w:t>
            </w:r>
          </w:p>
          <w:p w:rsidR="0075777C" w:rsidRPr="004C1FAC" w:rsidRDefault="0075777C" w:rsidP="004C1FAC">
            <w:pPr>
              <w:pStyle w:val="Tabletext"/>
              <w:rPr>
                <w:b/>
              </w:rPr>
            </w:pPr>
            <w:r w:rsidRPr="004C1FAC">
              <w:rPr>
                <w:b/>
              </w:rPr>
              <w:t>PDE-5i/</w:t>
            </w:r>
            <w:r w:rsidR="004C1FAC" w:rsidRPr="004C1FAC">
              <w:rPr>
                <w:b/>
              </w:rPr>
              <w:t>prostanoid</w:t>
            </w:r>
          </w:p>
        </w:tc>
        <w:tc>
          <w:tcPr>
            <w:tcW w:w="3969" w:type="dxa"/>
            <w:gridSpan w:val="2"/>
            <w:shd w:val="clear" w:color="auto" w:fill="BFBFBF" w:themeFill="background1" w:themeFillShade="BF"/>
          </w:tcPr>
          <w:p w:rsidR="0075777C" w:rsidRPr="004C1FAC" w:rsidRDefault="0075777C" w:rsidP="004C1FAC">
            <w:pPr>
              <w:pStyle w:val="Tabletext"/>
              <w:jc w:val="center"/>
              <w:rPr>
                <w:b/>
              </w:rPr>
            </w:pPr>
            <w:proofErr w:type="gramStart"/>
            <w:r w:rsidRPr="004C1FAC">
              <w:rPr>
                <w:b/>
              </w:rPr>
              <w:t>n/N</w:t>
            </w:r>
            <w:proofErr w:type="gramEnd"/>
            <w:r w:rsidRPr="004C1FAC">
              <w:rPr>
                <w:b/>
              </w:rPr>
              <w:t xml:space="preserve"> (%)</w:t>
            </w:r>
          </w:p>
        </w:tc>
        <w:tc>
          <w:tcPr>
            <w:tcW w:w="2268" w:type="dxa"/>
            <w:vMerge w:val="restart"/>
            <w:shd w:val="clear" w:color="auto" w:fill="BFBFBF" w:themeFill="background1" w:themeFillShade="BF"/>
          </w:tcPr>
          <w:p w:rsidR="0075777C" w:rsidRPr="004C1FAC" w:rsidRDefault="0075777C" w:rsidP="004C1FAC">
            <w:pPr>
              <w:pStyle w:val="Tabletext"/>
              <w:rPr>
                <w:b/>
              </w:rPr>
            </w:pPr>
            <w:r w:rsidRPr="004C1FAC">
              <w:rPr>
                <w:b/>
              </w:rPr>
              <w:t>RR (95% CI)</w:t>
            </w:r>
          </w:p>
        </w:tc>
      </w:tr>
      <w:tr w:rsidR="0075777C" w:rsidRPr="00822C52" w:rsidTr="004C1FAC">
        <w:trPr>
          <w:trHeight w:val="202"/>
          <w:tblHeader/>
        </w:trPr>
        <w:tc>
          <w:tcPr>
            <w:tcW w:w="1129" w:type="dxa"/>
            <w:vMerge/>
            <w:shd w:val="clear" w:color="auto" w:fill="BFBFBF" w:themeFill="background1" w:themeFillShade="BF"/>
          </w:tcPr>
          <w:p w:rsidR="0075777C" w:rsidRPr="00822C52" w:rsidRDefault="0075777C" w:rsidP="004C1FAC">
            <w:pPr>
              <w:pStyle w:val="Tabletext"/>
            </w:pPr>
          </w:p>
        </w:tc>
        <w:tc>
          <w:tcPr>
            <w:tcW w:w="2268" w:type="dxa"/>
            <w:vMerge/>
            <w:shd w:val="clear" w:color="auto" w:fill="BFBFBF" w:themeFill="background1" w:themeFillShade="BF"/>
          </w:tcPr>
          <w:p w:rsidR="0075777C" w:rsidRPr="00822C52" w:rsidRDefault="0075777C" w:rsidP="004C1FAC">
            <w:pPr>
              <w:pStyle w:val="Tabletext"/>
            </w:pPr>
          </w:p>
        </w:tc>
        <w:tc>
          <w:tcPr>
            <w:tcW w:w="1985" w:type="dxa"/>
            <w:shd w:val="clear" w:color="auto" w:fill="BFBFBF" w:themeFill="background1" w:themeFillShade="BF"/>
          </w:tcPr>
          <w:p w:rsidR="0075777C" w:rsidRPr="004C1FAC" w:rsidRDefault="0075777C" w:rsidP="004C1FAC">
            <w:pPr>
              <w:pStyle w:val="Tabletext"/>
              <w:jc w:val="center"/>
              <w:rPr>
                <w:b/>
              </w:rPr>
            </w:pPr>
            <w:r w:rsidRPr="004C1FAC">
              <w:rPr>
                <w:b/>
              </w:rPr>
              <w:t>PDE-5i + prostanoid</w:t>
            </w:r>
          </w:p>
        </w:tc>
        <w:tc>
          <w:tcPr>
            <w:tcW w:w="1984" w:type="dxa"/>
            <w:shd w:val="clear" w:color="auto" w:fill="BFBFBF" w:themeFill="background1" w:themeFillShade="BF"/>
          </w:tcPr>
          <w:p w:rsidR="0075777C" w:rsidRPr="004C1FAC" w:rsidRDefault="0075777C" w:rsidP="00EF4CF6">
            <w:pPr>
              <w:pStyle w:val="Tabletext"/>
              <w:jc w:val="center"/>
              <w:rPr>
                <w:b/>
              </w:rPr>
            </w:pPr>
            <w:r w:rsidRPr="004C1FAC">
              <w:rPr>
                <w:b/>
              </w:rPr>
              <w:t>Prostanoid</w:t>
            </w:r>
          </w:p>
        </w:tc>
        <w:tc>
          <w:tcPr>
            <w:tcW w:w="2268" w:type="dxa"/>
            <w:vMerge/>
            <w:shd w:val="clear" w:color="auto" w:fill="BFBFBF" w:themeFill="background1" w:themeFillShade="BF"/>
          </w:tcPr>
          <w:p w:rsidR="0075777C" w:rsidRPr="00822C52" w:rsidRDefault="0075777C" w:rsidP="004C1FAC">
            <w:pPr>
              <w:pStyle w:val="Tabletext"/>
            </w:pPr>
          </w:p>
        </w:tc>
      </w:tr>
      <w:tr w:rsidR="0075777C" w:rsidRPr="00822C52" w:rsidTr="004C1FAC">
        <w:trPr>
          <w:trHeight w:val="70"/>
        </w:trPr>
        <w:tc>
          <w:tcPr>
            <w:tcW w:w="1129" w:type="dxa"/>
          </w:tcPr>
          <w:p w:rsidR="0075777C" w:rsidRPr="00822C52" w:rsidRDefault="0075777C" w:rsidP="001D34EE">
            <w:pPr>
              <w:pStyle w:val="Tabletext"/>
              <w:rPr>
                <w:rFonts w:cs="Tahoma"/>
              </w:rPr>
            </w:pPr>
            <w:r w:rsidRPr="00822C52">
              <w:rPr>
                <w:rFonts w:cs="Tahoma"/>
              </w:rPr>
              <w:t>PACES</w:t>
            </w:r>
            <w:r>
              <w:rPr>
                <w:rFonts w:cs="Tahoma"/>
              </w:rPr>
              <w:t>-1</w:t>
            </w:r>
            <w:r w:rsidR="001D34EE" w:rsidRPr="001A1C44">
              <w:rPr>
                <w:rFonts w:cs="Tahoma"/>
                <w:noProof/>
                <w:vertAlign w:val="superscript"/>
              </w:rPr>
              <w:t>41</w:t>
            </w:r>
          </w:p>
        </w:tc>
        <w:tc>
          <w:tcPr>
            <w:tcW w:w="2268" w:type="dxa"/>
          </w:tcPr>
          <w:p w:rsidR="0075777C" w:rsidRPr="00822C52" w:rsidRDefault="0075777C" w:rsidP="004C1FAC">
            <w:pPr>
              <w:pStyle w:val="Tabletext"/>
              <w:rPr>
                <w:rFonts w:cs="Tahoma"/>
              </w:rPr>
            </w:pPr>
            <w:r w:rsidRPr="00822C52">
              <w:rPr>
                <w:rFonts w:cs="Tahoma"/>
              </w:rPr>
              <w:t>16 weeks</w:t>
            </w:r>
          </w:p>
          <w:p w:rsidR="0075777C" w:rsidRPr="00822C52" w:rsidRDefault="0075777C" w:rsidP="004C1FAC">
            <w:pPr>
              <w:pStyle w:val="Tabletext"/>
              <w:rPr>
                <w:rFonts w:cs="Tahoma"/>
              </w:rPr>
            </w:pPr>
            <w:r w:rsidRPr="00822C52">
              <w:rPr>
                <w:rFonts w:cs="Tahoma"/>
              </w:rPr>
              <w:t>Sildenafil/epoprostenol</w:t>
            </w:r>
          </w:p>
        </w:tc>
        <w:tc>
          <w:tcPr>
            <w:tcW w:w="1985" w:type="dxa"/>
          </w:tcPr>
          <w:p w:rsidR="0075777C" w:rsidRPr="00822C52" w:rsidRDefault="0075777C" w:rsidP="004C1FAC">
            <w:pPr>
              <w:pStyle w:val="Tabletext"/>
              <w:jc w:val="center"/>
              <w:rPr>
                <w:rFonts w:cs="Tahoma"/>
                <w:highlight w:val="cyan"/>
              </w:rPr>
            </w:pPr>
            <w:r w:rsidRPr="00822C52">
              <w:rPr>
                <w:rFonts w:cs="Tahoma"/>
              </w:rPr>
              <w:t>8/134 (6%)</w:t>
            </w:r>
          </w:p>
        </w:tc>
        <w:tc>
          <w:tcPr>
            <w:tcW w:w="1984" w:type="dxa"/>
          </w:tcPr>
          <w:p w:rsidR="0075777C" w:rsidRPr="00822C52" w:rsidRDefault="0075777C" w:rsidP="004C1FAC">
            <w:pPr>
              <w:pStyle w:val="Tabletext"/>
              <w:jc w:val="center"/>
              <w:rPr>
                <w:rFonts w:cs="Tahoma"/>
                <w:highlight w:val="cyan"/>
              </w:rPr>
            </w:pPr>
            <w:r w:rsidRPr="00822C52">
              <w:rPr>
                <w:rFonts w:cs="Tahoma"/>
              </w:rPr>
              <w:t>24/131 (18%)</w:t>
            </w:r>
          </w:p>
        </w:tc>
        <w:tc>
          <w:tcPr>
            <w:tcW w:w="2268" w:type="dxa"/>
          </w:tcPr>
          <w:p w:rsidR="0075777C" w:rsidRPr="00822C52" w:rsidRDefault="0075777C" w:rsidP="004C1FAC">
            <w:pPr>
              <w:pStyle w:val="Tabletext"/>
              <w:rPr>
                <w:rFonts w:cs="Tahoma"/>
                <w:highlight w:val="cyan"/>
              </w:rPr>
            </w:pPr>
            <w:r w:rsidRPr="00AF1B55">
              <w:rPr>
                <w:rFonts w:cs="Tahoma"/>
              </w:rPr>
              <w:t>0.33 (0.15, 0.70)</w:t>
            </w:r>
          </w:p>
        </w:tc>
      </w:tr>
    </w:tbl>
    <w:p w:rsidR="0075777C" w:rsidRPr="00822C52" w:rsidRDefault="0075777C" w:rsidP="004C1FAC">
      <w:pPr>
        <w:pStyle w:val="Tablenote"/>
      </w:pPr>
      <w:r w:rsidRPr="00822C52">
        <w:t xml:space="preserve">CI = confidence interval; n = number of </w:t>
      </w:r>
      <w:r w:rsidR="001E16B8">
        <w:t xml:space="preserve">patients with </w:t>
      </w:r>
      <w:r w:rsidRPr="00822C52">
        <w:t xml:space="preserve">events; N = number of patients; PAH = pulmonary arterial hypertension; </w:t>
      </w:r>
      <w:r>
        <w:t>PDE-5i</w:t>
      </w:r>
      <w:r w:rsidRPr="00822C52">
        <w:t xml:space="preserve"> = phosphodiesterase type-5 inhibitor; RR = relative risk</w:t>
      </w:r>
    </w:p>
    <w:p w:rsidR="0075777C" w:rsidRPr="00822C52" w:rsidRDefault="002E4833" w:rsidP="0075777C">
      <w:pPr>
        <w:pStyle w:val="Heading5"/>
      </w:pPr>
      <w:r>
        <w:t>b.</w:t>
      </w:r>
      <w:r w:rsidR="00761752">
        <w:tab/>
      </w:r>
      <w:r w:rsidR="00C828F9">
        <w:t>All-cause m</w:t>
      </w:r>
      <w:r w:rsidR="00C828F9" w:rsidRPr="006316DF">
        <w:t>ortality</w:t>
      </w:r>
    </w:p>
    <w:p w:rsidR="0075777C" w:rsidRPr="00822C52" w:rsidRDefault="002E4833" w:rsidP="0077344D">
      <w:pPr>
        <w:pStyle w:val="Heading6"/>
      </w:pPr>
      <w:proofErr w:type="gramStart"/>
      <w:r>
        <w:t>b</w:t>
      </w:r>
      <w:r w:rsidR="0075777C" w:rsidRPr="00822C52">
        <w:t>.i</w:t>
      </w:r>
      <w:proofErr w:type="gramEnd"/>
      <w:r w:rsidR="0075777C" w:rsidRPr="00822C52">
        <w:tab/>
        <w:t>PAH patients, irrespective of disease severity or aetiology</w:t>
      </w:r>
    </w:p>
    <w:p w:rsidR="00F10128" w:rsidRDefault="0075777C" w:rsidP="0075777C">
      <w:r w:rsidRPr="006316DF">
        <w:t xml:space="preserve">The </w:t>
      </w:r>
      <w:r>
        <w:t>patients in the combination therapy group were less likely to die</w:t>
      </w:r>
      <w:r w:rsidRPr="006316DF">
        <w:t xml:space="preserve"> </w:t>
      </w:r>
      <w:r>
        <w:t xml:space="preserve">than those receiving monotherapy but the </w:t>
      </w:r>
      <w:r w:rsidRPr="006316DF">
        <w:t xml:space="preserve">RR </w:t>
      </w:r>
      <w:r>
        <w:t>was not calculable (</w:t>
      </w:r>
      <w:r w:rsidR="003951FA">
        <w:t>Table 4.</w:t>
      </w:r>
      <w:r w:rsidR="003951FA">
        <w:rPr>
          <w:noProof/>
        </w:rPr>
        <w:t>73</w:t>
      </w:r>
      <w:r>
        <w:t xml:space="preserve">; </w:t>
      </w:r>
      <w:r w:rsidR="00B21201">
        <w:t>ARD</w:t>
      </w:r>
      <w:r w:rsidR="00B60655">
        <w:t> </w:t>
      </w:r>
      <w:r>
        <w:t>=</w:t>
      </w:r>
      <w:r w:rsidR="00B60655">
        <w:t> </w:t>
      </w:r>
      <w:r>
        <w:t>−</w:t>
      </w:r>
      <w:proofErr w:type="gramStart"/>
      <w:r>
        <w:t>5.3%</w:t>
      </w:r>
      <w:proofErr w:type="gramEnd"/>
      <w:r>
        <w:t>; 95% CI −9.2, −1.5; p</w:t>
      </w:r>
      <w:r w:rsidR="00B60655">
        <w:t> </w:t>
      </w:r>
      <w:r>
        <w:t>=</w:t>
      </w:r>
      <w:r w:rsidR="00B60655">
        <w:t> </w:t>
      </w:r>
      <w:r>
        <w:t xml:space="preserve">0.007). The NNT indicates that for every 19 patients treated with ERA </w:t>
      </w:r>
      <w:proofErr w:type="gramStart"/>
      <w:r>
        <w:t>plus</w:t>
      </w:r>
      <w:proofErr w:type="gramEnd"/>
      <w:r>
        <w:t xml:space="preserve"> </w:t>
      </w:r>
      <w:r w:rsidR="00345789">
        <w:t>prostanoid</w:t>
      </w:r>
      <w:r>
        <w:t xml:space="preserve"> combination therapy one additional death was prevented compared with </w:t>
      </w:r>
      <w:r w:rsidR="00345789" w:rsidRPr="00487932">
        <w:t>prostanoid</w:t>
      </w:r>
      <w:r w:rsidRPr="00487932">
        <w:t xml:space="preserve"> </w:t>
      </w:r>
      <w:r>
        <w:t>monotherapy.</w:t>
      </w:r>
    </w:p>
    <w:p w:rsidR="0075777C" w:rsidRPr="00DD7790" w:rsidRDefault="00272F8F" w:rsidP="00BC5A2B">
      <w:pPr>
        <w:pStyle w:val="Caption"/>
      </w:pPr>
      <w:bookmarkStart w:id="235" w:name="_Ref504656633"/>
      <w:bookmarkStart w:id="236" w:name="_Toc38360370"/>
      <w:r>
        <w:t>Table 4.</w:t>
      </w:r>
      <w:r w:rsidR="003951FA">
        <w:rPr>
          <w:noProof/>
        </w:rPr>
        <w:t>73</w:t>
      </w:r>
      <w:bookmarkEnd w:id="235"/>
      <w:r w:rsidR="004C1FAC">
        <w:tab/>
      </w:r>
      <w:r w:rsidR="0075777C" w:rsidRPr="00DD7790">
        <w:t xml:space="preserve">Mortality rates for </w:t>
      </w:r>
      <w:r w:rsidR="007E59EC">
        <w:t xml:space="preserve">a </w:t>
      </w:r>
      <w:r w:rsidR="007E59EC" w:rsidRPr="00DD7790">
        <w:t xml:space="preserve">PDE-5 inhibitor </w:t>
      </w:r>
      <w:r w:rsidR="007E59EC">
        <w:t>in addition to a</w:t>
      </w:r>
      <w:r w:rsidR="007E59EC" w:rsidRPr="00DD7790">
        <w:t xml:space="preserve"> pr</w:t>
      </w:r>
      <w:r w:rsidR="007E59EC">
        <w:t xml:space="preserve">ostanoid compared with </w:t>
      </w:r>
      <w:r w:rsidR="007E59EC" w:rsidRPr="00DD7790">
        <w:t xml:space="preserve">prostanoid </w:t>
      </w:r>
      <w:r w:rsidR="007E59EC">
        <w:t>monotherapy</w:t>
      </w:r>
      <w:r w:rsidR="0075777C" w:rsidRPr="00DD7790">
        <w:t xml:space="preserve"> in all PAH patients</w:t>
      </w:r>
      <w:bookmarkEnd w:id="236"/>
    </w:p>
    <w:tbl>
      <w:tblPr>
        <w:tblStyle w:val="TableGrid7"/>
        <w:tblW w:w="9634" w:type="dxa"/>
        <w:tblLayout w:type="fixed"/>
        <w:tblLook w:val="04A0" w:firstRow="1" w:lastRow="0" w:firstColumn="1" w:lastColumn="0" w:noHBand="0" w:noVBand="1"/>
        <w:tblCaption w:val="Mortality rates for a PDE-5 inhibitor in addition to a prostanoid compared with prostanoid monotherapy in all PAH patients"/>
      </w:tblPr>
      <w:tblGrid>
        <w:gridCol w:w="1129"/>
        <w:gridCol w:w="2268"/>
        <w:gridCol w:w="1985"/>
        <w:gridCol w:w="1984"/>
        <w:gridCol w:w="2268"/>
      </w:tblGrid>
      <w:tr w:rsidR="0075777C" w:rsidRPr="00822C52" w:rsidTr="00345789">
        <w:trPr>
          <w:trHeight w:val="221"/>
          <w:tblHeader/>
        </w:trPr>
        <w:tc>
          <w:tcPr>
            <w:tcW w:w="1129" w:type="dxa"/>
            <w:vMerge w:val="restart"/>
            <w:shd w:val="clear" w:color="auto" w:fill="BFBFBF" w:themeFill="background1" w:themeFillShade="BF"/>
          </w:tcPr>
          <w:p w:rsidR="0075777C" w:rsidRPr="00345789" w:rsidRDefault="0075777C" w:rsidP="00345789">
            <w:pPr>
              <w:pStyle w:val="Tabletext"/>
              <w:rPr>
                <w:b/>
              </w:rPr>
            </w:pPr>
            <w:r w:rsidRPr="00345789">
              <w:rPr>
                <w:b/>
              </w:rPr>
              <w:t>Study ID</w:t>
            </w:r>
          </w:p>
        </w:tc>
        <w:tc>
          <w:tcPr>
            <w:tcW w:w="2268" w:type="dxa"/>
            <w:vMerge w:val="restart"/>
            <w:shd w:val="clear" w:color="auto" w:fill="BFBFBF" w:themeFill="background1" w:themeFillShade="BF"/>
          </w:tcPr>
          <w:p w:rsidR="0075777C" w:rsidRPr="00345789" w:rsidRDefault="0075777C" w:rsidP="00345789">
            <w:pPr>
              <w:pStyle w:val="Tabletext"/>
              <w:rPr>
                <w:b/>
              </w:rPr>
            </w:pPr>
            <w:r w:rsidRPr="00345789">
              <w:rPr>
                <w:b/>
              </w:rPr>
              <w:t>Follow-up period</w:t>
            </w:r>
          </w:p>
          <w:p w:rsidR="0075777C" w:rsidRPr="00345789" w:rsidRDefault="0075777C" w:rsidP="00345789">
            <w:pPr>
              <w:pStyle w:val="Tabletext"/>
              <w:rPr>
                <w:b/>
              </w:rPr>
            </w:pPr>
            <w:r w:rsidRPr="00345789">
              <w:rPr>
                <w:b/>
              </w:rPr>
              <w:t>PDE-5i/prostanoid</w:t>
            </w:r>
          </w:p>
        </w:tc>
        <w:tc>
          <w:tcPr>
            <w:tcW w:w="3969" w:type="dxa"/>
            <w:gridSpan w:val="2"/>
            <w:shd w:val="clear" w:color="auto" w:fill="BFBFBF" w:themeFill="background1" w:themeFillShade="BF"/>
          </w:tcPr>
          <w:p w:rsidR="0075777C" w:rsidRPr="00345789" w:rsidRDefault="0075777C" w:rsidP="00345789">
            <w:pPr>
              <w:pStyle w:val="Tabletext"/>
              <w:jc w:val="center"/>
              <w:rPr>
                <w:b/>
              </w:rPr>
            </w:pPr>
            <w:proofErr w:type="gramStart"/>
            <w:r w:rsidRPr="00345789">
              <w:rPr>
                <w:b/>
              </w:rPr>
              <w:t>n/N</w:t>
            </w:r>
            <w:proofErr w:type="gramEnd"/>
            <w:r w:rsidRPr="00345789">
              <w:rPr>
                <w:b/>
              </w:rPr>
              <w:t xml:space="preserve"> (%)</w:t>
            </w:r>
          </w:p>
        </w:tc>
        <w:tc>
          <w:tcPr>
            <w:tcW w:w="2268" w:type="dxa"/>
            <w:vMerge w:val="restart"/>
            <w:shd w:val="clear" w:color="auto" w:fill="BFBFBF" w:themeFill="background1" w:themeFillShade="BF"/>
          </w:tcPr>
          <w:p w:rsidR="0075777C" w:rsidRPr="00345789" w:rsidRDefault="0075777C" w:rsidP="00345789">
            <w:pPr>
              <w:pStyle w:val="Tabletext"/>
              <w:rPr>
                <w:b/>
              </w:rPr>
            </w:pPr>
            <w:r w:rsidRPr="00345789">
              <w:rPr>
                <w:b/>
              </w:rPr>
              <w:t>RR (95% CI)</w:t>
            </w:r>
          </w:p>
        </w:tc>
      </w:tr>
      <w:tr w:rsidR="0075777C" w:rsidRPr="00822C52" w:rsidTr="00345789">
        <w:trPr>
          <w:trHeight w:val="202"/>
          <w:tblHeader/>
        </w:trPr>
        <w:tc>
          <w:tcPr>
            <w:tcW w:w="1129" w:type="dxa"/>
            <w:vMerge/>
            <w:shd w:val="clear" w:color="auto" w:fill="BFBFBF" w:themeFill="background1" w:themeFillShade="BF"/>
          </w:tcPr>
          <w:p w:rsidR="0075777C" w:rsidRPr="00822C52" w:rsidRDefault="0075777C" w:rsidP="00345789">
            <w:pPr>
              <w:pStyle w:val="Tabletext"/>
            </w:pPr>
          </w:p>
        </w:tc>
        <w:tc>
          <w:tcPr>
            <w:tcW w:w="2268" w:type="dxa"/>
            <w:vMerge/>
            <w:shd w:val="clear" w:color="auto" w:fill="BFBFBF" w:themeFill="background1" w:themeFillShade="BF"/>
          </w:tcPr>
          <w:p w:rsidR="0075777C" w:rsidRPr="00822C52" w:rsidRDefault="0075777C" w:rsidP="00345789">
            <w:pPr>
              <w:pStyle w:val="Tabletext"/>
            </w:pPr>
          </w:p>
        </w:tc>
        <w:tc>
          <w:tcPr>
            <w:tcW w:w="1985" w:type="dxa"/>
            <w:shd w:val="clear" w:color="auto" w:fill="BFBFBF" w:themeFill="background1" w:themeFillShade="BF"/>
          </w:tcPr>
          <w:p w:rsidR="0075777C" w:rsidRPr="00345789" w:rsidRDefault="0075777C" w:rsidP="00345789">
            <w:pPr>
              <w:pStyle w:val="Tabletext"/>
              <w:jc w:val="center"/>
              <w:rPr>
                <w:b/>
              </w:rPr>
            </w:pPr>
            <w:r w:rsidRPr="00345789">
              <w:rPr>
                <w:b/>
              </w:rPr>
              <w:t xml:space="preserve">PDE-5i + </w:t>
            </w:r>
            <w:r w:rsidR="00345789" w:rsidRPr="00345789">
              <w:rPr>
                <w:b/>
              </w:rPr>
              <w:t>prostanoid</w:t>
            </w:r>
          </w:p>
        </w:tc>
        <w:tc>
          <w:tcPr>
            <w:tcW w:w="1984" w:type="dxa"/>
            <w:shd w:val="clear" w:color="auto" w:fill="BFBFBF" w:themeFill="background1" w:themeFillShade="BF"/>
          </w:tcPr>
          <w:p w:rsidR="0075777C" w:rsidRPr="00345789" w:rsidRDefault="0075777C" w:rsidP="00534ADA">
            <w:pPr>
              <w:pStyle w:val="Tabletext"/>
              <w:jc w:val="center"/>
              <w:rPr>
                <w:b/>
              </w:rPr>
            </w:pPr>
            <w:r w:rsidRPr="00345789">
              <w:rPr>
                <w:b/>
              </w:rPr>
              <w:t>P</w:t>
            </w:r>
            <w:r w:rsidR="00345789" w:rsidRPr="00345789">
              <w:rPr>
                <w:b/>
              </w:rPr>
              <w:t>rostanoid</w:t>
            </w:r>
          </w:p>
        </w:tc>
        <w:tc>
          <w:tcPr>
            <w:tcW w:w="2268" w:type="dxa"/>
            <w:vMerge/>
            <w:shd w:val="clear" w:color="auto" w:fill="BFBFBF" w:themeFill="background1" w:themeFillShade="BF"/>
          </w:tcPr>
          <w:p w:rsidR="0075777C" w:rsidRPr="00822C52" w:rsidRDefault="0075777C" w:rsidP="00345789">
            <w:pPr>
              <w:pStyle w:val="Tabletext"/>
            </w:pPr>
          </w:p>
        </w:tc>
      </w:tr>
      <w:tr w:rsidR="0075777C" w:rsidRPr="00822C52" w:rsidTr="00345789">
        <w:trPr>
          <w:trHeight w:val="70"/>
        </w:trPr>
        <w:tc>
          <w:tcPr>
            <w:tcW w:w="1129" w:type="dxa"/>
          </w:tcPr>
          <w:p w:rsidR="0075777C" w:rsidRPr="00822C52" w:rsidRDefault="0075777C" w:rsidP="001D34EE">
            <w:pPr>
              <w:pStyle w:val="Tabletext"/>
              <w:rPr>
                <w:rFonts w:cs="Tahoma"/>
              </w:rPr>
            </w:pPr>
            <w:r w:rsidRPr="00822C52">
              <w:rPr>
                <w:rFonts w:cs="Tahoma"/>
              </w:rPr>
              <w:t>PACES</w:t>
            </w:r>
            <w:r>
              <w:rPr>
                <w:rFonts w:cs="Tahoma"/>
              </w:rPr>
              <w:t>-1</w:t>
            </w:r>
            <w:r w:rsidR="001D34EE" w:rsidRPr="001A1C44">
              <w:rPr>
                <w:rFonts w:cs="Tahoma"/>
                <w:noProof/>
                <w:vertAlign w:val="superscript"/>
              </w:rPr>
              <w:t>41</w:t>
            </w:r>
          </w:p>
        </w:tc>
        <w:tc>
          <w:tcPr>
            <w:tcW w:w="2268" w:type="dxa"/>
          </w:tcPr>
          <w:p w:rsidR="0075777C" w:rsidRPr="00822C52" w:rsidRDefault="0075777C" w:rsidP="00345789">
            <w:pPr>
              <w:pStyle w:val="Tabletext"/>
              <w:rPr>
                <w:rFonts w:cs="Tahoma"/>
              </w:rPr>
            </w:pPr>
            <w:r w:rsidRPr="00822C52">
              <w:rPr>
                <w:rFonts w:cs="Tahoma"/>
              </w:rPr>
              <w:t>16 weeks</w:t>
            </w:r>
          </w:p>
          <w:p w:rsidR="0075777C" w:rsidRPr="00822C52" w:rsidRDefault="0075777C" w:rsidP="00345789">
            <w:pPr>
              <w:pStyle w:val="Tabletext"/>
              <w:rPr>
                <w:rFonts w:cs="Tahoma"/>
                <w:highlight w:val="cyan"/>
              </w:rPr>
            </w:pPr>
            <w:r w:rsidRPr="00822C52">
              <w:rPr>
                <w:rFonts w:cs="Tahoma"/>
              </w:rPr>
              <w:t>Sildenafil/epoprostenol</w:t>
            </w:r>
          </w:p>
        </w:tc>
        <w:tc>
          <w:tcPr>
            <w:tcW w:w="1985" w:type="dxa"/>
          </w:tcPr>
          <w:p w:rsidR="0075777C" w:rsidRPr="00822C52" w:rsidRDefault="0075777C" w:rsidP="00345789">
            <w:pPr>
              <w:pStyle w:val="Tabletext"/>
              <w:jc w:val="center"/>
              <w:rPr>
                <w:rFonts w:cs="Tahoma"/>
              </w:rPr>
            </w:pPr>
            <w:r w:rsidRPr="00822C52">
              <w:rPr>
                <w:rFonts w:cs="Tahoma"/>
              </w:rPr>
              <w:t>0/134 (0%)</w:t>
            </w:r>
          </w:p>
        </w:tc>
        <w:tc>
          <w:tcPr>
            <w:tcW w:w="1984" w:type="dxa"/>
          </w:tcPr>
          <w:p w:rsidR="0075777C" w:rsidRPr="00822C52" w:rsidRDefault="0075777C" w:rsidP="00345789">
            <w:pPr>
              <w:pStyle w:val="Tabletext"/>
              <w:jc w:val="center"/>
              <w:rPr>
                <w:rFonts w:cs="Tahoma"/>
              </w:rPr>
            </w:pPr>
            <w:r w:rsidRPr="00822C52">
              <w:rPr>
                <w:rFonts w:cs="Tahoma"/>
              </w:rPr>
              <w:t>7/131 (5%)</w:t>
            </w:r>
          </w:p>
        </w:tc>
        <w:tc>
          <w:tcPr>
            <w:tcW w:w="2268" w:type="dxa"/>
          </w:tcPr>
          <w:p w:rsidR="0075777C" w:rsidRPr="00822C52" w:rsidRDefault="0075777C" w:rsidP="00345789">
            <w:pPr>
              <w:pStyle w:val="Tabletext"/>
              <w:rPr>
                <w:rFonts w:cs="Tahoma"/>
              </w:rPr>
            </w:pPr>
            <w:r>
              <w:rPr>
                <w:rFonts w:cs="Tahoma"/>
              </w:rPr>
              <w:t>0 (not calculable)</w:t>
            </w:r>
          </w:p>
        </w:tc>
      </w:tr>
    </w:tbl>
    <w:p w:rsidR="0075777C" w:rsidRPr="00822C52" w:rsidRDefault="0075777C" w:rsidP="00345789">
      <w:pPr>
        <w:pStyle w:val="Tablenote"/>
      </w:pPr>
      <w:r w:rsidRPr="00822C52">
        <w:t xml:space="preserve">CI = confidence interval; n = number of </w:t>
      </w:r>
      <w:r w:rsidR="001E16B8">
        <w:t xml:space="preserve">patients with </w:t>
      </w:r>
      <w:r w:rsidRPr="00822C52">
        <w:t xml:space="preserve">events; N = number of patients; PAH = pulmonary arterial hypertension; </w:t>
      </w:r>
      <w:r>
        <w:t>PDE-5i</w:t>
      </w:r>
      <w:r w:rsidRPr="00822C52">
        <w:t xml:space="preserve"> = phosphodiesterase type-5 inhibitor; RR = relative risk</w:t>
      </w:r>
    </w:p>
    <w:p w:rsidR="0075777C" w:rsidRPr="00822C52" w:rsidRDefault="00761752" w:rsidP="0075777C">
      <w:pPr>
        <w:pStyle w:val="Heading5"/>
      </w:pPr>
      <w:r>
        <w:t>c.</w:t>
      </w:r>
      <w:r>
        <w:tab/>
      </w:r>
      <w:r w:rsidR="00C828F9" w:rsidRPr="006316DF">
        <w:t>Hospitalisation</w:t>
      </w:r>
      <w:r w:rsidR="00C828F9" w:rsidRPr="0046652B">
        <w:t xml:space="preserve"> due to worsening PAH</w:t>
      </w:r>
    </w:p>
    <w:p w:rsidR="0075777C" w:rsidRPr="00822C52" w:rsidRDefault="002E4833" w:rsidP="0077344D">
      <w:pPr>
        <w:pStyle w:val="Heading6"/>
      </w:pPr>
      <w:proofErr w:type="gramStart"/>
      <w:r>
        <w:t>c</w:t>
      </w:r>
      <w:r w:rsidR="0075777C" w:rsidRPr="00822C52">
        <w:t>.i</w:t>
      </w:r>
      <w:proofErr w:type="gramEnd"/>
      <w:r w:rsidR="0075777C" w:rsidRPr="00822C52">
        <w:tab/>
        <w:t>PAH patients, irrespective of disease severity or aetiology</w:t>
      </w:r>
    </w:p>
    <w:p w:rsidR="0075777C" w:rsidRPr="00822C52" w:rsidRDefault="0075777C" w:rsidP="0075777C">
      <w:r>
        <w:t xml:space="preserve">There was no significant difference in hospitalisation rates </w:t>
      </w:r>
      <w:r w:rsidR="00881371">
        <w:t xml:space="preserve">due to PAH </w:t>
      </w:r>
      <w:r>
        <w:t>between patients receiving combination therapy and those receiving monotherapy</w:t>
      </w:r>
      <w:r w:rsidR="00863ADB">
        <w:t>, although the point estimate favoured combination therapy</w:t>
      </w:r>
      <w:r>
        <w:t xml:space="preserve"> (</w:t>
      </w:r>
      <w:r w:rsidR="003951FA">
        <w:t>Table 4.</w:t>
      </w:r>
      <w:r w:rsidR="003951FA">
        <w:rPr>
          <w:noProof/>
        </w:rPr>
        <w:t>74</w:t>
      </w:r>
      <w:r>
        <w:t xml:space="preserve">; </w:t>
      </w:r>
      <w:r w:rsidR="00B21201">
        <w:t>ARD</w:t>
      </w:r>
      <w:r w:rsidR="00B60655">
        <w:t> </w:t>
      </w:r>
      <w:r>
        <w:t>=</w:t>
      </w:r>
      <w:r w:rsidR="00B60655">
        <w:t> </w:t>
      </w:r>
      <w:r>
        <w:t>−</w:t>
      </w:r>
      <w:r w:rsidR="00863ADB">
        <w:t>2.4</w:t>
      </w:r>
      <w:r>
        <w:t>%; 95% CI −</w:t>
      </w:r>
      <w:r w:rsidR="00863ADB">
        <w:t>8.6</w:t>
      </w:r>
      <w:r>
        <w:t>, −</w:t>
      </w:r>
      <w:r w:rsidR="00863ADB">
        <w:t>3.8</w:t>
      </w:r>
      <w:r>
        <w:t>; p</w:t>
      </w:r>
      <w:r w:rsidR="00B60655">
        <w:t> </w:t>
      </w:r>
      <w:r>
        <w:t>=</w:t>
      </w:r>
      <w:r w:rsidR="00B60655">
        <w:t> </w:t>
      </w:r>
      <w:r>
        <w:t>0.</w:t>
      </w:r>
      <w:r w:rsidR="00863ADB">
        <w:t>44</w:t>
      </w:r>
      <w:r>
        <w:t xml:space="preserve">). </w:t>
      </w:r>
      <w:r w:rsidR="000D36D2">
        <w:t xml:space="preserve">The NNT indicates that 42 patients would need to </w:t>
      </w:r>
      <w:proofErr w:type="gramStart"/>
      <w:r w:rsidR="000D36D2">
        <w:t>be treated</w:t>
      </w:r>
      <w:proofErr w:type="gramEnd"/>
      <w:r w:rsidR="000D36D2">
        <w:t xml:space="preserve"> with combination therapy to prevent one additional death compared to monotherapy.</w:t>
      </w:r>
    </w:p>
    <w:p w:rsidR="0075777C" w:rsidRPr="00DD7790" w:rsidRDefault="00272F8F" w:rsidP="00BC5A2B">
      <w:pPr>
        <w:pStyle w:val="Caption"/>
      </w:pPr>
      <w:bookmarkStart w:id="237" w:name="_Ref504656652"/>
      <w:bookmarkStart w:id="238" w:name="_Toc38360371"/>
      <w:r>
        <w:t>Table 4.</w:t>
      </w:r>
      <w:r w:rsidR="003951FA">
        <w:rPr>
          <w:noProof/>
        </w:rPr>
        <w:t>74</w:t>
      </w:r>
      <w:bookmarkEnd w:id="237"/>
      <w:r w:rsidR="00345789">
        <w:tab/>
      </w:r>
      <w:r w:rsidR="0075777C" w:rsidRPr="00DD7790">
        <w:t xml:space="preserve">Hospitalisation </w:t>
      </w:r>
      <w:r w:rsidR="00881371">
        <w:t>due to PAH</w:t>
      </w:r>
      <w:r w:rsidR="00881371" w:rsidRPr="00DD7790">
        <w:t xml:space="preserve"> </w:t>
      </w:r>
      <w:r w:rsidR="0075777C" w:rsidRPr="00DD7790">
        <w:t xml:space="preserve">for </w:t>
      </w:r>
      <w:r w:rsidR="007E59EC">
        <w:t xml:space="preserve">a </w:t>
      </w:r>
      <w:r w:rsidR="007E59EC" w:rsidRPr="00DD7790">
        <w:t xml:space="preserve">PDE-5 inhibitor </w:t>
      </w:r>
      <w:r w:rsidR="007E59EC">
        <w:t>in addition to a</w:t>
      </w:r>
      <w:r w:rsidR="007E59EC" w:rsidRPr="00DD7790">
        <w:t xml:space="preserve"> pr</w:t>
      </w:r>
      <w:r w:rsidR="007E59EC">
        <w:t xml:space="preserve">ostanoid compared with </w:t>
      </w:r>
      <w:r w:rsidR="007E59EC" w:rsidRPr="00DD7790">
        <w:t xml:space="preserve">prostanoid </w:t>
      </w:r>
      <w:r w:rsidR="007E59EC">
        <w:t xml:space="preserve">monotherapy </w:t>
      </w:r>
      <w:r w:rsidR="0075777C" w:rsidRPr="00DD7790">
        <w:t>in all patients with PAH</w:t>
      </w:r>
      <w:bookmarkEnd w:id="238"/>
    </w:p>
    <w:tbl>
      <w:tblPr>
        <w:tblStyle w:val="TableGrid7"/>
        <w:tblW w:w="9634" w:type="dxa"/>
        <w:tblLayout w:type="fixed"/>
        <w:tblLook w:val="04A0" w:firstRow="1" w:lastRow="0" w:firstColumn="1" w:lastColumn="0" w:noHBand="0" w:noVBand="1"/>
        <w:tblCaption w:val="Hospitalisation due to PAH for a PDE-5 inhibitor in addition to a prostanoid compared with prostanoid monotherapy in all patients with PAH"/>
      </w:tblPr>
      <w:tblGrid>
        <w:gridCol w:w="1129"/>
        <w:gridCol w:w="2268"/>
        <w:gridCol w:w="1985"/>
        <w:gridCol w:w="1984"/>
        <w:gridCol w:w="2268"/>
      </w:tblGrid>
      <w:tr w:rsidR="0075777C" w:rsidRPr="00822C52" w:rsidTr="00345789">
        <w:trPr>
          <w:trHeight w:val="194"/>
          <w:tblHeader/>
        </w:trPr>
        <w:tc>
          <w:tcPr>
            <w:tcW w:w="1129" w:type="dxa"/>
            <w:vMerge w:val="restart"/>
            <w:shd w:val="clear" w:color="auto" w:fill="BFBFBF" w:themeFill="background1" w:themeFillShade="BF"/>
          </w:tcPr>
          <w:p w:rsidR="0075777C" w:rsidRPr="00345789" w:rsidRDefault="0075777C" w:rsidP="00345789">
            <w:pPr>
              <w:pStyle w:val="Tabletext"/>
              <w:rPr>
                <w:b/>
              </w:rPr>
            </w:pPr>
            <w:r w:rsidRPr="00345789">
              <w:rPr>
                <w:b/>
              </w:rPr>
              <w:t>Study ID</w:t>
            </w:r>
          </w:p>
        </w:tc>
        <w:tc>
          <w:tcPr>
            <w:tcW w:w="2268" w:type="dxa"/>
            <w:vMerge w:val="restart"/>
            <w:shd w:val="clear" w:color="auto" w:fill="BFBFBF" w:themeFill="background1" w:themeFillShade="BF"/>
          </w:tcPr>
          <w:p w:rsidR="0075777C" w:rsidRPr="00345789" w:rsidRDefault="0075777C" w:rsidP="00345789">
            <w:pPr>
              <w:pStyle w:val="Tabletext"/>
              <w:rPr>
                <w:b/>
              </w:rPr>
            </w:pPr>
            <w:r w:rsidRPr="00345789">
              <w:rPr>
                <w:b/>
              </w:rPr>
              <w:t>PDE-5i/prostanoid</w:t>
            </w:r>
          </w:p>
          <w:p w:rsidR="0075777C" w:rsidRPr="00345789" w:rsidRDefault="0075777C" w:rsidP="00345789">
            <w:pPr>
              <w:pStyle w:val="Tabletext"/>
              <w:rPr>
                <w:b/>
              </w:rPr>
            </w:pPr>
            <w:r w:rsidRPr="00345789">
              <w:rPr>
                <w:b/>
              </w:rPr>
              <w:t>Follow-up period</w:t>
            </w:r>
          </w:p>
        </w:tc>
        <w:tc>
          <w:tcPr>
            <w:tcW w:w="3969" w:type="dxa"/>
            <w:gridSpan w:val="2"/>
            <w:shd w:val="clear" w:color="auto" w:fill="BFBFBF" w:themeFill="background1" w:themeFillShade="BF"/>
          </w:tcPr>
          <w:p w:rsidR="0075777C" w:rsidRPr="00345789" w:rsidRDefault="0075777C" w:rsidP="00345789">
            <w:pPr>
              <w:pStyle w:val="Tabletext"/>
              <w:jc w:val="center"/>
              <w:rPr>
                <w:b/>
              </w:rPr>
            </w:pPr>
            <w:proofErr w:type="gramStart"/>
            <w:r w:rsidRPr="00345789">
              <w:rPr>
                <w:b/>
              </w:rPr>
              <w:t>n/N</w:t>
            </w:r>
            <w:proofErr w:type="gramEnd"/>
            <w:r w:rsidRPr="00345789">
              <w:rPr>
                <w:b/>
              </w:rPr>
              <w:t xml:space="preserve"> (%)</w:t>
            </w:r>
          </w:p>
        </w:tc>
        <w:tc>
          <w:tcPr>
            <w:tcW w:w="2268" w:type="dxa"/>
            <w:vMerge w:val="restart"/>
            <w:shd w:val="clear" w:color="auto" w:fill="BFBFBF" w:themeFill="background1" w:themeFillShade="BF"/>
          </w:tcPr>
          <w:p w:rsidR="0075777C" w:rsidRPr="00345789" w:rsidRDefault="0075777C" w:rsidP="00345789">
            <w:pPr>
              <w:pStyle w:val="Tabletext"/>
              <w:rPr>
                <w:b/>
              </w:rPr>
            </w:pPr>
            <w:r w:rsidRPr="00345789">
              <w:rPr>
                <w:b/>
              </w:rPr>
              <w:t>RR (95% CI)</w:t>
            </w:r>
          </w:p>
        </w:tc>
      </w:tr>
      <w:tr w:rsidR="0075777C" w:rsidRPr="00822C52" w:rsidTr="00345789">
        <w:trPr>
          <w:trHeight w:val="202"/>
          <w:tblHeader/>
        </w:trPr>
        <w:tc>
          <w:tcPr>
            <w:tcW w:w="1129" w:type="dxa"/>
            <w:vMerge/>
            <w:shd w:val="clear" w:color="auto" w:fill="BFBFBF" w:themeFill="background1" w:themeFillShade="BF"/>
          </w:tcPr>
          <w:p w:rsidR="0075777C" w:rsidRPr="00822C52" w:rsidRDefault="0075777C" w:rsidP="00345789">
            <w:pPr>
              <w:pStyle w:val="Tabletext"/>
            </w:pPr>
          </w:p>
        </w:tc>
        <w:tc>
          <w:tcPr>
            <w:tcW w:w="2268" w:type="dxa"/>
            <w:vMerge/>
            <w:shd w:val="clear" w:color="auto" w:fill="BFBFBF" w:themeFill="background1" w:themeFillShade="BF"/>
          </w:tcPr>
          <w:p w:rsidR="0075777C" w:rsidRPr="00822C52" w:rsidRDefault="0075777C" w:rsidP="00345789">
            <w:pPr>
              <w:pStyle w:val="Tabletext"/>
            </w:pPr>
          </w:p>
        </w:tc>
        <w:tc>
          <w:tcPr>
            <w:tcW w:w="1985" w:type="dxa"/>
            <w:shd w:val="clear" w:color="auto" w:fill="BFBFBF" w:themeFill="background1" w:themeFillShade="BF"/>
          </w:tcPr>
          <w:p w:rsidR="0075777C" w:rsidRPr="00345789" w:rsidRDefault="0075777C" w:rsidP="00345789">
            <w:pPr>
              <w:pStyle w:val="Tabletext"/>
              <w:jc w:val="center"/>
              <w:rPr>
                <w:b/>
              </w:rPr>
            </w:pPr>
            <w:r w:rsidRPr="00345789">
              <w:rPr>
                <w:b/>
              </w:rPr>
              <w:t>PDE-5i + prostanoid</w:t>
            </w:r>
          </w:p>
        </w:tc>
        <w:tc>
          <w:tcPr>
            <w:tcW w:w="1984" w:type="dxa"/>
            <w:shd w:val="clear" w:color="auto" w:fill="BFBFBF" w:themeFill="background1" w:themeFillShade="BF"/>
          </w:tcPr>
          <w:p w:rsidR="0075777C" w:rsidRPr="00345789" w:rsidRDefault="0075777C" w:rsidP="00534ADA">
            <w:pPr>
              <w:pStyle w:val="Tabletext"/>
              <w:jc w:val="center"/>
              <w:rPr>
                <w:b/>
              </w:rPr>
            </w:pPr>
            <w:r w:rsidRPr="00345789">
              <w:rPr>
                <w:b/>
              </w:rPr>
              <w:t>Prostanoid</w:t>
            </w:r>
          </w:p>
        </w:tc>
        <w:tc>
          <w:tcPr>
            <w:tcW w:w="2268" w:type="dxa"/>
            <w:vMerge/>
            <w:shd w:val="clear" w:color="auto" w:fill="BFBFBF" w:themeFill="background1" w:themeFillShade="BF"/>
          </w:tcPr>
          <w:p w:rsidR="0075777C" w:rsidRPr="00822C52" w:rsidRDefault="0075777C" w:rsidP="00345789">
            <w:pPr>
              <w:pStyle w:val="Tabletext"/>
            </w:pPr>
          </w:p>
        </w:tc>
      </w:tr>
      <w:tr w:rsidR="0075777C" w:rsidRPr="00822C52" w:rsidTr="00345789">
        <w:trPr>
          <w:trHeight w:val="330"/>
        </w:trPr>
        <w:tc>
          <w:tcPr>
            <w:tcW w:w="1129" w:type="dxa"/>
          </w:tcPr>
          <w:p w:rsidR="0075777C" w:rsidRPr="00822C52" w:rsidRDefault="0075777C" w:rsidP="001D34EE">
            <w:pPr>
              <w:pStyle w:val="Tabletext"/>
              <w:rPr>
                <w:rFonts w:cs="Tahoma"/>
              </w:rPr>
            </w:pPr>
            <w:r w:rsidRPr="00822C52">
              <w:rPr>
                <w:rFonts w:cs="Tahoma"/>
              </w:rPr>
              <w:t>PACES</w:t>
            </w:r>
            <w:r>
              <w:rPr>
                <w:rFonts w:cs="Tahoma"/>
              </w:rPr>
              <w:t>-1</w:t>
            </w:r>
            <w:r w:rsidR="001D34EE" w:rsidRPr="001A1C44">
              <w:rPr>
                <w:rFonts w:cs="Tahoma"/>
                <w:noProof/>
                <w:vertAlign w:val="superscript"/>
              </w:rPr>
              <w:t>41</w:t>
            </w:r>
          </w:p>
        </w:tc>
        <w:tc>
          <w:tcPr>
            <w:tcW w:w="2268" w:type="dxa"/>
          </w:tcPr>
          <w:p w:rsidR="0075777C" w:rsidRPr="00822C52" w:rsidRDefault="0075777C" w:rsidP="00345789">
            <w:pPr>
              <w:pStyle w:val="Tabletext"/>
              <w:rPr>
                <w:rFonts w:cs="Tahoma"/>
              </w:rPr>
            </w:pPr>
            <w:r w:rsidRPr="00822C52">
              <w:rPr>
                <w:rFonts w:cs="Tahoma"/>
              </w:rPr>
              <w:t>Sildenafil/epoprostenol</w:t>
            </w:r>
          </w:p>
          <w:p w:rsidR="0075777C" w:rsidRPr="00822C52" w:rsidRDefault="0075777C" w:rsidP="00345789">
            <w:pPr>
              <w:pStyle w:val="Tabletext"/>
              <w:rPr>
                <w:rFonts w:cs="Tahoma"/>
              </w:rPr>
            </w:pPr>
            <w:r w:rsidRPr="00822C52">
              <w:rPr>
                <w:rFonts w:cs="Tahoma"/>
              </w:rPr>
              <w:t>16 weeks</w:t>
            </w:r>
          </w:p>
        </w:tc>
        <w:tc>
          <w:tcPr>
            <w:tcW w:w="1985" w:type="dxa"/>
          </w:tcPr>
          <w:p w:rsidR="0075777C" w:rsidRPr="00822C52" w:rsidRDefault="0075777C" w:rsidP="00345789">
            <w:pPr>
              <w:pStyle w:val="Tabletext"/>
              <w:jc w:val="center"/>
              <w:rPr>
                <w:rFonts w:cs="Tahoma"/>
              </w:rPr>
            </w:pPr>
            <w:r w:rsidRPr="00822C52">
              <w:rPr>
                <w:rFonts w:cs="Tahoma"/>
              </w:rPr>
              <w:t>8/134 (6%)</w:t>
            </w:r>
          </w:p>
        </w:tc>
        <w:tc>
          <w:tcPr>
            <w:tcW w:w="1984" w:type="dxa"/>
          </w:tcPr>
          <w:p w:rsidR="0075777C" w:rsidRPr="00822C52" w:rsidRDefault="00863ADB" w:rsidP="00345789">
            <w:pPr>
              <w:pStyle w:val="Tabletext"/>
              <w:jc w:val="center"/>
              <w:rPr>
                <w:rFonts w:cs="Tahoma"/>
              </w:rPr>
            </w:pPr>
            <w:r>
              <w:rPr>
                <w:rFonts w:cs="Tahoma"/>
              </w:rPr>
              <w:t>11</w:t>
            </w:r>
            <w:r w:rsidR="0075777C" w:rsidRPr="00822C52">
              <w:rPr>
                <w:rFonts w:cs="Tahoma"/>
              </w:rPr>
              <w:t>/131 (</w:t>
            </w:r>
            <w:r>
              <w:rPr>
                <w:rFonts w:cs="Tahoma"/>
              </w:rPr>
              <w:t>8</w:t>
            </w:r>
            <w:r w:rsidR="0075777C" w:rsidRPr="00822C52">
              <w:rPr>
                <w:rFonts w:cs="Tahoma"/>
              </w:rPr>
              <w:t>%)</w:t>
            </w:r>
          </w:p>
        </w:tc>
        <w:tc>
          <w:tcPr>
            <w:tcW w:w="2268" w:type="dxa"/>
          </w:tcPr>
          <w:p w:rsidR="0075777C" w:rsidRPr="00822C52" w:rsidRDefault="0075777C" w:rsidP="00863ADB">
            <w:pPr>
              <w:pStyle w:val="Tabletext"/>
              <w:rPr>
                <w:rFonts w:cs="Tahoma"/>
              </w:rPr>
            </w:pPr>
            <w:r>
              <w:rPr>
                <w:rFonts w:cs="Tahoma"/>
              </w:rPr>
              <w:t>0.</w:t>
            </w:r>
            <w:r w:rsidR="00863ADB">
              <w:rPr>
                <w:rFonts w:cs="Tahoma"/>
              </w:rPr>
              <w:t>71</w:t>
            </w:r>
            <w:r>
              <w:rPr>
                <w:rFonts w:cs="Tahoma"/>
              </w:rPr>
              <w:t xml:space="preserve"> (0.</w:t>
            </w:r>
            <w:r w:rsidR="00863ADB">
              <w:rPr>
                <w:rFonts w:cs="Tahoma"/>
              </w:rPr>
              <w:t>30</w:t>
            </w:r>
            <w:r>
              <w:rPr>
                <w:rFonts w:cs="Tahoma"/>
              </w:rPr>
              <w:t xml:space="preserve">, </w:t>
            </w:r>
            <w:r w:rsidR="00863ADB">
              <w:rPr>
                <w:rFonts w:cs="Tahoma"/>
              </w:rPr>
              <w:t>1.71</w:t>
            </w:r>
            <w:r>
              <w:rPr>
                <w:rFonts w:cs="Tahoma"/>
              </w:rPr>
              <w:t>)</w:t>
            </w:r>
          </w:p>
        </w:tc>
      </w:tr>
    </w:tbl>
    <w:p w:rsidR="0075777C" w:rsidRPr="00822C52" w:rsidRDefault="0075777C" w:rsidP="00345789">
      <w:pPr>
        <w:pStyle w:val="Tablenote"/>
      </w:pPr>
      <w:r w:rsidRPr="00822C52">
        <w:t xml:space="preserve">CI = confidence interval; n = number of </w:t>
      </w:r>
      <w:r w:rsidR="001E16B8">
        <w:t xml:space="preserve">patients with </w:t>
      </w:r>
      <w:r w:rsidRPr="00822C52">
        <w:t xml:space="preserve">events; N = number of patients; PAH = pulmonary arterial hypertension; </w:t>
      </w:r>
      <w:r>
        <w:t>PDE-5i</w:t>
      </w:r>
      <w:r w:rsidRPr="00822C52">
        <w:t xml:space="preserve"> = phosphodiesterase type-5 inhibitor; RR = relative risk</w:t>
      </w:r>
    </w:p>
    <w:p w:rsidR="0075777C" w:rsidRPr="00822C52" w:rsidRDefault="00761752" w:rsidP="007B6C7C">
      <w:pPr>
        <w:pStyle w:val="Heading5"/>
      </w:pPr>
      <w:r>
        <w:t>d.</w:t>
      </w:r>
      <w:r>
        <w:tab/>
      </w:r>
      <w:r w:rsidR="0075777C" w:rsidRPr="00822C52">
        <w:t xml:space="preserve">Change in WHO </w:t>
      </w:r>
      <w:r w:rsidR="0075777C">
        <w:t>FC</w:t>
      </w:r>
      <w:r w:rsidR="007B6C7C" w:rsidRPr="007B6C7C">
        <w:t xml:space="preserve"> from baseline</w:t>
      </w:r>
    </w:p>
    <w:p w:rsidR="0075777C" w:rsidRPr="00822C52" w:rsidRDefault="0075777C" w:rsidP="0075777C">
      <w:r>
        <w:t xml:space="preserve">The </w:t>
      </w:r>
      <w:r w:rsidRPr="008320AC">
        <w:t xml:space="preserve">number of patients </w:t>
      </w:r>
      <w:r>
        <w:t>who</w:t>
      </w:r>
      <w:r w:rsidR="00345789">
        <w:t xml:space="preserve"> had a</w:t>
      </w:r>
      <w:r>
        <w:t xml:space="preserve"> </w:t>
      </w:r>
      <w:r w:rsidR="00345789">
        <w:t xml:space="preserve">change in their </w:t>
      </w:r>
      <w:r>
        <w:t xml:space="preserve">WHO FC after combination treatment compared with monotherapy </w:t>
      </w:r>
      <w:proofErr w:type="gramStart"/>
      <w:r>
        <w:t>was not reported</w:t>
      </w:r>
      <w:proofErr w:type="gramEnd"/>
      <w:r>
        <w:t xml:space="preserve"> for the PACES-1 trial</w:t>
      </w:r>
      <w:r w:rsidRPr="008320AC">
        <w:t>.</w:t>
      </w:r>
    </w:p>
    <w:p w:rsidR="0075777C" w:rsidRPr="00822C52" w:rsidRDefault="00761752" w:rsidP="0075777C">
      <w:pPr>
        <w:pStyle w:val="Heading5"/>
      </w:pPr>
      <w:r>
        <w:t>e</w:t>
      </w:r>
      <w:r w:rsidR="002E4833">
        <w:t>.</w:t>
      </w:r>
      <w:r>
        <w:tab/>
      </w:r>
      <w:r w:rsidR="0075777C" w:rsidRPr="00822C52">
        <w:t>Change in 6MWD from baseline</w:t>
      </w:r>
    </w:p>
    <w:p w:rsidR="0075777C" w:rsidRPr="00822C52" w:rsidRDefault="00761752" w:rsidP="0077344D">
      <w:pPr>
        <w:pStyle w:val="Heading6"/>
      </w:pPr>
      <w:proofErr w:type="gramStart"/>
      <w:r>
        <w:t>e</w:t>
      </w:r>
      <w:r w:rsidR="0075777C" w:rsidRPr="00822C52">
        <w:t>.i</w:t>
      </w:r>
      <w:proofErr w:type="gramEnd"/>
      <w:r w:rsidR="0075777C" w:rsidRPr="00822C52">
        <w:tab/>
        <w:t>PAH patients, irrespective of disease severity or aetiology</w:t>
      </w:r>
    </w:p>
    <w:p w:rsidR="0075777C" w:rsidRPr="00822C52" w:rsidRDefault="0075777C" w:rsidP="0075777C">
      <w:r>
        <w:t>Patients receiving combination therapy improved their 6MWD by 30</w:t>
      </w:r>
      <w:r w:rsidR="00B60655">
        <w:t> </w:t>
      </w:r>
      <w:r>
        <w:t>m compared to a 1</w:t>
      </w:r>
      <w:r w:rsidR="00B60655">
        <w:t> </w:t>
      </w:r>
      <w:r>
        <w:t>m improvement in the monotherapy group. However, the improvement in 6MWD was not clinically important (</w:t>
      </w:r>
      <w:r w:rsidR="003951FA">
        <w:t>Table 4.</w:t>
      </w:r>
      <w:r w:rsidR="003951FA">
        <w:rPr>
          <w:noProof/>
        </w:rPr>
        <w:t>75</w:t>
      </w:r>
      <w:r>
        <w:t>).</w:t>
      </w:r>
    </w:p>
    <w:p w:rsidR="0075777C" w:rsidRDefault="00272F8F" w:rsidP="00BC5A2B">
      <w:pPr>
        <w:pStyle w:val="Caption"/>
      </w:pPr>
      <w:bookmarkStart w:id="239" w:name="_Ref504656670"/>
      <w:bookmarkStart w:id="240" w:name="_Toc38360372"/>
      <w:r>
        <w:t>Table 4.</w:t>
      </w:r>
      <w:r w:rsidR="003951FA">
        <w:rPr>
          <w:noProof/>
        </w:rPr>
        <w:t>75</w:t>
      </w:r>
      <w:bookmarkEnd w:id="239"/>
      <w:r w:rsidR="00022B7B">
        <w:tab/>
      </w:r>
      <w:r w:rsidR="0075777C" w:rsidRPr="00DD7790">
        <w:t xml:space="preserve">The effectiveness of </w:t>
      </w:r>
      <w:r w:rsidR="007E59EC">
        <w:t xml:space="preserve">a </w:t>
      </w:r>
      <w:r w:rsidR="007E59EC" w:rsidRPr="00DD7790">
        <w:t xml:space="preserve">PDE-5 inhibitor </w:t>
      </w:r>
      <w:r w:rsidR="007E59EC">
        <w:t>in addition to a</w:t>
      </w:r>
      <w:r w:rsidR="007E59EC" w:rsidRPr="00DD7790">
        <w:t xml:space="preserve"> pr</w:t>
      </w:r>
      <w:r w:rsidR="007E59EC">
        <w:t xml:space="preserve">ostanoid compared with </w:t>
      </w:r>
      <w:r w:rsidR="007E59EC" w:rsidRPr="00DD7790">
        <w:t xml:space="preserve">prostanoid </w:t>
      </w:r>
      <w:r w:rsidR="007E59EC">
        <w:t xml:space="preserve">monotherapy </w:t>
      </w:r>
      <w:r w:rsidR="0075777C" w:rsidRPr="00DD7790">
        <w:t>in improving 6MWD in all PAH patients</w:t>
      </w:r>
      <w:bookmarkEnd w:id="240"/>
    </w:p>
    <w:tbl>
      <w:tblPr>
        <w:tblStyle w:val="TableGrid"/>
        <w:tblW w:w="9634" w:type="dxa"/>
        <w:tblLook w:val="04A0" w:firstRow="1" w:lastRow="0" w:firstColumn="1" w:lastColumn="0" w:noHBand="0" w:noVBand="1"/>
        <w:tblCaption w:val="The effectiveness of a PDE-5 inhibitor in addition to a prostanoid compared with prostanoid monotherapy in improving 6MWD in all PAH patients"/>
      </w:tblPr>
      <w:tblGrid>
        <w:gridCol w:w="2138"/>
        <w:gridCol w:w="839"/>
        <w:gridCol w:w="1518"/>
        <w:gridCol w:w="1159"/>
        <w:gridCol w:w="1614"/>
        <w:gridCol w:w="1159"/>
        <w:gridCol w:w="1207"/>
      </w:tblGrid>
      <w:tr w:rsidR="0075777C" w:rsidTr="00534ADA">
        <w:trPr>
          <w:cnfStyle w:val="100000000000" w:firstRow="1" w:lastRow="0" w:firstColumn="0" w:lastColumn="0" w:oddVBand="0" w:evenVBand="0" w:oddHBand="0" w:evenHBand="0" w:firstRowFirstColumn="0" w:firstRowLastColumn="0" w:lastRowFirstColumn="0" w:lastRowLastColumn="0"/>
        </w:trPr>
        <w:tc>
          <w:tcPr>
            <w:tcW w:w="1696" w:type="dxa"/>
            <w:vMerge w:val="restart"/>
            <w:shd w:val="clear" w:color="auto" w:fill="BFBFBF" w:themeFill="background1" w:themeFillShade="BF"/>
          </w:tcPr>
          <w:p w:rsidR="0075777C" w:rsidRPr="00022B7B" w:rsidRDefault="0075777C" w:rsidP="00022B7B">
            <w:pPr>
              <w:pStyle w:val="Tabletext"/>
              <w:rPr>
                <w:b/>
              </w:rPr>
            </w:pPr>
            <w:r w:rsidRPr="00022B7B">
              <w:rPr>
                <w:b/>
              </w:rPr>
              <w:t>Study ID</w:t>
            </w:r>
          </w:p>
          <w:p w:rsidR="0075777C" w:rsidRPr="00022B7B" w:rsidRDefault="0075777C" w:rsidP="00022B7B">
            <w:pPr>
              <w:pStyle w:val="Tabletext"/>
              <w:rPr>
                <w:b/>
              </w:rPr>
            </w:pPr>
            <w:r w:rsidRPr="00022B7B">
              <w:rPr>
                <w:b/>
              </w:rPr>
              <w:t>PDE-5i/</w:t>
            </w:r>
            <w:r w:rsidR="00022B7B" w:rsidRPr="00022B7B">
              <w:rPr>
                <w:b/>
              </w:rPr>
              <w:t>prostanoid</w:t>
            </w:r>
          </w:p>
        </w:tc>
        <w:tc>
          <w:tcPr>
            <w:tcW w:w="851" w:type="dxa"/>
            <w:vMerge w:val="restart"/>
            <w:shd w:val="clear" w:color="auto" w:fill="BFBFBF" w:themeFill="background1" w:themeFillShade="BF"/>
          </w:tcPr>
          <w:p w:rsidR="0075777C" w:rsidRPr="00022B7B" w:rsidRDefault="0075777C" w:rsidP="00022B7B">
            <w:pPr>
              <w:pStyle w:val="Tabletext"/>
              <w:rPr>
                <w:b/>
              </w:rPr>
            </w:pPr>
            <w:r w:rsidRPr="00022B7B">
              <w:rPr>
                <w:b/>
              </w:rPr>
              <w:t>N</w:t>
            </w:r>
          </w:p>
          <w:p w:rsidR="0075777C" w:rsidRPr="00022B7B" w:rsidRDefault="0075777C" w:rsidP="00022B7B">
            <w:pPr>
              <w:pStyle w:val="Tabletext"/>
              <w:rPr>
                <w:b/>
              </w:rPr>
            </w:pPr>
            <w:r w:rsidRPr="00022B7B">
              <w:rPr>
                <w:b/>
              </w:rPr>
              <w:t>Follow-up period</w:t>
            </w:r>
          </w:p>
        </w:tc>
        <w:tc>
          <w:tcPr>
            <w:tcW w:w="2835" w:type="dxa"/>
            <w:gridSpan w:val="2"/>
            <w:shd w:val="clear" w:color="auto" w:fill="BFBFBF" w:themeFill="background1" w:themeFillShade="BF"/>
          </w:tcPr>
          <w:p w:rsidR="0075777C" w:rsidRPr="00022B7B" w:rsidRDefault="00EC2524" w:rsidP="00EC2524">
            <w:pPr>
              <w:pStyle w:val="Tabletext"/>
              <w:jc w:val="center"/>
              <w:rPr>
                <w:b/>
              </w:rPr>
            </w:pPr>
            <w:r>
              <w:rPr>
                <w:b/>
              </w:rPr>
              <w:t>M</w:t>
            </w:r>
            <w:r w:rsidR="0075777C" w:rsidRPr="00022B7B">
              <w:rPr>
                <w:b/>
              </w:rPr>
              <w:t>ean ± SD</w:t>
            </w:r>
            <w:r w:rsidRPr="00022B7B">
              <w:rPr>
                <w:b/>
              </w:rPr>
              <w:t xml:space="preserve"> </w:t>
            </w:r>
            <w:r>
              <w:rPr>
                <w:b/>
              </w:rPr>
              <w:t>b</w:t>
            </w:r>
            <w:r w:rsidRPr="00022B7B">
              <w:rPr>
                <w:b/>
              </w:rPr>
              <w:t>aseline</w:t>
            </w:r>
            <w:r>
              <w:rPr>
                <w:b/>
              </w:rPr>
              <w:t xml:space="preserve"> 6MWD</w:t>
            </w:r>
            <w:r w:rsidR="0075777C" w:rsidRPr="00022B7B">
              <w:rPr>
                <w:b/>
              </w:rPr>
              <w:t xml:space="preserve">, </w:t>
            </w:r>
            <w:r w:rsidR="00503643">
              <w:rPr>
                <w:b/>
              </w:rPr>
              <w:t>metres</w:t>
            </w:r>
          </w:p>
        </w:tc>
        <w:tc>
          <w:tcPr>
            <w:tcW w:w="2977" w:type="dxa"/>
            <w:gridSpan w:val="2"/>
            <w:shd w:val="clear" w:color="auto" w:fill="BFBFBF" w:themeFill="background1" w:themeFillShade="BF"/>
          </w:tcPr>
          <w:p w:rsidR="0075777C" w:rsidRPr="00022B7B" w:rsidRDefault="0075777C" w:rsidP="00022B7B">
            <w:pPr>
              <w:pStyle w:val="Tabletext"/>
              <w:jc w:val="center"/>
              <w:rPr>
                <w:b/>
              </w:rPr>
            </w:pPr>
            <w:r w:rsidRPr="00022B7B">
              <w:rPr>
                <w:b/>
              </w:rPr>
              <w:t xml:space="preserve">Mean change from baseline (95% CI), </w:t>
            </w:r>
            <w:r w:rsidR="00503643">
              <w:rPr>
                <w:b/>
              </w:rPr>
              <w:t>metres</w:t>
            </w:r>
          </w:p>
        </w:tc>
        <w:tc>
          <w:tcPr>
            <w:tcW w:w="1275" w:type="dxa"/>
            <w:vMerge w:val="restart"/>
            <w:shd w:val="clear" w:color="auto" w:fill="BFBFBF" w:themeFill="background1" w:themeFillShade="BF"/>
          </w:tcPr>
          <w:p w:rsidR="0075777C" w:rsidRPr="00022B7B" w:rsidRDefault="0075777C" w:rsidP="00022B7B">
            <w:pPr>
              <w:pStyle w:val="Tabletext"/>
              <w:rPr>
                <w:b/>
              </w:rPr>
            </w:pPr>
            <w:r w:rsidRPr="00022B7B">
              <w:rPr>
                <w:b/>
              </w:rPr>
              <w:t xml:space="preserve">Mean difference (95% CI), </w:t>
            </w:r>
            <w:r w:rsidR="00503643">
              <w:rPr>
                <w:b/>
              </w:rPr>
              <w:t>metres</w:t>
            </w:r>
          </w:p>
        </w:tc>
      </w:tr>
      <w:tr w:rsidR="0075777C" w:rsidTr="00534ADA">
        <w:tc>
          <w:tcPr>
            <w:tcW w:w="1696" w:type="dxa"/>
            <w:vMerge/>
          </w:tcPr>
          <w:p w:rsidR="0075777C" w:rsidRPr="00022B7B" w:rsidRDefault="0075777C" w:rsidP="00022B7B">
            <w:pPr>
              <w:pStyle w:val="Tabletext"/>
            </w:pPr>
          </w:p>
        </w:tc>
        <w:tc>
          <w:tcPr>
            <w:tcW w:w="851" w:type="dxa"/>
            <w:vMerge/>
          </w:tcPr>
          <w:p w:rsidR="0075777C" w:rsidRPr="00022B7B" w:rsidRDefault="0075777C" w:rsidP="00022B7B">
            <w:pPr>
              <w:pStyle w:val="Tabletext"/>
            </w:pPr>
          </w:p>
        </w:tc>
        <w:tc>
          <w:tcPr>
            <w:tcW w:w="1701" w:type="dxa"/>
            <w:shd w:val="clear" w:color="auto" w:fill="BFBFBF" w:themeFill="background1" w:themeFillShade="BF"/>
          </w:tcPr>
          <w:p w:rsidR="0075777C" w:rsidRPr="00022B7B" w:rsidRDefault="0075777C" w:rsidP="00022B7B">
            <w:pPr>
              <w:pStyle w:val="Tabletext"/>
              <w:jc w:val="center"/>
              <w:rPr>
                <w:b/>
              </w:rPr>
            </w:pPr>
            <w:r w:rsidRPr="00022B7B">
              <w:rPr>
                <w:b/>
              </w:rPr>
              <w:t>PDE-5i +</w:t>
            </w:r>
            <w:r w:rsidR="002449DC">
              <w:rPr>
                <w:b/>
              </w:rPr>
              <w:t xml:space="preserve"> </w:t>
            </w:r>
            <w:r w:rsidRPr="00022B7B">
              <w:rPr>
                <w:b/>
              </w:rPr>
              <w:t>prostanoid</w:t>
            </w:r>
          </w:p>
        </w:tc>
        <w:tc>
          <w:tcPr>
            <w:tcW w:w="1134" w:type="dxa"/>
            <w:shd w:val="clear" w:color="auto" w:fill="BFBFBF" w:themeFill="background1" w:themeFillShade="BF"/>
          </w:tcPr>
          <w:p w:rsidR="0075777C" w:rsidRPr="00022B7B" w:rsidRDefault="0075777C" w:rsidP="00534ADA">
            <w:pPr>
              <w:pStyle w:val="Tabletext"/>
              <w:jc w:val="center"/>
              <w:rPr>
                <w:b/>
              </w:rPr>
            </w:pPr>
            <w:r w:rsidRPr="00022B7B">
              <w:rPr>
                <w:b/>
              </w:rPr>
              <w:t>Prostanoid</w:t>
            </w:r>
          </w:p>
        </w:tc>
        <w:tc>
          <w:tcPr>
            <w:tcW w:w="1843" w:type="dxa"/>
            <w:shd w:val="clear" w:color="auto" w:fill="BFBFBF" w:themeFill="background1" w:themeFillShade="BF"/>
          </w:tcPr>
          <w:p w:rsidR="0075777C" w:rsidRPr="00022B7B" w:rsidRDefault="002A66C2" w:rsidP="00022B7B">
            <w:pPr>
              <w:pStyle w:val="Tabletext"/>
              <w:jc w:val="center"/>
              <w:rPr>
                <w:b/>
              </w:rPr>
            </w:pPr>
            <w:r>
              <w:rPr>
                <w:b/>
              </w:rPr>
              <w:t xml:space="preserve">PDE-5i + </w:t>
            </w:r>
            <w:r w:rsidR="0075777C" w:rsidRPr="00022B7B">
              <w:rPr>
                <w:b/>
              </w:rPr>
              <w:t>prostanoid</w:t>
            </w:r>
          </w:p>
        </w:tc>
        <w:tc>
          <w:tcPr>
            <w:tcW w:w="1134" w:type="dxa"/>
            <w:shd w:val="clear" w:color="auto" w:fill="BFBFBF" w:themeFill="background1" w:themeFillShade="BF"/>
          </w:tcPr>
          <w:p w:rsidR="0075777C" w:rsidRPr="00022B7B" w:rsidRDefault="0075777C" w:rsidP="00534ADA">
            <w:pPr>
              <w:pStyle w:val="Tabletext"/>
              <w:jc w:val="center"/>
              <w:rPr>
                <w:b/>
              </w:rPr>
            </w:pPr>
            <w:r w:rsidRPr="00022B7B">
              <w:rPr>
                <w:b/>
              </w:rPr>
              <w:t>Prostanoid</w:t>
            </w:r>
          </w:p>
        </w:tc>
        <w:tc>
          <w:tcPr>
            <w:tcW w:w="1275" w:type="dxa"/>
            <w:vMerge/>
          </w:tcPr>
          <w:p w:rsidR="0075777C" w:rsidRPr="00022B7B" w:rsidRDefault="0075777C" w:rsidP="00022B7B">
            <w:pPr>
              <w:pStyle w:val="Tabletext"/>
            </w:pPr>
          </w:p>
        </w:tc>
      </w:tr>
      <w:tr w:rsidR="0075777C" w:rsidTr="00534ADA">
        <w:tc>
          <w:tcPr>
            <w:tcW w:w="1696" w:type="dxa"/>
          </w:tcPr>
          <w:p w:rsidR="0075777C" w:rsidRPr="00022B7B" w:rsidRDefault="0075777C" w:rsidP="00022B7B">
            <w:pPr>
              <w:pStyle w:val="Tabletext"/>
            </w:pPr>
            <w:r w:rsidRPr="00022B7B">
              <w:t>PACES-1</w:t>
            </w:r>
            <w:r w:rsidR="001D34EE">
              <w:rPr>
                <w:noProof/>
                <w:vertAlign w:val="superscript"/>
              </w:rPr>
              <w:t>41</w:t>
            </w:r>
          </w:p>
          <w:p w:rsidR="0075777C" w:rsidRPr="00022B7B" w:rsidRDefault="00022B7B" w:rsidP="00022B7B">
            <w:pPr>
              <w:pStyle w:val="Tabletext"/>
            </w:pPr>
            <w:r>
              <w:t>Sildenafil/</w:t>
            </w:r>
            <w:r w:rsidR="0075777C" w:rsidRPr="00022B7B">
              <w:t>epoprostenol</w:t>
            </w:r>
          </w:p>
        </w:tc>
        <w:tc>
          <w:tcPr>
            <w:tcW w:w="851" w:type="dxa"/>
          </w:tcPr>
          <w:p w:rsidR="0075777C" w:rsidRPr="00022B7B" w:rsidRDefault="0075777C" w:rsidP="00022B7B">
            <w:pPr>
              <w:pStyle w:val="Tabletext"/>
            </w:pPr>
            <w:r w:rsidRPr="00022B7B">
              <w:t>N=267</w:t>
            </w:r>
          </w:p>
          <w:p w:rsidR="0075777C" w:rsidRPr="00022B7B" w:rsidRDefault="0075777C" w:rsidP="00022B7B">
            <w:pPr>
              <w:pStyle w:val="Tabletext"/>
            </w:pPr>
            <w:r w:rsidRPr="00022B7B">
              <w:t>16 weeks</w:t>
            </w:r>
          </w:p>
        </w:tc>
        <w:tc>
          <w:tcPr>
            <w:tcW w:w="1701" w:type="dxa"/>
          </w:tcPr>
          <w:p w:rsidR="0075777C" w:rsidRPr="00022B7B" w:rsidRDefault="0075777C" w:rsidP="00022B7B">
            <w:pPr>
              <w:pStyle w:val="Tabletext"/>
              <w:jc w:val="center"/>
            </w:pPr>
            <w:r w:rsidRPr="00022B7B">
              <w:t>348.9 ± 71.4</w:t>
            </w:r>
          </w:p>
        </w:tc>
        <w:tc>
          <w:tcPr>
            <w:tcW w:w="1134" w:type="dxa"/>
          </w:tcPr>
          <w:p w:rsidR="0075777C" w:rsidRPr="00022B7B" w:rsidRDefault="0075777C" w:rsidP="00022B7B">
            <w:pPr>
              <w:pStyle w:val="Tabletext"/>
              <w:jc w:val="center"/>
            </w:pPr>
            <w:r w:rsidRPr="00022B7B">
              <w:t>341.6 ± 77.3</w:t>
            </w:r>
          </w:p>
        </w:tc>
        <w:tc>
          <w:tcPr>
            <w:tcW w:w="1843" w:type="dxa"/>
          </w:tcPr>
          <w:p w:rsidR="0075777C" w:rsidRPr="00022B7B" w:rsidRDefault="0075777C" w:rsidP="00022B7B">
            <w:pPr>
              <w:pStyle w:val="Tabletext"/>
              <w:jc w:val="center"/>
            </w:pPr>
            <w:r w:rsidRPr="00022B7B">
              <w:t>29.8</w:t>
            </w:r>
            <w:r w:rsidR="00022B7B">
              <w:t xml:space="preserve"> </w:t>
            </w:r>
            <w:r w:rsidRPr="00022B7B">
              <w:t>(18.5, 41.2)</w:t>
            </w:r>
          </w:p>
        </w:tc>
        <w:tc>
          <w:tcPr>
            <w:tcW w:w="1134" w:type="dxa"/>
          </w:tcPr>
          <w:p w:rsidR="0075777C" w:rsidRPr="00022B7B" w:rsidRDefault="0075777C" w:rsidP="00022B7B">
            <w:pPr>
              <w:pStyle w:val="Tabletext"/>
              <w:jc w:val="center"/>
            </w:pPr>
            <w:r w:rsidRPr="00022B7B">
              <w:t>1</w:t>
            </w:r>
            <w:r w:rsidR="00022B7B">
              <w:t xml:space="preserve"> </w:t>
            </w:r>
            <w:r w:rsidRPr="00022B7B">
              <w:t>(−10.9, 12.9)</w:t>
            </w:r>
          </w:p>
        </w:tc>
        <w:tc>
          <w:tcPr>
            <w:tcW w:w="1275" w:type="dxa"/>
          </w:tcPr>
          <w:p w:rsidR="0075777C" w:rsidRPr="00022B7B" w:rsidRDefault="0075777C" w:rsidP="00022B7B">
            <w:pPr>
              <w:pStyle w:val="Tabletext"/>
            </w:pPr>
            <w:r w:rsidRPr="00022B7B">
              <w:t>28.8</w:t>
            </w:r>
            <w:r w:rsidR="00022B7B">
              <w:t xml:space="preserve"> </w:t>
            </w:r>
            <w:r w:rsidRPr="00022B7B">
              <w:t>(13.9, 43.8), p&lt;0.001</w:t>
            </w:r>
          </w:p>
        </w:tc>
      </w:tr>
    </w:tbl>
    <w:p w:rsidR="0075777C" w:rsidRPr="00822C52" w:rsidRDefault="0075777C" w:rsidP="00022B7B">
      <w:pPr>
        <w:pStyle w:val="Tablenote"/>
      </w:pPr>
      <w:r w:rsidRPr="00822C52">
        <w:t xml:space="preserve">6MWD = 6-minute </w:t>
      </w:r>
      <w:r w:rsidR="0082368E">
        <w:t>walk distance</w:t>
      </w:r>
      <w:r w:rsidRPr="00822C52">
        <w:t xml:space="preserve">; CI = confidence interval; N = number of patients; PAH = pulmonary arterial hypertension; </w:t>
      </w:r>
      <w:r>
        <w:t>PDE-5i</w:t>
      </w:r>
      <w:r w:rsidRPr="00822C52">
        <w:t xml:space="preserve"> = phosphodiesterase type-5 inhibitor; SD = standard deviation</w:t>
      </w:r>
    </w:p>
    <w:p w:rsidR="0075777C" w:rsidRPr="00822C52" w:rsidRDefault="00761752" w:rsidP="007B6C7C">
      <w:pPr>
        <w:pStyle w:val="Heading5"/>
      </w:pPr>
      <w:r>
        <w:t>f</w:t>
      </w:r>
      <w:r w:rsidR="002E4833">
        <w:t>.</w:t>
      </w:r>
      <w:r w:rsidR="007B6C7C">
        <w:tab/>
      </w:r>
      <w:r w:rsidR="007B6C7C" w:rsidRPr="007B6C7C">
        <w:t>Change in QoL from baseline</w:t>
      </w:r>
    </w:p>
    <w:p w:rsidR="0075777C" w:rsidRPr="00822C52" w:rsidRDefault="0075777C" w:rsidP="0075777C">
      <w:r>
        <w:t xml:space="preserve">The </w:t>
      </w:r>
      <w:r w:rsidRPr="008320AC">
        <w:t xml:space="preserve">number of patients </w:t>
      </w:r>
      <w:proofErr w:type="gramStart"/>
      <w:r>
        <w:t>whose</w:t>
      </w:r>
      <w:proofErr w:type="gramEnd"/>
      <w:r>
        <w:t xml:space="preserve"> QoL changed after combination treatment compared with monotherapy was not reported for the PACES-1 trial</w:t>
      </w:r>
      <w:r w:rsidRPr="008320AC">
        <w:t>.</w:t>
      </w:r>
    </w:p>
    <w:p w:rsidR="00761752" w:rsidRPr="006316DF" w:rsidRDefault="00761752" w:rsidP="00761752">
      <w:pPr>
        <w:pStyle w:val="Heading5"/>
      </w:pPr>
      <w:r>
        <w:t>g.</w:t>
      </w:r>
      <w:r>
        <w:tab/>
      </w:r>
      <w:r w:rsidRPr="006316DF">
        <w:t xml:space="preserve">Change in </w:t>
      </w:r>
      <w:r>
        <w:t>haemodynamic parameters</w:t>
      </w:r>
      <w:r w:rsidRPr="006316DF">
        <w:t xml:space="preserve"> from baseline</w:t>
      </w:r>
    </w:p>
    <w:p w:rsidR="00761752" w:rsidRPr="00822C52" w:rsidRDefault="00761752" w:rsidP="00761752">
      <w:pPr>
        <w:pStyle w:val="Heading6"/>
      </w:pPr>
      <w:proofErr w:type="gramStart"/>
      <w:r>
        <w:t>g</w:t>
      </w:r>
      <w:r w:rsidRPr="00822C52">
        <w:t>.i</w:t>
      </w:r>
      <w:proofErr w:type="gramEnd"/>
      <w:r w:rsidRPr="00822C52">
        <w:tab/>
        <w:t>PAH patients, irrespective of disease severity or aetiology</w:t>
      </w:r>
    </w:p>
    <w:p w:rsidR="00761752" w:rsidRDefault="00761752" w:rsidP="00761752">
      <w:r w:rsidRPr="00125ABB">
        <w:t xml:space="preserve">The </w:t>
      </w:r>
      <w:r>
        <w:t>PACES-1 trial</w:t>
      </w:r>
      <w:r w:rsidRPr="00125ABB">
        <w:t xml:space="preserve"> reported the change in PVR</w:t>
      </w:r>
      <w:r>
        <w:t>,</w:t>
      </w:r>
      <w:r w:rsidRPr="00125ABB">
        <w:t xml:space="preserve"> mPAP and </w:t>
      </w:r>
      <w:r>
        <w:t xml:space="preserve">mRAP </w:t>
      </w:r>
      <w:r w:rsidRPr="00125ABB">
        <w:t xml:space="preserve">over the </w:t>
      </w:r>
      <w:r>
        <w:t>6-month</w:t>
      </w:r>
      <w:r w:rsidRPr="00125ABB">
        <w:t xml:space="preserve"> study period (</w:t>
      </w:r>
      <w:r w:rsidR="003951FA">
        <w:t>Table 4.</w:t>
      </w:r>
      <w:r w:rsidR="003951FA">
        <w:rPr>
          <w:noProof/>
        </w:rPr>
        <w:t>76</w:t>
      </w:r>
      <w:r w:rsidRPr="00125ABB">
        <w:t xml:space="preserve">). </w:t>
      </w:r>
      <w:r>
        <w:t>P</w:t>
      </w:r>
      <w:r w:rsidRPr="00125ABB">
        <w:t xml:space="preserve">atients receiving combination therapy showed improvement </w:t>
      </w:r>
      <w:r>
        <w:t xml:space="preserve">in all three parameters </w:t>
      </w:r>
      <w:r w:rsidRPr="00125ABB">
        <w:t xml:space="preserve">compared </w:t>
      </w:r>
      <w:r>
        <w:t>with no improvement or worsening in</w:t>
      </w:r>
      <w:r w:rsidRPr="00125ABB">
        <w:t xml:space="preserve"> those </w:t>
      </w:r>
      <w:r>
        <w:t>receiving</w:t>
      </w:r>
      <w:r w:rsidRPr="00125ABB">
        <w:t xml:space="preserve"> monotherapy</w:t>
      </w:r>
      <w:r>
        <w:t>. The difference was s</w:t>
      </w:r>
      <w:r w:rsidRPr="00125ABB">
        <w:t>tatistical</w:t>
      </w:r>
      <w:r>
        <w:t>ly</w:t>
      </w:r>
      <w:r w:rsidRPr="00125ABB">
        <w:t xml:space="preserve"> significan</w:t>
      </w:r>
      <w:r>
        <w:t>t (non-overlapping 95% CIs) for all three parameters and may be</w:t>
      </w:r>
      <w:r w:rsidRPr="00125ABB">
        <w:t xml:space="preserve"> clinically important</w:t>
      </w:r>
      <w:r>
        <w:t xml:space="preserve"> for PVR and mRAP</w:t>
      </w:r>
      <w:r w:rsidRPr="00125ABB">
        <w:t>.</w:t>
      </w:r>
    </w:p>
    <w:p w:rsidR="00761752" w:rsidRDefault="00761752" w:rsidP="00761752">
      <w:pPr>
        <w:pStyle w:val="Caption"/>
      </w:pPr>
      <w:bookmarkStart w:id="241" w:name="_Ref505594518"/>
      <w:bookmarkStart w:id="242" w:name="_Toc38360373"/>
      <w:r>
        <w:t>Table 4.</w:t>
      </w:r>
      <w:r w:rsidR="003951FA">
        <w:rPr>
          <w:noProof/>
        </w:rPr>
        <w:t>76</w:t>
      </w:r>
      <w:bookmarkEnd w:id="241"/>
      <w:r>
        <w:tab/>
      </w:r>
      <w:r w:rsidRPr="006316DF">
        <w:t xml:space="preserve">The effectiveness of </w:t>
      </w:r>
      <w:r w:rsidR="007E59EC">
        <w:t xml:space="preserve">a </w:t>
      </w:r>
      <w:r w:rsidR="007E59EC" w:rsidRPr="00DD7790">
        <w:t xml:space="preserve">PDE-5 inhibitor </w:t>
      </w:r>
      <w:r w:rsidR="007E59EC">
        <w:t>in addition to a</w:t>
      </w:r>
      <w:r w:rsidR="007E59EC" w:rsidRPr="00DD7790">
        <w:t xml:space="preserve"> pr</w:t>
      </w:r>
      <w:r w:rsidR="007E59EC">
        <w:t xml:space="preserve">ostanoid compared with </w:t>
      </w:r>
      <w:r w:rsidR="007E59EC" w:rsidRPr="00DD7790">
        <w:t xml:space="preserve">prostanoid </w:t>
      </w:r>
      <w:r w:rsidR="007E59EC">
        <w:t>monotherapy</w:t>
      </w:r>
      <w:r w:rsidRPr="009B4D64">
        <w:t xml:space="preserve"> </w:t>
      </w:r>
      <w:r w:rsidRPr="006316DF">
        <w:t xml:space="preserve">in improving </w:t>
      </w:r>
      <w:r w:rsidR="001E16B8">
        <w:t>haemodynamic parameters</w:t>
      </w:r>
      <w:r w:rsidR="001E16B8" w:rsidRPr="00B642BB">
        <w:t xml:space="preserve"> </w:t>
      </w:r>
      <w:r w:rsidRPr="00B642BB">
        <w:t xml:space="preserve">in </w:t>
      </w:r>
      <w:r>
        <w:t>all PAH patients</w:t>
      </w:r>
      <w:bookmarkEnd w:id="242"/>
    </w:p>
    <w:tbl>
      <w:tblPr>
        <w:tblStyle w:val="TableGrid"/>
        <w:tblW w:w="9634" w:type="dxa"/>
        <w:tblLayout w:type="fixed"/>
        <w:tblLook w:val="04A0" w:firstRow="1" w:lastRow="0" w:firstColumn="1" w:lastColumn="0" w:noHBand="0" w:noVBand="1"/>
        <w:tblCaption w:val="The effectiveness of a PDE-5 inhibitor in addition to a prostanoid compared with prostanoid monotherapy in improving haemodynamic parameters in all PAH patients"/>
      </w:tblPr>
      <w:tblGrid>
        <w:gridCol w:w="1191"/>
        <w:gridCol w:w="1639"/>
        <w:gridCol w:w="1382"/>
        <w:gridCol w:w="1382"/>
        <w:gridCol w:w="1382"/>
        <w:gridCol w:w="1383"/>
        <w:gridCol w:w="1275"/>
      </w:tblGrid>
      <w:tr w:rsidR="00761752" w:rsidTr="00503643">
        <w:trPr>
          <w:cnfStyle w:val="100000000000" w:firstRow="1" w:lastRow="0" w:firstColumn="0" w:lastColumn="0" w:oddVBand="0" w:evenVBand="0" w:oddHBand="0" w:evenHBand="0" w:firstRowFirstColumn="0" w:firstRowLastColumn="0" w:lastRowFirstColumn="0" w:lastRowLastColumn="0"/>
        </w:trPr>
        <w:tc>
          <w:tcPr>
            <w:tcW w:w="1191" w:type="dxa"/>
            <w:vMerge w:val="restart"/>
            <w:shd w:val="clear" w:color="auto" w:fill="BFBFBF" w:themeFill="background1" w:themeFillShade="BF"/>
          </w:tcPr>
          <w:p w:rsidR="00761752" w:rsidRPr="00345789" w:rsidRDefault="00761752" w:rsidP="00973227">
            <w:pPr>
              <w:pStyle w:val="Tabletext"/>
              <w:rPr>
                <w:b/>
              </w:rPr>
            </w:pPr>
            <w:r w:rsidRPr="00345789">
              <w:rPr>
                <w:b/>
              </w:rPr>
              <w:t>Study ID</w:t>
            </w:r>
          </w:p>
          <w:p w:rsidR="00761752" w:rsidRPr="00345789" w:rsidRDefault="00761752" w:rsidP="00973227">
            <w:pPr>
              <w:pStyle w:val="Tabletext"/>
              <w:rPr>
                <w:b/>
              </w:rPr>
            </w:pPr>
            <w:r w:rsidRPr="00345789">
              <w:rPr>
                <w:b/>
              </w:rPr>
              <w:t>PDE-5i/ prostanoid</w:t>
            </w:r>
          </w:p>
          <w:p w:rsidR="00761752" w:rsidRPr="00345789" w:rsidRDefault="00761752" w:rsidP="00973227">
            <w:pPr>
              <w:pStyle w:val="Tabletext"/>
              <w:rPr>
                <w:b/>
              </w:rPr>
            </w:pPr>
            <w:r w:rsidRPr="00345789">
              <w:rPr>
                <w:b/>
              </w:rPr>
              <w:t>Study period</w:t>
            </w:r>
            <w:r>
              <w:rPr>
                <w:b/>
              </w:rPr>
              <w:t>/</w:t>
            </w:r>
            <w:r w:rsidRPr="00345789">
              <w:rPr>
                <w:b/>
              </w:rPr>
              <w:t>N</w:t>
            </w:r>
          </w:p>
        </w:tc>
        <w:tc>
          <w:tcPr>
            <w:tcW w:w="1639" w:type="dxa"/>
            <w:vMerge w:val="restart"/>
            <w:shd w:val="clear" w:color="auto" w:fill="BFBFBF" w:themeFill="background1" w:themeFillShade="BF"/>
          </w:tcPr>
          <w:p w:rsidR="00761752" w:rsidRPr="00345789" w:rsidRDefault="00761752" w:rsidP="00973227">
            <w:pPr>
              <w:pStyle w:val="Tabletext"/>
              <w:rPr>
                <w:b/>
              </w:rPr>
            </w:pPr>
            <w:r w:rsidRPr="00345789">
              <w:rPr>
                <w:b/>
              </w:rPr>
              <w:t>Haemodynamic parameter</w:t>
            </w:r>
            <w:r w:rsidR="000B12FE" w:rsidRPr="000B12FE">
              <w:rPr>
                <w:b/>
                <w:vertAlign w:val="superscript"/>
              </w:rPr>
              <w:t>a</w:t>
            </w:r>
          </w:p>
        </w:tc>
        <w:tc>
          <w:tcPr>
            <w:tcW w:w="2764" w:type="dxa"/>
            <w:gridSpan w:val="2"/>
            <w:shd w:val="clear" w:color="auto" w:fill="BFBFBF" w:themeFill="background1" w:themeFillShade="BF"/>
          </w:tcPr>
          <w:p w:rsidR="00761752" w:rsidRPr="00503643" w:rsidRDefault="00761752" w:rsidP="00973227">
            <w:pPr>
              <w:pStyle w:val="Tabletext"/>
              <w:jc w:val="center"/>
              <w:rPr>
                <w:rFonts w:cs="Arial"/>
                <w:b/>
              </w:rPr>
            </w:pPr>
            <w:r w:rsidRPr="00503643">
              <w:rPr>
                <w:rFonts w:cs="Arial"/>
                <w:b/>
              </w:rPr>
              <w:t>Mean baseline haemodynamic parameters (95% CI)</w:t>
            </w:r>
          </w:p>
        </w:tc>
        <w:tc>
          <w:tcPr>
            <w:tcW w:w="2765" w:type="dxa"/>
            <w:gridSpan w:val="2"/>
            <w:shd w:val="clear" w:color="auto" w:fill="BFBFBF" w:themeFill="background1" w:themeFillShade="BF"/>
          </w:tcPr>
          <w:p w:rsidR="00761752" w:rsidRPr="00503643" w:rsidRDefault="00761752" w:rsidP="00242BA3">
            <w:pPr>
              <w:pStyle w:val="Tabletext"/>
              <w:jc w:val="center"/>
              <w:rPr>
                <w:rFonts w:cs="Arial"/>
                <w:b/>
              </w:rPr>
            </w:pPr>
            <w:r w:rsidRPr="00503643">
              <w:rPr>
                <w:rFonts w:cs="Arial"/>
                <w:b/>
              </w:rPr>
              <w:t>Mean change from baseline (95% CI)</w:t>
            </w:r>
            <w:r w:rsidR="0095089E" w:rsidRPr="00503643">
              <w:rPr>
                <w:rFonts w:cs="Arial"/>
                <w:b/>
              </w:rPr>
              <w:t xml:space="preserve"> [%</w:t>
            </w:r>
            <w:r w:rsidR="00E6350D" w:rsidRPr="00503643">
              <w:rPr>
                <w:rFonts w:cs="Arial"/>
                <w:b/>
              </w:rPr>
              <w:t xml:space="preserve"> change from baseline</w:t>
            </w:r>
            <w:r w:rsidR="0095089E" w:rsidRPr="00503643">
              <w:rPr>
                <w:rFonts w:cs="Arial"/>
                <w:b/>
              </w:rPr>
              <w:t>]</w:t>
            </w:r>
          </w:p>
        </w:tc>
        <w:tc>
          <w:tcPr>
            <w:tcW w:w="1275" w:type="dxa"/>
            <w:vMerge w:val="restart"/>
            <w:shd w:val="clear" w:color="auto" w:fill="BFBFBF" w:themeFill="background1" w:themeFillShade="BF"/>
          </w:tcPr>
          <w:p w:rsidR="00761752" w:rsidRPr="00503643" w:rsidRDefault="00761752" w:rsidP="00973227">
            <w:pPr>
              <w:pStyle w:val="Tabletext"/>
              <w:rPr>
                <w:rFonts w:cs="Arial"/>
                <w:b/>
              </w:rPr>
            </w:pPr>
            <w:r w:rsidRPr="00503643">
              <w:rPr>
                <w:rFonts w:cs="Arial"/>
                <w:b/>
              </w:rPr>
              <w:t>Mean % difference (95% CI)</w:t>
            </w:r>
          </w:p>
        </w:tc>
      </w:tr>
      <w:tr w:rsidR="00761752" w:rsidTr="00503643">
        <w:tc>
          <w:tcPr>
            <w:tcW w:w="1191" w:type="dxa"/>
            <w:vMerge/>
          </w:tcPr>
          <w:p w:rsidR="00761752" w:rsidRDefault="00761752" w:rsidP="00973227">
            <w:pPr>
              <w:pStyle w:val="Tabletext"/>
            </w:pPr>
          </w:p>
        </w:tc>
        <w:tc>
          <w:tcPr>
            <w:tcW w:w="1639" w:type="dxa"/>
            <w:vMerge/>
            <w:tcBorders>
              <w:bottom w:val="single" w:sz="4" w:space="0" w:color="auto"/>
            </w:tcBorders>
          </w:tcPr>
          <w:p w:rsidR="00761752" w:rsidRDefault="00761752" w:rsidP="00973227">
            <w:pPr>
              <w:pStyle w:val="Tabletext"/>
            </w:pPr>
          </w:p>
        </w:tc>
        <w:tc>
          <w:tcPr>
            <w:tcW w:w="1382" w:type="dxa"/>
            <w:tcBorders>
              <w:bottom w:val="single" w:sz="4" w:space="0" w:color="auto"/>
            </w:tcBorders>
            <w:shd w:val="clear" w:color="auto" w:fill="BFBFBF" w:themeFill="background1" w:themeFillShade="BF"/>
          </w:tcPr>
          <w:p w:rsidR="00761752" w:rsidRPr="00503643" w:rsidRDefault="00761752" w:rsidP="00973227">
            <w:pPr>
              <w:pStyle w:val="Tabletext"/>
              <w:jc w:val="center"/>
              <w:rPr>
                <w:b/>
                <w:sz w:val="18"/>
                <w:szCs w:val="18"/>
              </w:rPr>
            </w:pPr>
            <w:r w:rsidRPr="00503643">
              <w:rPr>
                <w:b/>
                <w:sz w:val="18"/>
                <w:szCs w:val="18"/>
              </w:rPr>
              <w:t>PDE-5i + prostanoid</w:t>
            </w:r>
          </w:p>
        </w:tc>
        <w:tc>
          <w:tcPr>
            <w:tcW w:w="1382" w:type="dxa"/>
            <w:tcBorders>
              <w:bottom w:val="single" w:sz="4" w:space="0" w:color="auto"/>
            </w:tcBorders>
            <w:shd w:val="clear" w:color="auto" w:fill="BFBFBF" w:themeFill="background1" w:themeFillShade="BF"/>
          </w:tcPr>
          <w:p w:rsidR="00761752" w:rsidRPr="00503643" w:rsidRDefault="00761752" w:rsidP="00534ADA">
            <w:pPr>
              <w:pStyle w:val="Tabletext"/>
              <w:jc w:val="center"/>
              <w:rPr>
                <w:b/>
                <w:sz w:val="18"/>
                <w:szCs w:val="18"/>
              </w:rPr>
            </w:pPr>
            <w:r w:rsidRPr="00503643">
              <w:rPr>
                <w:b/>
                <w:sz w:val="18"/>
                <w:szCs w:val="18"/>
              </w:rPr>
              <w:t>Prostanoid</w:t>
            </w:r>
          </w:p>
        </w:tc>
        <w:tc>
          <w:tcPr>
            <w:tcW w:w="1382" w:type="dxa"/>
            <w:tcBorders>
              <w:bottom w:val="single" w:sz="4" w:space="0" w:color="auto"/>
            </w:tcBorders>
            <w:shd w:val="clear" w:color="auto" w:fill="BFBFBF" w:themeFill="background1" w:themeFillShade="BF"/>
          </w:tcPr>
          <w:p w:rsidR="00761752" w:rsidRPr="00503643" w:rsidRDefault="00761752" w:rsidP="00973227">
            <w:pPr>
              <w:pStyle w:val="Tabletext"/>
              <w:jc w:val="center"/>
              <w:rPr>
                <w:b/>
                <w:sz w:val="18"/>
                <w:szCs w:val="18"/>
              </w:rPr>
            </w:pPr>
            <w:r w:rsidRPr="00503643">
              <w:rPr>
                <w:b/>
                <w:sz w:val="18"/>
                <w:szCs w:val="18"/>
              </w:rPr>
              <w:t>PDE-5i + prostanoid</w:t>
            </w:r>
          </w:p>
        </w:tc>
        <w:tc>
          <w:tcPr>
            <w:tcW w:w="1383" w:type="dxa"/>
            <w:tcBorders>
              <w:bottom w:val="single" w:sz="4" w:space="0" w:color="auto"/>
            </w:tcBorders>
            <w:shd w:val="clear" w:color="auto" w:fill="BFBFBF" w:themeFill="background1" w:themeFillShade="BF"/>
          </w:tcPr>
          <w:p w:rsidR="00761752" w:rsidRPr="00503643" w:rsidRDefault="00761752" w:rsidP="00534ADA">
            <w:pPr>
              <w:pStyle w:val="Tabletext"/>
              <w:jc w:val="center"/>
              <w:rPr>
                <w:b/>
                <w:sz w:val="18"/>
                <w:szCs w:val="18"/>
              </w:rPr>
            </w:pPr>
            <w:r w:rsidRPr="00503643">
              <w:rPr>
                <w:b/>
                <w:sz w:val="18"/>
                <w:szCs w:val="18"/>
              </w:rPr>
              <w:t>Prostanoid</w:t>
            </w:r>
          </w:p>
        </w:tc>
        <w:tc>
          <w:tcPr>
            <w:tcW w:w="1275" w:type="dxa"/>
            <w:vMerge/>
            <w:tcBorders>
              <w:bottom w:val="single" w:sz="4" w:space="0" w:color="auto"/>
            </w:tcBorders>
          </w:tcPr>
          <w:p w:rsidR="00761752" w:rsidRDefault="00761752" w:rsidP="00973227">
            <w:pPr>
              <w:pStyle w:val="Tabletext"/>
            </w:pPr>
          </w:p>
        </w:tc>
      </w:tr>
      <w:tr w:rsidR="00747709" w:rsidTr="00503643">
        <w:tc>
          <w:tcPr>
            <w:tcW w:w="1191" w:type="dxa"/>
            <w:vMerge w:val="restart"/>
          </w:tcPr>
          <w:p w:rsidR="00747709" w:rsidRPr="00345789" w:rsidRDefault="00747709" w:rsidP="00973227">
            <w:pPr>
              <w:pStyle w:val="Tabletext"/>
            </w:pPr>
            <w:r w:rsidRPr="00345789">
              <w:t>PACES-1</w:t>
            </w:r>
            <w:r w:rsidR="001D34EE">
              <w:rPr>
                <w:noProof/>
                <w:vertAlign w:val="superscript"/>
              </w:rPr>
              <w:t>41</w:t>
            </w:r>
          </w:p>
          <w:p w:rsidR="00747709" w:rsidRPr="00345789" w:rsidRDefault="00747709" w:rsidP="00973227">
            <w:pPr>
              <w:pStyle w:val="Tabletext"/>
            </w:pPr>
            <w:r w:rsidRPr="00345789">
              <w:t>Sildenafil/</w:t>
            </w:r>
            <w:r>
              <w:t xml:space="preserve"> </w:t>
            </w:r>
            <w:r w:rsidRPr="00345789">
              <w:t>epoprostenol</w:t>
            </w:r>
          </w:p>
          <w:p w:rsidR="00747709" w:rsidRPr="00345789" w:rsidRDefault="00747709" w:rsidP="00973227">
            <w:pPr>
              <w:pStyle w:val="Tabletext"/>
            </w:pPr>
            <w:r w:rsidRPr="00345789">
              <w:t>16 weeks</w:t>
            </w:r>
            <w:r>
              <w:t>/</w:t>
            </w:r>
            <w:r w:rsidRPr="00345789">
              <w:t>N=265</w:t>
            </w:r>
          </w:p>
        </w:tc>
        <w:tc>
          <w:tcPr>
            <w:tcW w:w="1639" w:type="dxa"/>
            <w:tcBorders>
              <w:bottom w:val="nil"/>
            </w:tcBorders>
          </w:tcPr>
          <w:p w:rsidR="00747709" w:rsidRPr="00345789" w:rsidRDefault="00747709" w:rsidP="00973227">
            <w:pPr>
              <w:pStyle w:val="Tabletext"/>
            </w:pPr>
            <w:r w:rsidRPr="00345789">
              <w:t>PVR (</w:t>
            </w:r>
            <w:r w:rsidRPr="001424AA">
              <w:t>dyn*sec*cm</w:t>
            </w:r>
            <w:r w:rsidRPr="001424AA">
              <w:rPr>
                <w:vertAlign w:val="superscript"/>
              </w:rPr>
              <w:t>-5</w:t>
            </w:r>
            <w:r w:rsidRPr="00345789">
              <w:t>)</w:t>
            </w:r>
          </w:p>
          <w:p w:rsidR="00747709" w:rsidRPr="00345789" w:rsidRDefault="00747709" w:rsidP="00973227">
            <w:pPr>
              <w:pStyle w:val="Tabletext"/>
            </w:pPr>
          </w:p>
        </w:tc>
        <w:tc>
          <w:tcPr>
            <w:tcW w:w="1382" w:type="dxa"/>
            <w:tcBorders>
              <w:bottom w:val="nil"/>
            </w:tcBorders>
          </w:tcPr>
          <w:p w:rsidR="00747709" w:rsidRPr="00345789" w:rsidRDefault="00747709" w:rsidP="00973227">
            <w:pPr>
              <w:pStyle w:val="Tabletext"/>
              <w:jc w:val="center"/>
            </w:pPr>
            <w:r w:rsidRPr="00345789">
              <w:t>850</w:t>
            </w:r>
          </w:p>
          <w:p w:rsidR="00747709" w:rsidRPr="00345789" w:rsidRDefault="00747709" w:rsidP="00747709">
            <w:pPr>
              <w:pStyle w:val="Tabletext"/>
              <w:jc w:val="center"/>
            </w:pPr>
            <w:r>
              <w:t>(778, 922)</w:t>
            </w:r>
          </w:p>
        </w:tc>
        <w:tc>
          <w:tcPr>
            <w:tcW w:w="1382" w:type="dxa"/>
            <w:tcBorders>
              <w:bottom w:val="nil"/>
            </w:tcBorders>
          </w:tcPr>
          <w:p w:rsidR="00747709" w:rsidRPr="00345789" w:rsidRDefault="00747709" w:rsidP="00973227">
            <w:pPr>
              <w:pStyle w:val="Tabletext"/>
              <w:jc w:val="center"/>
            </w:pPr>
            <w:r w:rsidRPr="00345789">
              <w:t>712</w:t>
            </w:r>
          </w:p>
          <w:p w:rsidR="00747709" w:rsidRPr="00345789" w:rsidRDefault="00747709" w:rsidP="00747709">
            <w:pPr>
              <w:pStyle w:val="Tabletext"/>
              <w:jc w:val="center"/>
            </w:pPr>
            <w:r w:rsidRPr="00345789">
              <w:t>(6</w:t>
            </w:r>
            <w:r>
              <w:t>35, 790)</w:t>
            </w:r>
          </w:p>
        </w:tc>
        <w:tc>
          <w:tcPr>
            <w:tcW w:w="1382" w:type="dxa"/>
            <w:tcBorders>
              <w:bottom w:val="nil"/>
            </w:tcBorders>
          </w:tcPr>
          <w:p w:rsidR="00503643" w:rsidRDefault="00747709" w:rsidP="00973227">
            <w:pPr>
              <w:pStyle w:val="Tabletext"/>
              <w:jc w:val="center"/>
            </w:pPr>
            <w:r w:rsidRPr="00345789">
              <w:t>−151</w:t>
            </w:r>
          </w:p>
          <w:p w:rsidR="00747709" w:rsidRDefault="00747709" w:rsidP="00973227">
            <w:pPr>
              <w:pStyle w:val="Tabletext"/>
              <w:jc w:val="center"/>
            </w:pPr>
            <w:r w:rsidRPr="00345789">
              <w:t>(−208, −93)</w:t>
            </w:r>
          </w:p>
          <w:p w:rsidR="00747709" w:rsidRPr="00345789" w:rsidRDefault="00747709" w:rsidP="00747709">
            <w:pPr>
              <w:pStyle w:val="Tabletext"/>
              <w:jc w:val="center"/>
            </w:pPr>
            <w:r>
              <w:t>[−17.8%]</w:t>
            </w:r>
          </w:p>
        </w:tc>
        <w:tc>
          <w:tcPr>
            <w:tcW w:w="1383" w:type="dxa"/>
            <w:tcBorders>
              <w:bottom w:val="nil"/>
            </w:tcBorders>
          </w:tcPr>
          <w:p w:rsidR="00747709" w:rsidRDefault="00747709" w:rsidP="00973227">
            <w:pPr>
              <w:pStyle w:val="Tabletext"/>
              <w:jc w:val="center"/>
            </w:pPr>
            <w:r w:rsidRPr="00345789">
              <w:t>22 (−37, 81)</w:t>
            </w:r>
          </w:p>
          <w:p w:rsidR="00747709" w:rsidRPr="00345789" w:rsidRDefault="00747709" w:rsidP="00747709">
            <w:pPr>
              <w:pStyle w:val="Tabletext"/>
              <w:jc w:val="center"/>
            </w:pPr>
            <w:r>
              <w:t>[3.1%]</w:t>
            </w:r>
          </w:p>
        </w:tc>
        <w:tc>
          <w:tcPr>
            <w:tcW w:w="1275" w:type="dxa"/>
            <w:tcBorders>
              <w:bottom w:val="nil"/>
            </w:tcBorders>
          </w:tcPr>
          <w:p w:rsidR="00747709" w:rsidRPr="00345789" w:rsidRDefault="00747709" w:rsidP="00973227">
            <w:pPr>
              <w:pStyle w:val="Tabletext"/>
            </w:pPr>
            <w:r w:rsidRPr="00345789">
              <w:t>−20.8%</w:t>
            </w:r>
          </w:p>
        </w:tc>
      </w:tr>
      <w:tr w:rsidR="00747709" w:rsidTr="00503643">
        <w:tc>
          <w:tcPr>
            <w:tcW w:w="1191" w:type="dxa"/>
            <w:vMerge/>
          </w:tcPr>
          <w:p w:rsidR="00747709" w:rsidRPr="00345789" w:rsidRDefault="00747709" w:rsidP="00973227">
            <w:pPr>
              <w:pStyle w:val="Tabletext"/>
            </w:pPr>
          </w:p>
        </w:tc>
        <w:tc>
          <w:tcPr>
            <w:tcW w:w="1639" w:type="dxa"/>
            <w:tcBorders>
              <w:top w:val="nil"/>
              <w:bottom w:val="nil"/>
            </w:tcBorders>
          </w:tcPr>
          <w:p w:rsidR="00747709" w:rsidRPr="00345789" w:rsidRDefault="00747709" w:rsidP="00973227">
            <w:pPr>
              <w:pStyle w:val="Tabletext"/>
            </w:pPr>
            <w:r>
              <w:t>mPAP (mmHg)</w:t>
            </w:r>
          </w:p>
        </w:tc>
        <w:tc>
          <w:tcPr>
            <w:tcW w:w="1382" w:type="dxa"/>
            <w:tcBorders>
              <w:top w:val="nil"/>
              <w:bottom w:val="nil"/>
            </w:tcBorders>
          </w:tcPr>
          <w:p w:rsidR="00747709" w:rsidRPr="00345789" w:rsidRDefault="00747709" w:rsidP="00747709">
            <w:pPr>
              <w:pStyle w:val="Tabletext"/>
              <w:jc w:val="center"/>
            </w:pPr>
            <w:r w:rsidRPr="00345789">
              <w:t>52.5</w:t>
            </w:r>
          </w:p>
          <w:p w:rsidR="00747709" w:rsidRPr="00345789" w:rsidRDefault="00747709" w:rsidP="00747709">
            <w:pPr>
              <w:pStyle w:val="Tabletext"/>
              <w:jc w:val="center"/>
            </w:pPr>
            <w:r w:rsidRPr="00345789">
              <w:t>(50.5, 54.4)</w:t>
            </w:r>
          </w:p>
        </w:tc>
        <w:tc>
          <w:tcPr>
            <w:tcW w:w="1382" w:type="dxa"/>
            <w:tcBorders>
              <w:top w:val="nil"/>
              <w:bottom w:val="nil"/>
            </w:tcBorders>
          </w:tcPr>
          <w:p w:rsidR="00747709" w:rsidRPr="00345789" w:rsidRDefault="00747709" w:rsidP="00747709">
            <w:pPr>
              <w:pStyle w:val="Tabletext"/>
              <w:jc w:val="center"/>
            </w:pPr>
            <w:r w:rsidRPr="00345789">
              <w:t>50.4</w:t>
            </w:r>
          </w:p>
          <w:p w:rsidR="00747709" w:rsidRPr="00345789" w:rsidRDefault="00747709" w:rsidP="00747709">
            <w:pPr>
              <w:pStyle w:val="Tabletext"/>
              <w:jc w:val="center"/>
            </w:pPr>
            <w:r w:rsidRPr="00345789">
              <w:t>(48.0, 52.9)</w:t>
            </w:r>
          </w:p>
        </w:tc>
        <w:tc>
          <w:tcPr>
            <w:tcW w:w="1382" w:type="dxa"/>
            <w:tcBorders>
              <w:top w:val="nil"/>
              <w:bottom w:val="nil"/>
            </w:tcBorders>
          </w:tcPr>
          <w:p w:rsidR="00503643" w:rsidRDefault="00747709" w:rsidP="00747709">
            <w:pPr>
              <w:pStyle w:val="Tabletext"/>
              <w:jc w:val="center"/>
            </w:pPr>
            <w:r w:rsidRPr="00345789">
              <w:t xml:space="preserve">−2.8 </w:t>
            </w:r>
          </w:p>
          <w:p w:rsidR="00747709" w:rsidRPr="00345789" w:rsidRDefault="00747709" w:rsidP="00747709">
            <w:pPr>
              <w:pStyle w:val="Tabletext"/>
              <w:jc w:val="center"/>
            </w:pPr>
            <w:r w:rsidRPr="00345789">
              <w:t>(−4.2, −1.4)</w:t>
            </w:r>
          </w:p>
          <w:p w:rsidR="00747709" w:rsidRPr="00345789" w:rsidRDefault="00747709" w:rsidP="00747709">
            <w:pPr>
              <w:pStyle w:val="Tabletext"/>
              <w:jc w:val="center"/>
            </w:pPr>
            <w:r w:rsidRPr="00345789">
              <w:t>[−5.3%]</w:t>
            </w:r>
          </w:p>
        </w:tc>
        <w:tc>
          <w:tcPr>
            <w:tcW w:w="1383" w:type="dxa"/>
            <w:tcBorders>
              <w:top w:val="nil"/>
              <w:bottom w:val="nil"/>
            </w:tcBorders>
          </w:tcPr>
          <w:p w:rsidR="00747709" w:rsidRDefault="00747709" w:rsidP="00747709">
            <w:pPr>
              <w:pStyle w:val="Tabletext"/>
              <w:jc w:val="center"/>
            </w:pPr>
            <w:r w:rsidRPr="00345789">
              <w:t>1.1 (−0.4, 2.6)</w:t>
            </w:r>
          </w:p>
          <w:p w:rsidR="00747709" w:rsidRPr="00345789" w:rsidRDefault="00747709" w:rsidP="00747709">
            <w:pPr>
              <w:pStyle w:val="Tabletext"/>
              <w:jc w:val="center"/>
            </w:pPr>
            <w:r w:rsidRPr="00345789">
              <w:t>[2.2%]</w:t>
            </w:r>
          </w:p>
        </w:tc>
        <w:tc>
          <w:tcPr>
            <w:tcW w:w="1275" w:type="dxa"/>
            <w:tcBorders>
              <w:top w:val="nil"/>
              <w:bottom w:val="nil"/>
            </w:tcBorders>
          </w:tcPr>
          <w:p w:rsidR="00747709" w:rsidRPr="00345789" w:rsidRDefault="00747709" w:rsidP="00973227">
            <w:pPr>
              <w:pStyle w:val="Tabletext"/>
            </w:pPr>
            <w:r w:rsidRPr="00345789">
              <w:t>−7.5%</w:t>
            </w:r>
          </w:p>
        </w:tc>
      </w:tr>
      <w:tr w:rsidR="00747709" w:rsidTr="00503643">
        <w:tc>
          <w:tcPr>
            <w:tcW w:w="1191" w:type="dxa"/>
            <w:vMerge/>
          </w:tcPr>
          <w:p w:rsidR="00747709" w:rsidRPr="00345789" w:rsidRDefault="00747709" w:rsidP="00973227">
            <w:pPr>
              <w:pStyle w:val="Tabletext"/>
            </w:pPr>
          </w:p>
        </w:tc>
        <w:tc>
          <w:tcPr>
            <w:tcW w:w="1639" w:type="dxa"/>
            <w:tcBorders>
              <w:top w:val="nil"/>
            </w:tcBorders>
          </w:tcPr>
          <w:p w:rsidR="00747709" w:rsidRPr="00345789" w:rsidRDefault="00747709" w:rsidP="00973227">
            <w:pPr>
              <w:pStyle w:val="Tabletext"/>
            </w:pPr>
            <w:r w:rsidRPr="00345789">
              <w:t>mRAP (mmHg)</w:t>
            </w:r>
          </w:p>
        </w:tc>
        <w:tc>
          <w:tcPr>
            <w:tcW w:w="1382" w:type="dxa"/>
            <w:tcBorders>
              <w:top w:val="nil"/>
            </w:tcBorders>
          </w:tcPr>
          <w:p w:rsidR="00747709" w:rsidRPr="00345789" w:rsidRDefault="00747709" w:rsidP="00747709">
            <w:pPr>
              <w:pStyle w:val="Tabletext"/>
              <w:jc w:val="center"/>
            </w:pPr>
            <w:r w:rsidRPr="00345789">
              <w:t>8.9</w:t>
            </w:r>
          </w:p>
          <w:p w:rsidR="00747709" w:rsidRPr="00345789" w:rsidRDefault="00747709" w:rsidP="00747709">
            <w:pPr>
              <w:pStyle w:val="Tabletext"/>
              <w:jc w:val="center"/>
            </w:pPr>
            <w:r w:rsidRPr="00345789">
              <w:t>(7.9, 9.9)</w:t>
            </w:r>
          </w:p>
        </w:tc>
        <w:tc>
          <w:tcPr>
            <w:tcW w:w="1382" w:type="dxa"/>
            <w:tcBorders>
              <w:top w:val="nil"/>
            </w:tcBorders>
          </w:tcPr>
          <w:p w:rsidR="00747709" w:rsidRPr="00345789" w:rsidRDefault="00747709" w:rsidP="00747709">
            <w:pPr>
              <w:pStyle w:val="Tabletext"/>
              <w:jc w:val="center"/>
            </w:pPr>
            <w:r w:rsidRPr="00345789">
              <w:t>7.9</w:t>
            </w:r>
          </w:p>
          <w:p w:rsidR="00747709" w:rsidRPr="00345789" w:rsidRDefault="00747709" w:rsidP="00747709">
            <w:pPr>
              <w:pStyle w:val="Tabletext"/>
              <w:jc w:val="center"/>
            </w:pPr>
            <w:r w:rsidRPr="00345789">
              <w:t>(7.0, 8.8)</w:t>
            </w:r>
          </w:p>
        </w:tc>
        <w:tc>
          <w:tcPr>
            <w:tcW w:w="1382" w:type="dxa"/>
            <w:tcBorders>
              <w:top w:val="nil"/>
            </w:tcBorders>
          </w:tcPr>
          <w:p w:rsidR="00747709" w:rsidRPr="00345789" w:rsidRDefault="00747709" w:rsidP="00973227">
            <w:pPr>
              <w:pStyle w:val="Tabletext"/>
              <w:jc w:val="center"/>
            </w:pPr>
            <w:r w:rsidRPr="00345789">
              <w:t>−0.8 (−1.8, 0.1)</w:t>
            </w:r>
          </w:p>
        </w:tc>
        <w:tc>
          <w:tcPr>
            <w:tcW w:w="1383" w:type="dxa"/>
            <w:tcBorders>
              <w:top w:val="nil"/>
            </w:tcBorders>
          </w:tcPr>
          <w:p w:rsidR="00747709" w:rsidRPr="00345789" w:rsidRDefault="00747709" w:rsidP="00973227">
            <w:pPr>
              <w:pStyle w:val="Tabletext"/>
              <w:jc w:val="center"/>
            </w:pPr>
            <w:r w:rsidRPr="00345789">
              <w:t>1.2 (0.2, 2.2)</w:t>
            </w:r>
          </w:p>
        </w:tc>
        <w:tc>
          <w:tcPr>
            <w:tcW w:w="1275" w:type="dxa"/>
            <w:tcBorders>
              <w:top w:val="nil"/>
            </w:tcBorders>
          </w:tcPr>
          <w:p w:rsidR="00747709" w:rsidRPr="00345789" w:rsidRDefault="00747709" w:rsidP="00973227">
            <w:pPr>
              <w:pStyle w:val="Tabletext"/>
            </w:pPr>
            <w:r w:rsidRPr="00345789">
              <w:t>−2.1 mmHg</w:t>
            </w:r>
            <w:r>
              <w:t xml:space="preserve"> </w:t>
            </w:r>
            <w:r w:rsidRPr="00345789">
              <w:t>(−3.3, −0.9)</w:t>
            </w:r>
          </w:p>
        </w:tc>
      </w:tr>
    </w:tbl>
    <w:p w:rsidR="000B12FE" w:rsidRDefault="000B12FE" w:rsidP="000B12FE">
      <w:pPr>
        <w:pStyle w:val="Tablenote"/>
      </w:pPr>
      <w:proofErr w:type="gramStart"/>
      <w:r w:rsidRPr="00DE3429">
        <w:rPr>
          <w:vertAlign w:val="superscript"/>
        </w:rPr>
        <w:t>a</w:t>
      </w:r>
      <w:proofErr w:type="gramEnd"/>
      <w:r w:rsidRPr="00822C52">
        <w:t xml:space="preserve"> </w:t>
      </w:r>
      <w:r>
        <w:t xml:space="preserve">A decrease in PVR, mPAP or mRAP indicates improvement in </w:t>
      </w:r>
      <w:r w:rsidR="007E658F">
        <w:t>haemodynamic parameters</w:t>
      </w:r>
      <w:r>
        <w:t xml:space="preserve">. </w:t>
      </w:r>
    </w:p>
    <w:p w:rsidR="001E16B8" w:rsidRPr="006316DF" w:rsidRDefault="00761752" w:rsidP="00761752">
      <w:pPr>
        <w:pStyle w:val="Tablenote"/>
      </w:pPr>
      <w:r w:rsidRPr="006316DF">
        <w:t xml:space="preserve">CI = confidence interval; CSR = clinical study report; </w:t>
      </w:r>
      <w:r>
        <w:t>mPAP = me</w:t>
      </w:r>
      <w:r w:rsidR="004510DE">
        <w:t>an pulmonary artery</w:t>
      </w:r>
      <w:r>
        <w:t xml:space="preserve"> pressure; mRAP = mean right atrial pressure; </w:t>
      </w:r>
      <w:r w:rsidRPr="006316DF">
        <w:t>N = number of patients</w:t>
      </w:r>
      <w:r>
        <w:t xml:space="preserve">; </w:t>
      </w:r>
      <w:r w:rsidR="001E16B8" w:rsidRPr="00715D78">
        <w:t xml:space="preserve">PAH = pulmonary arterial hypertension; </w:t>
      </w:r>
      <w:r w:rsidRPr="00022B7B">
        <w:t xml:space="preserve">PDE-5i = phosphodiesterase type-5 inhibitor; </w:t>
      </w:r>
      <w:r>
        <w:t xml:space="preserve">PVR = </w:t>
      </w:r>
      <w:r w:rsidRPr="007A4F5B">
        <w:t>pulmonary vascular resistance</w:t>
      </w:r>
      <w:r w:rsidRPr="00C51FB4">
        <w:t>; SD = standard deviation</w:t>
      </w:r>
    </w:p>
    <w:p w:rsidR="0075777C" w:rsidRPr="00822C52" w:rsidRDefault="002E4833" w:rsidP="0075777C">
      <w:pPr>
        <w:pStyle w:val="Heading5"/>
      </w:pPr>
      <w:r>
        <w:t>h.</w:t>
      </w:r>
      <w:r w:rsidR="00761752">
        <w:tab/>
      </w:r>
      <w:r w:rsidR="0075777C">
        <w:t>Comparative s</w:t>
      </w:r>
      <w:r w:rsidR="0075777C" w:rsidRPr="00822C52">
        <w:t>afety</w:t>
      </w:r>
    </w:p>
    <w:p w:rsidR="0075777C" w:rsidRPr="00822C52" w:rsidRDefault="002E4833" w:rsidP="0077344D">
      <w:pPr>
        <w:pStyle w:val="Heading6"/>
      </w:pPr>
      <w:proofErr w:type="gramStart"/>
      <w:r>
        <w:t>h</w:t>
      </w:r>
      <w:r w:rsidR="0075777C" w:rsidRPr="00822C52">
        <w:t>.i</w:t>
      </w:r>
      <w:proofErr w:type="gramEnd"/>
      <w:r w:rsidR="0075777C" w:rsidRPr="00822C52">
        <w:tab/>
        <w:t>PAH patients, irrespective of disease severity or aetiology</w:t>
      </w:r>
    </w:p>
    <w:p w:rsidR="0075777C" w:rsidRPr="00822C52" w:rsidRDefault="0075777C" w:rsidP="0075777C">
      <w:r>
        <w:t>The proportion of patients who has an AE, a serious AE or an AE leading to discontinuation of study treatment did not differ between the combination therapy and monotherapy groups (</w:t>
      </w:r>
      <w:r w:rsidR="003951FA">
        <w:t>Table 4.</w:t>
      </w:r>
      <w:r w:rsidR="003951FA">
        <w:rPr>
          <w:noProof/>
        </w:rPr>
        <w:t>77</w:t>
      </w:r>
      <w:r>
        <w:t xml:space="preserve">). Although 3-times more patients receiving sildenafil as part of the combination therapy had blurred vision compared to patients in the epoprostenol monotherapy group, the difference did not </w:t>
      </w:r>
      <w:r w:rsidR="00D60D8E">
        <w:t>reach statistical significance.</w:t>
      </w:r>
    </w:p>
    <w:p w:rsidR="0075777C" w:rsidRPr="00DD7790" w:rsidRDefault="00272F8F" w:rsidP="00BC5A2B">
      <w:pPr>
        <w:pStyle w:val="Caption"/>
      </w:pPr>
      <w:bookmarkStart w:id="243" w:name="_Ref504656689"/>
      <w:bookmarkStart w:id="244" w:name="_Toc38360374"/>
      <w:r>
        <w:t>Table 4.</w:t>
      </w:r>
      <w:r w:rsidR="003951FA">
        <w:rPr>
          <w:noProof/>
        </w:rPr>
        <w:t>77</w:t>
      </w:r>
      <w:bookmarkEnd w:id="243"/>
      <w:r w:rsidR="00022B7B">
        <w:tab/>
      </w:r>
      <w:r w:rsidR="0075777C" w:rsidRPr="00DD7790">
        <w:t xml:space="preserve">The comparative safety of </w:t>
      </w:r>
      <w:r w:rsidR="007E59EC">
        <w:t xml:space="preserve">a </w:t>
      </w:r>
      <w:r w:rsidR="007E59EC" w:rsidRPr="00DD7790">
        <w:t xml:space="preserve">PDE-5 inhibitor </w:t>
      </w:r>
      <w:r w:rsidR="007E59EC">
        <w:t>in addition to a</w:t>
      </w:r>
      <w:r w:rsidR="007E59EC" w:rsidRPr="00DD7790">
        <w:t xml:space="preserve"> pr</w:t>
      </w:r>
      <w:r w:rsidR="007E59EC">
        <w:t xml:space="preserve">ostanoid compared with </w:t>
      </w:r>
      <w:r w:rsidR="007E59EC" w:rsidRPr="00DD7790">
        <w:t xml:space="preserve">prostanoid </w:t>
      </w:r>
      <w:r w:rsidR="007E59EC">
        <w:t>monotherapy</w:t>
      </w:r>
      <w:r w:rsidR="0075777C" w:rsidRPr="00DD7790">
        <w:t xml:space="preserve"> in all patients with PAH</w:t>
      </w:r>
      <w:bookmarkEnd w:id="244"/>
    </w:p>
    <w:tbl>
      <w:tblPr>
        <w:tblStyle w:val="TableGrid7"/>
        <w:tblW w:w="9776" w:type="dxa"/>
        <w:tblLayout w:type="fixed"/>
        <w:tblLook w:val="04A0" w:firstRow="1" w:lastRow="0" w:firstColumn="1" w:lastColumn="0" w:noHBand="0" w:noVBand="1"/>
        <w:tblCaption w:val="The comparative safety of a PDE-5 inhibitor in addition to a prostanoid compared with prostanoid monotherapy in all patients with PAH"/>
      </w:tblPr>
      <w:tblGrid>
        <w:gridCol w:w="1838"/>
        <w:gridCol w:w="2410"/>
        <w:gridCol w:w="1984"/>
        <w:gridCol w:w="1843"/>
        <w:gridCol w:w="1701"/>
      </w:tblGrid>
      <w:tr w:rsidR="0075777C" w:rsidRPr="00822C52" w:rsidTr="00022B7B">
        <w:trPr>
          <w:trHeight w:val="165"/>
          <w:tblHeader/>
        </w:trPr>
        <w:tc>
          <w:tcPr>
            <w:tcW w:w="1838" w:type="dxa"/>
            <w:vMerge w:val="restart"/>
            <w:shd w:val="clear" w:color="auto" w:fill="BFBFBF" w:themeFill="background1" w:themeFillShade="BF"/>
          </w:tcPr>
          <w:p w:rsidR="0075777C" w:rsidRPr="00022B7B" w:rsidRDefault="0075777C" w:rsidP="00022B7B">
            <w:pPr>
              <w:pStyle w:val="Tabletext"/>
              <w:rPr>
                <w:b/>
              </w:rPr>
            </w:pPr>
            <w:r w:rsidRPr="00022B7B">
              <w:rPr>
                <w:b/>
              </w:rPr>
              <w:t>Study ID</w:t>
            </w:r>
          </w:p>
          <w:p w:rsidR="0075777C" w:rsidRPr="00022B7B" w:rsidRDefault="0075777C" w:rsidP="00022B7B">
            <w:pPr>
              <w:pStyle w:val="Tabletext"/>
              <w:rPr>
                <w:b/>
              </w:rPr>
            </w:pPr>
            <w:r w:rsidRPr="00022B7B">
              <w:rPr>
                <w:b/>
              </w:rPr>
              <w:t>Follow-up period</w:t>
            </w:r>
          </w:p>
          <w:p w:rsidR="0075777C" w:rsidRPr="00022B7B" w:rsidRDefault="0075777C" w:rsidP="00022B7B">
            <w:pPr>
              <w:pStyle w:val="Tabletext"/>
              <w:rPr>
                <w:b/>
              </w:rPr>
            </w:pPr>
            <w:r w:rsidRPr="00022B7B">
              <w:rPr>
                <w:b/>
              </w:rPr>
              <w:t>PDE-5i/</w:t>
            </w:r>
            <w:r w:rsidR="00022B7B" w:rsidRPr="00022B7B">
              <w:rPr>
                <w:b/>
              </w:rPr>
              <w:t>prostanoid</w:t>
            </w:r>
          </w:p>
        </w:tc>
        <w:tc>
          <w:tcPr>
            <w:tcW w:w="2410" w:type="dxa"/>
            <w:vMerge w:val="restart"/>
            <w:shd w:val="clear" w:color="auto" w:fill="BFBFBF" w:themeFill="background1" w:themeFillShade="BF"/>
          </w:tcPr>
          <w:p w:rsidR="0075777C" w:rsidRPr="00022B7B" w:rsidRDefault="0075777C" w:rsidP="00022B7B">
            <w:pPr>
              <w:pStyle w:val="Tabletext"/>
              <w:rPr>
                <w:b/>
              </w:rPr>
            </w:pPr>
            <w:r w:rsidRPr="00022B7B">
              <w:rPr>
                <w:b/>
              </w:rPr>
              <w:t>AE</w:t>
            </w:r>
          </w:p>
        </w:tc>
        <w:tc>
          <w:tcPr>
            <w:tcW w:w="3827" w:type="dxa"/>
            <w:gridSpan w:val="2"/>
            <w:shd w:val="clear" w:color="auto" w:fill="BFBFBF" w:themeFill="background1" w:themeFillShade="BF"/>
          </w:tcPr>
          <w:p w:rsidR="0075777C" w:rsidRPr="00022B7B" w:rsidRDefault="0075777C" w:rsidP="00022B7B">
            <w:pPr>
              <w:pStyle w:val="Tabletext"/>
              <w:jc w:val="center"/>
              <w:rPr>
                <w:b/>
              </w:rPr>
            </w:pPr>
            <w:proofErr w:type="gramStart"/>
            <w:r w:rsidRPr="00022B7B">
              <w:rPr>
                <w:b/>
              </w:rPr>
              <w:t>n/N</w:t>
            </w:r>
            <w:proofErr w:type="gramEnd"/>
            <w:r w:rsidRPr="00022B7B">
              <w:rPr>
                <w:b/>
              </w:rPr>
              <w:t xml:space="preserve"> (%)</w:t>
            </w:r>
          </w:p>
        </w:tc>
        <w:tc>
          <w:tcPr>
            <w:tcW w:w="1701" w:type="dxa"/>
            <w:vMerge w:val="restart"/>
            <w:shd w:val="clear" w:color="auto" w:fill="BFBFBF" w:themeFill="background1" w:themeFillShade="BF"/>
          </w:tcPr>
          <w:p w:rsidR="0075777C" w:rsidRPr="00022B7B" w:rsidRDefault="0075777C" w:rsidP="00022B7B">
            <w:pPr>
              <w:pStyle w:val="Tabletext"/>
              <w:rPr>
                <w:b/>
              </w:rPr>
            </w:pPr>
            <w:r w:rsidRPr="00022B7B">
              <w:rPr>
                <w:b/>
              </w:rPr>
              <w:t>RR (95% CI)</w:t>
            </w:r>
          </w:p>
        </w:tc>
      </w:tr>
      <w:tr w:rsidR="0075777C" w:rsidRPr="00822C52" w:rsidTr="00022B7B">
        <w:trPr>
          <w:trHeight w:val="202"/>
          <w:tblHeader/>
        </w:trPr>
        <w:tc>
          <w:tcPr>
            <w:tcW w:w="1838" w:type="dxa"/>
            <w:vMerge/>
            <w:shd w:val="clear" w:color="auto" w:fill="BFBFBF" w:themeFill="background1" w:themeFillShade="BF"/>
          </w:tcPr>
          <w:p w:rsidR="0075777C" w:rsidRPr="00822C52" w:rsidRDefault="0075777C" w:rsidP="00022B7B">
            <w:pPr>
              <w:pStyle w:val="Tabletext"/>
            </w:pPr>
          </w:p>
        </w:tc>
        <w:tc>
          <w:tcPr>
            <w:tcW w:w="2410" w:type="dxa"/>
            <w:vMerge/>
            <w:shd w:val="clear" w:color="auto" w:fill="BFBFBF" w:themeFill="background1" w:themeFillShade="BF"/>
          </w:tcPr>
          <w:p w:rsidR="0075777C" w:rsidRPr="00822C52" w:rsidRDefault="0075777C" w:rsidP="00022B7B">
            <w:pPr>
              <w:pStyle w:val="Tabletext"/>
            </w:pPr>
          </w:p>
        </w:tc>
        <w:tc>
          <w:tcPr>
            <w:tcW w:w="1984" w:type="dxa"/>
            <w:shd w:val="clear" w:color="auto" w:fill="BFBFBF" w:themeFill="background1" w:themeFillShade="BF"/>
          </w:tcPr>
          <w:p w:rsidR="0075777C" w:rsidRPr="00022B7B" w:rsidRDefault="0075777C" w:rsidP="00022B7B">
            <w:pPr>
              <w:pStyle w:val="Tabletext"/>
              <w:jc w:val="center"/>
              <w:rPr>
                <w:b/>
              </w:rPr>
            </w:pPr>
            <w:r w:rsidRPr="00022B7B">
              <w:rPr>
                <w:b/>
              </w:rPr>
              <w:t>PDE-5i + prostanoid</w:t>
            </w:r>
          </w:p>
        </w:tc>
        <w:tc>
          <w:tcPr>
            <w:tcW w:w="1843" w:type="dxa"/>
            <w:shd w:val="clear" w:color="auto" w:fill="BFBFBF" w:themeFill="background1" w:themeFillShade="BF"/>
          </w:tcPr>
          <w:p w:rsidR="0075777C" w:rsidRPr="00022B7B" w:rsidRDefault="0075777C" w:rsidP="00534ADA">
            <w:pPr>
              <w:pStyle w:val="Tabletext"/>
              <w:jc w:val="center"/>
              <w:rPr>
                <w:b/>
              </w:rPr>
            </w:pPr>
            <w:r w:rsidRPr="00022B7B">
              <w:rPr>
                <w:b/>
              </w:rPr>
              <w:t>Prostanoid</w:t>
            </w:r>
          </w:p>
        </w:tc>
        <w:tc>
          <w:tcPr>
            <w:tcW w:w="1701" w:type="dxa"/>
            <w:vMerge/>
            <w:shd w:val="clear" w:color="auto" w:fill="BFBFBF" w:themeFill="background1" w:themeFillShade="BF"/>
          </w:tcPr>
          <w:p w:rsidR="0075777C" w:rsidRPr="00822C52" w:rsidRDefault="0075777C" w:rsidP="00022B7B">
            <w:pPr>
              <w:pStyle w:val="Tabletext"/>
            </w:pPr>
          </w:p>
        </w:tc>
      </w:tr>
      <w:tr w:rsidR="0075777C" w:rsidRPr="00822C52" w:rsidTr="00022B7B">
        <w:trPr>
          <w:trHeight w:val="70"/>
        </w:trPr>
        <w:tc>
          <w:tcPr>
            <w:tcW w:w="1838" w:type="dxa"/>
          </w:tcPr>
          <w:p w:rsidR="0075777C" w:rsidRPr="00822C52" w:rsidRDefault="0075777C" w:rsidP="00022B7B">
            <w:pPr>
              <w:pStyle w:val="Tabletext"/>
              <w:rPr>
                <w:rFonts w:cs="Tahoma"/>
              </w:rPr>
            </w:pPr>
            <w:r w:rsidRPr="00822C52">
              <w:rPr>
                <w:rFonts w:cs="Tahoma"/>
              </w:rPr>
              <w:t>PACES</w:t>
            </w:r>
            <w:r>
              <w:rPr>
                <w:rFonts w:cs="Tahoma"/>
              </w:rPr>
              <w:t>-1</w:t>
            </w:r>
            <w:r w:rsidR="001D34EE" w:rsidRPr="001A1C44">
              <w:rPr>
                <w:rFonts w:cs="Tahoma"/>
                <w:noProof/>
                <w:vertAlign w:val="superscript"/>
              </w:rPr>
              <w:t>41</w:t>
            </w:r>
          </w:p>
          <w:p w:rsidR="0075777C" w:rsidRDefault="0075777C" w:rsidP="00022B7B">
            <w:pPr>
              <w:pStyle w:val="Tabletext"/>
              <w:rPr>
                <w:rFonts w:cs="Tahoma"/>
              </w:rPr>
            </w:pPr>
            <w:r w:rsidRPr="00822C52">
              <w:rPr>
                <w:rFonts w:cs="Tahoma"/>
              </w:rPr>
              <w:t>16 weeks</w:t>
            </w:r>
          </w:p>
          <w:p w:rsidR="0075777C" w:rsidRPr="00822C52" w:rsidRDefault="00022B7B" w:rsidP="00022B7B">
            <w:pPr>
              <w:pStyle w:val="Tabletext"/>
              <w:rPr>
                <w:rFonts w:cs="Tahoma"/>
              </w:rPr>
            </w:pPr>
            <w:r>
              <w:rPr>
                <w:rFonts w:cs="Tahoma"/>
              </w:rPr>
              <w:t xml:space="preserve">Sildenafil/ </w:t>
            </w:r>
            <w:r w:rsidR="0075777C" w:rsidRPr="004C6002">
              <w:rPr>
                <w:rFonts w:cs="Tahoma"/>
              </w:rPr>
              <w:t>epoprostenol</w:t>
            </w:r>
          </w:p>
        </w:tc>
        <w:tc>
          <w:tcPr>
            <w:tcW w:w="2410" w:type="dxa"/>
          </w:tcPr>
          <w:p w:rsidR="0075777C" w:rsidRPr="00822C52" w:rsidRDefault="0075777C" w:rsidP="00022B7B">
            <w:pPr>
              <w:pStyle w:val="Tabletext"/>
              <w:rPr>
                <w:rFonts w:cs="Tahoma"/>
              </w:rPr>
            </w:pPr>
            <w:r w:rsidRPr="00822C52">
              <w:rPr>
                <w:rFonts w:cs="Tahoma"/>
              </w:rPr>
              <w:t>Any AE</w:t>
            </w:r>
          </w:p>
          <w:p w:rsidR="0075777C" w:rsidRPr="00822C52" w:rsidRDefault="0075777C" w:rsidP="00022B7B">
            <w:pPr>
              <w:pStyle w:val="Tabletext"/>
              <w:rPr>
                <w:rFonts w:cs="Tahoma"/>
              </w:rPr>
            </w:pPr>
            <w:r w:rsidRPr="00822C52">
              <w:rPr>
                <w:rFonts w:cs="Tahoma"/>
              </w:rPr>
              <w:t>Serious AEs</w:t>
            </w:r>
          </w:p>
          <w:p w:rsidR="0075777C" w:rsidRPr="00822C52" w:rsidRDefault="0075777C" w:rsidP="00022B7B">
            <w:pPr>
              <w:pStyle w:val="Tabletext"/>
              <w:rPr>
                <w:rFonts w:cs="Tahoma"/>
              </w:rPr>
            </w:pPr>
            <w:r w:rsidRPr="00822C52">
              <w:rPr>
                <w:rFonts w:cs="Tahoma"/>
              </w:rPr>
              <w:t>Discontinuation due to AE</w:t>
            </w:r>
          </w:p>
          <w:p w:rsidR="0075777C" w:rsidRPr="00822C52" w:rsidRDefault="0075777C" w:rsidP="00022B7B">
            <w:pPr>
              <w:pStyle w:val="Tabletext"/>
              <w:rPr>
                <w:rFonts w:cs="Tahoma"/>
              </w:rPr>
            </w:pPr>
            <w:r w:rsidRPr="00822C52">
              <w:rPr>
                <w:rFonts w:cs="Tahoma"/>
              </w:rPr>
              <w:t>Relate to sildenafil: blurred vision</w:t>
            </w:r>
          </w:p>
        </w:tc>
        <w:tc>
          <w:tcPr>
            <w:tcW w:w="1984" w:type="dxa"/>
            <w:shd w:val="clear" w:color="auto" w:fill="auto"/>
          </w:tcPr>
          <w:p w:rsidR="0075777C" w:rsidRPr="00822C52" w:rsidRDefault="0075777C" w:rsidP="00022B7B">
            <w:pPr>
              <w:pStyle w:val="Tabletext"/>
              <w:jc w:val="center"/>
              <w:rPr>
                <w:rFonts w:cs="Tahoma"/>
              </w:rPr>
            </w:pPr>
            <w:r w:rsidRPr="00822C52">
              <w:rPr>
                <w:rFonts w:cs="Tahoma"/>
              </w:rPr>
              <w:t>124/134 (93%)</w:t>
            </w:r>
          </w:p>
          <w:p w:rsidR="0075777C" w:rsidRPr="00822C52" w:rsidRDefault="0075777C" w:rsidP="00022B7B">
            <w:pPr>
              <w:pStyle w:val="Tabletext"/>
              <w:jc w:val="center"/>
              <w:rPr>
                <w:rFonts w:cs="Tahoma"/>
              </w:rPr>
            </w:pPr>
            <w:r w:rsidRPr="00822C52">
              <w:rPr>
                <w:rFonts w:cs="Tahoma"/>
              </w:rPr>
              <w:t>29/134 (22%)</w:t>
            </w:r>
          </w:p>
          <w:p w:rsidR="0075777C" w:rsidRPr="00822C52" w:rsidRDefault="0075777C" w:rsidP="00022B7B">
            <w:pPr>
              <w:pStyle w:val="Tabletext"/>
              <w:jc w:val="center"/>
              <w:rPr>
                <w:rFonts w:cs="Tahoma"/>
              </w:rPr>
            </w:pPr>
            <w:r w:rsidRPr="00822C52">
              <w:rPr>
                <w:rFonts w:cs="Tahoma"/>
              </w:rPr>
              <w:t>7/134 (5%)</w:t>
            </w:r>
          </w:p>
          <w:p w:rsidR="0075777C" w:rsidRPr="00822C52" w:rsidRDefault="0075777C" w:rsidP="00022B7B">
            <w:pPr>
              <w:pStyle w:val="Tabletext"/>
              <w:jc w:val="center"/>
              <w:rPr>
                <w:rFonts w:cs="Tahoma"/>
              </w:rPr>
            </w:pPr>
            <w:r w:rsidRPr="00822C52">
              <w:rPr>
                <w:rFonts w:cs="Tahoma"/>
              </w:rPr>
              <w:t>6/13</w:t>
            </w:r>
            <w:r>
              <w:rPr>
                <w:rFonts w:cs="Tahoma"/>
              </w:rPr>
              <w:t>4</w:t>
            </w:r>
            <w:r w:rsidRPr="00822C52">
              <w:rPr>
                <w:rFonts w:cs="Tahoma"/>
              </w:rPr>
              <w:t xml:space="preserve"> (5%)</w:t>
            </w:r>
          </w:p>
        </w:tc>
        <w:tc>
          <w:tcPr>
            <w:tcW w:w="1843" w:type="dxa"/>
            <w:shd w:val="clear" w:color="auto" w:fill="auto"/>
          </w:tcPr>
          <w:p w:rsidR="0075777C" w:rsidRPr="00822C52" w:rsidRDefault="0075777C" w:rsidP="00022B7B">
            <w:pPr>
              <w:pStyle w:val="Tabletext"/>
              <w:jc w:val="center"/>
              <w:rPr>
                <w:rFonts w:cs="Tahoma"/>
              </w:rPr>
            </w:pPr>
            <w:r w:rsidRPr="00822C52">
              <w:rPr>
                <w:rFonts w:cs="Tahoma"/>
              </w:rPr>
              <w:t>128/131 (98%)</w:t>
            </w:r>
          </w:p>
          <w:p w:rsidR="0075777C" w:rsidRPr="00822C52" w:rsidRDefault="0075777C" w:rsidP="00022B7B">
            <w:pPr>
              <w:pStyle w:val="Tabletext"/>
              <w:jc w:val="center"/>
              <w:rPr>
                <w:rFonts w:cs="Tahoma"/>
              </w:rPr>
            </w:pPr>
            <w:r w:rsidRPr="00822C52">
              <w:rPr>
                <w:rFonts w:cs="Tahoma"/>
              </w:rPr>
              <w:t>39/131 (30%)</w:t>
            </w:r>
          </w:p>
          <w:p w:rsidR="0075777C" w:rsidRPr="00822C52" w:rsidRDefault="0075777C" w:rsidP="00022B7B">
            <w:pPr>
              <w:pStyle w:val="Tabletext"/>
              <w:jc w:val="center"/>
              <w:rPr>
                <w:rFonts w:cs="Tahoma"/>
              </w:rPr>
            </w:pPr>
            <w:r w:rsidRPr="00822C52">
              <w:rPr>
                <w:rFonts w:cs="Tahoma"/>
              </w:rPr>
              <w:t>14/131 (11%)</w:t>
            </w:r>
          </w:p>
          <w:p w:rsidR="0075777C" w:rsidRPr="00822C52" w:rsidRDefault="0075777C" w:rsidP="00022B7B">
            <w:pPr>
              <w:pStyle w:val="Tabletext"/>
              <w:jc w:val="center"/>
              <w:rPr>
                <w:rFonts w:cs="Tahoma"/>
              </w:rPr>
            </w:pPr>
            <w:r w:rsidRPr="00822C52">
              <w:rPr>
                <w:rFonts w:cs="Tahoma"/>
              </w:rPr>
              <w:t>2/13</w:t>
            </w:r>
            <w:r>
              <w:rPr>
                <w:rFonts w:cs="Tahoma"/>
              </w:rPr>
              <w:t>1</w:t>
            </w:r>
            <w:r w:rsidRPr="00822C52">
              <w:rPr>
                <w:rFonts w:cs="Tahoma"/>
              </w:rPr>
              <w:t xml:space="preserve"> (2%)</w:t>
            </w:r>
          </w:p>
        </w:tc>
        <w:tc>
          <w:tcPr>
            <w:tcW w:w="1701" w:type="dxa"/>
          </w:tcPr>
          <w:p w:rsidR="0075777C" w:rsidRDefault="0075777C" w:rsidP="00022B7B">
            <w:pPr>
              <w:pStyle w:val="Tabletext"/>
              <w:rPr>
                <w:rFonts w:cs="Tahoma"/>
              </w:rPr>
            </w:pPr>
            <w:r>
              <w:rPr>
                <w:rFonts w:cs="Tahoma"/>
              </w:rPr>
              <w:t>0.95 (0.90, 1.00)</w:t>
            </w:r>
          </w:p>
          <w:p w:rsidR="0075777C" w:rsidRDefault="0075777C" w:rsidP="00022B7B">
            <w:pPr>
              <w:pStyle w:val="Tabletext"/>
              <w:rPr>
                <w:rFonts w:cs="Tahoma"/>
              </w:rPr>
            </w:pPr>
            <w:r>
              <w:rPr>
                <w:rFonts w:cs="Tahoma"/>
              </w:rPr>
              <w:t>0.73 (0.48, 1.10)</w:t>
            </w:r>
          </w:p>
          <w:p w:rsidR="0075777C" w:rsidRDefault="0075777C" w:rsidP="00022B7B">
            <w:pPr>
              <w:pStyle w:val="Tabletext"/>
              <w:rPr>
                <w:rFonts w:cs="Tahoma"/>
              </w:rPr>
            </w:pPr>
            <w:r>
              <w:rPr>
                <w:rFonts w:cs="Tahoma"/>
              </w:rPr>
              <w:t>0.49 (0.20, 1.17)</w:t>
            </w:r>
          </w:p>
          <w:p w:rsidR="0075777C" w:rsidRPr="00822C52" w:rsidRDefault="0075777C" w:rsidP="00022B7B">
            <w:pPr>
              <w:pStyle w:val="Tabletext"/>
              <w:rPr>
                <w:rFonts w:cs="Tahoma"/>
              </w:rPr>
            </w:pPr>
            <w:r>
              <w:rPr>
                <w:rFonts w:cs="Tahoma"/>
              </w:rPr>
              <w:t>2.93 (0.60, 14.27)</w:t>
            </w:r>
          </w:p>
        </w:tc>
      </w:tr>
    </w:tbl>
    <w:p w:rsidR="0075777C" w:rsidRPr="00822C52" w:rsidRDefault="0075777C" w:rsidP="00022B7B">
      <w:pPr>
        <w:pStyle w:val="Tablenote"/>
      </w:pPr>
      <w:r w:rsidRPr="00822C52">
        <w:t xml:space="preserve">AE = adverse event; CI = confidence interval; n = number of </w:t>
      </w:r>
      <w:r w:rsidR="001E16B8">
        <w:t xml:space="preserve">patients with </w:t>
      </w:r>
      <w:r w:rsidRPr="00822C52">
        <w:t xml:space="preserve">events; N = number of patients; PAH = pulmonary arterial hypertension; </w:t>
      </w:r>
      <w:r>
        <w:t>PDE-5i</w:t>
      </w:r>
      <w:r w:rsidRPr="00822C52">
        <w:t xml:space="preserve"> = phosphodiesterase type-5 inhibitor; RR = relative risk; SD = standard deviation; WHO = World Health Organization</w:t>
      </w:r>
    </w:p>
    <w:p w:rsidR="0075777C" w:rsidRPr="00822C52" w:rsidRDefault="00761752" w:rsidP="0017012F">
      <w:pPr>
        <w:pStyle w:val="Heading4"/>
      </w:pPr>
      <w:r>
        <w:t>4.4.3.</w:t>
      </w:r>
      <w:r w:rsidR="00441F08">
        <w:t>5</w:t>
      </w:r>
      <w:r>
        <w:tab/>
      </w:r>
      <w:r w:rsidR="0017012F">
        <w:t>P</w:t>
      </w:r>
      <w:r w:rsidR="0017012F" w:rsidRPr="0017012F">
        <w:t xml:space="preserve">rostanoid </w:t>
      </w:r>
      <w:r w:rsidR="0075777C" w:rsidRPr="00822C52">
        <w:t>in addition to ERA</w:t>
      </w:r>
    </w:p>
    <w:p w:rsidR="0075777C" w:rsidRDefault="0075777C" w:rsidP="0075777C">
      <w:r>
        <w:t xml:space="preserve">Two RCTs reported on the </w:t>
      </w:r>
      <w:r w:rsidRPr="00741EF9">
        <w:t xml:space="preserve">effectiveness of a </w:t>
      </w:r>
      <w:r w:rsidR="0017012F" w:rsidRPr="0017012F">
        <w:t xml:space="preserve">prostanoid </w:t>
      </w:r>
      <w:r w:rsidRPr="00741EF9">
        <w:t>in addition to a</w:t>
      </w:r>
      <w:r>
        <w:t>n ERA</w:t>
      </w:r>
      <w:r w:rsidRPr="00741EF9">
        <w:t xml:space="preserve"> in treating PAH compared with plac</w:t>
      </w:r>
      <w:r>
        <w:t>ebo plus an ERA.</w:t>
      </w:r>
    </w:p>
    <w:p w:rsidR="0075777C" w:rsidRPr="00822C52" w:rsidRDefault="0075777C" w:rsidP="0075777C">
      <w:r>
        <w:t xml:space="preserve">The </w:t>
      </w:r>
      <w:r w:rsidRPr="00822C52">
        <w:t>COMBI</w:t>
      </w:r>
      <w:r w:rsidR="001D34EE" w:rsidRPr="001A1C44">
        <w:rPr>
          <w:noProof/>
          <w:vertAlign w:val="superscript"/>
        </w:rPr>
        <w:t>36</w:t>
      </w:r>
      <w:r w:rsidRPr="00D772AE">
        <w:t xml:space="preserve"> </w:t>
      </w:r>
      <w:r>
        <w:t xml:space="preserve">open-label, RCT </w:t>
      </w:r>
      <w:proofErr w:type="gramStart"/>
      <w:r>
        <w:t>was performed</w:t>
      </w:r>
      <w:proofErr w:type="gramEnd"/>
      <w:r>
        <w:t xml:space="preserve"> to assess the safety and efficacy of inhaled iloprost in patients with WHO FC III IPAH who were already being treated with bosentan</w:t>
      </w:r>
      <w:r w:rsidRPr="00D772AE">
        <w:t xml:space="preserve"> </w:t>
      </w:r>
      <w:r>
        <w:t xml:space="preserve">for a 12-week period. The trial </w:t>
      </w:r>
      <w:proofErr w:type="gramStart"/>
      <w:r>
        <w:t>was terminated</w:t>
      </w:r>
      <w:proofErr w:type="gramEnd"/>
      <w:r>
        <w:t xml:space="preserve"> early after a futility analysis predicted failure with respect to the pre-determined sample size. </w:t>
      </w:r>
      <w:r w:rsidRPr="000B5733">
        <w:t xml:space="preserve">The baseline characteristics for the two treatment groups were similar </w:t>
      </w:r>
      <w:r>
        <w:t>for demographic</w:t>
      </w:r>
      <w:r w:rsidRPr="000B5733">
        <w:t xml:space="preserve"> and haemodynamic </w:t>
      </w:r>
      <w:r>
        <w:t>parameters</w:t>
      </w:r>
      <w:r w:rsidRPr="000B5733">
        <w:t>.</w:t>
      </w:r>
      <w:r>
        <w:t xml:space="preserve"> This study had a high risk of bias, mainly due to the lack of blindin</w:t>
      </w:r>
      <w:r w:rsidR="00D60D8E">
        <w:t>g.</w:t>
      </w:r>
    </w:p>
    <w:p w:rsidR="0075777C" w:rsidRDefault="0075777C" w:rsidP="0075777C">
      <w:r>
        <w:t xml:space="preserve">The </w:t>
      </w:r>
      <w:r w:rsidRPr="00822C52">
        <w:t>STEP</w:t>
      </w:r>
      <w:r w:rsidR="001D34EE" w:rsidRPr="001A1C44">
        <w:rPr>
          <w:noProof/>
          <w:vertAlign w:val="superscript"/>
        </w:rPr>
        <w:t>48</w:t>
      </w:r>
      <w:r>
        <w:t xml:space="preserve"> </w:t>
      </w:r>
      <w:r w:rsidRPr="00822C52">
        <w:t xml:space="preserve">double-blind trial </w:t>
      </w:r>
      <w:r>
        <w:t>randomised patients with PAH already receiving treatment with bosentan to either iloprost inhalation or placebo for a 12-week period.</w:t>
      </w:r>
      <w:r w:rsidRPr="003D426A">
        <w:t xml:space="preserve"> </w:t>
      </w:r>
      <w:r>
        <w:t>Randomisation was stratified according to PAH aetiology (IPAH or PAH associated with CTD, CHD, HIV or anorexigen use).</w:t>
      </w:r>
      <w:r w:rsidRPr="003D426A">
        <w:t xml:space="preserve"> </w:t>
      </w:r>
      <w:r>
        <w:t xml:space="preserve">Nearly all included patients had NYHA FC III/IV </w:t>
      </w:r>
      <w:r w:rsidR="006B4B22">
        <w:t xml:space="preserve">(generally equivalent to WHO FC III/IV) </w:t>
      </w:r>
      <w:r>
        <w:t xml:space="preserve">PAH; one patient randomised to monotherapy had NYHA FC II </w:t>
      </w:r>
      <w:r w:rsidR="006B4B22">
        <w:t xml:space="preserve">(generally equivalent to WHO FC II) </w:t>
      </w:r>
      <w:r>
        <w:t>PAH. T</w:t>
      </w:r>
      <w:r w:rsidRPr="006316DF">
        <w:t xml:space="preserve">he baseline characteristics for the </w:t>
      </w:r>
      <w:r>
        <w:t>two treatment groups were similar for demographic, FC and haemodynamic assessments. However, the monotherapy group had more patients with IPAH (61% v</w:t>
      </w:r>
      <w:r w:rsidR="0095089E">
        <w:t>ersu</w:t>
      </w:r>
      <w:r>
        <w:t xml:space="preserve">s 50%) and fewer patients with </w:t>
      </w:r>
      <w:r w:rsidRPr="003D426A">
        <w:t>PAH associated with CTD, CHD, HIV or anorexigen use</w:t>
      </w:r>
      <w:r>
        <w:t xml:space="preserve"> (39% v</w:t>
      </w:r>
      <w:r w:rsidR="0095089E">
        <w:t>ersu</w:t>
      </w:r>
      <w:r>
        <w:t>s 50%</w:t>
      </w:r>
      <w:r w:rsidRPr="003D426A">
        <w:t>).</w:t>
      </w:r>
      <w:r>
        <w:t xml:space="preserve"> The trial had a low risk of bias.</w:t>
      </w:r>
    </w:p>
    <w:p w:rsidR="0075777C" w:rsidRDefault="0075777C" w:rsidP="0075777C">
      <w:r w:rsidRPr="00C65C33">
        <w:t>As, both studies only enrolled patients with FC III/IV PAH, all reported outcomes are relevant to this patient subgroup.</w:t>
      </w:r>
    </w:p>
    <w:p w:rsidR="0075777C" w:rsidRDefault="002E4833" w:rsidP="0075777C">
      <w:pPr>
        <w:pStyle w:val="Heading5"/>
      </w:pPr>
      <w:r>
        <w:t xml:space="preserve">a. </w:t>
      </w:r>
      <w:r w:rsidR="0075777C" w:rsidRPr="00822C52">
        <w:tab/>
        <w:t>Study-defined clinical worsening</w:t>
      </w:r>
    </w:p>
    <w:p w:rsidR="0075777C" w:rsidRDefault="00C87EC4" w:rsidP="0075777C">
      <w:r>
        <w:t xml:space="preserve">Although the composite endpoint of </w:t>
      </w:r>
      <w:r w:rsidR="0075777C" w:rsidRPr="00555BEA">
        <w:t xml:space="preserve">clinical worsening </w:t>
      </w:r>
      <w:r>
        <w:t xml:space="preserve">in both RCTs </w:t>
      </w:r>
      <w:r w:rsidR="0075777C" w:rsidRPr="00555BEA">
        <w:t xml:space="preserve">included death, hospitalisation </w:t>
      </w:r>
      <w:r>
        <w:t xml:space="preserve">and symptomatic progression of PAH, the definition of these components differed (eg all-cause mortality vs PAH-related mortality and hospitalisation due to right-heart failure vs any hospitalisation) </w:t>
      </w:r>
      <w:r w:rsidR="0075777C" w:rsidRPr="00555BEA">
        <w:t>(see Section 4.</w:t>
      </w:r>
      <w:r>
        <w:t xml:space="preserve">3.5 </w:t>
      </w:r>
      <w:r w:rsidR="0075777C" w:rsidRPr="00555BEA">
        <w:t>for further details).</w:t>
      </w:r>
    </w:p>
    <w:p w:rsidR="0075777C" w:rsidRPr="00822C52" w:rsidRDefault="002E4833" w:rsidP="0077344D">
      <w:pPr>
        <w:pStyle w:val="Heading6"/>
      </w:pPr>
      <w:proofErr w:type="gramStart"/>
      <w:r>
        <w:t>a</w:t>
      </w:r>
      <w:r w:rsidR="0075777C" w:rsidRPr="00822C52">
        <w:t>.ii</w:t>
      </w:r>
      <w:proofErr w:type="gramEnd"/>
      <w:r w:rsidR="0075777C" w:rsidRPr="00822C52">
        <w:tab/>
        <w:t xml:space="preserve">PAH patients with </w:t>
      </w:r>
      <w:r w:rsidR="0075777C">
        <w:t xml:space="preserve">WHO </w:t>
      </w:r>
      <w:r w:rsidR="0075777C" w:rsidRPr="00822C52">
        <w:t>FC III or IV</w:t>
      </w:r>
    </w:p>
    <w:p w:rsidR="0075777C" w:rsidRDefault="0075777C" w:rsidP="00760D71">
      <w:r>
        <w:t>In the COMBI trial, the proportion of patients receiving combination therapy who experienced clinical worsening did not differ significantly from those receiving</w:t>
      </w:r>
      <w:r w:rsidRPr="00555BEA">
        <w:t xml:space="preserve"> </w:t>
      </w:r>
      <w:r>
        <w:t>monotherapy (</w:t>
      </w:r>
      <w:r w:rsidR="00B40790">
        <w:t>Table 4.78</w:t>
      </w:r>
      <w:r>
        <w:t xml:space="preserve">; </w:t>
      </w:r>
      <w:r w:rsidR="00B21201">
        <w:t>ARD</w:t>
      </w:r>
      <w:r w:rsidR="00B60655">
        <w:t> </w:t>
      </w:r>
      <w:r>
        <w:t>=</w:t>
      </w:r>
      <w:r w:rsidR="00B60655">
        <w:t> </w:t>
      </w:r>
      <w:r>
        <w:t>−3.3%; 95% CI −26.7, 20.2; p</w:t>
      </w:r>
      <w:r w:rsidR="00B60655">
        <w:t> </w:t>
      </w:r>
      <w:r>
        <w:t>=</w:t>
      </w:r>
      <w:r w:rsidR="00B60655">
        <w:t> </w:t>
      </w:r>
      <w:r>
        <w:t xml:space="preserve">0.79). </w:t>
      </w:r>
      <w:r w:rsidR="00B20F94">
        <w:t>M</w:t>
      </w:r>
      <w:r>
        <w:t>ore patients in the monotherapy group experienced clinical worsening in the monotherapy group compared to the combination therapy group in the STEP trial but the RR could not be calculated (</w:t>
      </w:r>
      <w:r w:rsidR="00B21201">
        <w:t>ARD</w:t>
      </w:r>
      <w:r w:rsidR="00B60655">
        <w:t> </w:t>
      </w:r>
      <w:r w:rsidRPr="00707847">
        <w:t>=</w:t>
      </w:r>
      <w:r w:rsidR="00B60655">
        <w:t> </w:t>
      </w:r>
      <w:r>
        <w:t>−</w:t>
      </w:r>
      <w:proofErr w:type="gramStart"/>
      <w:r>
        <w:t>15.2%</w:t>
      </w:r>
      <w:proofErr w:type="gramEnd"/>
      <w:r>
        <w:t>; 95% CI −27.4, −2.9; p</w:t>
      </w:r>
      <w:r w:rsidR="00B60655">
        <w:t> </w:t>
      </w:r>
      <w:r>
        <w:t>=</w:t>
      </w:r>
      <w:r w:rsidR="00B60655">
        <w:t> </w:t>
      </w:r>
      <w:r>
        <w:t xml:space="preserve">0.02). Thus, between </w:t>
      </w:r>
      <w:r w:rsidR="00BD3EF5">
        <w:t>seven (STEP) and 31</w:t>
      </w:r>
      <w:r>
        <w:t xml:space="preserve"> (COMBI) patients </w:t>
      </w:r>
      <w:r w:rsidRPr="00763A20">
        <w:t xml:space="preserve">with WHO FC III/IV PAH </w:t>
      </w:r>
      <w:r>
        <w:t>need to be treated with p</w:t>
      </w:r>
      <w:r w:rsidRPr="00763A20">
        <w:t xml:space="preserve">rostanoid </w:t>
      </w:r>
      <w:r>
        <w:t>plus</w:t>
      </w:r>
      <w:r w:rsidRPr="00763A20">
        <w:t xml:space="preserve"> ERA</w:t>
      </w:r>
      <w:r>
        <w:t xml:space="preserve"> combination therapy to prevent clinical worsening in one additional patient compared with ERA monotherapy. The pooled RR point estimate favoured combination therapy </w:t>
      </w:r>
      <w:r w:rsidR="00D84687">
        <w:t>over monotherapy</w:t>
      </w:r>
      <w:r w:rsidR="000D36D2">
        <w:t>, with a 60% reduction in clinical worsening events,</w:t>
      </w:r>
      <w:r w:rsidR="00D84687">
        <w:t xml:space="preserve"> but the 95% CI</w:t>
      </w:r>
      <w:r>
        <w:t xml:space="preserve"> indicate</w:t>
      </w:r>
      <w:r w:rsidR="003E736B">
        <w:t>d</w:t>
      </w:r>
      <w:r>
        <w:t xml:space="preserve"> that there could also be the opposite effect (</w:t>
      </w:r>
      <w:r w:rsidR="003951FA">
        <w:t>Figure 4.21</w:t>
      </w:r>
      <w:r w:rsidR="00D60D8E">
        <w:t>).</w:t>
      </w:r>
    </w:p>
    <w:p w:rsidR="005035F1" w:rsidRDefault="005035F1">
      <w:pPr>
        <w:spacing w:before="0" w:line="240" w:lineRule="auto"/>
        <w:rPr>
          <w:b/>
          <w:iCs/>
          <w:szCs w:val="18"/>
        </w:rPr>
      </w:pPr>
      <w:bookmarkStart w:id="245" w:name="_Ref504656715"/>
      <w:r>
        <w:br w:type="page"/>
      </w:r>
    </w:p>
    <w:p w:rsidR="0075777C" w:rsidRPr="00DD7790" w:rsidRDefault="00272F8F" w:rsidP="00BC5A2B">
      <w:pPr>
        <w:pStyle w:val="Caption"/>
      </w:pPr>
      <w:bookmarkStart w:id="246" w:name="_Toc38360375"/>
      <w:r>
        <w:t>Table 4.</w:t>
      </w:r>
      <w:r w:rsidR="003951FA">
        <w:rPr>
          <w:noProof/>
        </w:rPr>
        <w:t>78</w:t>
      </w:r>
      <w:bookmarkEnd w:id="245"/>
      <w:r w:rsidR="00022B7B">
        <w:tab/>
      </w:r>
      <w:r w:rsidR="0075777C" w:rsidRPr="00DD7790">
        <w:t>T</w:t>
      </w:r>
      <w:r w:rsidR="0075777C">
        <w:t xml:space="preserve">he effectiveness of </w:t>
      </w:r>
      <w:r w:rsidR="007E59EC">
        <w:t xml:space="preserve">a </w:t>
      </w:r>
      <w:r w:rsidR="0075777C">
        <w:t xml:space="preserve">prostanoid </w:t>
      </w:r>
      <w:r w:rsidR="007E59EC">
        <w:t>in addition to an</w:t>
      </w:r>
      <w:r w:rsidR="0075777C">
        <w:t xml:space="preserve"> ERA compared with </w:t>
      </w:r>
      <w:r w:rsidR="0075777C" w:rsidRPr="00DD7790">
        <w:t xml:space="preserve">ERA </w:t>
      </w:r>
      <w:r w:rsidR="007E59EC">
        <w:t xml:space="preserve">monotherapy </w:t>
      </w:r>
      <w:r w:rsidR="0075777C" w:rsidRPr="00DD7790">
        <w:t>in preventing clinical worsening in patients with WHO FC III/IV PAH</w:t>
      </w:r>
      <w:bookmarkEnd w:id="246"/>
    </w:p>
    <w:tbl>
      <w:tblPr>
        <w:tblStyle w:val="TableGrid7"/>
        <w:tblW w:w="9634" w:type="dxa"/>
        <w:tblLayout w:type="fixed"/>
        <w:tblLook w:val="04A0" w:firstRow="1" w:lastRow="0" w:firstColumn="1" w:lastColumn="0" w:noHBand="0" w:noVBand="1"/>
        <w:tblCaption w:val="The effectiveness of a prostanoid in addition to an ERA compared with ERA monotherapy in preventing clinical worsening in patients with WHO FC III/IV PAH"/>
      </w:tblPr>
      <w:tblGrid>
        <w:gridCol w:w="1555"/>
        <w:gridCol w:w="1984"/>
        <w:gridCol w:w="2055"/>
        <w:gridCol w:w="2056"/>
        <w:gridCol w:w="1984"/>
      </w:tblGrid>
      <w:tr w:rsidR="0075777C" w:rsidRPr="00822C52" w:rsidTr="00DF0DAE">
        <w:trPr>
          <w:trHeight w:val="203"/>
          <w:tblHeader/>
        </w:trPr>
        <w:tc>
          <w:tcPr>
            <w:tcW w:w="1555" w:type="dxa"/>
            <w:vMerge w:val="restart"/>
            <w:shd w:val="clear" w:color="auto" w:fill="BFBFBF" w:themeFill="background1" w:themeFillShade="BF"/>
          </w:tcPr>
          <w:p w:rsidR="0075777C" w:rsidRPr="00DF0DAE" w:rsidRDefault="0075777C" w:rsidP="00DF0DAE">
            <w:pPr>
              <w:pStyle w:val="Tabletext"/>
              <w:rPr>
                <w:b/>
              </w:rPr>
            </w:pPr>
            <w:r w:rsidRPr="00DF0DAE">
              <w:rPr>
                <w:b/>
              </w:rPr>
              <w:t>Study ID</w:t>
            </w:r>
          </w:p>
        </w:tc>
        <w:tc>
          <w:tcPr>
            <w:tcW w:w="1984" w:type="dxa"/>
            <w:vMerge w:val="restart"/>
            <w:shd w:val="clear" w:color="auto" w:fill="BFBFBF" w:themeFill="background1" w:themeFillShade="BF"/>
          </w:tcPr>
          <w:p w:rsidR="0075777C" w:rsidRPr="00DF0DAE" w:rsidRDefault="0075777C" w:rsidP="00DF0DAE">
            <w:pPr>
              <w:pStyle w:val="Tabletext"/>
              <w:rPr>
                <w:b/>
              </w:rPr>
            </w:pPr>
            <w:r w:rsidRPr="00DF0DAE">
              <w:rPr>
                <w:b/>
              </w:rPr>
              <w:t>Follow-up period</w:t>
            </w:r>
          </w:p>
          <w:p w:rsidR="0075777C" w:rsidRPr="00DF0DAE" w:rsidRDefault="0075777C" w:rsidP="00DF0DAE">
            <w:pPr>
              <w:pStyle w:val="Tabletext"/>
              <w:rPr>
                <w:b/>
              </w:rPr>
            </w:pPr>
            <w:r w:rsidRPr="00DF0DAE">
              <w:rPr>
                <w:b/>
              </w:rPr>
              <w:t>Prostanoid/ERA</w:t>
            </w:r>
          </w:p>
        </w:tc>
        <w:tc>
          <w:tcPr>
            <w:tcW w:w="4111" w:type="dxa"/>
            <w:gridSpan w:val="2"/>
            <w:shd w:val="clear" w:color="auto" w:fill="BFBFBF" w:themeFill="background1" w:themeFillShade="BF"/>
          </w:tcPr>
          <w:p w:rsidR="0075777C" w:rsidRPr="00DF0DAE" w:rsidRDefault="0075777C" w:rsidP="00DF0DAE">
            <w:pPr>
              <w:pStyle w:val="Tabletext"/>
              <w:jc w:val="center"/>
              <w:rPr>
                <w:b/>
              </w:rPr>
            </w:pPr>
            <w:proofErr w:type="gramStart"/>
            <w:r w:rsidRPr="00DF0DAE">
              <w:rPr>
                <w:b/>
              </w:rPr>
              <w:t>n/N</w:t>
            </w:r>
            <w:proofErr w:type="gramEnd"/>
            <w:r w:rsidRPr="00DF0DAE">
              <w:rPr>
                <w:b/>
              </w:rPr>
              <w:t xml:space="preserve"> (%)</w:t>
            </w:r>
          </w:p>
        </w:tc>
        <w:tc>
          <w:tcPr>
            <w:tcW w:w="1984" w:type="dxa"/>
            <w:vMerge w:val="restart"/>
            <w:shd w:val="clear" w:color="auto" w:fill="BFBFBF" w:themeFill="background1" w:themeFillShade="BF"/>
          </w:tcPr>
          <w:p w:rsidR="0075777C" w:rsidRPr="00DF0DAE" w:rsidRDefault="0075777C" w:rsidP="00DF0DAE">
            <w:pPr>
              <w:pStyle w:val="Tabletext"/>
              <w:rPr>
                <w:b/>
              </w:rPr>
            </w:pPr>
            <w:r w:rsidRPr="00DF0DAE">
              <w:rPr>
                <w:b/>
              </w:rPr>
              <w:t>RR (95% CI)</w:t>
            </w:r>
          </w:p>
        </w:tc>
      </w:tr>
      <w:tr w:rsidR="0075777C" w:rsidRPr="00822C52" w:rsidTr="00DF0DAE">
        <w:trPr>
          <w:trHeight w:val="202"/>
          <w:tblHeader/>
        </w:trPr>
        <w:tc>
          <w:tcPr>
            <w:tcW w:w="1555" w:type="dxa"/>
            <w:vMerge/>
            <w:shd w:val="clear" w:color="auto" w:fill="BFBFBF" w:themeFill="background1" w:themeFillShade="BF"/>
          </w:tcPr>
          <w:p w:rsidR="0075777C" w:rsidRPr="00822C52" w:rsidRDefault="0075777C" w:rsidP="00DF0DAE">
            <w:pPr>
              <w:pStyle w:val="Tabletext"/>
            </w:pPr>
          </w:p>
        </w:tc>
        <w:tc>
          <w:tcPr>
            <w:tcW w:w="1984" w:type="dxa"/>
            <w:vMerge/>
            <w:shd w:val="clear" w:color="auto" w:fill="BFBFBF" w:themeFill="background1" w:themeFillShade="BF"/>
          </w:tcPr>
          <w:p w:rsidR="0075777C" w:rsidRPr="00822C52" w:rsidRDefault="0075777C" w:rsidP="00DF0DAE">
            <w:pPr>
              <w:pStyle w:val="Tabletext"/>
            </w:pPr>
          </w:p>
        </w:tc>
        <w:tc>
          <w:tcPr>
            <w:tcW w:w="2055" w:type="dxa"/>
            <w:shd w:val="clear" w:color="auto" w:fill="BFBFBF" w:themeFill="background1" w:themeFillShade="BF"/>
          </w:tcPr>
          <w:p w:rsidR="0075777C" w:rsidRPr="00DF0DAE" w:rsidRDefault="0075777C" w:rsidP="00DF0DAE">
            <w:pPr>
              <w:pStyle w:val="Tabletext"/>
              <w:jc w:val="center"/>
              <w:rPr>
                <w:b/>
              </w:rPr>
            </w:pPr>
            <w:r w:rsidRPr="00DF0DAE">
              <w:rPr>
                <w:b/>
              </w:rPr>
              <w:t>Prostanoid + ERA</w:t>
            </w:r>
          </w:p>
        </w:tc>
        <w:tc>
          <w:tcPr>
            <w:tcW w:w="2056" w:type="dxa"/>
            <w:shd w:val="clear" w:color="auto" w:fill="BFBFBF" w:themeFill="background1" w:themeFillShade="BF"/>
          </w:tcPr>
          <w:p w:rsidR="0075777C" w:rsidRPr="00DF0DAE" w:rsidRDefault="00534ADA" w:rsidP="00534ADA">
            <w:pPr>
              <w:pStyle w:val="Tabletext"/>
              <w:jc w:val="center"/>
              <w:rPr>
                <w:b/>
              </w:rPr>
            </w:pPr>
            <w:r>
              <w:rPr>
                <w:b/>
              </w:rPr>
              <w:t>ERA</w:t>
            </w:r>
          </w:p>
        </w:tc>
        <w:tc>
          <w:tcPr>
            <w:tcW w:w="1984" w:type="dxa"/>
            <w:vMerge/>
            <w:shd w:val="clear" w:color="auto" w:fill="BFBFBF" w:themeFill="background1" w:themeFillShade="BF"/>
          </w:tcPr>
          <w:p w:rsidR="0075777C" w:rsidRPr="00822C52" w:rsidRDefault="0075777C" w:rsidP="00DF0DAE">
            <w:pPr>
              <w:pStyle w:val="Tabletext"/>
            </w:pPr>
          </w:p>
        </w:tc>
      </w:tr>
      <w:tr w:rsidR="0075777C" w:rsidRPr="00822C52" w:rsidTr="00DF0DAE">
        <w:trPr>
          <w:trHeight w:val="70"/>
        </w:trPr>
        <w:tc>
          <w:tcPr>
            <w:tcW w:w="1555" w:type="dxa"/>
          </w:tcPr>
          <w:p w:rsidR="0075777C" w:rsidRDefault="0075777C" w:rsidP="00DF0DAE">
            <w:pPr>
              <w:pStyle w:val="Tabletext"/>
            </w:pPr>
            <w:r w:rsidRPr="00822C52">
              <w:t>COMBI</w:t>
            </w:r>
            <w:r w:rsidR="001D34EE" w:rsidRPr="001A1C44">
              <w:rPr>
                <w:noProof/>
                <w:vertAlign w:val="superscript"/>
              </w:rPr>
              <w:t>36</w:t>
            </w:r>
          </w:p>
          <w:p w:rsidR="00DF0DAE" w:rsidRPr="00822C52" w:rsidRDefault="00DF0DAE" w:rsidP="00DF0DAE">
            <w:pPr>
              <w:pStyle w:val="Tabletext"/>
              <w:rPr>
                <w:rFonts w:cs="Tahoma"/>
              </w:rPr>
            </w:pPr>
            <w:r>
              <w:t>(</w:t>
            </w:r>
            <w:r w:rsidRPr="00822C52">
              <w:t>WHO FC III</w:t>
            </w:r>
            <w:r>
              <w:t>)</w:t>
            </w:r>
          </w:p>
        </w:tc>
        <w:tc>
          <w:tcPr>
            <w:tcW w:w="1984" w:type="dxa"/>
          </w:tcPr>
          <w:p w:rsidR="0075777C" w:rsidRPr="00822C52" w:rsidRDefault="0075777C" w:rsidP="00DF0DAE">
            <w:pPr>
              <w:pStyle w:val="Tabletext"/>
            </w:pPr>
            <w:r w:rsidRPr="00822C52">
              <w:t>Iloprost/bosentan</w:t>
            </w:r>
          </w:p>
          <w:p w:rsidR="0075777C" w:rsidRPr="00DF0DAE" w:rsidRDefault="00DF0DAE" w:rsidP="00DF0DAE">
            <w:pPr>
              <w:pStyle w:val="Tabletext"/>
            </w:pPr>
            <w:r>
              <w:t>16 weeks</w:t>
            </w:r>
          </w:p>
        </w:tc>
        <w:tc>
          <w:tcPr>
            <w:tcW w:w="2055" w:type="dxa"/>
          </w:tcPr>
          <w:p w:rsidR="0075777C" w:rsidRPr="00822C52" w:rsidRDefault="0075777C" w:rsidP="00DF0DAE">
            <w:pPr>
              <w:pStyle w:val="Tabletext"/>
              <w:jc w:val="center"/>
              <w:rPr>
                <w:rFonts w:cs="Tahoma"/>
                <w:highlight w:val="cyan"/>
              </w:rPr>
            </w:pPr>
            <w:r w:rsidRPr="00822C52">
              <w:rPr>
                <w:rFonts w:cs="Tahoma"/>
              </w:rPr>
              <w:t>3/19 (16%)</w:t>
            </w:r>
          </w:p>
        </w:tc>
        <w:tc>
          <w:tcPr>
            <w:tcW w:w="2056" w:type="dxa"/>
          </w:tcPr>
          <w:p w:rsidR="0075777C" w:rsidRPr="00822C52" w:rsidRDefault="0075777C" w:rsidP="00DF0DAE">
            <w:pPr>
              <w:pStyle w:val="Tabletext"/>
              <w:jc w:val="center"/>
              <w:rPr>
                <w:rFonts w:cs="Tahoma"/>
                <w:highlight w:val="cyan"/>
              </w:rPr>
            </w:pPr>
            <w:r w:rsidRPr="00822C52">
              <w:rPr>
                <w:rFonts w:cs="Tahoma"/>
              </w:rPr>
              <w:t>4/21 (19%)</w:t>
            </w:r>
          </w:p>
        </w:tc>
        <w:tc>
          <w:tcPr>
            <w:tcW w:w="1984" w:type="dxa"/>
          </w:tcPr>
          <w:p w:rsidR="0075777C" w:rsidRPr="00822C52" w:rsidRDefault="0075777C" w:rsidP="00DF0DAE">
            <w:pPr>
              <w:pStyle w:val="Tabletext"/>
              <w:rPr>
                <w:rFonts w:cs="Tahoma"/>
                <w:highlight w:val="cyan"/>
              </w:rPr>
            </w:pPr>
            <w:r w:rsidRPr="000C1B31">
              <w:rPr>
                <w:rFonts w:cs="Tahoma"/>
              </w:rPr>
              <w:t>0.83 (0.21, 3.24)</w:t>
            </w:r>
          </w:p>
        </w:tc>
      </w:tr>
      <w:tr w:rsidR="0075777C" w:rsidRPr="00822C52" w:rsidTr="00DF0DAE">
        <w:trPr>
          <w:trHeight w:val="70"/>
        </w:trPr>
        <w:tc>
          <w:tcPr>
            <w:tcW w:w="1555" w:type="dxa"/>
          </w:tcPr>
          <w:p w:rsidR="0075777C" w:rsidRDefault="0075777C" w:rsidP="00DF0DAE">
            <w:pPr>
              <w:pStyle w:val="Tabletext"/>
            </w:pPr>
            <w:r w:rsidRPr="00822C52">
              <w:t>STEP</w:t>
            </w:r>
            <w:r w:rsidR="001D34EE" w:rsidRPr="001A1C44">
              <w:rPr>
                <w:noProof/>
                <w:vertAlign w:val="superscript"/>
              </w:rPr>
              <w:t>48</w:t>
            </w:r>
          </w:p>
          <w:p w:rsidR="00DF0DAE" w:rsidRPr="00822C52" w:rsidRDefault="00DF0DAE" w:rsidP="006B4B22">
            <w:pPr>
              <w:pStyle w:val="Tabletext"/>
              <w:rPr>
                <w:rFonts w:cs="Tahoma"/>
              </w:rPr>
            </w:pPr>
            <w:r>
              <w:t>(</w:t>
            </w:r>
            <w:r w:rsidR="006B4B22">
              <w:t>WHO</w:t>
            </w:r>
            <w:r>
              <w:t xml:space="preserve"> FC III/IV)</w:t>
            </w:r>
          </w:p>
        </w:tc>
        <w:tc>
          <w:tcPr>
            <w:tcW w:w="1984" w:type="dxa"/>
          </w:tcPr>
          <w:p w:rsidR="0075777C" w:rsidRPr="00822C52" w:rsidRDefault="0075777C" w:rsidP="00DF0DAE">
            <w:pPr>
              <w:pStyle w:val="Tabletext"/>
            </w:pPr>
            <w:r w:rsidRPr="00822C52">
              <w:t>Iloprost/bosentan</w:t>
            </w:r>
          </w:p>
          <w:p w:rsidR="0075777C" w:rsidRPr="00DF0DAE" w:rsidRDefault="0075777C" w:rsidP="00DF0DAE">
            <w:pPr>
              <w:pStyle w:val="Tabletext"/>
            </w:pPr>
            <w:r w:rsidRPr="00822C52">
              <w:t>12 weeks</w:t>
            </w:r>
          </w:p>
        </w:tc>
        <w:tc>
          <w:tcPr>
            <w:tcW w:w="2055" w:type="dxa"/>
          </w:tcPr>
          <w:p w:rsidR="0075777C" w:rsidRPr="00822C52" w:rsidRDefault="0075777C" w:rsidP="00DF0DAE">
            <w:pPr>
              <w:pStyle w:val="Tabletext"/>
              <w:jc w:val="center"/>
              <w:rPr>
                <w:rFonts w:cs="Tahoma"/>
                <w:highlight w:val="cyan"/>
              </w:rPr>
            </w:pPr>
            <w:r w:rsidRPr="00822C52">
              <w:rPr>
                <w:rFonts w:cs="Tahoma"/>
              </w:rPr>
              <w:t>0/32 (0%)</w:t>
            </w:r>
          </w:p>
        </w:tc>
        <w:tc>
          <w:tcPr>
            <w:tcW w:w="2056" w:type="dxa"/>
          </w:tcPr>
          <w:p w:rsidR="0075777C" w:rsidRPr="00822C52" w:rsidRDefault="0075777C" w:rsidP="00DF0DAE">
            <w:pPr>
              <w:pStyle w:val="Tabletext"/>
              <w:jc w:val="center"/>
              <w:rPr>
                <w:rFonts w:cs="Tahoma"/>
                <w:highlight w:val="cyan"/>
              </w:rPr>
            </w:pPr>
            <w:r w:rsidRPr="00822C52">
              <w:rPr>
                <w:rFonts w:cs="Tahoma"/>
              </w:rPr>
              <w:t>5/33 (15%)</w:t>
            </w:r>
            <w:r w:rsidRPr="00E03CA3">
              <w:rPr>
                <w:rFonts w:cs="Tahoma"/>
                <w:vertAlign w:val="superscript"/>
              </w:rPr>
              <w:t>a</w:t>
            </w:r>
          </w:p>
        </w:tc>
        <w:tc>
          <w:tcPr>
            <w:tcW w:w="1984" w:type="dxa"/>
          </w:tcPr>
          <w:p w:rsidR="0075777C" w:rsidRPr="00822C52" w:rsidRDefault="0075777C" w:rsidP="00DF0DAE">
            <w:pPr>
              <w:pStyle w:val="Tabletext"/>
              <w:rPr>
                <w:rFonts w:cs="Tahoma"/>
                <w:highlight w:val="cyan"/>
              </w:rPr>
            </w:pPr>
            <w:r w:rsidRPr="00AF1B55">
              <w:rPr>
                <w:rFonts w:cs="Tahoma"/>
              </w:rPr>
              <w:t>0 (not calculable)</w:t>
            </w:r>
          </w:p>
        </w:tc>
      </w:tr>
    </w:tbl>
    <w:p w:rsidR="0075777C" w:rsidRDefault="0075777C" w:rsidP="00DF0DAE">
      <w:pPr>
        <w:pStyle w:val="Tablenote"/>
      </w:pPr>
      <w:proofErr w:type="gramStart"/>
      <w:r w:rsidRPr="00E03CA3">
        <w:rPr>
          <w:vertAlign w:val="superscript"/>
        </w:rPr>
        <w:t>a</w:t>
      </w:r>
      <w:proofErr w:type="gramEnd"/>
      <w:r>
        <w:rPr>
          <w:vertAlign w:val="superscript"/>
        </w:rPr>
        <w:t xml:space="preserve"> </w:t>
      </w:r>
      <w:r>
        <w:t xml:space="preserve">One patient in the monotherapy group had </w:t>
      </w:r>
      <w:r w:rsidR="006B4B22">
        <w:t xml:space="preserve">WHO </w:t>
      </w:r>
      <w:r>
        <w:t>FC II PAH</w:t>
      </w:r>
    </w:p>
    <w:p w:rsidR="0075777C" w:rsidRDefault="0075777C" w:rsidP="00DF0DAE">
      <w:pPr>
        <w:pStyle w:val="Tablenote"/>
      </w:pPr>
      <w:r w:rsidRPr="00822C52">
        <w:t>CI = confidence interval; ERA = endothelin receptor antagonist; FC = functional class; n = number of</w:t>
      </w:r>
      <w:r w:rsidR="001E16B8">
        <w:t xml:space="preserve"> patients with</w:t>
      </w:r>
      <w:r w:rsidRPr="00822C52">
        <w:t xml:space="preserve"> events; N = number of patients; PAH = pulmonary arterial hypertension; RR = relative risk; </w:t>
      </w:r>
      <w:r>
        <w:t>WHO = World Health Organisation</w:t>
      </w:r>
    </w:p>
    <w:p w:rsidR="0075777C" w:rsidRDefault="0075777C" w:rsidP="00DF0DAE">
      <w:pPr>
        <w:spacing w:after="40" w:line="240" w:lineRule="auto"/>
        <w:jc w:val="center"/>
      </w:pPr>
      <w:r>
        <w:rPr>
          <w:noProof/>
          <w:lang w:eastAsia="en-AU"/>
        </w:rPr>
        <w:drawing>
          <wp:inline distT="0" distB="0" distL="0" distR="0" wp14:anchorId="2745DA4F" wp14:editId="3DD4CB29">
            <wp:extent cx="6143810" cy="2750024"/>
            <wp:effectExtent l="0" t="0" r="0" b="0"/>
            <wp:docPr id="54" name="Picture 54" descr="The estimated RR from the meta-analysis was 0.39 (95% CI 0.04, 3.45)" title="Forest plot showing the RR of having a clinical worsening event while being treated with a prostanoid and an ERA compared with an ERA alone in all PA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15" t="3585" r="1436" b="2377"/>
                    <a:stretch/>
                  </pic:blipFill>
                  <pic:spPr bwMode="auto">
                    <a:xfrm>
                      <a:off x="0" y="0"/>
                      <a:ext cx="6177606" cy="2765152"/>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795577" w:rsidRDefault="00DF0DAE" w:rsidP="00BC5A2B">
      <w:pPr>
        <w:pStyle w:val="Caption"/>
        <w:rPr>
          <w:rFonts w:ascii="Arial Narrow" w:hAnsi="Arial Narrow" w:cs="Tahoma"/>
          <w:u w:val="single"/>
        </w:rPr>
      </w:pPr>
      <w:bookmarkStart w:id="247" w:name="_Ref506306431"/>
      <w:bookmarkStart w:id="248" w:name="_Toc38360487"/>
      <w:r>
        <w:t>Figure 4.</w:t>
      </w:r>
      <w:r w:rsidR="003951FA">
        <w:rPr>
          <w:noProof/>
        </w:rPr>
        <w:t>21</w:t>
      </w:r>
      <w:bookmarkEnd w:id="247"/>
      <w:r>
        <w:tab/>
      </w:r>
      <w:r w:rsidR="0075777C" w:rsidRPr="00795577">
        <w:t xml:space="preserve">Forest plot showing the RR of having a clinical worsening event while being treated with </w:t>
      </w:r>
      <w:r w:rsidR="0075777C">
        <w:t xml:space="preserve">a </w:t>
      </w:r>
      <w:r>
        <w:t>prostanoid</w:t>
      </w:r>
      <w:r w:rsidR="0075777C">
        <w:t xml:space="preserve"> and </w:t>
      </w:r>
      <w:r w:rsidR="0075777C" w:rsidRPr="00795577">
        <w:t xml:space="preserve">an ERA compared with </w:t>
      </w:r>
      <w:r w:rsidR="0075777C">
        <w:t>an ERA alone</w:t>
      </w:r>
      <w:r w:rsidR="0075777C" w:rsidRPr="00795577">
        <w:t xml:space="preserve"> in </w:t>
      </w:r>
      <w:r w:rsidR="0075777C">
        <w:t>all PAH patients</w:t>
      </w:r>
      <w:bookmarkEnd w:id="248"/>
    </w:p>
    <w:p w:rsidR="001E16B8" w:rsidRPr="006316DF" w:rsidRDefault="0075777C" w:rsidP="00DF0DAE">
      <w:pPr>
        <w:pStyle w:val="Tablenote"/>
      </w:pPr>
      <w:r w:rsidRPr="00795577">
        <w:t>CI = confidence interval; ERA =</w:t>
      </w:r>
      <w:r>
        <w:t xml:space="preserve"> </w:t>
      </w:r>
      <w:r w:rsidR="0006512A">
        <w:t>endothelin receptor</w:t>
      </w:r>
      <w:r>
        <w:t xml:space="preserve"> antagonist</w:t>
      </w:r>
      <w:r w:rsidRPr="00795577">
        <w:t xml:space="preserve">; N = number of patients; </w:t>
      </w:r>
      <w:r w:rsidR="001E16B8" w:rsidRPr="00715D78">
        <w:t xml:space="preserve">PAH = pulmonary arterial hypertension; </w:t>
      </w:r>
      <w:r w:rsidRPr="00795577">
        <w:t>RR = relative risk</w:t>
      </w:r>
    </w:p>
    <w:p w:rsidR="0075777C" w:rsidRPr="00822C52" w:rsidRDefault="002E4833" w:rsidP="0075777C">
      <w:pPr>
        <w:pStyle w:val="Heading5"/>
      </w:pPr>
      <w:r>
        <w:t xml:space="preserve">b. </w:t>
      </w:r>
      <w:r w:rsidR="0075777C" w:rsidRPr="00822C52">
        <w:tab/>
      </w:r>
      <w:r w:rsidR="00C828F9">
        <w:t>All-cause m</w:t>
      </w:r>
      <w:r w:rsidR="00C828F9" w:rsidRPr="006316DF">
        <w:t>ortality</w:t>
      </w:r>
    </w:p>
    <w:p w:rsidR="0075777C" w:rsidRPr="00822C52" w:rsidRDefault="002E4833" w:rsidP="0077344D">
      <w:pPr>
        <w:pStyle w:val="Heading6"/>
      </w:pPr>
      <w:proofErr w:type="gramStart"/>
      <w:r>
        <w:t>b</w:t>
      </w:r>
      <w:r w:rsidR="0075777C" w:rsidRPr="00822C52">
        <w:t>.ii</w:t>
      </w:r>
      <w:proofErr w:type="gramEnd"/>
      <w:r w:rsidR="0075777C" w:rsidRPr="00822C52">
        <w:tab/>
        <w:t>PAH patients with FC III or IV</w:t>
      </w:r>
    </w:p>
    <w:p w:rsidR="0075777C" w:rsidRDefault="003E736B" w:rsidP="00B40790">
      <w:pPr>
        <w:spacing w:before="0" w:line="240" w:lineRule="auto"/>
      </w:pPr>
      <w:r>
        <w:t>In both COMBI and STEP, n</w:t>
      </w:r>
      <w:r w:rsidR="0075777C">
        <w:t>o patients died during the study period (</w:t>
      </w:r>
      <w:r w:rsidR="00B40790">
        <w:t>Table 4.79</w:t>
      </w:r>
      <w:r w:rsidR="0075777C">
        <w:t>). Thus, the effect of prostanoid plus</w:t>
      </w:r>
      <w:r w:rsidR="0075777C" w:rsidRPr="00197602">
        <w:t xml:space="preserve"> ERA </w:t>
      </w:r>
      <w:r w:rsidR="0075777C">
        <w:t>combination therapy compared with ERA monotherapy on mortality rates cannot be determined.</w:t>
      </w:r>
    </w:p>
    <w:p w:rsidR="00A73209" w:rsidRDefault="00A73209">
      <w:pPr>
        <w:spacing w:before="0" w:line="240" w:lineRule="auto"/>
        <w:rPr>
          <w:b/>
          <w:iCs/>
          <w:szCs w:val="18"/>
        </w:rPr>
      </w:pPr>
      <w:bookmarkStart w:id="249" w:name="_Ref504656732"/>
      <w:bookmarkStart w:id="250" w:name="_Toc38360376"/>
      <w:r>
        <w:br w:type="page"/>
      </w:r>
    </w:p>
    <w:p w:rsidR="0075777C" w:rsidRPr="00DD7790" w:rsidRDefault="00272F8F" w:rsidP="00BC5A2B">
      <w:pPr>
        <w:pStyle w:val="Caption"/>
      </w:pPr>
      <w:r>
        <w:t>Table 4.</w:t>
      </w:r>
      <w:r w:rsidR="003951FA">
        <w:rPr>
          <w:noProof/>
        </w:rPr>
        <w:t>79</w:t>
      </w:r>
      <w:bookmarkEnd w:id="249"/>
      <w:r w:rsidR="00DF0DAE">
        <w:tab/>
      </w:r>
      <w:r w:rsidR="0075777C" w:rsidRPr="00DD7790">
        <w:t xml:space="preserve">Mortality rates for </w:t>
      </w:r>
      <w:r w:rsidR="007E59EC">
        <w:t xml:space="preserve">a prostanoid in addition to an ERA compared with </w:t>
      </w:r>
      <w:r w:rsidR="007E59EC" w:rsidRPr="00DD7790">
        <w:t xml:space="preserve">ERA </w:t>
      </w:r>
      <w:r w:rsidR="007E59EC">
        <w:t>monotherapy</w:t>
      </w:r>
      <w:r w:rsidR="007E59EC" w:rsidRPr="000B5733">
        <w:t xml:space="preserve"> </w:t>
      </w:r>
      <w:r w:rsidR="0075777C" w:rsidRPr="000B5733">
        <w:t>in patients with WHO FC III/IV PAH</w:t>
      </w:r>
      <w:bookmarkEnd w:id="250"/>
    </w:p>
    <w:tbl>
      <w:tblPr>
        <w:tblStyle w:val="TableGrid7"/>
        <w:tblW w:w="9634" w:type="dxa"/>
        <w:tblLayout w:type="fixed"/>
        <w:tblLook w:val="04A0" w:firstRow="1" w:lastRow="0" w:firstColumn="1" w:lastColumn="0" w:noHBand="0" w:noVBand="1"/>
        <w:tblCaption w:val="Mortality rates for a prostanoid in addition to an ERA compared with ERA monotherapy in patients with WHO FC III/IV PAH"/>
      </w:tblPr>
      <w:tblGrid>
        <w:gridCol w:w="1555"/>
        <w:gridCol w:w="2268"/>
        <w:gridCol w:w="2055"/>
        <w:gridCol w:w="2055"/>
        <w:gridCol w:w="1701"/>
      </w:tblGrid>
      <w:tr w:rsidR="0075777C" w:rsidRPr="00822C52" w:rsidTr="00DF0DAE">
        <w:trPr>
          <w:trHeight w:val="282"/>
          <w:tblHeader/>
        </w:trPr>
        <w:tc>
          <w:tcPr>
            <w:tcW w:w="1555" w:type="dxa"/>
            <w:vMerge w:val="restart"/>
            <w:shd w:val="clear" w:color="auto" w:fill="BFBFBF" w:themeFill="background1" w:themeFillShade="BF"/>
          </w:tcPr>
          <w:p w:rsidR="0075777C" w:rsidRPr="00DF0DAE" w:rsidRDefault="0075777C" w:rsidP="00DF0DAE">
            <w:pPr>
              <w:pStyle w:val="Tabletext"/>
              <w:rPr>
                <w:b/>
              </w:rPr>
            </w:pPr>
            <w:r w:rsidRPr="00DF0DAE">
              <w:rPr>
                <w:b/>
              </w:rPr>
              <w:t>Study ID</w:t>
            </w:r>
          </w:p>
        </w:tc>
        <w:tc>
          <w:tcPr>
            <w:tcW w:w="2268" w:type="dxa"/>
            <w:vMerge w:val="restart"/>
            <w:shd w:val="clear" w:color="auto" w:fill="BFBFBF" w:themeFill="background1" w:themeFillShade="BF"/>
          </w:tcPr>
          <w:p w:rsidR="0075777C" w:rsidRPr="00DF0DAE" w:rsidRDefault="0075777C" w:rsidP="00DF0DAE">
            <w:pPr>
              <w:pStyle w:val="Tabletext"/>
              <w:rPr>
                <w:b/>
              </w:rPr>
            </w:pPr>
            <w:r w:rsidRPr="00DF0DAE">
              <w:rPr>
                <w:b/>
              </w:rPr>
              <w:t>Follow-up period</w:t>
            </w:r>
          </w:p>
          <w:p w:rsidR="0075777C" w:rsidRPr="00DF0DAE" w:rsidRDefault="0075777C" w:rsidP="00DF0DAE">
            <w:pPr>
              <w:pStyle w:val="Tabletext"/>
              <w:rPr>
                <w:b/>
              </w:rPr>
            </w:pPr>
            <w:r w:rsidRPr="00DF0DAE">
              <w:rPr>
                <w:b/>
              </w:rPr>
              <w:t>Prostanoid/ERA</w:t>
            </w:r>
          </w:p>
        </w:tc>
        <w:tc>
          <w:tcPr>
            <w:tcW w:w="4110" w:type="dxa"/>
            <w:gridSpan w:val="2"/>
            <w:shd w:val="clear" w:color="auto" w:fill="BFBFBF" w:themeFill="background1" w:themeFillShade="BF"/>
          </w:tcPr>
          <w:p w:rsidR="0075777C" w:rsidRPr="00DF0DAE" w:rsidRDefault="0075777C" w:rsidP="00DF0DAE">
            <w:pPr>
              <w:pStyle w:val="Tabletext"/>
              <w:jc w:val="center"/>
              <w:rPr>
                <w:b/>
              </w:rPr>
            </w:pPr>
            <w:proofErr w:type="gramStart"/>
            <w:r w:rsidRPr="00DF0DAE">
              <w:rPr>
                <w:b/>
              </w:rPr>
              <w:t>n/N</w:t>
            </w:r>
            <w:proofErr w:type="gramEnd"/>
            <w:r w:rsidRPr="00DF0DAE">
              <w:rPr>
                <w:b/>
              </w:rPr>
              <w:t xml:space="preserve"> (%)</w:t>
            </w:r>
          </w:p>
        </w:tc>
        <w:tc>
          <w:tcPr>
            <w:tcW w:w="1701" w:type="dxa"/>
            <w:vMerge w:val="restart"/>
            <w:shd w:val="clear" w:color="auto" w:fill="BFBFBF" w:themeFill="background1" w:themeFillShade="BF"/>
          </w:tcPr>
          <w:p w:rsidR="0075777C" w:rsidRPr="00DF0DAE" w:rsidRDefault="0075777C" w:rsidP="00DF0DAE">
            <w:pPr>
              <w:pStyle w:val="Tabletext"/>
              <w:rPr>
                <w:b/>
              </w:rPr>
            </w:pPr>
            <w:r w:rsidRPr="00DF0DAE">
              <w:rPr>
                <w:b/>
              </w:rPr>
              <w:t>RR (95% CI)</w:t>
            </w:r>
          </w:p>
        </w:tc>
      </w:tr>
      <w:tr w:rsidR="0075777C" w:rsidRPr="00822C52" w:rsidTr="00DF0DAE">
        <w:trPr>
          <w:trHeight w:val="202"/>
          <w:tblHeader/>
        </w:trPr>
        <w:tc>
          <w:tcPr>
            <w:tcW w:w="1555" w:type="dxa"/>
            <w:vMerge/>
            <w:shd w:val="clear" w:color="auto" w:fill="BFBFBF" w:themeFill="background1" w:themeFillShade="BF"/>
          </w:tcPr>
          <w:p w:rsidR="0075777C" w:rsidRPr="00822C52" w:rsidRDefault="0075777C" w:rsidP="00DF0DAE">
            <w:pPr>
              <w:pStyle w:val="Tabletext"/>
            </w:pPr>
          </w:p>
        </w:tc>
        <w:tc>
          <w:tcPr>
            <w:tcW w:w="2268" w:type="dxa"/>
            <w:vMerge/>
            <w:shd w:val="clear" w:color="auto" w:fill="BFBFBF" w:themeFill="background1" w:themeFillShade="BF"/>
          </w:tcPr>
          <w:p w:rsidR="0075777C" w:rsidRPr="00822C52" w:rsidRDefault="0075777C" w:rsidP="00DF0DAE">
            <w:pPr>
              <w:pStyle w:val="Tabletext"/>
            </w:pPr>
          </w:p>
        </w:tc>
        <w:tc>
          <w:tcPr>
            <w:tcW w:w="2055" w:type="dxa"/>
            <w:shd w:val="clear" w:color="auto" w:fill="BFBFBF" w:themeFill="background1" w:themeFillShade="BF"/>
          </w:tcPr>
          <w:p w:rsidR="0075777C" w:rsidRPr="00DF0DAE" w:rsidRDefault="0075777C" w:rsidP="00DF0DAE">
            <w:pPr>
              <w:pStyle w:val="Tabletext"/>
              <w:jc w:val="center"/>
              <w:rPr>
                <w:b/>
              </w:rPr>
            </w:pPr>
            <w:r w:rsidRPr="00DF0DAE">
              <w:rPr>
                <w:b/>
              </w:rPr>
              <w:t>Prostanoid + ERA</w:t>
            </w:r>
          </w:p>
        </w:tc>
        <w:tc>
          <w:tcPr>
            <w:tcW w:w="2055" w:type="dxa"/>
            <w:shd w:val="clear" w:color="auto" w:fill="BFBFBF" w:themeFill="background1" w:themeFillShade="BF"/>
          </w:tcPr>
          <w:p w:rsidR="0075777C" w:rsidRPr="00DF0DAE" w:rsidRDefault="0075777C" w:rsidP="00DF0DAE">
            <w:pPr>
              <w:pStyle w:val="Tabletext"/>
              <w:jc w:val="center"/>
              <w:rPr>
                <w:b/>
              </w:rPr>
            </w:pPr>
            <w:r w:rsidRPr="00DF0DAE">
              <w:rPr>
                <w:b/>
              </w:rPr>
              <w:t>ERA</w:t>
            </w:r>
          </w:p>
        </w:tc>
        <w:tc>
          <w:tcPr>
            <w:tcW w:w="1701" w:type="dxa"/>
            <w:vMerge/>
            <w:shd w:val="clear" w:color="auto" w:fill="BFBFBF" w:themeFill="background1" w:themeFillShade="BF"/>
          </w:tcPr>
          <w:p w:rsidR="0075777C" w:rsidRPr="00822C52" w:rsidRDefault="0075777C" w:rsidP="00DF0DAE">
            <w:pPr>
              <w:pStyle w:val="Tabletext"/>
            </w:pPr>
          </w:p>
        </w:tc>
      </w:tr>
      <w:tr w:rsidR="0075777C" w:rsidRPr="00822C52" w:rsidTr="00534ADA">
        <w:trPr>
          <w:cantSplit/>
          <w:trHeight w:val="70"/>
        </w:trPr>
        <w:tc>
          <w:tcPr>
            <w:tcW w:w="1555" w:type="dxa"/>
          </w:tcPr>
          <w:p w:rsidR="0075777C" w:rsidRDefault="0075777C" w:rsidP="00DF0DAE">
            <w:pPr>
              <w:pStyle w:val="Tabletext"/>
            </w:pPr>
            <w:r w:rsidRPr="00822C52">
              <w:t>COMBI</w:t>
            </w:r>
            <w:r w:rsidR="001D34EE" w:rsidRPr="001A1C44">
              <w:rPr>
                <w:noProof/>
                <w:vertAlign w:val="superscript"/>
              </w:rPr>
              <w:t>36</w:t>
            </w:r>
          </w:p>
          <w:p w:rsidR="00DF0DAE" w:rsidRPr="00822C52" w:rsidRDefault="00DF0DAE" w:rsidP="00DF0DAE">
            <w:pPr>
              <w:pStyle w:val="Tabletext"/>
              <w:rPr>
                <w:rFonts w:cs="Tahoma"/>
              </w:rPr>
            </w:pPr>
            <w:r>
              <w:t>(</w:t>
            </w:r>
            <w:r w:rsidRPr="00822C52">
              <w:t>WHO FC III</w:t>
            </w:r>
            <w:r>
              <w:t>)</w:t>
            </w:r>
          </w:p>
        </w:tc>
        <w:tc>
          <w:tcPr>
            <w:tcW w:w="2268" w:type="dxa"/>
          </w:tcPr>
          <w:p w:rsidR="0075777C" w:rsidRPr="00822C52" w:rsidRDefault="0075777C" w:rsidP="00DF0DAE">
            <w:pPr>
              <w:pStyle w:val="Tabletext"/>
            </w:pPr>
            <w:r w:rsidRPr="00822C52">
              <w:t>Iloprost/bosentan</w:t>
            </w:r>
          </w:p>
          <w:p w:rsidR="0075777C" w:rsidRPr="00DF0DAE" w:rsidRDefault="00DF0DAE" w:rsidP="00DF0DAE">
            <w:pPr>
              <w:pStyle w:val="Tabletext"/>
            </w:pPr>
            <w:r>
              <w:t>16 weeks</w:t>
            </w:r>
          </w:p>
        </w:tc>
        <w:tc>
          <w:tcPr>
            <w:tcW w:w="2055" w:type="dxa"/>
          </w:tcPr>
          <w:p w:rsidR="0075777C" w:rsidRPr="00822C52" w:rsidRDefault="0075777C" w:rsidP="00DF0DAE">
            <w:pPr>
              <w:pStyle w:val="Tabletext"/>
              <w:jc w:val="center"/>
              <w:rPr>
                <w:rFonts w:cs="Tahoma"/>
              </w:rPr>
            </w:pPr>
            <w:r w:rsidRPr="00822C52">
              <w:rPr>
                <w:rFonts w:cs="Tahoma"/>
              </w:rPr>
              <w:t>0/1</w:t>
            </w:r>
            <w:r>
              <w:rPr>
                <w:rFonts w:cs="Tahoma"/>
              </w:rPr>
              <w:t>9</w:t>
            </w:r>
            <w:r w:rsidRPr="00822C52">
              <w:rPr>
                <w:rFonts w:cs="Tahoma"/>
              </w:rPr>
              <w:t xml:space="preserve"> (0%)</w:t>
            </w:r>
          </w:p>
        </w:tc>
        <w:tc>
          <w:tcPr>
            <w:tcW w:w="2055" w:type="dxa"/>
          </w:tcPr>
          <w:p w:rsidR="0075777C" w:rsidRPr="00822C52" w:rsidRDefault="0075777C" w:rsidP="00DF0DAE">
            <w:pPr>
              <w:pStyle w:val="Tabletext"/>
              <w:jc w:val="center"/>
              <w:rPr>
                <w:rFonts w:cs="Tahoma"/>
              </w:rPr>
            </w:pPr>
            <w:r>
              <w:rPr>
                <w:rFonts w:cs="Tahoma"/>
              </w:rPr>
              <w:t>0</w:t>
            </w:r>
            <w:r w:rsidRPr="00822C52">
              <w:rPr>
                <w:rFonts w:cs="Tahoma"/>
              </w:rPr>
              <w:t>/</w:t>
            </w:r>
            <w:r>
              <w:rPr>
                <w:rFonts w:cs="Tahoma"/>
              </w:rPr>
              <w:t>2</w:t>
            </w:r>
            <w:r w:rsidRPr="00822C52">
              <w:rPr>
                <w:rFonts w:cs="Tahoma"/>
              </w:rPr>
              <w:t>1 (</w:t>
            </w:r>
            <w:r>
              <w:rPr>
                <w:rFonts w:cs="Tahoma"/>
              </w:rPr>
              <w:t>0</w:t>
            </w:r>
            <w:r w:rsidRPr="00822C52">
              <w:rPr>
                <w:rFonts w:cs="Tahoma"/>
              </w:rPr>
              <w:t>%)</w:t>
            </w:r>
          </w:p>
        </w:tc>
        <w:tc>
          <w:tcPr>
            <w:tcW w:w="1701" w:type="dxa"/>
          </w:tcPr>
          <w:p w:rsidR="0075777C" w:rsidRPr="00822C52" w:rsidRDefault="0075777C" w:rsidP="00DF0DAE">
            <w:pPr>
              <w:pStyle w:val="Tabletext"/>
              <w:rPr>
                <w:rFonts w:cs="Tahoma"/>
              </w:rPr>
            </w:pPr>
            <w:r>
              <w:rPr>
                <w:rFonts w:cs="Tahoma"/>
              </w:rPr>
              <w:t>Not calculable</w:t>
            </w:r>
          </w:p>
        </w:tc>
      </w:tr>
      <w:tr w:rsidR="0075777C" w:rsidRPr="00822C52" w:rsidTr="00DF0DAE">
        <w:trPr>
          <w:trHeight w:val="70"/>
        </w:trPr>
        <w:tc>
          <w:tcPr>
            <w:tcW w:w="1555" w:type="dxa"/>
          </w:tcPr>
          <w:p w:rsidR="0075777C" w:rsidRDefault="0075777C" w:rsidP="00DF0DAE">
            <w:pPr>
              <w:pStyle w:val="Tabletext"/>
            </w:pPr>
            <w:r w:rsidRPr="00822C52">
              <w:t>STEP</w:t>
            </w:r>
            <w:r w:rsidR="001D34EE" w:rsidRPr="001A1C44">
              <w:rPr>
                <w:noProof/>
                <w:vertAlign w:val="superscript"/>
              </w:rPr>
              <w:t>48</w:t>
            </w:r>
            <w:r w:rsidR="004B50B3" w:rsidRPr="00E03CA3">
              <w:rPr>
                <w:rFonts w:cs="Tahoma"/>
                <w:vertAlign w:val="superscript"/>
              </w:rPr>
              <w:t xml:space="preserve"> a</w:t>
            </w:r>
          </w:p>
          <w:p w:rsidR="00DF0DAE" w:rsidRPr="00822C52" w:rsidRDefault="00DF0DAE" w:rsidP="006B4B22">
            <w:pPr>
              <w:pStyle w:val="Tabletext"/>
              <w:rPr>
                <w:rFonts w:cs="Tahoma"/>
              </w:rPr>
            </w:pPr>
            <w:r>
              <w:t>(</w:t>
            </w:r>
            <w:r w:rsidR="006B4B22">
              <w:t>WHO</w:t>
            </w:r>
            <w:r>
              <w:t xml:space="preserve"> FC III/IV)</w:t>
            </w:r>
          </w:p>
        </w:tc>
        <w:tc>
          <w:tcPr>
            <w:tcW w:w="2268" w:type="dxa"/>
          </w:tcPr>
          <w:p w:rsidR="0075777C" w:rsidRPr="00822C52" w:rsidRDefault="0075777C" w:rsidP="00DF0DAE">
            <w:pPr>
              <w:pStyle w:val="Tabletext"/>
            </w:pPr>
            <w:r w:rsidRPr="00822C52">
              <w:t>Iloprost/bosentan</w:t>
            </w:r>
          </w:p>
          <w:p w:rsidR="0075777C" w:rsidRPr="00DF0DAE" w:rsidRDefault="0075777C" w:rsidP="00DF0DAE">
            <w:pPr>
              <w:pStyle w:val="Tabletext"/>
            </w:pPr>
            <w:r w:rsidRPr="00822C52">
              <w:t>12 weeks</w:t>
            </w:r>
          </w:p>
        </w:tc>
        <w:tc>
          <w:tcPr>
            <w:tcW w:w="2055" w:type="dxa"/>
          </w:tcPr>
          <w:p w:rsidR="0075777C" w:rsidRPr="00822C52" w:rsidRDefault="0075777C" w:rsidP="00DF0DAE">
            <w:pPr>
              <w:pStyle w:val="Tabletext"/>
              <w:jc w:val="center"/>
              <w:rPr>
                <w:rFonts w:cs="Tahoma"/>
                <w:highlight w:val="cyan"/>
              </w:rPr>
            </w:pPr>
            <w:r w:rsidRPr="00822C52">
              <w:rPr>
                <w:rFonts w:cs="Tahoma"/>
              </w:rPr>
              <w:t>0/32 (0%)</w:t>
            </w:r>
          </w:p>
        </w:tc>
        <w:tc>
          <w:tcPr>
            <w:tcW w:w="2055" w:type="dxa"/>
          </w:tcPr>
          <w:p w:rsidR="0075777C" w:rsidRPr="00822C52" w:rsidRDefault="0075777C" w:rsidP="004B50B3">
            <w:pPr>
              <w:pStyle w:val="Tabletext"/>
              <w:jc w:val="center"/>
              <w:rPr>
                <w:rFonts w:cs="Tahoma"/>
                <w:highlight w:val="cyan"/>
              </w:rPr>
            </w:pPr>
            <w:r>
              <w:rPr>
                <w:rFonts w:cs="Tahoma"/>
              </w:rPr>
              <w:t>0</w:t>
            </w:r>
            <w:r w:rsidRPr="00822C52">
              <w:rPr>
                <w:rFonts w:cs="Tahoma"/>
              </w:rPr>
              <w:t>/33 (</w:t>
            </w:r>
            <w:r>
              <w:rPr>
                <w:rFonts w:cs="Tahoma"/>
              </w:rPr>
              <w:t>0</w:t>
            </w:r>
            <w:r w:rsidRPr="00822C52">
              <w:rPr>
                <w:rFonts w:cs="Tahoma"/>
              </w:rPr>
              <w:t>%)</w:t>
            </w:r>
          </w:p>
        </w:tc>
        <w:tc>
          <w:tcPr>
            <w:tcW w:w="1701" w:type="dxa"/>
          </w:tcPr>
          <w:p w:rsidR="0075777C" w:rsidRPr="00822C52" w:rsidRDefault="0075777C" w:rsidP="00DF0DAE">
            <w:pPr>
              <w:pStyle w:val="Tabletext"/>
              <w:rPr>
                <w:rFonts w:cs="Tahoma"/>
                <w:highlight w:val="cyan"/>
              </w:rPr>
            </w:pPr>
            <w:r>
              <w:rPr>
                <w:rFonts w:cs="Tahoma"/>
              </w:rPr>
              <w:t>Not calculable</w:t>
            </w:r>
          </w:p>
        </w:tc>
      </w:tr>
    </w:tbl>
    <w:p w:rsidR="0075777C" w:rsidRDefault="0075777C" w:rsidP="00DF0DAE">
      <w:pPr>
        <w:pStyle w:val="Tablenote"/>
      </w:pPr>
      <w:proofErr w:type="gramStart"/>
      <w:r w:rsidRPr="00E03CA3">
        <w:rPr>
          <w:vertAlign w:val="superscript"/>
        </w:rPr>
        <w:t>a</w:t>
      </w:r>
      <w:proofErr w:type="gramEnd"/>
      <w:r>
        <w:rPr>
          <w:vertAlign w:val="superscript"/>
        </w:rPr>
        <w:t xml:space="preserve"> </w:t>
      </w:r>
      <w:r>
        <w:t xml:space="preserve">One patient in the monotherapy group had </w:t>
      </w:r>
      <w:r w:rsidR="006B4B22">
        <w:t>WHO</w:t>
      </w:r>
      <w:r>
        <w:t xml:space="preserve"> FC II PAH</w:t>
      </w:r>
    </w:p>
    <w:p w:rsidR="0075777C" w:rsidRPr="00822C52" w:rsidRDefault="0075777C" w:rsidP="00DF0DAE">
      <w:pPr>
        <w:pStyle w:val="Tablenote"/>
      </w:pPr>
      <w:r w:rsidRPr="00822C52">
        <w:t xml:space="preserve">CI = confidence interval; </w:t>
      </w:r>
      <w:r w:rsidRPr="007973E4">
        <w:t xml:space="preserve">ERA = endothelin receptor antagonist; </w:t>
      </w:r>
      <w:r w:rsidR="001E16B8">
        <w:t xml:space="preserve">FC = functional class; </w:t>
      </w:r>
      <w:r w:rsidRPr="00822C52">
        <w:t xml:space="preserve">n = number of </w:t>
      </w:r>
      <w:r w:rsidR="001E16B8">
        <w:t xml:space="preserve">patients with </w:t>
      </w:r>
      <w:r w:rsidRPr="00822C52">
        <w:t>events; N = number of patients; PAH = pulmonary arterial hypertension; RR = relative risk</w:t>
      </w:r>
      <w:r>
        <w:t>; WHO = World Health Organization</w:t>
      </w:r>
    </w:p>
    <w:p w:rsidR="0075777C" w:rsidRPr="00822C52" w:rsidRDefault="002E4833" w:rsidP="0075777C">
      <w:pPr>
        <w:pStyle w:val="Heading5"/>
      </w:pPr>
      <w:r>
        <w:t>c.</w:t>
      </w:r>
      <w:r w:rsidR="00761752">
        <w:tab/>
      </w:r>
      <w:r w:rsidR="00C828F9" w:rsidRPr="006316DF">
        <w:t>Hospitalisation</w:t>
      </w:r>
      <w:r w:rsidR="00C828F9" w:rsidRPr="0046652B">
        <w:t xml:space="preserve"> due to worsening PAH</w:t>
      </w:r>
    </w:p>
    <w:p w:rsidR="0075777C" w:rsidRPr="00822C52" w:rsidRDefault="002E4833" w:rsidP="0077344D">
      <w:pPr>
        <w:pStyle w:val="Heading6"/>
      </w:pPr>
      <w:proofErr w:type="gramStart"/>
      <w:r>
        <w:t>c</w:t>
      </w:r>
      <w:r w:rsidR="0075777C" w:rsidRPr="00822C52">
        <w:t>.ii</w:t>
      </w:r>
      <w:proofErr w:type="gramEnd"/>
      <w:r w:rsidR="0075777C" w:rsidRPr="00822C52">
        <w:tab/>
        <w:t>PAH patients with FC III or IV</w:t>
      </w:r>
    </w:p>
    <w:p w:rsidR="0075777C" w:rsidRDefault="0075777C" w:rsidP="0075777C">
      <w:r w:rsidRPr="00197602">
        <w:t xml:space="preserve">The COMBI trial reported that no patients </w:t>
      </w:r>
      <w:r>
        <w:t xml:space="preserve">were hospitalised for </w:t>
      </w:r>
      <w:r w:rsidR="000D36D2">
        <w:t xml:space="preserve">worsening </w:t>
      </w:r>
      <w:r>
        <w:t>PAH</w:t>
      </w:r>
      <w:r w:rsidRPr="00197602">
        <w:t xml:space="preserve"> during the study period and the STEP study </w:t>
      </w:r>
      <w:r>
        <w:t>reported that four patients in the monotherapy group were hospitalised for worsening PAH (</w:t>
      </w:r>
      <w:r w:rsidR="003951FA">
        <w:t>Table 4.</w:t>
      </w:r>
      <w:r w:rsidR="003951FA">
        <w:rPr>
          <w:noProof/>
        </w:rPr>
        <w:t>80</w:t>
      </w:r>
      <w:r>
        <w:t>). As no patients in the combination therapy group died, the RR could not be calculated (</w:t>
      </w:r>
      <w:r w:rsidR="00C035C0">
        <w:t xml:space="preserve">pooled </w:t>
      </w:r>
      <w:r w:rsidR="00B21201">
        <w:t>ARD</w:t>
      </w:r>
      <w:r w:rsidR="00B60655">
        <w:t> </w:t>
      </w:r>
      <w:r w:rsidRPr="00707847">
        <w:t>=</w:t>
      </w:r>
      <w:r w:rsidR="00B60655">
        <w:t> </w:t>
      </w:r>
      <w:r>
        <w:t>−</w:t>
      </w:r>
      <w:proofErr w:type="gramStart"/>
      <w:r w:rsidR="00C035C0">
        <w:t>5.5</w:t>
      </w:r>
      <w:r>
        <w:t>%</w:t>
      </w:r>
      <w:proofErr w:type="gramEnd"/>
      <w:r>
        <w:t>; 95% CI −</w:t>
      </w:r>
      <w:r w:rsidR="00C035C0">
        <w:t>18.9</w:t>
      </w:r>
      <w:r>
        <w:t xml:space="preserve">, </w:t>
      </w:r>
      <w:r w:rsidR="00C035C0">
        <w:t>7.8</w:t>
      </w:r>
      <w:r>
        <w:t>; p</w:t>
      </w:r>
      <w:r w:rsidR="00B60655">
        <w:t> </w:t>
      </w:r>
      <w:r>
        <w:t>=</w:t>
      </w:r>
      <w:r w:rsidR="00B60655">
        <w:t> </w:t>
      </w:r>
      <w:r>
        <w:t>0.0</w:t>
      </w:r>
      <w:r w:rsidR="00C035C0">
        <w:t>8</w:t>
      </w:r>
      <w:r>
        <w:t xml:space="preserve">). Thus, </w:t>
      </w:r>
      <w:r w:rsidR="004510DE">
        <w:t>19</w:t>
      </w:r>
      <w:r>
        <w:t xml:space="preserve"> patients with WHO FC III/IV PAH need to </w:t>
      </w:r>
      <w:proofErr w:type="gramStart"/>
      <w:r>
        <w:t>be treated</w:t>
      </w:r>
      <w:proofErr w:type="gramEnd"/>
      <w:r>
        <w:t xml:space="preserve"> with </w:t>
      </w:r>
      <w:r w:rsidR="00DF0DAE">
        <w:t>prostanoid</w:t>
      </w:r>
      <w:r>
        <w:t xml:space="preserve"> plus ERA combination therapy to avoid hospitalisation in one additional patient compared with ERA monotherapy.</w:t>
      </w:r>
    </w:p>
    <w:p w:rsidR="0075777C" w:rsidRPr="00DD7790" w:rsidRDefault="00272F8F" w:rsidP="00BC5A2B">
      <w:pPr>
        <w:pStyle w:val="Caption"/>
      </w:pPr>
      <w:bookmarkStart w:id="251" w:name="_Ref504656759"/>
      <w:bookmarkStart w:id="252" w:name="_Toc38360377"/>
      <w:r>
        <w:t>Table 4.</w:t>
      </w:r>
      <w:r w:rsidR="003951FA">
        <w:rPr>
          <w:noProof/>
        </w:rPr>
        <w:t>80</w:t>
      </w:r>
      <w:bookmarkEnd w:id="251"/>
      <w:r w:rsidR="00DF0DAE">
        <w:tab/>
      </w:r>
      <w:r w:rsidR="0075777C">
        <w:t xml:space="preserve">Hospitalisation </w:t>
      </w:r>
      <w:r w:rsidR="00881371">
        <w:t>due to PAH</w:t>
      </w:r>
      <w:r w:rsidR="00881371" w:rsidRPr="00DD7790">
        <w:t xml:space="preserve"> </w:t>
      </w:r>
      <w:r w:rsidR="0075777C" w:rsidRPr="00DD7790">
        <w:t xml:space="preserve">for </w:t>
      </w:r>
      <w:r w:rsidR="007E59EC">
        <w:t xml:space="preserve">a prostanoid in addition to an ERA compared with </w:t>
      </w:r>
      <w:r w:rsidR="007E59EC" w:rsidRPr="00DD7790">
        <w:t xml:space="preserve">ERA </w:t>
      </w:r>
      <w:r w:rsidR="007E59EC">
        <w:t>monotherapy</w:t>
      </w:r>
      <w:r w:rsidR="007E59EC" w:rsidRPr="000B5733">
        <w:t xml:space="preserve"> </w:t>
      </w:r>
      <w:r w:rsidR="0075777C" w:rsidRPr="000B5733">
        <w:t>in patients with WHO FC III/IV PAH</w:t>
      </w:r>
      <w:bookmarkEnd w:id="252"/>
    </w:p>
    <w:tbl>
      <w:tblPr>
        <w:tblStyle w:val="TableGrid7"/>
        <w:tblW w:w="9634" w:type="dxa"/>
        <w:tblLayout w:type="fixed"/>
        <w:tblLook w:val="04A0" w:firstRow="1" w:lastRow="0" w:firstColumn="1" w:lastColumn="0" w:noHBand="0" w:noVBand="1"/>
        <w:tblCaption w:val="Hospitalisation due to PAH for a prostanoid in addition to an ERA compared with ERA monotherapy in patients with WHO FC III/IV PAH"/>
      </w:tblPr>
      <w:tblGrid>
        <w:gridCol w:w="1413"/>
        <w:gridCol w:w="1843"/>
        <w:gridCol w:w="2197"/>
        <w:gridCol w:w="2197"/>
        <w:gridCol w:w="1984"/>
      </w:tblGrid>
      <w:tr w:rsidR="0075777C" w:rsidRPr="00822C52" w:rsidTr="00DF0DAE">
        <w:trPr>
          <w:trHeight w:val="298"/>
          <w:tblHeader/>
        </w:trPr>
        <w:tc>
          <w:tcPr>
            <w:tcW w:w="1413" w:type="dxa"/>
            <w:vMerge w:val="restart"/>
            <w:shd w:val="clear" w:color="auto" w:fill="BFBFBF" w:themeFill="background1" w:themeFillShade="BF"/>
          </w:tcPr>
          <w:p w:rsidR="0075777C" w:rsidRPr="00DF0DAE" w:rsidRDefault="0075777C" w:rsidP="00DF0DAE">
            <w:pPr>
              <w:pStyle w:val="Tabletext"/>
              <w:rPr>
                <w:b/>
              </w:rPr>
            </w:pPr>
            <w:r w:rsidRPr="00DF0DAE">
              <w:rPr>
                <w:b/>
              </w:rPr>
              <w:t>Study ID</w:t>
            </w:r>
          </w:p>
        </w:tc>
        <w:tc>
          <w:tcPr>
            <w:tcW w:w="1843" w:type="dxa"/>
            <w:vMerge w:val="restart"/>
            <w:shd w:val="clear" w:color="auto" w:fill="BFBFBF" w:themeFill="background1" w:themeFillShade="BF"/>
          </w:tcPr>
          <w:p w:rsidR="0075777C" w:rsidRPr="00DF0DAE" w:rsidRDefault="0075777C" w:rsidP="00DF0DAE">
            <w:pPr>
              <w:pStyle w:val="Tabletext"/>
              <w:rPr>
                <w:b/>
              </w:rPr>
            </w:pPr>
            <w:r w:rsidRPr="00DF0DAE">
              <w:rPr>
                <w:b/>
              </w:rPr>
              <w:t>Follow-up period</w:t>
            </w:r>
          </w:p>
          <w:p w:rsidR="0075777C" w:rsidRPr="00DF0DAE" w:rsidRDefault="0075777C" w:rsidP="00DF0DAE">
            <w:pPr>
              <w:pStyle w:val="Tabletext"/>
              <w:rPr>
                <w:b/>
              </w:rPr>
            </w:pPr>
            <w:r w:rsidRPr="00DF0DAE">
              <w:rPr>
                <w:b/>
              </w:rPr>
              <w:t>Prostanoid/ERA</w:t>
            </w:r>
          </w:p>
        </w:tc>
        <w:tc>
          <w:tcPr>
            <w:tcW w:w="4394" w:type="dxa"/>
            <w:gridSpan w:val="2"/>
            <w:shd w:val="clear" w:color="auto" w:fill="BFBFBF" w:themeFill="background1" w:themeFillShade="BF"/>
          </w:tcPr>
          <w:p w:rsidR="0075777C" w:rsidRPr="00DF0DAE" w:rsidRDefault="0075777C" w:rsidP="00DF0DAE">
            <w:pPr>
              <w:pStyle w:val="Tabletext"/>
              <w:jc w:val="center"/>
              <w:rPr>
                <w:b/>
              </w:rPr>
            </w:pPr>
            <w:proofErr w:type="gramStart"/>
            <w:r w:rsidRPr="00DF0DAE">
              <w:rPr>
                <w:b/>
              </w:rPr>
              <w:t>n/N</w:t>
            </w:r>
            <w:proofErr w:type="gramEnd"/>
            <w:r w:rsidRPr="00DF0DAE">
              <w:rPr>
                <w:b/>
              </w:rPr>
              <w:t xml:space="preserve"> (%)</w:t>
            </w:r>
          </w:p>
        </w:tc>
        <w:tc>
          <w:tcPr>
            <w:tcW w:w="1984" w:type="dxa"/>
            <w:vMerge w:val="restart"/>
            <w:shd w:val="clear" w:color="auto" w:fill="BFBFBF" w:themeFill="background1" w:themeFillShade="BF"/>
          </w:tcPr>
          <w:p w:rsidR="0075777C" w:rsidRPr="00DF0DAE" w:rsidRDefault="0075777C" w:rsidP="00DF0DAE">
            <w:pPr>
              <w:pStyle w:val="Tabletext"/>
              <w:rPr>
                <w:b/>
              </w:rPr>
            </w:pPr>
            <w:r w:rsidRPr="00DF0DAE">
              <w:rPr>
                <w:b/>
              </w:rPr>
              <w:t>RR (95% CI)</w:t>
            </w:r>
          </w:p>
        </w:tc>
      </w:tr>
      <w:tr w:rsidR="0075777C" w:rsidRPr="00822C52" w:rsidTr="00DF0DAE">
        <w:trPr>
          <w:trHeight w:val="202"/>
          <w:tblHeader/>
        </w:trPr>
        <w:tc>
          <w:tcPr>
            <w:tcW w:w="1413" w:type="dxa"/>
            <w:vMerge/>
            <w:shd w:val="clear" w:color="auto" w:fill="BFBFBF" w:themeFill="background1" w:themeFillShade="BF"/>
          </w:tcPr>
          <w:p w:rsidR="0075777C" w:rsidRPr="00822C52" w:rsidRDefault="0075777C" w:rsidP="00DF0DAE">
            <w:pPr>
              <w:pStyle w:val="Tabletext"/>
            </w:pPr>
          </w:p>
        </w:tc>
        <w:tc>
          <w:tcPr>
            <w:tcW w:w="1843" w:type="dxa"/>
            <w:vMerge/>
            <w:shd w:val="clear" w:color="auto" w:fill="BFBFBF" w:themeFill="background1" w:themeFillShade="BF"/>
          </w:tcPr>
          <w:p w:rsidR="0075777C" w:rsidRPr="00822C52" w:rsidRDefault="0075777C" w:rsidP="00DF0DAE">
            <w:pPr>
              <w:pStyle w:val="Tabletext"/>
            </w:pPr>
          </w:p>
        </w:tc>
        <w:tc>
          <w:tcPr>
            <w:tcW w:w="2197" w:type="dxa"/>
            <w:shd w:val="clear" w:color="auto" w:fill="BFBFBF" w:themeFill="background1" w:themeFillShade="BF"/>
          </w:tcPr>
          <w:p w:rsidR="0075777C" w:rsidRPr="00DF0DAE" w:rsidRDefault="0075777C" w:rsidP="00DF0DAE">
            <w:pPr>
              <w:pStyle w:val="Tabletext"/>
              <w:jc w:val="center"/>
              <w:rPr>
                <w:b/>
              </w:rPr>
            </w:pPr>
            <w:r w:rsidRPr="00DF0DAE">
              <w:rPr>
                <w:b/>
              </w:rPr>
              <w:t>Prostanoid + ERA</w:t>
            </w:r>
          </w:p>
        </w:tc>
        <w:tc>
          <w:tcPr>
            <w:tcW w:w="2197" w:type="dxa"/>
            <w:shd w:val="clear" w:color="auto" w:fill="BFBFBF" w:themeFill="background1" w:themeFillShade="BF"/>
          </w:tcPr>
          <w:p w:rsidR="0075777C" w:rsidRPr="00DF0DAE" w:rsidRDefault="0075777C" w:rsidP="00DF0DAE">
            <w:pPr>
              <w:pStyle w:val="Tabletext"/>
              <w:jc w:val="center"/>
              <w:rPr>
                <w:b/>
              </w:rPr>
            </w:pPr>
            <w:r w:rsidRPr="00DF0DAE">
              <w:rPr>
                <w:b/>
              </w:rPr>
              <w:t>ERA</w:t>
            </w:r>
          </w:p>
        </w:tc>
        <w:tc>
          <w:tcPr>
            <w:tcW w:w="1984" w:type="dxa"/>
            <w:vMerge/>
            <w:shd w:val="clear" w:color="auto" w:fill="BFBFBF" w:themeFill="background1" w:themeFillShade="BF"/>
          </w:tcPr>
          <w:p w:rsidR="0075777C" w:rsidRPr="00822C52" w:rsidRDefault="0075777C" w:rsidP="00DF0DAE">
            <w:pPr>
              <w:pStyle w:val="Tabletext"/>
            </w:pPr>
          </w:p>
        </w:tc>
      </w:tr>
      <w:tr w:rsidR="00DF0DAE" w:rsidRPr="00822C52" w:rsidTr="00DF0DAE">
        <w:trPr>
          <w:trHeight w:val="70"/>
        </w:trPr>
        <w:tc>
          <w:tcPr>
            <w:tcW w:w="1413" w:type="dxa"/>
          </w:tcPr>
          <w:p w:rsidR="00DF0DAE" w:rsidRDefault="00DF0DAE" w:rsidP="00DF0DAE">
            <w:pPr>
              <w:pStyle w:val="Tabletext"/>
            </w:pPr>
            <w:r w:rsidRPr="00822C52">
              <w:t>COMBI</w:t>
            </w:r>
            <w:r w:rsidR="001D34EE" w:rsidRPr="001A1C44">
              <w:rPr>
                <w:noProof/>
                <w:vertAlign w:val="superscript"/>
              </w:rPr>
              <w:t>36</w:t>
            </w:r>
          </w:p>
          <w:p w:rsidR="00DF0DAE" w:rsidRPr="00822C52" w:rsidRDefault="00DF0DAE" w:rsidP="00DF0DAE">
            <w:pPr>
              <w:pStyle w:val="Tabletext"/>
              <w:rPr>
                <w:rFonts w:cs="Tahoma"/>
              </w:rPr>
            </w:pPr>
            <w:r>
              <w:t>(</w:t>
            </w:r>
            <w:r w:rsidRPr="00822C52">
              <w:t>WHO FC III</w:t>
            </w:r>
            <w:r>
              <w:t>)</w:t>
            </w:r>
          </w:p>
        </w:tc>
        <w:tc>
          <w:tcPr>
            <w:tcW w:w="1843" w:type="dxa"/>
          </w:tcPr>
          <w:p w:rsidR="00DF0DAE" w:rsidRPr="00822C52" w:rsidRDefault="00DF0DAE" w:rsidP="00DF0DAE">
            <w:pPr>
              <w:pStyle w:val="Tabletext"/>
            </w:pPr>
            <w:r w:rsidRPr="00822C52">
              <w:t>Iloprost/bosentan</w:t>
            </w:r>
          </w:p>
          <w:p w:rsidR="00DF0DAE" w:rsidRPr="00DF0DAE" w:rsidRDefault="00DF0DAE" w:rsidP="00DF0DAE">
            <w:pPr>
              <w:pStyle w:val="Tabletext"/>
            </w:pPr>
            <w:r>
              <w:t>16 weeks</w:t>
            </w:r>
          </w:p>
        </w:tc>
        <w:tc>
          <w:tcPr>
            <w:tcW w:w="2197" w:type="dxa"/>
          </w:tcPr>
          <w:p w:rsidR="00DF0DAE" w:rsidRPr="00822C52" w:rsidRDefault="00DF0DAE" w:rsidP="00DF0DAE">
            <w:pPr>
              <w:pStyle w:val="Tabletext"/>
              <w:jc w:val="center"/>
              <w:rPr>
                <w:rFonts w:cs="Tahoma"/>
              </w:rPr>
            </w:pPr>
            <w:r w:rsidRPr="00822C52">
              <w:rPr>
                <w:rFonts w:cs="Tahoma"/>
              </w:rPr>
              <w:t>0/1</w:t>
            </w:r>
            <w:r>
              <w:rPr>
                <w:rFonts w:cs="Tahoma"/>
              </w:rPr>
              <w:t>9</w:t>
            </w:r>
            <w:r w:rsidRPr="00822C52">
              <w:rPr>
                <w:rFonts w:cs="Tahoma"/>
              </w:rPr>
              <w:t xml:space="preserve"> (0%)</w:t>
            </w:r>
          </w:p>
        </w:tc>
        <w:tc>
          <w:tcPr>
            <w:tcW w:w="2197" w:type="dxa"/>
          </w:tcPr>
          <w:p w:rsidR="00DF0DAE" w:rsidRPr="00822C52" w:rsidRDefault="00DF0DAE" w:rsidP="00DF0DAE">
            <w:pPr>
              <w:pStyle w:val="Tabletext"/>
              <w:jc w:val="center"/>
              <w:rPr>
                <w:rFonts w:cs="Tahoma"/>
              </w:rPr>
            </w:pPr>
            <w:r>
              <w:rPr>
                <w:rFonts w:cs="Tahoma"/>
              </w:rPr>
              <w:t>0</w:t>
            </w:r>
            <w:r w:rsidRPr="00822C52">
              <w:rPr>
                <w:rFonts w:cs="Tahoma"/>
              </w:rPr>
              <w:t>/</w:t>
            </w:r>
            <w:r>
              <w:rPr>
                <w:rFonts w:cs="Tahoma"/>
              </w:rPr>
              <w:t>2</w:t>
            </w:r>
            <w:r w:rsidRPr="00822C52">
              <w:rPr>
                <w:rFonts w:cs="Tahoma"/>
              </w:rPr>
              <w:t>1 (</w:t>
            </w:r>
            <w:r>
              <w:rPr>
                <w:rFonts w:cs="Tahoma"/>
              </w:rPr>
              <w:t>0</w:t>
            </w:r>
            <w:r w:rsidRPr="00822C52">
              <w:rPr>
                <w:rFonts w:cs="Tahoma"/>
              </w:rPr>
              <w:t>%)</w:t>
            </w:r>
          </w:p>
        </w:tc>
        <w:tc>
          <w:tcPr>
            <w:tcW w:w="1984" w:type="dxa"/>
          </w:tcPr>
          <w:p w:rsidR="00DF0DAE" w:rsidRPr="00822C52" w:rsidRDefault="00DF0DAE" w:rsidP="00DF0DAE">
            <w:pPr>
              <w:pStyle w:val="Tabletext"/>
              <w:rPr>
                <w:rFonts w:cs="Tahoma"/>
              </w:rPr>
            </w:pPr>
            <w:r>
              <w:rPr>
                <w:rFonts w:cs="Tahoma"/>
              </w:rPr>
              <w:t>Not calculable</w:t>
            </w:r>
          </w:p>
        </w:tc>
      </w:tr>
      <w:tr w:rsidR="00DF0DAE" w:rsidRPr="00822C52" w:rsidTr="00DF0DAE">
        <w:trPr>
          <w:trHeight w:val="70"/>
        </w:trPr>
        <w:tc>
          <w:tcPr>
            <w:tcW w:w="1413" w:type="dxa"/>
          </w:tcPr>
          <w:p w:rsidR="00DF0DAE" w:rsidRDefault="00DF0DAE" w:rsidP="00DF0DAE">
            <w:pPr>
              <w:pStyle w:val="Tabletext"/>
            </w:pPr>
            <w:r w:rsidRPr="00822C52">
              <w:t>STEP</w:t>
            </w:r>
            <w:r w:rsidR="001D34EE" w:rsidRPr="001A1C44">
              <w:rPr>
                <w:noProof/>
                <w:vertAlign w:val="superscript"/>
              </w:rPr>
              <w:t>48</w:t>
            </w:r>
          </w:p>
          <w:p w:rsidR="00DF0DAE" w:rsidRPr="00822C52" w:rsidRDefault="00DF0DAE" w:rsidP="006B4B22">
            <w:pPr>
              <w:pStyle w:val="Tabletext"/>
            </w:pPr>
            <w:r>
              <w:t>(</w:t>
            </w:r>
            <w:r w:rsidR="006B4B22">
              <w:t xml:space="preserve">WHO </w:t>
            </w:r>
            <w:r>
              <w:t>FC III/IV)</w:t>
            </w:r>
          </w:p>
        </w:tc>
        <w:tc>
          <w:tcPr>
            <w:tcW w:w="1843" w:type="dxa"/>
          </w:tcPr>
          <w:p w:rsidR="00DF0DAE" w:rsidRPr="00822C52" w:rsidRDefault="00DF0DAE" w:rsidP="00DF0DAE">
            <w:pPr>
              <w:pStyle w:val="Tabletext"/>
            </w:pPr>
            <w:r w:rsidRPr="00822C52">
              <w:t>Iloprost/bosentan</w:t>
            </w:r>
          </w:p>
          <w:p w:rsidR="00DF0DAE" w:rsidRPr="00822C52" w:rsidRDefault="00DF0DAE" w:rsidP="00DF0DAE">
            <w:pPr>
              <w:pStyle w:val="Tabletext"/>
            </w:pPr>
            <w:r w:rsidRPr="00822C52">
              <w:t>12 weeks</w:t>
            </w:r>
          </w:p>
        </w:tc>
        <w:tc>
          <w:tcPr>
            <w:tcW w:w="2197" w:type="dxa"/>
          </w:tcPr>
          <w:p w:rsidR="00DF0DAE" w:rsidRPr="00822C52" w:rsidRDefault="00DF0DAE" w:rsidP="00DF0DAE">
            <w:pPr>
              <w:pStyle w:val="Tabletext"/>
              <w:jc w:val="center"/>
              <w:rPr>
                <w:rFonts w:cs="Tahoma"/>
              </w:rPr>
            </w:pPr>
            <w:r w:rsidRPr="00822C52">
              <w:rPr>
                <w:rFonts w:cs="Tahoma"/>
              </w:rPr>
              <w:t>0/32 (0%)</w:t>
            </w:r>
          </w:p>
        </w:tc>
        <w:tc>
          <w:tcPr>
            <w:tcW w:w="2197" w:type="dxa"/>
          </w:tcPr>
          <w:p w:rsidR="00DF0DAE" w:rsidRDefault="00DF0DAE" w:rsidP="00DF0DAE">
            <w:pPr>
              <w:pStyle w:val="Tabletext"/>
              <w:jc w:val="center"/>
              <w:rPr>
                <w:rFonts w:cs="Tahoma"/>
              </w:rPr>
            </w:pPr>
            <w:r>
              <w:rPr>
                <w:rFonts w:cs="Tahoma"/>
              </w:rPr>
              <w:t>4</w:t>
            </w:r>
            <w:r w:rsidRPr="00822C52">
              <w:rPr>
                <w:rFonts w:cs="Tahoma"/>
              </w:rPr>
              <w:t>/33 (</w:t>
            </w:r>
            <w:r>
              <w:rPr>
                <w:rFonts w:cs="Tahoma"/>
              </w:rPr>
              <w:t>12</w:t>
            </w:r>
            <w:r w:rsidRPr="00822C52">
              <w:rPr>
                <w:rFonts w:cs="Tahoma"/>
              </w:rPr>
              <w:t>%)</w:t>
            </w:r>
            <w:r w:rsidRPr="00E03CA3">
              <w:rPr>
                <w:rFonts w:cs="Tahoma"/>
                <w:vertAlign w:val="superscript"/>
              </w:rPr>
              <w:t>a</w:t>
            </w:r>
          </w:p>
        </w:tc>
        <w:tc>
          <w:tcPr>
            <w:tcW w:w="1984" w:type="dxa"/>
          </w:tcPr>
          <w:p w:rsidR="00DF0DAE" w:rsidRDefault="00DF0DAE" w:rsidP="00DF0DAE">
            <w:pPr>
              <w:pStyle w:val="Tabletext"/>
              <w:rPr>
                <w:rFonts w:cs="Tahoma"/>
              </w:rPr>
            </w:pPr>
            <w:r>
              <w:rPr>
                <w:rFonts w:cs="Tahoma"/>
              </w:rPr>
              <w:t>0 (not calculable)</w:t>
            </w:r>
          </w:p>
        </w:tc>
      </w:tr>
    </w:tbl>
    <w:p w:rsidR="0075777C" w:rsidRDefault="0075777C" w:rsidP="00DF0DAE">
      <w:pPr>
        <w:pStyle w:val="Tablenote"/>
      </w:pPr>
      <w:proofErr w:type="gramStart"/>
      <w:r w:rsidRPr="00E03CA3">
        <w:rPr>
          <w:vertAlign w:val="superscript"/>
        </w:rPr>
        <w:t>a</w:t>
      </w:r>
      <w:proofErr w:type="gramEnd"/>
      <w:r>
        <w:rPr>
          <w:vertAlign w:val="superscript"/>
        </w:rPr>
        <w:t xml:space="preserve"> </w:t>
      </w:r>
      <w:r>
        <w:t xml:space="preserve">One patient in the monotherapy group had </w:t>
      </w:r>
      <w:r w:rsidR="006B4B22">
        <w:t>WHO</w:t>
      </w:r>
      <w:r>
        <w:t xml:space="preserve"> FC II PAH</w:t>
      </w:r>
    </w:p>
    <w:p w:rsidR="0075777C" w:rsidRPr="00822C52" w:rsidRDefault="0075777C" w:rsidP="00DF0DAE">
      <w:pPr>
        <w:pStyle w:val="Tablenote"/>
      </w:pPr>
      <w:r w:rsidRPr="00822C52">
        <w:t xml:space="preserve">CI = confidence interval; ERA = endothelin receptor antagonist; </w:t>
      </w:r>
      <w:r w:rsidR="001E16B8">
        <w:t xml:space="preserve">FC = functional class; </w:t>
      </w:r>
      <w:r w:rsidRPr="00822C52">
        <w:t xml:space="preserve">n = number of </w:t>
      </w:r>
      <w:r w:rsidR="001E16B8">
        <w:t xml:space="preserve">patients with </w:t>
      </w:r>
      <w:r w:rsidRPr="00822C52">
        <w:t>events; N = number of patients; PAH = pulmonary arterial hypertension; RR = relative risk</w:t>
      </w:r>
      <w:r>
        <w:t xml:space="preserve">; </w:t>
      </w:r>
      <w:r w:rsidRPr="007973E4">
        <w:t>WHO = World Health Organization</w:t>
      </w:r>
    </w:p>
    <w:p w:rsidR="0075777C" w:rsidRPr="00822C52" w:rsidRDefault="002E4833" w:rsidP="007B6C7C">
      <w:pPr>
        <w:pStyle w:val="Heading5"/>
      </w:pPr>
      <w:r>
        <w:t>d.</w:t>
      </w:r>
      <w:r w:rsidR="00761752">
        <w:tab/>
      </w:r>
      <w:r w:rsidR="0075777C" w:rsidRPr="00822C52">
        <w:t xml:space="preserve">Change in WHO </w:t>
      </w:r>
      <w:r w:rsidR="0075777C">
        <w:t>FC</w:t>
      </w:r>
      <w:r w:rsidR="007B6C7C" w:rsidRPr="007B6C7C">
        <w:t xml:space="preserve"> from baseline</w:t>
      </w:r>
    </w:p>
    <w:p w:rsidR="0075777C" w:rsidRPr="00822C52" w:rsidRDefault="002E4833" w:rsidP="0077344D">
      <w:pPr>
        <w:pStyle w:val="Heading6"/>
      </w:pPr>
      <w:proofErr w:type="gramStart"/>
      <w:r>
        <w:t>d</w:t>
      </w:r>
      <w:r w:rsidR="0075777C" w:rsidRPr="00822C52">
        <w:t>.ii</w:t>
      </w:r>
      <w:proofErr w:type="gramEnd"/>
      <w:r w:rsidR="0075777C" w:rsidRPr="00822C52">
        <w:tab/>
        <w:t>PAH patients with FC III or IV</w:t>
      </w:r>
    </w:p>
    <w:p w:rsidR="0075777C" w:rsidRPr="00822C52" w:rsidRDefault="0075777C" w:rsidP="0075777C">
      <w:r>
        <w:t xml:space="preserve">The results from the STEP trial indicate that patients receiving </w:t>
      </w:r>
      <w:r w:rsidR="00DF0DAE">
        <w:t>prostanoid</w:t>
      </w:r>
      <w:r>
        <w:t xml:space="preserve"> plus ERA combination therapy are almost 6 times more likely to improve in WHO FC than those receiving ERA monotherapy (</w:t>
      </w:r>
      <w:r w:rsidR="003951FA">
        <w:t>Table 4.</w:t>
      </w:r>
      <w:r w:rsidR="003951FA">
        <w:rPr>
          <w:noProof/>
        </w:rPr>
        <w:t>81</w:t>
      </w:r>
      <w:r>
        <w:t xml:space="preserve">; </w:t>
      </w:r>
      <w:r w:rsidR="00B21201">
        <w:t>ARD</w:t>
      </w:r>
      <w:r w:rsidR="00B60655">
        <w:t> </w:t>
      </w:r>
      <w:r w:rsidRPr="00707847">
        <w:t>=</w:t>
      </w:r>
      <w:r w:rsidR="00B60655">
        <w:t> </w:t>
      </w:r>
      <w:r>
        <w:t>28.3%; 95% CI 1.0, 46.7</w:t>
      </w:r>
      <w:r w:rsidR="00DF0DAE">
        <w:t>; p</w:t>
      </w:r>
      <w:r w:rsidR="00B60655">
        <w:t> </w:t>
      </w:r>
      <w:r w:rsidR="00DF0DAE">
        <w:t>=</w:t>
      </w:r>
      <w:r w:rsidR="00B60655">
        <w:t> </w:t>
      </w:r>
      <w:r w:rsidR="00DF0DAE">
        <w:t>0.004</w:t>
      </w:r>
      <w:r>
        <w:t>). Only one patient, who was in the monotherapy group, worsened in WHO FC during the study period. Thus, the RR of clinical worsening could not be calculated (</w:t>
      </w:r>
      <w:r w:rsidR="00B21201">
        <w:t>ARD</w:t>
      </w:r>
      <w:r w:rsidR="00DB6ACB">
        <w:t> </w:t>
      </w:r>
      <w:r w:rsidRPr="00707847">
        <w:t>=</w:t>
      </w:r>
      <w:r w:rsidR="00DB6ACB">
        <w:t> </w:t>
      </w:r>
      <w:r>
        <w:t>−</w:t>
      </w:r>
      <w:proofErr w:type="gramStart"/>
      <w:r>
        <w:t>3.0%</w:t>
      </w:r>
      <w:proofErr w:type="gramEnd"/>
      <w:r>
        <w:t>; 95% CI −8.9, 2.8; p</w:t>
      </w:r>
      <w:r w:rsidR="00DB6ACB">
        <w:t> </w:t>
      </w:r>
      <w:r>
        <w:t>=</w:t>
      </w:r>
      <w:r w:rsidR="00DB6ACB">
        <w:t> </w:t>
      </w:r>
      <w:r>
        <w:t xml:space="preserve">0.32). Overall, </w:t>
      </w:r>
      <w:r w:rsidR="00BD3EF5">
        <w:t>four</w:t>
      </w:r>
      <w:r>
        <w:t xml:space="preserve"> patients </w:t>
      </w:r>
      <w:r w:rsidRPr="00763A20">
        <w:t>with WHO FC III/IV PAH</w:t>
      </w:r>
      <w:r>
        <w:t xml:space="preserve"> need to be treated with </w:t>
      </w:r>
      <w:r w:rsidR="00DF0DAE" w:rsidRPr="002C47B4">
        <w:t>prostanoid</w:t>
      </w:r>
      <w:r w:rsidRPr="002C47B4">
        <w:t xml:space="preserve"> plus ERA combination therapy</w:t>
      </w:r>
      <w:r>
        <w:t xml:space="preserve"> for one additional patient to improve their WHO FC compared with </w:t>
      </w:r>
      <w:r w:rsidRPr="002C47B4">
        <w:t>ERA monotherapy</w:t>
      </w:r>
      <w:r>
        <w:t>, and 3</w:t>
      </w:r>
      <w:r w:rsidR="00BD3EF5">
        <w:t>4</w:t>
      </w:r>
      <w:r>
        <w:t xml:space="preserve"> need to be treated to prevent worsening of WHO FC in one additional patient.</w:t>
      </w:r>
    </w:p>
    <w:p w:rsidR="0075777C" w:rsidRPr="00DD7790" w:rsidRDefault="00272F8F" w:rsidP="00BC5A2B">
      <w:pPr>
        <w:pStyle w:val="Caption"/>
      </w:pPr>
      <w:bookmarkStart w:id="253" w:name="_Ref504656805"/>
      <w:bookmarkStart w:id="254" w:name="_Toc38360378"/>
      <w:r>
        <w:t>Table 4.</w:t>
      </w:r>
      <w:r w:rsidR="003951FA">
        <w:rPr>
          <w:noProof/>
        </w:rPr>
        <w:t>81</w:t>
      </w:r>
      <w:bookmarkEnd w:id="253"/>
      <w:r w:rsidR="00DF0DAE">
        <w:tab/>
      </w:r>
      <w:r w:rsidR="0075777C" w:rsidRPr="00DD7790">
        <w:t>The effect</w:t>
      </w:r>
      <w:r w:rsidR="0075777C">
        <w:t xml:space="preserve">iveness of </w:t>
      </w:r>
      <w:r w:rsidR="007E59EC">
        <w:t xml:space="preserve">a prostanoid in addition to an ERA compared with </w:t>
      </w:r>
      <w:r w:rsidR="007E59EC" w:rsidRPr="00DD7790">
        <w:t xml:space="preserve">ERA </w:t>
      </w:r>
      <w:r w:rsidR="007E59EC">
        <w:t>monotherapy</w:t>
      </w:r>
      <w:r w:rsidR="007E59EC" w:rsidRPr="00DD7790">
        <w:t xml:space="preserve"> </w:t>
      </w:r>
      <w:r w:rsidR="0075777C" w:rsidRPr="00DD7790">
        <w:t>in improving WHO FC in patients with WHO FC III/IV PAH</w:t>
      </w:r>
      <w:bookmarkEnd w:id="254"/>
    </w:p>
    <w:tbl>
      <w:tblPr>
        <w:tblStyle w:val="TableGrid7"/>
        <w:tblW w:w="9634" w:type="dxa"/>
        <w:tblLayout w:type="fixed"/>
        <w:tblLook w:val="04A0" w:firstRow="1" w:lastRow="0" w:firstColumn="1" w:lastColumn="0" w:noHBand="0" w:noVBand="1"/>
        <w:tblCaption w:val="The effectiveness of a prostanoid in addition to an ERA compared with ERA monotherapy in improving WHO FC in patients with WHO FC III/IV PAH"/>
      </w:tblPr>
      <w:tblGrid>
        <w:gridCol w:w="1838"/>
        <w:gridCol w:w="1701"/>
        <w:gridCol w:w="1984"/>
        <w:gridCol w:w="1985"/>
        <w:gridCol w:w="2126"/>
      </w:tblGrid>
      <w:tr w:rsidR="0075777C" w:rsidRPr="00822C52" w:rsidTr="00DF0DAE">
        <w:trPr>
          <w:trHeight w:val="416"/>
          <w:tblHeader/>
        </w:trPr>
        <w:tc>
          <w:tcPr>
            <w:tcW w:w="1838" w:type="dxa"/>
            <w:vMerge w:val="restart"/>
            <w:shd w:val="clear" w:color="auto" w:fill="BFBFBF" w:themeFill="background1" w:themeFillShade="BF"/>
          </w:tcPr>
          <w:p w:rsidR="0075777C" w:rsidRPr="00DF0DAE" w:rsidRDefault="0075777C" w:rsidP="00DF0DAE">
            <w:pPr>
              <w:pStyle w:val="Tabletext"/>
              <w:rPr>
                <w:b/>
              </w:rPr>
            </w:pPr>
            <w:r w:rsidRPr="00DF0DAE">
              <w:rPr>
                <w:b/>
              </w:rPr>
              <w:t>Study ID</w:t>
            </w:r>
          </w:p>
          <w:p w:rsidR="0075777C" w:rsidRPr="00DF0DAE" w:rsidRDefault="0075777C" w:rsidP="00DF0DAE">
            <w:pPr>
              <w:pStyle w:val="Tabletext"/>
              <w:rPr>
                <w:b/>
              </w:rPr>
            </w:pPr>
            <w:r w:rsidRPr="00DF0DAE">
              <w:rPr>
                <w:b/>
              </w:rPr>
              <w:t>Follow-up period</w:t>
            </w:r>
          </w:p>
          <w:p w:rsidR="0075777C" w:rsidRPr="00DF0DAE" w:rsidRDefault="0017012F" w:rsidP="00DF0DAE">
            <w:pPr>
              <w:pStyle w:val="Tabletext"/>
              <w:rPr>
                <w:b/>
              </w:rPr>
            </w:pPr>
            <w:r w:rsidRPr="00DF0DAE">
              <w:rPr>
                <w:b/>
              </w:rPr>
              <w:t>Prostanoid</w:t>
            </w:r>
            <w:r w:rsidR="0075777C" w:rsidRPr="00DF0DAE">
              <w:rPr>
                <w:b/>
              </w:rPr>
              <w:t>/ERA</w:t>
            </w:r>
          </w:p>
        </w:tc>
        <w:tc>
          <w:tcPr>
            <w:tcW w:w="1701" w:type="dxa"/>
            <w:vMerge w:val="restart"/>
            <w:shd w:val="clear" w:color="auto" w:fill="BFBFBF" w:themeFill="background1" w:themeFillShade="BF"/>
          </w:tcPr>
          <w:p w:rsidR="0075777C" w:rsidRPr="00DF0DAE" w:rsidRDefault="0075777C" w:rsidP="00DF0DAE">
            <w:pPr>
              <w:pStyle w:val="Tabletext"/>
              <w:rPr>
                <w:b/>
              </w:rPr>
            </w:pPr>
            <w:r w:rsidRPr="00DF0DAE">
              <w:rPr>
                <w:b/>
              </w:rPr>
              <w:t>Change in WHO FC</w:t>
            </w:r>
          </w:p>
        </w:tc>
        <w:tc>
          <w:tcPr>
            <w:tcW w:w="3969" w:type="dxa"/>
            <w:gridSpan w:val="2"/>
            <w:shd w:val="clear" w:color="auto" w:fill="BFBFBF" w:themeFill="background1" w:themeFillShade="BF"/>
          </w:tcPr>
          <w:p w:rsidR="0075777C" w:rsidRPr="00DF0DAE" w:rsidRDefault="0075777C" w:rsidP="00DF0DAE">
            <w:pPr>
              <w:pStyle w:val="Tabletext"/>
              <w:jc w:val="center"/>
              <w:rPr>
                <w:b/>
              </w:rPr>
            </w:pPr>
            <w:proofErr w:type="gramStart"/>
            <w:r w:rsidRPr="00DF0DAE">
              <w:rPr>
                <w:b/>
              </w:rPr>
              <w:t>n/N</w:t>
            </w:r>
            <w:proofErr w:type="gramEnd"/>
            <w:r w:rsidRPr="00DF0DAE">
              <w:rPr>
                <w:b/>
              </w:rPr>
              <w:t xml:space="preserve"> (%)</w:t>
            </w:r>
          </w:p>
        </w:tc>
        <w:tc>
          <w:tcPr>
            <w:tcW w:w="2126" w:type="dxa"/>
            <w:vMerge w:val="restart"/>
            <w:shd w:val="clear" w:color="auto" w:fill="BFBFBF" w:themeFill="background1" w:themeFillShade="BF"/>
          </w:tcPr>
          <w:p w:rsidR="0075777C" w:rsidRPr="00DF0DAE" w:rsidRDefault="0075777C" w:rsidP="00DF0DAE">
            <w:pPr>
              <w:pStyle w:val="Tabletext"/>
              <w:rPr>
                <w:b/>
              </w:rPr>
            </w:pPr>
            <w:r w:rsidRPr="00DF0DAE">
              <w:rPr>
                <w:b/>
              </w:rPr>
              <w:t>RR (95% CI)</w:t>
            </w:r>
          </w:p>
        </w:tc>
      </w:tr>
      <w:tr w:rsidR="0075777C" w:rsidRPr="00822C52" w:rsidTr="00DF0DAE">
        <w:trPr>
          <w:trHeight w:val="202"/>
          <w:tblHeader/>
        </w:trPr>
        <w:tc>
          <w:tcPr>
            <w:tcW w:w="1838" w:type="dxa"/>
            <w:vMerge/>
            <w:tcBorders>
              <w:bottom w:val="single" w:sz="4" w:space="0" w:color="auto"/>
            </w:tcBorders>
            <w:shd w:val="clear" w:color="auto" w:fill="BFBFBF" w:themeFill="background1" w:themeFillShade="BF"/>
          </w:tcPr>
          <w:p w:rsidR="0075777C" w:rsidRPr="00822C52" w:rsidRDefault="0075777C" w:rsidP="00DF0DAE">
            <w:pPr>
              <w:pStyle w:val="Tabletext"/>
            </w:pPr>
          </w:p>
        </w:tc>
        <w:tc>
          <w:tcPr>
            <w:tcW w:w="1701" w:type="dxa"/>
            <w:vMerge/>
            <w:tcBorders>
              <w:bottom w:val="single" w:sz="4" w:space="0" w:color="auto"/>
            </w:tcBorders>
            <w:shd w:val="clear" w:color="auto" w:fill="BFBFBF" w:themeFill="background1" w:themeFillShade="BF"/>
          </w:tcPr>
          <w:p w:rsidR="0075777C" w:rsidRPr="00822C52" w:rsidRDefault="0075777C" w:rsidP="00DF0DAE">
            <w:pPr>
              <w:pStyle w:val="Tabletext"/>
            </w:pPr>
          </w:p>
        </w:tc>
        <w:tc>
          <w:tcPr>
            <w:tcW w:w="1984" w:type="dxa"/>
            <w:tcBorders>
              <w:bottom w:val="single" w:sz="4" w:space="0" w:color="auto"/>
            </w:tcBorders>
            <w:shd w:val="clear" w:color="auto" w:fill="BFBFBF" w:themeFill="background1" w:themeFillShade="BF"/>
          </w:tcPr>
          <w:p w:rsidR="0075777C" w:rsidRPr="00DF0DAE" w:rsidRDefault="0075777C" w:rsidP="00DF0DAE">
            <w:pPr>
              <w:pStyle w:val="Tabletext"/>
              <w:jc w:val="center"/>
              <w:rPr>
                <w:b/>
              </w:rPr>
            </w:pPr>
            <w:r w:rsidRPr="00DF0DAE">
              <w:rPr>
                <w:b/>
              </w:rPr>
              <w:t>Prostanoid + ERA</w:t>
            </w:r>
          </w:p>
        </w:tc>
        <w:tc>
          <w:tcPr>
            <w:tcW w:w="1985" w:type="dxa"/>
            <w:tcBorders>
              <w:bottom w:val="single" w:sz="4" w:space="0" w:color="auto"/>
            </w:tcBorders>
            <w:shd w:val="clear" w:color="auto" w:fill="BFBFBF" w:themeFill="background1" w:themeFillShade="BF"/>
          </w:tcPr>
          <w:p w:rsidR="0075777C" w:rsidRPr="00DF0DAE" w:rsidRDefault="0075777C" w:rsidP="00F30334">
            <w:pPr>
              <w:pStyle w:val="Tabletext"/>
              <w:jc w:val="center"/>
              <w:rPr>
                <w:b/>
              </w:rPr>
            </w:pPr>
            <w:r w:rsidRPr="00DF0DAE">
              <w:rPr>
                <w:b/>
              </w:rPr>
              <w:t>ERA</w:t>
            </w:r>
          </w:p>
        </w:tc>
        <w:tc>
          <w:tcPr>
            <w:tcW w:w="2126" w:type="dxa"/>
            <w:vMerge/>
            <w:tcBorders>
              <w:bottom w:val="single" w:sz="4" w:space="0" w:color="auto"/>
            </w:tcBorders>
            <w:shd w:val="clear" w:color="auto" w:fill="BFBFBF" w:themeFill="background1" w:themeFillShade="BF"/>
          </w:tcPr>
          <w:p w:rsidR="0075777C" w:rsidRPr="00822C52" w:rsidRDefault="0075777C" w:rsidP="00DF0DAE">
            <w:pPr>
              <w:pStyle w:val="Tabletext"/>
            </w:pPr>
          </w:p>
        </w:tc>
      </w:tr>
      <w:tr w:rsidR="0075777C" w:rsidRPr="00822C52" w:rsidTr="00DF0DAE">
        <w:trPr>
          <w:trHeight w:val="70"/>
        </w:trPr>
        <w:tc>
          <w:tcPr>
            <w:tcW w:w="1838" w:type="dxa"/>
            <w:vMerge w:val="restart"/>
            <w:tcBorders>
              <w:bottom w:val="nil"/>
            </w:tcBorders>
          </w:tcPr>
          <w:p w:rsidR="0075777C" w:rsidRPr="00822C52" w:rsidRDefault="0075777C" w:rsidP="00DF0DAE">
            <w:pPr>
              <w:pStyle w:val="Tabletext"/>
              <w:rPr>
                <w:rFonts w:cs="Tahoma"/>
              </w:rPr>
            </w:pPr>
            <w:r w:rsidRPr="00822C52">
              <w:rPr>
                <w:rFonts w:cs="Tahoma"/>
              </w:rPr>
              <w:t>STEP</w:t>
            </w:r>
            <w:r w:rsidR="001D34EE" w:rsidRPr="001A1C44">
              <w:rPr>
                <w:rFonts w:cs="Tahoma"/>
                <w:noProof/>
                <w:vertAlign w:val="superscript"/>
              </w:rPr>
              <w:t>48</w:t>
            </w:r>
            <w:r w:rsidR="00F30334">
              <w:rPr>
                <w:rFonts w:cs="Tahoma"/>
              </w:rPr>
              <w:t xml:space="preserve"> </w:t>
            </w:r>
            <w:r w:rsidR="00F30334" w:rsidRPr="00E03CA3">
              <w:rPr>
                <w:rFonts w:cs="Tahoma"/>
                <w:vertAlign w:val="superscript"/>
              </w:rPr>
              <w:t>a</w:t>
            </w:r>
          </w:p>
          <w:p w:rsidR="0075777C" w:rsidRPr="00822C52" w:rsidRDefault="0075777C" w:rsidP="00DF0DAE">
            <w:pPr>
              <w:pStyle w:val="Tabletext"/>
              <w:rPr>
                <w:rFonts w:cs="Tahoma"/>
              </w:rPr>
            </w:pPr>
            <w:r w:rsidRPr="00822C52">
              <w:rPr>
                <w:rFonts w:cs="Tahoma"/>
              </w:rPr>
              <w:t>12 weeks</w:t>
            </w:r>
          </w:p>
          <w:p w:rsidR="0075777C" w:rsidRPr="00822C52" w:rsidRDefault="0075777C" w:rsidP="00DF0DAE">
            <w:pPr>
              <w:pStyle w:val="Tabletext"/>
              <w:rPr>
                <w:rFonts w:cs="Tahoma"/>
              </w:rPr>
            </w:pPr>
            <w:r w:rsidRPr="00822C52">
              <w:rPr>
                <w:rFonts w:cs="Tahoma"/>
              </w:rPr>
              <w:t>Iloprost/bosentan</w:t>
            </w:r>
          </w:p>
        </w:tc>
        <w:tc>
          <w:tcPr>
            <w:tcW w:w="1701" w:type="dxa"/>
            <w:tcBorders>
              <w:bottom w:val="nil"/>
            </w:tcBorders>
          </w:tcPr>
          <w:p w:rsidR="0075777C" w:rsidRPr="00822C52" w:rsidRDefault="0075777C" w:rsidP="00DF0DAE">
            <w:pPr>
              <w:pStyle w:val="Tabletext"/>
              <w:rPr>
                <w:rFonts w:cs="Tahoma"/>
              </w:rPr>
            </w:pPr>
            <w:r w:rsidRPr="00822C52">
              <w:rPr>
                <w:rFonts w:cs="Tahoma"/>
              </w:rPr>
              <w:t>Improved</w:t>
            </w:r>
          </w:p>
        </w:tc>
        <w:tc>
          <w:tcPr>
            <w:tcW w:w="1984" w:type="dxa"/>
            <w:tcBorders>
              <w:bottom w:val="nil"/>
            </w:tcBorders>
          </w:tcPr>
          <w:p w:rsidR="0075777C" w:rsidRPr="00822C52" w:rsidRDefault="0075777C" w:rsidP="00DF0DAE">
            <w:pPr>
              <w:pStyle w:val="Tabletext"/>
              <w:jc w:val="center"/>
              <w:rPr>
                <w:rFonts w:cs="Tahoma"/>
              </w:rPr>
            </w:pPr>
            <w:r w:rsidRPr="00822C52">
              <w:rPr>
                <w:rFonts w:cs="Tahoma"/>
              </w:rPr>
              <w:t>11/32 (34%)</w:t>
            </w:r>
          </w:p>
        </w:tc>
        <w:tc>
          <w:tcPr>
            <w:tcW w:w="1985" w:type="dxa"/>
            <w:tcBorders>
              <w:bottom w:val="nil"/>
            </w:tcBorders>
          </w:tcPr>
          <w:p w:rsidR="0075777C" w:rsidRPr="00822C52" w:rsidRDefault="0075777C" w:rsidP="00DF0DAE">
            <w:pPr>
              <w:pStyle w:val="Tabletext"/>
              <w:jc w:val="center"/>
              <w:rPr>
                <w:rFonts w:cs="Tahoma"/>
              </w:rPr>
            </w:pPr>
            <w:r w:rsidRPr="00822C52">
              <w:rPr>
                <w:rFonts w:cs="Tahoma"/>
              </w:rPr>
              <w:t>2/33 (6%)</w:t>
            </w:r>
          </w:p>
        </w:tc>
        <w:tc>
          <w:tcPr>
            <w:tcW w:w="2126" w:type="dxa"/>
            <w:tcBorders>
              <w:bottom w:val="nil"/>
            </w:tcBorders>
          </w:tcPr>
          <w:p w:rsidR="0075777C" w:rsidRPr="00822C52" w:rsidRDefault="0075777C" w:rsidP="00DF0DAE">
            <w:pPr>
              <w:pStyle w:val="Tabletext"/>
              <w:rPr>
                <w:rFonts w:cs="Tahoma"/>
              </w:rPr>
            </w:pPr>
            <w:r>
              <w:rPr>
                <w:rFonts w:cs="Tahoma"/>
              </w:rPr>
              <w:t>5.67 (1.36, 23.61)</w:t>
            </w:r>
          </w:p>
        </w:tc>
      </w:tr>
      <w:tr w:rsidR="0075777C" w:rsidRPr="00822C52" w:rsidTr="00DF0DAE">
        <w:trPr>
          <w:trHeight w:val="70"/>
        </w:trPr>
        <w:tc>
          <w:tcPr>
            <w:tcW w:w="1838" w:type="dxa"/>
            <w:vMerge/>
            <w:tcBorders>
              <w:top w:val="nil"/>
              <w:bottom w:val="single" w:sz="4" w:space="0" w:color="auto"/>
            </w:tcBorders>
          </w:tcPr>
          <w:p w:rsidR="0075777C" w:rsidRPr="00822C52" w:rsidRDefault="0075777C" w:rsidP="00DF0DAE">
            <w:pPr>
              <w:pStyle w:val="Tabletext"/>
              <w:rPr>
                <w:rFonts w:cs="Tahoma"/>
              </w:rPr>
            </w:pPr>
          </w:p>
        </w:tc>
        <w:tc>
          <w:tcPr>
            <w:tcW w:w="1701" w:type="dxa"/>
            <w:tcBorders>
              <w:top w:val="nil"/>
              <w:bottom w:val="single" w:sz="4" w:space="0" w:color="auto"/>
            </w:tcBorders>
          </w:tcPr>
          <w:p w:rsidR="0075777C" w:rsidRPr="00822C52" w:rsidRDefault="0075777C" w:rsidP="00DF0DAE">
            <w:pPr>
              <w:pStyle w:val="Tabletext"/>
              <w:rPr>
                <w:rFonts w:cs="Tahoma"/>
              </w:rPr>
            </w:pPr>
            <w:r w:rsidRPr="00822C52">
              <w:rPr>
                <w:rFonts w:cs="Tahoma"/>
              </w:rPr>
              <w:t>Worsened</w:t>
            </w:r>
          </w:p>
        </w:tc>
        <w:tc>
          <w:tcPr>
            <w:tcW w:w="1984" w:type="dxa"/>
            <w:tcBorders>
              <w:top w:val="nil"/>
              <w:bottom w:val="single" w:sz="4" w:space="0" w:color="auto"/>
            </w:tcBorders>
          </w:tcPr>
          <w:p w:rsidR="0075777C" w:rsidRPr="00822C52" w:rsidRDefault="0075777C" w:rsidP="00DF0DAE">
            <w:pPr>
              <w:pStyle w:val="Tabletext"/>
              <w:jc w:val="center"/>
              <w:rPr>
                <w:rFonts w:cs="Tahoma"/>
              </w:rPr>
            </w:pPr>
            <w:r w:rsidRPr="00822C52">
              <w:rPr>
                <w:rFonts w:cs="Tahoma"/>
              </w:rPr>
              <w:t>0/32 (0%)</w:t>
            </w:r>
          </w:p>
        </w:tc>
        <w:tc>
          <w:tcPr>
            <w:tcW w:w="1985" w:type="dxa"/>
            <w:tcBorders>
              <w:top w:val="nil"/>
              <w:bottom w:val="single" w:sz="4" w:space="0" w:color="auto"/>
            </w:tcBorders>
          </w:tcPr>
          <w:p w:rsidR="0075777C" w:rsidRPr="00822C52" w:rsidRDefault="0075777C" w:rsidP="00F30334">
            <w:pPr>
              <w:pStyle w:val="Tabletext"/>
              <w:jc w:val="center"/>
              <w:rPr>
                <w:rFonts w:cs="Tahoma"/>
              </w:rPr>
            </w:pPr>
            <w:r w:rsidRPr="00822C52">
              <w:rPr>
                <w:rFonts w:cs="Tahoma"/>
              </w:rPr>
              <w:t>1/33 (3%)</w:t>
            </w:r>
          </w:p>
        </w:tc>
        <w:tc>
          <w:tcPr>
            <w:tcW w:w="2126" w:type="dxa"/>
            <w:tcBorders>
              <w:top w:val="nil"/>
              <w:bottom w:val="single" w:sz="4" w:space="0" w:color="auto"/>
            </w:tcBorders>
          </w:tcPr>
          <w:p w:rsidR="0075777C" w:rsidRPr="00822C52" w:rsidRDefault="0075777C" w:rsidP="00DF0DAE">
            <w:pPr>
              <w:pStyle w:val="Tabletext"/>
              <w:rPr>
                <w:rFonts w:cs="Tahoma"/>
              </w:rPr>
            </w:pPr>
            <w:r>
              <w:rPr>
                <w:rFonts w:cs="Tahoma"/>
              </w:rPr>
              <w:t>0 (not calculable)</w:t>
            </w:r>
          </w:p>
        </w:tc>
      </w:tr>
    </w:tbl>
    <w:p w:rsidR="0075777C" w:rsidRDefault="0075777C" w:rsidP="00DF0DAE">
      <w:pPr>
        <w:pStyle w:val="Tablenote"/>
      </w:pPr>
      <w:proofErr w:type="gramStart"/>
      <w:r w:rsidRPr="00E03CA3">
        <w:rPr>
          <w:vertAlign w:val="superscript"/>
        </w:rPr>
        <w:t>a</w:t>
      </w:r>
      <w:proofErr w:type="gramEnd"/>
      <w:r>
        <w:rPr>
          <w:vertAlign w:val="superscript"/>
        </w:rPr>
        <w:t xml:space="preserve"> </w:t>
      </w:r>
      <w:r>
        <w:t xml:space="preserve">One patient in the monotherapy group had </w:t>
      </w:r>
      <w:r w:rsidR="006B4B22">
        <w:t>WHO</w:t>
      </w:r>
      <w:r>
        <w:t xml:space="preserve"> FC II PAH</w:t>
      </w:r>
    </w:p>
    <w:p w:rsidR="0075777C" w:rsidRPr="00822C52" w:rsidRDefault="0075777C" w:rsidP="00DF0DAE">
      <w:pPr>
        <w:pStyle w:val="Tablenote"/>
      </w:pPr>
      <w:r w:rsidRPr="00822C52">
        <w:t xml:space="preserve">CI = confidence interval; ERA = endothelin receptor antagonist; FC = functional class; n = number of </w:t>
      </w:r>
      <w:r w:rsidR="00561DAB">
        <w:t xml:space="preserve">patients with </w:t>
      </w:r>
      <w:r w:rsidRPr="00822C52">
        <w:t>events; N = number of patients; PAH = pulmonary arterial hypertension; RR = relative risk; WHO = World Health Organization</w:t>
      </w:r>
    </w:p>
    <w:p w:rsidR="0075777C" w:rsidRPr="00822C52" w:rsidRDefault="00761752" w:rsidP="0075777C">
      <w:pPr>
        <w:pStyle w:val="Heading5"/>
      </w:pPr>
      <w:r>
        <w:t>e</w:t>
      </w:r>
      <w:r w:rsidR="002E4833">
        <w:t>.</w:t>
      </w:r>
      <w:r>
        <w:tab/>
      </w:r>
      <w:r w:rsidR="0075777C" w:rsidRPr="00822C52">
        <w:t xml:space="preserve">Change in 6MWD from baseline </w:t>
      </w:r>
    </w:p>
    <w:p w:rsidR="0075777C" w:rsidRPr="00822C52" w:rsidRDefault="00761752" w:rsidP="0077344D">
      <w:pPr>
        <w:pStyle w:val="Heading6"/>
      </w:pPr>
      <w:proofErr w:type="gramStart"/>
      <w:r>
        <w:t>e</w:t>
      </w:r>
      <w:r w:rsidR="0075777C" w:rsidRPr="00822C52">
        <w:t>.ii</w:t>
      </w:r>
      <w:proofErr w:type="gramEnd"/>
      <w:r w:rsidR="0075777C" w:rsidRPr="00822C52">
        <w:tab/>
        <w:t>PAH patients with FC III or IV</w:t>
      </w:r>
    </w:p>
    <w:p w:rsidR="0075777C" w:rsidRPr="00822C52" w:rsidRDefault="0075777C" w:rsidP="0075777C">
      <w:r>
        <w:t>There was a mean improvement in the 6MWD for patients receiving combination therapy in both studies, whereas the 6MWD for patients receiving monotherapy did not change (</w:t>
      </w:r>
      <w:r w:rsidR="003951FA">
        <w:t>Table 4.</w:t>
      </w:r>
      <w:r w:rsidR="003951FA">
        <w:rPr>
          <w:noProof/>
        </w:rPr>
        <w:t>82</w:t>
      </w:r>
      <w:r>
        <w:t>). However, the improvement was not clinically important.</w:t>
      </w:r>
    </w:p>
    <w:p w:rsidR="0075777C" w:rsidRDefault="00272F8F" w:rsidP="00BC5A2B">
      <w:pPr>
        <w:pStyle w:val="Caption"/>
      </w:pPr>
      <w:bookmarkStart w:id="255" w:name="_Ref504656838"/>
      <w:bookmarkStart w:id="256" w:name="_Toc38360379"/>
      <w:r>
        <w:t>Table 4.</w:t>
      </w:r>
      <w:r w:rsidR="003951FA">
        <w:rPr>
          <w:noProof/>
        </w:rPr>
        <w:t>82</w:t>
      </w:r>
      <w:bookmarkEnd w:id="255"/>
      <w:r w:rsidR="001A69BE">
        <w:tab/>
      </w:r>
      <w:r w:rsidR="0075777C" w:rsidRPr="00DD7790">
        <w:t xml:space="preserve">The effectiveness of </w:t>
      </w:r>
      <w:r w:rsidR="007E59EC">
        <w:t xml:space="preserve">a prostanoid in addition to an ERA compared with </w:t>
      </w:r>
      <w:r w:rsidR="007E59EC" w:rsidRPr="00DD7790">
        <w:t xml:space="preserve">ERA </w:t>
      </w:r>
      <w:r w:rsidR="007E59EC">
        <w:t>monotherapy</w:t>
      </w:r>
      <w:r w:rsidR="007E59EC" w:rsidRPr="00DD7790">
        <w:t xml:space="preserve"> </w:t>
      </w:r>
      <w:r w:rsidR="0075777C" w:rsidRPr="00DD7790">
        <w:t>in improving 6MWD in patients with WHO FC III/IV PAH</w:t>
      </w:r>
      <w:bookmarkEnd w:id="256"/>
    </w:p>
    <w:tbl>
      <w:tblPr>
        <w:tblStyle w:val="TableGrid"/>
        <w:tblW w:w="9634" w:type="dxa"/>
        <w:tblLook w:val="04A0" w:firstRow="1" w:lastRow="0" w:firstColumn="1" w:lastColumn="0" w:noHBand="0" w:noVBand="1"/>
        <w:tblCaption w:val="The effectiveness of a prostanoid in addition to an ERA compared with ERA monotherapy in improving 6MWD in patients with WHO FC III/IV PAH"/>
      </w:tblPr>
      <w:tblGrid>
        <w:gridCol w:w="1649"/>
        <w:gridCol w:w="1567"/>
        <w:gridCol w:w="1514"/>
        <w:gridCol w:w="1003"/>
        <w:gridCol w:w="1577"/>
        <w:gridCol w:w="940"/>
        <w:gridCol w:w="1384"/>
      </w:tblGrid>
      <w:tr w:rsidR="0075777C" w:rsidTr="001A69BE">
        <w:trPr>
          <w:cnfStyle w:val="100000000000" w:firstRow="1" w:lastRow="0" w:firstColumn="0" w:lastColumn="0" w:oddVBand="0" w:evenVBand="0" w:oddHBand="0" w:evenHBand="0" w:firstRowFirstColumn="0" w:firstRowLastColumn="0" w:lastRowFirstColumn="0" w:lastRowLastColumn="0"/>
        </w:trPr>
        <w:tc>
          <w:tcPr>
            <w:tcW w:w="1309" w:type="dxa"/>
            <w:vMerge w:val="restart"/>
            <w:shd w:val="clear" w:color="auto" w:fill="BFBFBF" w:themeFill="background1" w:themeFillShade="BF"/>
          </w:tcPr>
          <w:p w:rsidR="0075777C" w:rsidRPr="001A69BE" w:rsidRDefault="0075777C" w:rsidP="001A69BE">
            <w:pPr>
              <w:pStyle w:val="Tabletext"/>
              <w:rPr>
                <w:b/>
              </w:rPr>
            </w:pPr>
            <w:r w:rsidRPr="001A69BE">
              <w:rPr>
                <w:b/>
              </w:rPr>
              <w:t>Study ID</w:t>
            </w:r>
          </w:p>
          <w:p w:rsidR="0075777C" w:rsidRPr="001A69BE" w:rsidRDefault="0075777C" w:rsidP="001A69BE">
            <w:pPr>
              <w:pStyle w:val="Tabletext"/>
              <w:rPr>
                <w:b/>
              </w:rPr>
            </w:pPr>
            <w:r w:rsidRPr="001A69BE">
              <w:rPr>
                <w:b/>
              </w:rPr>
              <w:t>Prostanoid/ ERA</w:t>
            </w:r>
          </w:p>
        </w:tc>
        <w:tc>
          <w:tcPr>
            <w:tcW w:w="1663" w:type="dxa"/>
            <w:vMerge w:val="restart"/>
            <w:shd w:val="clear" w:color="auto" w:fill="BFBFBF" w:themeFill="background1" w:themeFillShade="BF"/>
          </w:tcPr>
          <w:p w:rsidR="0075777C" w:rsidRPr="001A69BE" w:rsidRDefault="0075777C" w:rsidP="001A69BE">
            <w:pPr>
              <w:pStyle w:val="Tabletext"/>
              <w:rPr>
                <w:b/>
              </w:rPr>
            </w:pPr>
            <w:r w:rsidRPr="001A69BE">
              <w:rPr>
                <w:b/>
              </w:rPr>
              <w:t>N</w:t>
            </w:r>
          </w:p>
          <w:p w:rsidR="0075777C" w:rsidRPr="001A69BE" w:rsidRDefault="0075777C" w:rsidP="001A69BE">
            <w:pPr>
              <w:pStyle w:val="Tabletext"/>
              <w:rPr>
                <w:b/>
              </w:rPr>
            </w:pPr>
            <w:r w:rsidRPr="001A69BE">
              <w:rPr>
                <w:b/>
              </w:rPr>
              <w:t>Follow-up period</w:t>
            </w:r>
          </w:p>
        </w:tc>
        <w:tc>
          <w:tcPr>
            <w:tcW w:w="2622" w:type="dxa"/>
            <w:gridSpan w:val="2"/>
            <w:shd w:val="clear" w:color="auto" w:fill="BFBFBF" w:themeFill="background1" w:themeFillShade="BF"/>
          </w:tcPr>
          <w:p w:rsidR="0075777C" w:rsidRPr="001A69BE" w:rsidRDefault="00EC2524" w:rsidP="00EC2524">
            <w:pPr>
              <w:pStyle w:val="Tabletext"/>
              <w:jc w:val="center"/>
              <w:rPr>
                <w:b/>
              </w:rPr>
            </w:pPr>
            <w:r>
              <w:rPr>
                <w:b/>
              </w:rPr>
              <w:t>M</w:t>
            </w:r>
            <w:r w:rsidR="0075777C" w:rsidRPr="001A69BE">
              <w:rPr>
                <w:b/>
              </w:rPr>
              <w:t>ean ± SD</w:t>
            </w:r>
            <w:r w:rsidRPr="001A69BE">
              <w:rPr>
                <w:b/>
              </w:rPr>
              <w:t xml:space="preserve"> </w:t>
            </w:r>
            <w:r>
              <w:rPr>
                <w:b/>
              </w:rPr>
              <w:t>b</w:t>
            </w:r>
            <w:r w:rsidRPr="001A69BE">
              <w:rPr>
                <w:b/>
              </w:rPr>
              <w:t>aseline</w:t>
            </w:r>
            <w:r>
              <w:rPr>
                <w:b/>
              </w:rPr>
              <w:t xml:space="preserve"> 6MWD</w:t>
            </w:r>
            <w:r w:rsidR="0075777C" w:rsidRPr="001A69BE">
              <w:rPr>
                <w:b/>
              </w:rPr>
              <w:t xml:space="preserve">, </w:t>
            </w:r>
            <w:r w:rsidR="00503643">
              <w:rPr>
                <w:b/>
              </w:rPr>
              <w:t>metres</w:t>
            </w:r>
          </w:p>
        </w:tc>
        <w:tc>
          <w:tcPr>
            <w:tcW w:w="2623" w:type="dxa"/>
            <w:gridSpan w:val="2"/>
            <w:shd w:val="clear" w:color="auto" w:fill="BFBFBF" w:themeFill="background1" w:themeFillShade="BF"/>
          </w:tcPr>
          <w:p w:rsidR="0075777C" w:rsidRPr="002A66C2" w:rsidRDefault="0075777C" w:rsidP="00AE77DC">
            <w:pPr>
              <w:pStyle w:val="Tabletext"/>
              <w:jc w:val="center"/>
              <w:rPr>
                <w:rFonts w:cs="Arial"/>
                <w:b/>
              </w:rPr>
            </w:pPr>
            <w:r w:rsidRPr="002A66C2">
              <w:rPr>
                <w:rFonts w:cs="Arial"/>
                <w:b/>
              </w:rPr>
              <w:t xml:space="preserve">Mean </w:t>
            </w:r>
            <w:r w:rsidR="00AE77DC" w:rsidRPr="002A66C2">
              <w:rPr>
                <w:rFonts w:cs="Arial"/>
                <w:b/>
              </w:rPr>
              <w:t xml:space="preserve">± SD </w:t>
            </w:r>
            <w:r w:rsidRPr="002A66C2">
              <w:rPr>
                <w:rFonts w:cs="Arial"/>
                <w:b/>
              </w:rPr>
              <w:t>c</w:t>
            </w:r>
            <w:r w:rsidR="00AE77DC" w:rsidRPr="002A66C2">
              <w:rPr>
                <w:rFonts w:cs="Arial"/>
                <w:b/>
              </w:rPr>
              <w:t>hange from baseline</w:t>
            </w:r>
            <w:r w:rsidRPr="002A66C2">
              <w:rPr>
                <w:rFonts w:cs="Arial"/>
                <w:b/>
              </w:rPr>
              <w:t xml:space="preserve">, </w:t>
            </w:r>
            <w:r w:rsidR="00503643">
              <w:rPr>
                <w:rFonts w:cs="Arial"/>
                <w:b/>
              </w:rPr>
              <w:t>metres</w:t>
            </w:r>
          </w:p>
        </w:tc>
        <w:tc>
          <w:tcPr>
            <w:tcW w:w="1417" w:type="dxa"/>
            <w:vMerge w:val="restart"/>
            <w:shd w:val="clear" w:color="auto" w:fill="BFBFBF" w:themeFill="background1" w:themeFillShade="BF"/>
          </w:tcPr>
          <w:p w:rsidR="0075777C" w:rsidRPr="002A66C2" w:rsidRDefault="0075777C" w:rsidP="00AE77DC">
            <w:pPr>
              <w:pStyle w:val="Tabletext"/>
              <w:rPr>
                <w:rFonts w:cs="Arial"/>
                <w:b/>
              </w:rPr>
            </w:pPr>
            <w:r w:rsidRPr="002A66C2">
              <w:rPr>
                <w:rFonts w:cs="Arial"/>
                <w:b/>
              </w:rPr>
              <w:t xml:space="preserve">Mean difference, </w:t>
            </w:r>
            <w:r w:rsidR="00503643">
              <w:rPr>
                <w:rFonts w:cs="Arial"/>
                <w:b/>
              </w:rPr>
              <w:t>metres</w:t>
            </w:r>
          </w:p>
        </w:tc>
      </w:tr>
      <w:tr w:rsidR="0075777C" w:rsidTr="00534ADA">
        <w:tc>
          <w:tcPr>
            <w:tcW w:w="1309" w:type="dxa"/>
            <w:vMerge/>
          </w:tcPr>
          <w:p w:rsidR="0075777C" w:rsidRDefault="0075777C" w:rsidP="001A69BE">
            <w:pPr>
              <w:pStyle w:val="Tabletext"/>
            </w:pPr>
          </w:p>
        </w:tc>
        <w:tc>
          <w:tcPr>
            <w:tcW w:w="1663" w:type="dxa"/>
            <w:vMerge/>
          </w:tcPr>
          <w:p w:rsidR="0075777C" w:rsidRDefault="0075777C" w:rsidP="001A69BE">
            <w:pPr>
              <w:pStyle w:val="Tabletext"/>
            </w:pPr>
          </w:p>
        </w:tc>
        <w:tc>
          <w:tcPr>
            <w:tcW w:w="1559" w:type="dxa"/>
            <w:shd w:val="clear" w:color="auto" w:fill="BFBFBF" w:themeFill="background1" w:themeFillShade="BF"/>
          </w:tcPr>
          <w:p w:rsidR="0075777C" w:rsidRPr="002A66C2" w:rsidRDefault="0075777C" w:rsidP="001A69BE">
            <w:pPr>
              <w:pStyle w:val="Tabletext"/>
              <w:jc w:val="center"/>
              <w:rPr>
                <w:rFonts w:cs="Arial"/>
                <w:b/>
              </w:rPr>
            </w:pPr>
            <w:r w:rsidRPr="002A66C2">
              <w:rPr>
                <w:rFonts w:cs="Arial"/>
                <w:b/>
              </w:rPr>
              <w:t>Prostanoid + ERA</w:t>
            </w:r>
          </w:p>
        </w:tc>
        <w:tc>
          <w:tcPr>
            <w:tcW w:w="1063" w:type="dxa"/>
            <w:shd w:val="clear" w:color="auto" w:fill="BFBFBF" w:themeFill="background1" w:themeFillShade="BF"/>
          </w:tcPr>
          <w:p w:rsidR="0075777C" w:rsidRPr="002A66C2" w:rsidRDefault="0075777C" w:rsidP="00534ADA">
            <w:pPr>
              <w:pStyle w:val="Tabletext"/>
              <w:jc w:val="center"/>
              <w:rPr>
                <w:rFonts w:cs="Arial"/>
                <w:b/>
              </w:rPr>
            </w:pPr>
            <w:r w:rsidRPr="002A66C2">
              <w:rPr>
                <w:rFonts w:cs="Arial"/>
                <w:b/>
              </w:rPr>
              <w:t>ERA</w:t>
            </w:r>
          </w:p>
        </w:tc>
        <w:tc>
          <w:tcPr>
            <w:tcW w:w="1631" w:type="dxa"/>
            <w:shd w:val="clear" w:color="auto" w:fill="BFBFBF" w:themeFill="background1" w:themeFillShade="BF"/>
          </w:tcPr>
          <w:p w:rsidR="0075777C" w:rsidRPr="002A66C2" w:rsidRDefault="0075777C" w:rsidP="001A69BE">
            <w:pPr>
              <w:pStyle w:val="Tabletext"/>
              <w:jc w:val="center"/>
              <w:rPr>
                <w:rFonts w:cs="Arial"/>
                <w:b/>
              </w:rPr>
            </w:pPr>
            <w:r w:rsidRPr="002A66C2">
              <w:rPr>
                <w:rFonts w:cs="Arial"/>
                <w:b/>
              </w:rPr>
              <w:t>Prostanoid + ERA</w:t>
            </w:r>
          </w:p>
        </w:tc>
        <w:tc>
          <w:tcPr>
            <w:tcW w:w="992" w:type="dxa"/>
            <w:shd w:val="clear" w:color="auto" w:fill="BFBFBF" w:themeFill="background1" w:themeFillShade="BF"/>
          </w:tcPr>
          <w:p w:rsidR="0075777C" w:rsidRPr="002A66C2" w:rsidRDefault="00534ADA" w:rsidP="00534ADA">
            <w:pPr>
              <w:pStyle w:val="Tabletext"/>
              <w:jc w:val="center"/>
              <w:rPr>
                <w:rFonts w:cs="Arial"/>
                <w:b/>
              </w:rPr>
            </w:pPr>
            <w:r w:rsidRPr="002A66C2">
              <w:rPr>
                <w:rFonts w:cs="Arial"/>
                <w:b/>
              </w:rPr>
              <w:t>ERA</w:t>
            </w:r>
          </w:p>
        </w:tc>
        <w:tc>
          <w:tcPr>
            <w:tcW w:w="1417" w:type="dxa"/>
            <w:vMerge/>
          </w:tcPr>
          <w:p w:rsidR="0075777C" w:rsidRDefault="0075777C" w:rsidP="001A69BE">
            <w:pPr>
              <w:pStyle w:val="Tabletext"/>
            </w:pPr>
          </w:p>
        </w:tc>
      </w:tr>
      <w:tr w:rsidR="0075777C" w:rsidTr="00534ADA">
        <w:tc>
          <w:tcPr>
            <w:tcW w:w="1309" w:type="dxa"/>
          </w:tcPr>
          <w:p w:rsidR="0075777C" w:rsidRPr="00822C52" w:rsidRDefault="0075777C" w:rsidP="001A69BE">
            <w:pPr>
              <w:pStyle w:val="Tabletext"/>
            </w:pPr>
            <w:r w:rsidRPr="00822C52">
              <w:t>COMBI</w:t>
            </w:r>
            <w:r w:rsidR="001D34EE" w:rsidRPr="001A1C44">
              <w:rPr>
                <w:noProof/>
                <w:vertAlign w:val="superscript"/>
              </w:rPr>
              <w:t>36</w:t>
            </w:r>
          </w:p>
          <w:p w:rsidR="0075777C" w:rsidRDefault="001A69BE" w:rsidP="001A69BE">
            <w:pPr>
              <w:pStyle w:val="Tabletext"/>
            </w:pPr>
            <w:r>
              <w:t>Iloprost/</w:t>
            </w:r>
            <w:r w:rsidR="0075777C" w:rsidRPr="00822C52">
              <w:t>bosentan</w:t>
            </w:r>
          </w:p>
        </w:tc>
        <w:tc>
          <w:tcPr>
            <w:tcW w:w="1663" w:type="dxa"/>
          </w:tcPr>
          <w:p w:rsidR="0075777C" w:rsidRPr="00822C52" w:rsidRDefault="0075777C" w:rsidP="001A69BE">
            <w:pPr>
              <w:pStyle w:val="Tabletext"/>
            </w:pPr>
            <w:r w:rsidRPr="00822C52">
              <w:t>N=</w:t>
            </w:r>
            <w:r>
              <w:t>40</w:t>
            </w:r>
            <w:r w:rsidR="001A69BE" w:rsidRPr="00822C52">
              <w:t xml:space="preserve"> WHO FC III</w:t>
            </w:r>
          </w:p>
          <w:p w:rsidR="0075777C" w:rsidRDefault="001A69BE" w:rsidP="001A69BE">
            <w:pPr>
              <w:pStyle w:val="Tabletext"/>
            </w:pPr>
            <w:r>
              <w:t>16 weeks</w:t>
            </w:r>
          </w:p>
        </w:tc>
        <w:tc>
          <w:tcPr>
            <w:tcW w:w="1559" w:type="dxa"/>
          </w:tcPr>
          <w:p w:rsidR="0075777C" w:rsidRDefault="0075777C" w:rsidP="001A69BE">
            <w:pPr>
              <w:pStyle w:val="Tabletext"/>
              <w:jc w:val="center"/>
            </w:pPr>
            <w:r w:rsidRPr="00822C52">
              <w:rPr>
                <w:rFonts w:cs="Tahoma"/>
              </w:rPr>
              <w:t>317 ± 74</w:t>
            </w:r>
          </w:p>
        </w:tc>
        <w:tc>
          <w:tcPr>
            <w:tcW w:w="1063" w:type="dxa"/>
          </w:tcPr>
          <w:p w:rsidR="0075777C" w:rsidRDefault="0075777C" w:rsidP="001A69BE">
            <w:pPr>
              <w:pStyle w:val="Tabletext"/>
              <w:jc w:val="center"/>
            </w:pPr>
            <w:r w:rsidRPr="00822C52">
              <w:rPr>
                <w:rFonts w:cs="Tahoma"/>
              </w:rPr>
              <w:t>296 ± 79</w:t>
            </w:r>
          </w:p>
        </w:tc>
        <w:tc>
          <w:tcPr>
            <w:tcW w:w="1631" w:type="dxa"/>
          </w:tcPr>
          <w:p w:rsidR="0075777C" w:rsidRDefault="0075777C" w:rsidP="001A69BE">
            <w:pPr>
              <w:pStyle w:val="Tabletext"/>
              <w:jc w:val="center"/>
            </w:pPr>
            <w:r w:rsidRPr="00822C52">
              <w:rPr>
                <w:rFonts w:cs="Tahoma"/>
              </w:rPr>
              <w:t>9 ± 100</w:t>
            </w:r>
          </w:p>
        </w:tc>
        <w:tc>
          <w:tcPr>
            <w:tcW w:w="992" w:type="dxa"/>
          </w:tcPr>
          <w:p w:rsidR="0075777C" w:rsidRDefault="0075777C" w:rsidP="001A69BE">
            <w:pPr>
              <w:pStyle w:val="Tabletext"/>
              <w:jc w:val="center"/>
            </w:pPr>
            <w:r>
              <w:rPr>
                <w:rFonts w:cs="Tahoma"/>
              </w:rPr>
              <w:t>−</w:t>
            </w:r>
            <w:r w:rsidRPr="00822C52">
              <w:rPr>
                <w:rFonts w:cs="Tahoma"/>
              </w:rPr>
              <w:t>1 ± 27</w:t>
            </w:r>
          </w:p>
        </w:tc>
        <w:tc>
          <w:tcPr>
            <w:tcW w:w="1417" w:type="dxa"/>
          </w:tcPr>
          <w:p w:rsidR="0075777C" w:rsidRDefault="0075777C" w:rsidP="001A69BE">
            <w:pPr>
              <w:pStyle w:val="Tabletext"/>
            </w:pPr>
            <w:r w:rsidRPr="00822C52">
              <w:rPr>
                <w:rFonts w:cs="Tahoma"/>
              </w:rPr>
              <w:t>10, p=0.49</w:t>
            </w:r>
          </w:p>
        </w:tc>
      </w:tr>
      <w:tr w:rsidR="0075777C" w:rsidTr="00534ADA">
        <w:tc>
          <w:tcPr>
            <w:tcW w:w="1309" w:type="dxa"/>
          </w:tcPr>
          <w:p w:rsidR="0075777C" w:rsidRPr="00822C52" w:rsidRDefault="0075777C" w:rsidP="001A69BE">
            <w:pPr>
              <w:pStyle w:val="Tabletext"/>
            </w:pPr>
            <w:r w:rsidRPr="00822C52">
              <w:t>STEP</w:t>
            </w:r>
            <w:r w:rsidR="001D34EE" w:rsidRPr="001A1C44">
              <w:rPr>
                <w:noProof/>
                <w:vertAlign w:val="superscript"/>
              </w:rPr>
              <w:t>48</w:t>
            </w:r>
            <w:r w:rsidRPr="00E03CA3">
              <w:rPr>
                <w:vertAlign w:val="superscript"/>
              </w:rPr>
              <w:t xml:space="preserve"> a</w:t>
            </w:r>
          </w:p>
          <w:p w:rsidR="0075777C" w:rsidRPr="00822C52" w:rsidRDefault="0075777C" w:rsidP="001A69BE">
            <w:pPr>
              <w:pStyle w:val="Tabletext"/>
              <w:rPr>
                <w:rFonts w:cs="Tahoma"/>
              </w:rPr>
            </w:pPr>
            <w:r w:rsidRPr="00822C52">
              <w:t>Iloprost/bosentan</w:t>
            </w:r>
          </w:p>
        </w:tc>
        <w:tc>
          <w:tcPr>
            <w:tcW w:w="1663" w:type="dxa"/>
          </w:tcPr>
          <w:p w:rsidR="0075777C" w:rsidRPr="00822C52" w:rsidRDefault="0075777C" w:rsidP="001A69BE">
            <w:pPr>
              <w:pStyle w:val="Tabletext"/>
            </w:pPr>
            <w:r w:rsidRPr="00822C52">
              <w:t>N=</w:t>
            </w:r>
            <w:r>
              <w:t>65</w:t>
            </w:r>
            <w:r w:rsidR="001A69BE" w:rsidRPr="00822C52">
              <w:t xml:space="preserve"> </w:t>
            </w:r>
            <w:r w:rsidR="006B4B22">
              <w:t>WHO</w:t>
            </w:r>
            <w:r w:rsidR="001A69BE" w:rsidRPr="00822C52">
              <w:t xml:space="preserve"> FC III/IV</w:t>
            </w:r>
          </w:p>
          <w:p w:rsidR="0075777C" w:rsidRPr="001A69BE" w:rsidRDefault="001A69BE" w:rsidP="001A69BE">
            <w:pPr>
              <w:pStyle w:val="Tabletext"/>
            </w:pPr>
            <w:r>
              <w:t>12 weeks</w:t>
            </w:r>
          </w:p>
        </w:tc>
        <w:tc>
          <w:tcPr>
            <w:tcW w:w="1559" w:type="dxa"/>
          </w:tcPr>
          <w:p w:rsidR="0075777C" w:rsidRPr="00822C52" w:rsidRDefault="0075777C" w:rsidP="001A69BE">
            <w:pPr>
              <w:pStyle w:val="Tabletext"/>
              <w:jc w:val="center"/>
              <w:rPr>
                <w:rFonts w:cs="Tahoma"/>
              </w:rPr>
            </w:pPr>
            <w:r w:rsidRPr="00822C52">
              <w:rPr>
                <w:rFonts w:cs="Tahoma"/>
              </w:rPr>
              <w:t>336 ± 61</w:t>
            </w:r>
          </w:p>
        </w:tc>
        <w:tc>
          <w:tcPr>
            <w:tcW w:w="1063" w:type="dxa"/>
          </w:tcPr>
          <w:p w:rsidR="0075777C" w:rsidRPr="00822C52" w:rsidRDefault="0075777C" w:rsidP="001A69BE">
            <w:pPr>
              <w:pStyle w:val="Tabletext"/>
              <w:jc w:val="center"/>
              <w:rPr>
                <w:rFonts w:cs="Tahoma"/>
              </w:rPr>
            </w:pPr>
            <w:r w:rsidRPr="00822C52">
              <w:rPr>
                <w:rFonts w:cs="Tahoma"/>
              </w:rPr>
              <w:t>340 ± 73</w:t>
            </w:r>
          </w:p>
        </w:tc>
        <w:tc>
          <w:tcPr>
            <w:tcW w:w="1631" w:type="dxa"/>
          </w:tcPr>
          <w:p w:rsidR="0075777C" w:rsidRPr="00822C52" w:rsidRDefault="0075777C" w:rsidP="001A69BE">
            <w:pPr>
              <w:pStyle w:val="Tabletext"/>
              <w:jc w:val="center"/>
              <w:rPr>
                <w:rFonts w:cs="Tahoma"/>
              </w:rPr>
            </w:pPr>
            <w:r w:rsidRPr="00822C52">
              <w:rPr>
                <w:rFonts w:cs="Tahoma"/>
              </w:rPr>
              <w:t>30 ± 60</w:t>
            </w:r>
          </w:p>
        </w:tc>
        <w:tc>
          <w:tcPr>
            <w:tcW w:w="992" w:type="dxa"/>
          </w:tcPr>
          <w:p w:rsidR="0075777C" w:rsidRDefault="0075777C" w:rsidP="001A69BE">
            <w:pPr>
              <w:pStyle w:val="Tabletext"/>
              <w:jc w:val="center"/>
              <w:rPr>
                <w:rFonts w:cs="Tahoma"/>
              </w:rPr>
            </w:pPr>
            <w:r w:rsidRPr="00822C52">
              <w:rPr>
                <w:rFonts w:cs="Tahoma"/>
              </w:rPr>
              <w:t>4 ± 61</w:t>
            </w:r>
          </w:p>
        </w:tc>
        <w:tc>
          <w:tcPr>
            <w:tcW w:w="1417" w:type="dxa"/>
          </w:tcPr>
          <w:p w:rsidR="0075777C" w:rsidRPr="00822C52" w:rsidRDefault="0075777C" w:rsidP="001A69BE">
            <w:pPr>
              <w:pStyle w:val="Tabletext"/>
              <w:rPr>
                <w:rFonts w:cs="Tahoma"/>
              </w:rPr>
            </w:pPr>
            <w:r w:rsidRPr="00822C52">
              <w:rPr>
                <w:rFonts w:cs="Tahoma"/>
              </w:rPr>
              <w:t>26, p=0.051</w:t>
            </w:r>
          </w:p>
        </w:tc>
      </w:tr>
    </w:tbl>
    <w:p w:rsidR="0075777C" w:rsidRDefault="0075777C" w:rsidP="001A69BE">
      <w:pPr>
        <w:pStyle w:val="Tablenote"/>
      </w:pPr>
      <w:proofErr w:type="gramStart"/>
      <w:r w:rsidRPr="00E03CA3">
        <w:rPr>
          <w:vertAlign w:val="superscript"/>
        </w:rPr>
        <w:t>a</w:t>
      </w:r>
      <w:proofErr w:type="gramEnd"/>
      <w:r>
        <w:rPr>
          <w:vertAlign w:val="superscript"/>
        </w:rPr>
        <w:t xml:space="preserve"> </w:t>
      </w:r>
      <w:r>
        <w:t xml:space="preserve">One patient in the monotherapy group had </w:t>
      </w:r>
      <w:r w:rsidR="006B4B22">
        <w:t>WHO</w:t>
      </w:r>
      <w:r>
        <w:t xml:space="preserve"> FC II PAH</w:t>
      </w:r>
    </w:p>
    <w:p w:rsidR="0075777C" w:rsidRPr="00822C52" w:rsidRDefault="0075777C" w:rsidP="001A69BE">
      <w:pPr>
        <w:pStyle w:val="Tablenote"/>
      </w:pPr>
      <w:r w:rsidRPr="00822C52">
        <w:t xml:space="preserve">6MWD = 6-minute </w:t>
      </w:r>
      <w:r w:rsidR="0082368E">
        <w:t>walk distance</w:t>
      </w:r>
      <w:r w:rsidRPr="00822C52">
        <w:t>; ERA = endothelin receptor antagonist; FC = functional class; N = number of patients; PAH = pulmonary arterial hypertension; SD = standard deviation; WHO = World Health Organization</w:t>
      </w:r>
    </w:p>
    <w:p w:rsidR="0075777C" w:rsidRPr="00822C52" w:rsidRDefault="00761752" w:rsidP="007B6C7C">
      <w:pPr>
        <w:pStyle w:val="Heading5"/>
      </w:pPr>
      <w:r>
        <w:t>f</w:t>
      </w:r>
      <w:r w:rsidR="002E4833">
        <w:t>.</w:t>
      </w:r>
      <w:r w:rsidR="007B6C7C">
        <w:tab/>
      </w:r>
      <w:r w:rsidR="007B6C7C" w:rsidRPr="007B6C7C">
        <w:t>Change in QoL from baseline</w:t>
      </w:r>
    </w:p>
    <w:p w:rsidR="0075777C" w:rsidRPr="00822C52" w:rsidRDefault="00761752" w:rsidP="0077344D">
      <w:pPr>
        <w:pStyle w:val="Heading6"/>
      </w:pPr>
      <w:proofErr w:type="gramStart"/>
      <w:r>
        <w:t>f</w:t>
      </w:r>
      <w:r w:rsidR="0075777C" w:rsidRPr="00822C52">
        <w:t>.ii</w:t>
      </w:r>
      <w:proofErr w:type="gramEnd"/>
      <w:r w:rsidR="0075777C" w:rsidRPr="00822C52">
        <w:tab/>
        <w:t>PAH patients with FC III or IV</w:t>
      </w:r>
    </w:p>
    <w:p w:rsidR="0075777C" w:rsidRDefault="0075777C" w:rsidP="0075777C">
      <w:r>
        <w:t xml:space="preserve">The COMBI trial investigated the QoL of all included patients using </w:t>
      </w:r>
      <w:r w:rsidR="00107963" w:rsidRPr="00107963">
        <w:t>EuroQoL visual analogue scale</w:t>
      </w:r>
      <w:r w:rsidR="00107963">
        <w:t xml:space="preserve"> (EQ-VAS)</w:t>
      </w:r>
      <w:r w:rsidR="00572AE9">
        <w:t xml:space="preserve"> </w:t>
      </w:r>
      <w:r>
        <w:t>(</w:t>
      </w:r>
      <w:r w:rsidR="003951FA">
        <w:t>Table 4.</w:t>
      </w:r>
      <w:r w:rsidR="003951FA">
        <w:rPr>
          <w:noProof/>
        </w:rPr>
        <w:t>83</w:t>
      </w:r>
      <w:r>
        <w:t xml:space="preserve">). The visual analogue scale measures a patients perceived health state </w:t>
      </w:r>
      <w:r w:rsidRPr="00745A73">
        <w:t>on a 20 cm vertical scale</w:t>
      </w:r>
      <w:r>
        <w:t xml:space="preserve">, where </w:t>
      </w:r>
      <w:proofErr w:type="gramStart"/>
      <w:r>
        <w:t>0</w:t>
      </w:r>
      <w:proofErr w:type="gramEnd"/>
      <w:r>
        <w:t xml:space="preserve"> represents the “worst </w:t>
      </w:r>
      <w:r w:rsidRPr="00745A73">
        <w:t>health you can imagine</w:t>
      </w:r>
      <w:r>
        <w:t>” and</w:t>
      </w:r>
      <w:r w:rsidRPr="00745A73">
        <w:t xml:space="preserve"> 100 </w:t>
      </w:r>
      <w:r>
        <w:t>represents “</w:t>
      </w:r>
      <w:r w:rsidRPr="00745A73">
        <w:t>the best health you can imagine</w:t>
      </w:r>
      <w:r>
        <w:t>”. Two studies investigating the use of the</w:t>
      </w:r>
      <w:r w:rsidRPr="00E817C9">
        <w:t xml:space="preserve"> EQ-</w:t>
      </w:r>
      <w:r w:rsidR="00107963">
        <w:t>VAS</w:t>
      </w:r>
      <w:r w:rsidRPr="00E817C9">
        <w:t xml:space="preserve"> </w:t>
      </w:r>
      <w:r>
        <w:t xml:space="preserve">for assessing changes in QoL for patients with COPD reported a </w:t>
      </w:r>
      <w:r w:rsidRPr="00E817C9">
        <w:t>minimum important difference</w:t>
      </w:r>
      <w:r>
        <w:t xml:space="preserve"> of </w:t>
      </w:r>
      <w:r w:rsidRPr="00E817C9">
        <w:t>6.5</w:t>
      </w:r>
      <w:r w:rsidR="00DB6ACB">
        <w:t>−</w:t>
      </w:r>
      <w:r w:rsidRPr="00E817C9">
        <w:t>8.0</w:t>
      </w:r>
      <w:r>
        <w:t xml:space="preserve"> points</w:t>
      </w:r>
      <w:r w:rsidR="001D34EE" w:rsidRPr="001D34EE">
        <w:rPr>
          <w:noProof/>
          <w:vertAlign w:val="superscript"/>
        </w:rPr>
        <w:t>85, 86</w:t>
      </w:r>
      <w:r>
        <w:t>. In the COMBI trial, patients receiving combination therapy improved their QoL by 7 points compared to those receiving monotherapy, whose QoL decreased by 3 points. The mean improvement in QoL for patients receiving combination therapy compared with those on monotherapy was 10 points, which is a c</w:t>
      </w:r>
      <w:r w:rsidR="00D60D8E">
        <w:t>linically important difference.</w:t>
      </w:r>
    </w:p>
    <w:p w:rsidR="0075777C" w:rsidRDefault="00272F8F" w:rsidP="00BC5A2B">
      <w:pPr>
        <w:pStyle w:val="Caption"/>
      </w:pPr>
      <w:bookmarkStart w:id="257" w:name="_Ref504656928"/>
      <w:bookmarkStart w:id="258" w:name="_Toc38360380"/>
      <w:r>
        <w:t>Table 4.</w:t>
      </w:r>
      <w:r w:rsidR="003951FA">
        <w:rPr>
          <w:noProof/>
        </w:rPr>
        <w:t>83</w:t>
      </w:r>
      <w:bookmarkEnd w:id="257"/>
      <w:r w:rsidR="001A69BE">
        <w:tab/>
      </w:r>
      <w:r w:rsidR="0075777C" w:rsidRPr="00DD7790">
        <w:rPr>
          <w:noProof/>
        </w:rPr>
        <w:t>T</w:t>
      </w:r>
      <w:r w:rsidR="0075777C" w:rsidRPr="00DD7790">
        <w:t xml:space="preserve">he effectiveness of </w:t>
      </w:r>
      <w:r w:rsidR="007E59EC">
        <w:t xml:space="preserve">a prostanoid in addition to an ERA compared with </w:t>
      </w:r>
      <w:r w:rsidR="007E59EC" w:rsidRPr="00DD7790">
        <w:t xml:space="preserve">ERA </w:t>
      </w:r>
      <w:r w:rsidR="007E59EC">
        <w:t>monotherapy</w:t>
      </w:r>
      <w:r w:rsidR="007E59EC" w:rsidRPr="00DD7790">
        <w:t xml:space="preserve"> </w:t>
      </w:r>
      <w:r w:rsidR="0075777C" w:rsidRPr="00DD7790">
        <w:t>in improving QoL in patients with WHO FC III</w:t>
      </w:r>
      <w:r w:rsidR="00E63678">
        <w:t>/</w:t>
      </w:r>
      <w:r w:rsidR="0075777C" w:rsidRPr="00DD7790">
        <w:t>IV PAH</w:t>
      </w:r>
      <w:bookmarkEnd w:id="258"/>
    </w:p>
    <w:tbl>
      <w:tblPr>
        <w:tblStyle w:val="TableGrid"/>
        <w:tblW w:w="9634" w:type="dxa"/>
        <w:tblLook w:val="04A0" w:firstRow="1" w:lastRow="0" w:firstColumn="1" w:lastColumn="0" w:noHBand="0" w:noVBand="1"/>
        <w:tblCaption w:val="The effectiveness of a prostanoid in addition to an ERA compared with ERA monotherapy in improving QoL in patients with WHO FC III/IV PAH"/>
      </w:tblPr>
      <w:tblGrid>
        <w:gridCol w:w="1650"/>
        <w:gridCol w:w="1459"/>
        <w:gridCol w:w="1365"/>
        <w:gridCol w:w="1273"/>
        <w:gridCol w:w="1365"/>
        <w:gridCol w:w="1270"/>
        <w:gridCol w:w="1252"/>
      </w:tblGrid>
      <w:tr w:rsidR="0075777C" w:rsidTr="00242BA3">
        <w:trPr>
          <w:cnfStyle w:val="100000000000" w:firstRow="1" w:lastRow="0" w:firstColumn="0" w:lastColumn="0" w:oddVBand="0" w:evenVBand="0" w:oddHBand="0" w:evenHBand="0" w:firstRowFirstColumn="0" w:firstRowLastColumn="0" w:lastRowFirstColumn="0" w:lastRowLastColumn="0"/>
        </w:trPr>
        <w:tc>
          <w:tcPr>
            <w:tcW w:w="1308" w:type="dxa"/>
            <w:vMerge w:val="restart"/>
            <w:shd w:val="clear" w:color="auto" w:fill="BFBFBF" w:themeFill="background1" w:themeFillShade="BF"/>
          </w:tcPr>
          <w:p w:rsidR="0075777C" w:rsidRPr="001A69BE" w:rsidRDefault="0075777C" w:rsidP="001A69BE">
            <w:pPr>
              <w:pStyle w:val="Tabletext"/>
              <w:rPr>
                <w:b/>
              </w:rPr>
            </w:pPr>
            <w:r w:rsidRPr="001A69BE">
              <w:rPr>
                <w:b/>
              </w:rPr>
              <w:t>Study ID</w:t>
            </w:r>
          </w:p>
          <w:p w:rsidR="0075777C" w:rsidRPr="001A69BE" w:rsidRDefault="0075777C" w:rsidP="001A69BE">
            <w:pPr>
              <w:pStyle w:val="Tabletext"/>
              <w:rPr>
                <w:b/>
              </w:rPr>
            </w:pPr>
            <w:r w:rsidRPr="001A69BE">
              <w:rPr>
                <w:b/>
              </w:rPr>
              <w:t>Prostanoid/ ERA</w:t>
            </w:r>
          </w:p>
        </w:tc>
        <w:tc>
          <w:tcPr>
            <w:tcW w:w="1438" w:type="dxa"/>
            <w:vMerge w:val="restart"/>
            <w:shd w:val="clear" w:color="auto" w:fill="BFBFBF" w:themeFill="background1" w:themeFillShade="BF"/>
          </w:tcPr>
          <w:p w:rsidR="0075777C" w:rsidRPr="001A69BE" w:rsidRDefault="0075777C" w:rsidP="001A69BE">
            <w:pPr>
              <w:pStyle w:val="Tabletext"/>
              <w:rPr>
                <w:b/>
              </w:rPr>
            </w:pPr>
            <w:r w:rsidRPr="001A69BE">
              <w:rPr>
                <w:b/>
              </w:rPr>
              <w:t>Questionnaire</w:t>
            </w:r>
          </w:p>
          <w:p w:rsidR="0075777C" w:rsidRPr="001A69BE" w:rsidRDefault="0075777C" w:rsidP="001A69BE">
            <w:pPr>
              <w:pStyle w:val="Tabletext"/>
              <w:rPr>
                <w:b/>
              </w:rPr>
            </w:pPr>
            <w:r w:rsidRPr="001A69BE">
              <w:rPr>
                <w:b/>
              </w:rPr>
              <w:t>Follow-up period</w:t>
            </w:r>
          </w:p>
        </w:tc>
        <w:tc>
          <w:tcPr>
            <w:tcW w:w="2806" w:type="dxa"/>
            <w:gridSpan w:val="2"/>
            <w:shd w:val="clear" w:color="auto" w:fill="BFBFBF" w:themeFill="background1" w:themeFillShade="BF"/>
          </w:tcPr>
          <w:p w:rsidR="0075777C" w:rsidRPr="001A69BE" w:rsidRDefault="00242BA3" w:rsidP="00242BA3">
            <w:pPr>
              <w:pStyle w:val="Tabletext"/>
              <w:jc w:val="center"/>
              <w:rPr>
                <w:b/>
              </w:rPr>
            </w:pPr>
            <w:r>
              <w:rPr>
                <w:b/>
              </w:rPr>
              <w:t>M</w:t>
            </w:r>
            <w:r w:rsidRPr="001A69BE">
              <w:rPr>
                <w:b/>
              </w:rPr>
              <w:t xml:space="preserve">ean ± SD </w:t>
            </w:r>
            <w:r>
              <w:rPr>
                <w:b/>
              </w:rPr>
              <w:t>b</w:t>
            </w:r>
            <w:r w:rsidR="0075777C" w:rsidRPr="001A69BE">
              <w:rPr>
                <w:b/>
              </w:rPr>
              <w:t>aseline QoL</w:t>
            </w:r>
          </w:p>
        </w:tc>
        <w:tc>
          <w:tcPr>
            <w:tcW w:w="2807" w:type="dxa"/>
            <w:gridSpan w:val="2"/>
            <w:shd w:val="clear" w:color="auto" w:fill="BFBFBF" w:themeFill="background1" w:themeFillShade="BF"/>
          </w:tcPr>
          <w:p w:rsidR="0075777C" w:rsidRPr="001A69BE" w:rsidRDefault="0075777C" w:rsidP="00242BA3">
            <w:pPr>
              <w:pStyle w:val="Tabletext"/>
              <w:jc w:val="center"/>
              <w:rPr>
                <w:b/>
              </w:rPr>
            </w:pPr>
            <w:r w:rsidRPr="001A69BE">
              <w:rPr>
                <w:b/>
              </w:rPr>
              <w:t xml:space="preserve">Mean </w:t>
            </w:r>
            <w:r w:rsidR="00242BA3">
              <w:rPr>
                <w:b/>
              </w:rPr>
              <w:t xml:space="preserve">± SD </w:t>
            </w:r>
            <w:r w:rsidRPr="001A69BE">
              <w:rPr>
                <w:b/>
              </w:rPr>
              <w:t>change from baseline</w:t>
            </w:r>
          </w:p>
        </w:tc>
        <w:tc>
          <w:tcPr>
            <w:tcW w:w="1275" w:type="dxa"/>
            <w:vMerge w:val="restart"/>
            <w:shd w:val="clear" w:color="auto" w:fill="BFBFBF" w:themeFill="background1" w:themeFillShade="BF"/>
          </w:tcPr>
          <w:p w:rsidR="0075777C" w:rsidRPr="001A69BE" w:rsidRDefault="0075777C" w:rsidP="00561DAB">
            <w:pPr>
              <w:pStyle w:val="Tabletext"/>
              <w:rPr>
                <w:b/>
              </w:rPr>
            </w:pPr>
            <w:r w:rsidRPr="001A69BE">
              <w:rPr>
                <w:b/>
              </w:rPr>
              <w:t>Mean difference</w:t>
            </w:r>
            <w:r w:rsidR="00242BA3">
              <w:rPr>
                <w:b/>
              </w:rPr>
              <w:t>, points</w:t>
            </w:r>
          </w:p>
        </w:tc>
      </w:tr>
      <w:tr w:rsidR="0075777C" w:rsidTr="00242BA3">
        <w:tc>
          <w:tcPr>
            <w:tcW w:w="1308" w:type="dxa"/>
            <w:vMerge/>
          </w:tcPr>
          <w:p w:rsidR="0075777C" w:rsidRPr="001A69BE" w:rsidRDefault="0075777C" w:rsidP="001A69BE">
            <w:pPr>
              <w:pStyle w:val="Tabletext"/>
            </w:pPr>
          </w:p>
        </w:tc>
        <w:tc>
          <w:tcPr>
            <w:tcW w:w="1438" w:type="dxa"/>
            <w:vMerge/>
          </w:tcPr>
          <w:p w:rsidR="0075777C" w:rsidRPr="001A69BE" w:rsidRDefault="0075777C" w:rsidP="001A69BE">
            <w:pPr>
              <w:pStyle w:val="Tabletext"/>
            </w:pPr>
          </w:p>
        </w:tc>
        <w:tc>
          <w:tcPr>
            <w:tcW w:w="1403" w:type="dxa"/>
            <w:shd w:val="clear" w:color="auto" w:fill="BFBFBF" w:themeFill="background1" w:themeFillShade="BF"/>
          </w:tcPr>
          <w:p w:rsidR="0075777C" w:rsidRPr="001A69BE" w:rsidRDefault="0075777C" w:rsidP="001A69BE">
            <w:pPr>
              <w:pStyle w:val="Tabletext"/>
              <w:jc w:val="center"/>
              <w:rPr>
                <w:b/>
              </w:rPr>
            </w:pPr>
            <w:r w:rsidRPr="001A69BE">
              <w:rPr>
                <w:b/>
              </w:rPr>
              <w:t>Prostanoid + ERA</w:t>
            </w:r>
          </w:p>
        </w:tc>
        <w:tc>
          <w:tcPr>
            <w:tcW w:w="1403" w:type="dxa"/>
            <w:shd w:val="clear" w:color="auto" w:fill="BFBFBF" w:themeFill="background1" w:themeFillShade="BF"/>
          </w:tcPr>
          <w:p w:rsidR="0075777C" w:rsidRPr="001A69BE" w:rsidRDefault="0075777C" w:rsidP="001A69BE">
            <w:pPr>
              <w:pStyle w:val="Tabletext"/>
              <w:jc w:val="center"/>
              <w:rPr>
                <w:b/>
              </w:rPr>
            </w:pPr>
            <w:r w:rsidRPr="001A69BE">
              <w:rPr>
                <w:b/>
              </w:rPr>
              <w:t>ERA</w:t>
            </w:r>
          </w:p>
        </w:tc>
        <w:tc>
          <w:tcPr>
            <w:tcW w:w="1403" w:type="dxa"/>
            <w:shd w:val="clear" w:color="auto" w:fill="BFBFBF" w:themeFill="background1" w:themeFillShade="BF"/>
          </w:tcPr>
          <w:p w:rsidR="0075777C" w:rsidRPr="001A69BE" w:rsidRDefault="0075777C" w:rsidP="001A69BE">
            <w:pPr>
              <w:pStyle w:val="Tabletext"/>
              <w:jc w:val="center"/>
              <w:rPr>
                <w:b/>
              </w:rPr>
            </w:pPr>
            <w:r w:rsidRPr="001A69BE">
              <w:rPr>
                <w:b/>
              </w:rPr>
              <w:t>Prostanoid + ERA</w:t>
            </w:r>
          </w:p>
        </w:tc>
        <w:tc>
          <w:tcPr>
            <w:tcW w:w="1404" w:type="dxa"/>
            <w:shd w:val="clear" w:color="auto" w:fill="BFBFBF" w:themeFill="background1" w:themeFillShade="BF"/>
          </w:tcPr>
          <w:p w:rsidR="0075777C" w:rsidRPr="001A69BE" w:rsidRDefault="0075777C" w:rsidP="001A69BE">
            <w:pPr>
              <w:pStyle w:val="Tabletext"/>
              <w:jc w:val="center"/>
              <w:rPr>
                <w:b/>
              </w:rPr>
            </w:pPr>
            <w:r w:rsidRPr="001A69BE">
              <w:rPr>
                <w:b/>
              </w:rPr>
              <w:t>ERA</w:t>
            </w:r>
          </w:p>
        </w:tc>
        <w:tc>
          <w:tcPr>
            <w:tcW w:w="1275" w:type="dxa"/>
            <w:vMerge/>
          </w:tcPr>
          <w:p w:rsidR="0075777C" w:rsidRPr="001A69BE" w:rsidRDefault="0075777C" w:rsidP="001A69BE">
            <w:pPr>
              <w:pStyle w:val="Tabletext"/>
            </w:pPr>
          </w:p>
        </w:tc>
      </w:tr>
      <w:tr w:rsidR="0075777C" w:rsidTr="00242BA3">
        <w:tc>
          <w:tcPr>
            <w:tcW w:w="1308" w:type="dxa"/>
          </w:tcPr>
          <w:p w:rsidR="0075777C" w:rsidRPr="001A69BE" w:rsidRDefault="0075777C" w:rsidP="001A69BE">
            <w:pPr>
              <w:pStyle w:val="Tabletext"/>
            </w:pPr>
            <w:r w:rsidRPr="001A69BE">
              <w:t>COMBI</w:t>
            </w:r>
            <w:r w:rsidR="001D34EE">
              <w:rPr>
                <w:noProof/>
                <w:vertAlign w:val="superscript"/>
              </w:rPr>
              <w:t>36</w:t>
            </w:r>
          </w:p>
          <w:p w:rsidR="0075777C" w:rsidRPr="001A69BE" w:rsidRDefault="001A69BE" w:rsidP="001A69BE">
            <w:pPr>
              <w:pStyle w:val="Tabletext"/>
            </w:pPr>
            <w:r>
              <w:t>Iloprost/</w:t>
            </w:r>
            <w:r w:rsidR="0075777C" w:rsidRPr="001A69BE">
              <w:t>bosentan</w:t>
            </w:r>
          </w:p>
        </w:tc>
        <w:tc>
          <w:tcPr>
            <w:tcW w:w="1438" w:type="dxa"/>
          </w:tcPr>
          <w:p w:rsidR="0075777C" w:rsidRPr="001A69BE" w:rsidRDefault="0075777C" w:rsidP="001A69BE">
            <w:pPr>
              <w:pStyle w:val="Tabletext"/>
            </w:pPr>
            <w:r w:rsidRPr="001A69BE">
              <w:t>EQ-</w:t>
            </w:r>
            <w:r w:rsidR="00107963">
              <w:t>VAS</w:t>
            </w:r>
            <w:r w:rsidR="005A2984">
              <w:t xml:space="preserve"> </w:t>
            </w:r>
            <w:r w:rsidR="005A2984" w:rsidRPr="005A2984">
              <w:rPr>
                <w:vertAlign w:val="superscript"/>
              </w:rPr>
              <w:t>a</w:t>
            </w:r>
          </w:p>
          <w:p w:rsidR="0075777C" w:rsidRPr="001A69BE" w:rsidRDefault="0075777C" w:rsidP="001A69BE">
            <w:pPr>
              <w:pStyle w:val="Tabletext"/>
            </w:pPr>
            <w:r w:rsidRPr="001A69BE">
              <w:t>16 weeks</w:t>
            </w:r>
          </w:p>
          <w:p w:rsidR="0075777C" w:rsidRPr="001A69BE" w:rsidRDefault="0075777C" w:rsidP="001A69BE">
            <w:pPr>
              <w:pStyle w:val="Tabletext"/>
            </w:pPr>
            <w:r w:rsidRPr="001A69BE">
              <w:t>WHO FC III</w:t>
            </w:r>
          </w:p>
        </w:tc>
        <w:tc>
          <w:tcPr>
            <w:tcW w:w="1403" w:type="dxa"/>
          </w:tcPr>
          <w:p w:rsidR="0075777C" w:rsidRPr="001A69BE" w:rsidRDefault="0075777C" w:rsidP="001A69BE">
            <w:pPr>
              <w:pStyle w:val="Tabletext"/>
              <w:jc w:val="center"/>
            </w:pPr>
            <w:r w:rsidRPr="001A69BE">
              <w:t>n=19</w:t>
            </w:r>
          </w:p>
          <w:p w:rsidR="0075777C" w:rsidRPr="001A69BE" w:rsidRDefault="0075777C" w:rsidP="001A69BE">
            <w:pPr>
              <w:pStyle w:val="Tabletext"/>
              <w:jc w:val="center"/>
            </w:pPr>
            <w:r w:rsidRPr="001A69BE">
              <w:t>40 ± 17</w:t>
            </w:r>
          </w:p>
        </w:tc>
        <w:tc>
          <w:tcPr>
            <w:tcW w:w="1403" w:type="dxa"/>
          </w:tcPr>
          <w:p w:rsidR="0075777C" w:rsidRPr="001A69BE" w:rsidRDefault="0075777C" w:rsidP="001A69BE">
            <w:pPr>
              <w:pStyle w:val="Tabletext"/>
              <w:jc w:val="center"/>
            </w:pPr>
            <w:r w:rsidRPr="001A69BE">
              <w:t>n=21</w:t>
            </w:r>
          </w:p>
          <w:p w:rsidR="0075777C" w:rsidRPr="001A69BE" w:rsidRDefault="0075777C" w:rsidP="001A69BE">
            <w:pPr>
              <w:pStyle w:val="Tabletext"/>
              <w:jc w:val="center"/>
            </w:pPr>
            <w:r w:rsidRPr="001A69BE">
              <w:t>48 ± 16</w:t>
            </w:r>
          </w:p>
        </w:tc>
        <w:tc>
          <w:tcPr>
            <w:tcW w:w="1403" w:type="dxa"/>
          </w:tcPr>
          <w:p w:rsidR="0075777C" w:rsidRPr="001A69BE" w:rsidRDefault="0075777C" w:rsidP="001A69BE">
            <w:pPr>
              <w:pStyle w:val="Tabletext"/>
              <w:jc w:val="center"/>
            </w:pPr>
          </w:p>
          <w:p w:rsidR="0075777C" w:rsidRPr="001A69BE" w:rsidRDefault="0075777C" w:rsidP="001A69BE">
            <w:pPr>
              <w:pStyle w:val="Tabletext"/>
              <w:jc w:val="center"/>
            </w:pPr>
            <w:r w:rsidRPr="001A69BE">
              <w:t>+7 ± 19</w:t>
            </w:r>
          </w:p>
        </w:tc>
        <w:tc>
          <w:tcPr>
            <w:tcW w:w="1404" w:type="dxa"/>
          </w:tcPr>
          <w:p w:rsidR="0075777C" w:rsidRPr="001A69BE" w:rsidRDefault="0075777C" w:rsidP="001A69BE">
            <w:pPr>
              <w:pStyle w:val="Tabletext"/>
              <w:jc w:val="center"/>
            </w:pPr>
          </w:p>
          <w:p w:rsidR="0075777C" w:rsidRPr="001A69BE" w:rsidRDefault="0075777C" w:rsidP="001A69BE">
            <w:pPr>
              <w:pStyle w:val="Tabletext"/>
              <w:jc w:val="center"/>
            </w:pPr>
            <w:r w:rsidRPr="001A69BE">
              <w:t>–3 ± 11</w:t>
            </w:r>
          </w:p>
        </w:tc>
        <w:tc>
          <w:tcPr>
            <w:tcW w:w="1275" w:type="dxa"/>
          </w:tcPr>
          <w:p w:rsidR="0075777C" w:rsidRPr="001A69BE" w:rsidRDefault="0075777C" w:rsidP="001A69BE">
            <w:pPr>
              <w:pStyle w:val="Tabletext"/>
            </w:pPr>
          </w:p>
          <w:p w:rsidR="0075777C" w:rsidRPr="001A69BE" w:rsidRDefault="0075777C" w:rsidP="001A69BE">
            <w:pPr>
              <w:pStyle w:val="Tabletext"/>
            </w:pPr>
            <w:r w:rsidRPr="001A69BE">
              <w:t>10</w:t>
            </w:r>
          </w:p>
        </w:tc>
      </w:tr>
    </w:tbl>
    <w:p w:rsidR="005A2984" w:rsidRDefault="005A2984" w:rsidP="005A2984">
      <w:pPr>
        <w:pStyle w:val="Tablenote"/>
      </w:pPr>
      <w:proofErr w:type="gramStart"/>
      <w:r w:rsidRPr="000054CF">
        <w:rPr>
          <w:vertAlign w:val="superscript"/>
        </w:rPr>
        <w:t>a</w:t>
      </w:r>
      <w:proofErr w:type="gramEnd"/>
      <w:r>
        <w:t xml:space="preserve"> </w:t>
      </w:r>
      <w:r w:rsidRPr="000054CF">
        <w:t xml:space="preserve">EQ-VAS scores range from 0 to 100. A higher score represents better </w:t>
      </w:r>
      <w:r>
        <w:t>QoL</w:t>
      </w:r>
      <w:r w:rsidRPr="000054CF">
        <w:t xml:space="preserve">. </w:t>
      </w:r>
    </w:p>
    <w:p w:rsidR="0075777C" w:rsidRPr="00822C52" w:rsidRDefault="0075777C" w:rsidP="001A69BE">
      <w:pPr>
        <w:pStyle w:val="Tablenote"/>
        <w:rPr>
          <w:b/>
        </w:rPr>
      </w:pPr>
      <w:r w:rsidRPr="00822C52">
        <w:t xml:space="preserve">CI = confidence interval; ERA = endothelin receptor antagonist; </w:t>
      </w:r>
      <w:r>
        <w:t>EQ-</w:t>
      </w:r>
      <w:r w:rsidR="00107963">
        <w:t>VAS</w:t>
      </w:r>
      <w:r>
        <w:t xml:space="preserve"> = </w:t>
      </w:r>
      <w:r w:rsidR="00107963" w:rsidRPr="00107963">
        <w:t>EuroQoL visual analogue scale;</w:t>
      </w:r>
      <w:r w:rsidRPr="00822C52">
        <w:t xml:space="preserve"> FC = functional class; PAH = pulmonary arterial hypertension; QoL = quality of life; SD = standard deviation; WHO = World Health Organization</w:t>
      </w:r>
      <w:r>
        <w:t xml:space="preserve"> </w:t>
      </w:r>
    </w:p>
    <w:p w:rsidR="00761752" w:rsidRPr="006316DF" w:rsidRDefault="00761752" w:rsidP="00761752">
      <w:pPr>
        <w:pStyle w:val="Heading5"/>
      </w:pPr>
      <w:r>
        <w:t>g.</w:t>
      </w:r>
      <w:r>
        <w:tab/>
      </w:r>
      <w:r w:rsidRPr="006316DF">
        <w:t xml:space="preserve">Change in </w:t>
      </w:r>
      <w:r>
        <w:t>haemodynamic parameters</w:t>
      </w:r>
      <w:r w:rsidRPr="006316DF">
        <w:t xml:space="preserve"> from baseline</w:t>
      </w:r>
    </w:p>
    <w:p w:rsidR="00761752" w:rsidRPr="00822C52" w:rsidRDefault="00761752" w:rsidP="00761752">
      <w:pPr>
        <w:pStyle w:val="Heading6"/>
      </w:pPr>
      <w:proofErr w:type="gramStart"/>
      <w:r>
        <w:t>g</w:t>
      </w:r>
      <w:r w:rsidRPr="00822C52">
        <w:t>.i</w:t>
      </w:r>
      <w:r w:rsidR="00CF528B">
        <w:t>i</w:t>
      </w:r>
      <w:proofErr w:type="gramEnd"/>
      <w:r w:rsidRPr="00822C52">
        <w:tab/>
        <w:t>PAH patients</w:t>
      </w:r>
      <w:r w:rsidR="00CF528B">
        <w:t xml:space="preserve"> with FC III or IV</w:t>
      </w:r>
    </w:p>
    <w:p w:rsidR="00761752" w:rsidRDefault="00761752" w:rsidP="00761752">
      <w:r w:rsidRPr="00125ABB">
        <w:t xml:space="preserve">The </w:t>
      </w:r>
      <w:r>
        <w:t>STEP trial</w:t>
      </w:r>
      <w:r w:rsidRPr="00125ABB">
        <w:t xml:space="preserve"> reported the change in PVR and mPAP over the 1</w:t>
      </w:r>
      <w:r>
        <w:t>2</w:t>
      </w:r>
      <w:r w:rsidRPr="00125ABB">
        <w:t>-week study period (</w:t>
      </w:r>
      <w:r w:rsidR="003951FA">
        <w:t>Table 4.</w:t>
      </w:r>
      <w:r w:rsidR="003951FA">
        <w:rPr>
          <w:noProof/>
        </w:rPr>
        <w:t>84</w:t>
      </w:r>
      <w:r w:rsidRPr="00125ABB">
        <w:t xml:space="preserve">). In this study, patients receiving combination therapy showed improvement compared </w:t>
      </w:r>
      <w:r>
        <w:t>with no improvement or worsening in</w:t>
      </w:r>
      <w:r w:rsidRPr="00125ABB">
        <w:t xml:space="preserve"> those </w:t>
      </w:r>
      <w:r>
        <w:t>receiving</w:t>
      </w:r>
      <w:r w:rsidRPr="00125ABB">
        <w:t xml:space="preserve"> monotherapy</w:t>
      </w:r>
      <w:r>
        <w:t>. The difference was s</w:t>
      </w:r>
      <w:r w:rsidRPr="00125ABB">
        <w:t>tatistical</w:t>
      </w:r>
      <w:r>
        <w:t>ly</w:t>
      </w:r>
      <w:r w:rsidRPr="00125ABB">
        <w:t xml:space="preserve"> significan</w:t>
      </w:r>
      <w:r>
        <w:t>t and may be</w:t>
      </w:r>
      <w:r w:rsidRPr="00125ABB">
        <w:t xml:space="preserve"> clinically important.</w:t>
      </w:r>
    </w:p>
    <w:p w:rsidR="00761752" w:rsidRDefault="00761752" w:rsidP="00761752">
      <w:pPr>
        <w:pStyle w:val="Caption"/>
      </w:pPr>
      <w:bookmarkStart w:id="259" w:name="_Ref505591737"/>
      <w:bookmarkStart w:id="260" w:name="_Toc38360381"/>
      <w:r>
        <w:t>Table 4.</w:t>
      </w:r>
      <w:r w:rsidR="003951FA">
        <w:rPr>
          <w:noProof/>
        </w:rPr>
        <w:t>84</w:t>
      </w:r>
      <w:bookmarkEnd w:id="259"/>
      <w:r>
        <w:tab/>
      </w:r>
      <w:r w:rsidRPr="006316DF">
        <w:t xml:space="preserve">The effectiveness of </w:t>
      </w:r>
      <w:r w:rsidR="007E59EC">
        <w:t xml:space="preserve">a prostanoid in addition to an ERA compared with </w:t>
      </w:r>
      <w:r w:rsidR="007E59EC" w:rsidRPr="00DD7790">
        <w:t xml:space="preserve">ERA </w:t>
      </w:r>
      <w:r w:rsidR="007E59EC">
        <w:t>monotherapy</w:t>
      </w:r>
      <w:r w:rsidR="007E59EC" w:rsidRPr="006316DF">
        <w:t xml:space="preserve"> </w:t>
      </w:r>
      <w:r w:rsidRPr="006316DF">
        <w:t xml:space="preserve">in improving </w:t>
      </w:r>
      <w:r>
        <w:t>haemodynamic parameters</w:t>
      </w:r>
      <w:r w:rsidRPr="00B642BB">
        <w:t xml:space="preserve"> in </w:t>
      </w:r>
      <w:r w:rsidR="00E63678">
        <w:t>WHO FC III/IV</w:t>
      </w:r>
      <w:r>
        <w:t xml:space="preserve"> PAH</w:t>
      </w:r>
      <w:bookmarkEnd w:id="260"/>
    </w:p>
    <w:tbl>
      <w:tblPr>
        <w:tblStyle w:val="TableGrid"/>
        <w:tblW w:w="9634" w:type="dxa"/>
        <w:tblLayout w:type="fixed"/>
        <w:tblLook w:val="04A0" w:firstRow="1" w:lastRow="0" w:firstColumn="1" w:lastColumn="0" w:noHBand="0" w:noVBand="1"/>
        <w:tblCaption w:val="The effectiveness of a prostanoid in addition to an ERA compared with ERA monotherapy in improving haemodynamic parameters in WHO FC III/IV PAH"/>
      </w:tblPr>
      <w:tblGrid>
        <w:gridCol w:w="1413"/>
        <w:gridCol w:w="1621"/>
        <w:gridCol w:w="1331"/>
        <w:gridCol w:w="1331"/>
        <w:gridCol w:w="1331"/>
        <w:gridCol w:w="1332"/>
        <w:gridCol w:w="1275"/>
      </w:tblGrid>
      <w:tr w:rsidR="00761752" w:rsidTr="002A66C2">
        <w:trPr>
          <w:cnfStyle w:val="100000000000" w:firstRow="1" w:lastRow="0" w:firstColumn="0" w:lastColumn="0" w:oddVBand="0" w:evenVBand="0" w:oddHBand="0" w:evenHBand="0" w:firstRowFirstColumn="0" w:firstRowLastColumn="0" w:lastRowFirstColumn="0" w:lastRowLastColumn="0"/>
        </w:trPr>
        <w:tc>
          <w:tcPr>
            <w:tcW w:w="1413" w:type="dxa"/>
            <w:vMerge w:val="restart"/>
            <w:shd w:val="clear" w:color="auto" w:fill="BFBFBF" w:themeFill="background1" w:themeFillShade="BF"/>
          </w:tcPr>
          <w:p w:rsidR="00761752" w:rsidRPr="00DF0DAE" w:rsidRDefault="00761752" w:rsidP="00973227">
            <w:pPr>
              <w:pStyle w:val="Tabletext"/>
              <w:rPr>
                <w:b/>
              </w:rPr>
            </w:pPr>
            <w:r w:rsidRPr="00DF0DAE">
              <w:rPr>
                <w:b/>
              </w:rPr>
              <w:t>Study ID</w:t>
            </w:r>
          </w:p>
          <w:p w:rsidR="00761752" w:rsidRPr="00DF0DAE" w:rsidRDefault="00534ADA" w:rsidP="00973227">
            <w:pPr>
              <w:pStyle w:val="Tabletext"/>
              <w:rPr>
                <w:b/>
              </w:rPr>
            </w:pPr>
            <w:r>
              <w:rPr>
                <w:b/>
              </w:rPr>
              <w:t>Prostanoid/</w:t>
            </w:r>
            <w:r w:rsidR="00503643">
              <w:rPr>
                <w:b/>
              </w:rPr>
              <w:t xml:space="preserve"> </w:t>
            </w:r>
            <w:r w:rsidR="00761752" w:rsidRPr="00DF0DAE">
              <w:rPr>
                <w:b/>
              </w:rPr>
              <w:t>ERA</w:t>
            </w:r>
          </w:p>
          <w:p w:rsidR="00761752" w:rsidRPr="00DF0DAE" w:rsidRDefault="00761752" w:rsidP="00973227">
            <w:pPr>
              <w:pStyle w:val="Tabletext"/>
              <w:rPr>
                <w:b/>
              </w:rPr>
            </w:pPr>
            <w:r w:rsidRPr="00DF0DAE">
              <w:rPr>
                <w:b/>
              </w:rPr>
              <w:t>Study period</w:t>
            </w:r>
          </w:p>
          <w:p w:rsidR="00761752" w:rsidRPr="00DF0DAE" w:rsidRDefault="00761752" w:rsidP="00973227">
            <w:pPr>
              <w:pStyle w:val="Tabletext"/>
              <w:rPr>
                <w:b/>
              </w:rPr>
            </w:pPr>
            <w:r w:rsidRPr="00DF0DAE">
              <w:rPr>
                <w:b/>
              </w:rPr>
              <w:t>N</w:t>
            </w:r>
          </w:p>
        </w:tc>
        <w:tc>
          <w:tcPr>
            <w:tcW w:w="1621" w:type="dxa"/>
            <w:vMerge w:val="restart"/>
            <w:shd w:val="clear" w:color="auto" w:fill="BFBFBF" w:themeFill="background1" w:themeFillShade="BF"/>
          </w:tcPr>
          <w:p w:rsidR="00761752" w:rsidRPr="00DF0DAE" w:rsidRDefault="00761752" w:rsidP="00973227">
            <w:pPr>
              <w:pStyle w:val="Tabletext"/>
              <w:rPr>
                <w:b/>
              </w:rPr>
            </w:pPr>
            <w:r w:rsidRPr="00DF0DAE">
              <w:rPr>
                <w:b/>
              </w:rPr>
              <w:t>Haemodynamic parameter</w:t>
            </w:r>
            <w:r w:rsidR="000B12FE" w:rsidRPr="000B12FE">
              <w:rPr>
                <w:b/>
                <w:vertAlign w:val="superscript"/>
              </w:rPr>
              <w:t>a</w:t>
            </w:r>
          </w:p>
        </w:tc>
        <w:tc>
          <w:tcPr>
            <w:tcW w:w="2662" w:type="dxa"/>
            <w:gridSpan w:val="2"/>
            <w:shd w:val="clear" w:color="auto" w:fill="BFBFBF" w:themeFill="background1" w:themeFillShade="BF"/>
          </w:tcPr>
          <w:p w:rsidR="00761752" w:rsidRPr="002A66C2" w:rsidRDefault="00761752" w:rsidP="00973227">
            <w:pPr>
              <w:pStyle w:val="Tabletext"/>
              <w:jc w:val="center"/>
              <w:rPr>
                <w:rFonts w:cs="Arial"/>
                <w:b/>
              </w:rPr>
            </w:pPr>
            <w:r w:rsidRPr="002A66C2">
              <w:rPr>
                <w:rFonts w:cs="Arial"/>
                <w:b/>
              </w:rPr>
              <w:t xml:space="preserve">Mean ± SD baseline haemodynamic </w:t>
            </w:r>
            <w:r w:rsidR="0095089E" w:rsidRPr="002A66C2">
              <w:rPr>
                <w:rFonts w:cs="Arial"/>
                <w:b/>
              </w:rPr>
              <w:t>parameter</w:t>
            </w:r>
          </w:p>
        </w:tc>
        <w:tc>
          <w:tcPr>
            <w:tcW w:w="2663" w:type="dxa"/>
            <w:gridSpan w:val="2"/>
            <w:shd w:val="clear" w:color="auto" w:fill="BFBFBF" w:themeFill="background1" w:themeFillShade="BF"/>
          </w:tcPr>
          <w:p w:rsidR="00761752" w:rsidRPr="002A66C2" w:rsidRDefault="00761752" w:rsidP="00E6350D">
            <w:pPr>
              <w:pStyle w:val="Tabletext"/>
              <w:jc w:val="center"/>
              <w:rPr>
                <w:rFonts w:cs="Arial"/>
                <w:b/>
              </w:rPr>
            </w:pPr>
            <w:r w:rsidRPr="002A66C2">
              <w:rPr>
                <w:rFonts w:cs="Arial"/>
                <w:b/>
              </w:rPr>
              <w:t>Mean change from baseline</w:t>
            </w:r>
            <w:r w:rsidR="00242BA3" w:rsidRPr="002A66C2">
              <w:rPr>
                <w:rFonts w:cs="Arial"/>
                <w:b/>
              </w:rPr>
              <w:t xml:space="preserve"> </w:t>
            </w:r>
            <w:r w:rsidR="00E6350D" w:rsidRPr="002A66C2">
              <w:rPr>
                <w:rFonts w:cs="Arial"/>
                <w:b/>
              </w:rPr>
              <w:br/>
              <w:t>(% change from baseline)</w:t>
            </w:r>
          </w:p>
        </w:tc>
        <w:tc>
          <w:tcPr>
            <w:tcW w:w="1275" w:type="dxa"/>
            <w:vMerge w:val="restart"/>
            <w:shd w:val="clear" w:color="auto" w:fill="BFBFBF" w:themeFill="background1" w:themeFillShade="BF"/>
          </w:tcPr>
          <w:p w:rsidR="00761752" w:rsidRPr="002A66C2" w:rsidRDefault="00761752" w:rsidP="00242BA3">
            <w:pPr>
              <w:pStyle w:val="Tabletext"/>
              <w:rPr>
                <w:rFonts w:cs="Arial"/>
                <w:b/>
              </w:rPr>
            </w:pPr>
            <w:r w:rsidRPr="002A66C2">
              <w:rPr>
                <w:rFonts w:cs="Arial"/>
                <w:b/>
              </w:rPr>
              <w:t xml:space="preserve">Mean </w:t>
            </w:r>
            <w:r w:rsidR="00242BA3" w:rsidRPr="002A66C2">
              <w:rPr>
                <w:rFonts w:cs="Arial"/>
                <w:b/>
              </w:rPr>
              <w:t xml:space="preserve">% </w:t>
            </w:r>
            <w:r w:rsidRPr="002A66C2">
              <w:rPr>
                <w:rFonts w:cs="Arial"/>
                <w:b/>
              </w:rPr>
              <w:t>difference</w:t>
            </w:r>
          </w:p>
        </w:tc>
      </w:tr>
      <w:tr w:rsidR="00761752" w:rsidTr="002A66C2">
        <w:tc>
          <w:tcPr>
            <w:tcW w:w="1413" w:type="dxa"/>
            <w:vMerge/>
          </w:tcPr>
          <w:p w:rsidR="00761752" w:rsidRDefault="00761752" w:rsidP="00973227">
            <w:pPr>
              <w:pStyle w:val="Tabletext"/>
            </w:pPr>
          </w:p>
        </w:tc>
        <w:tc>
          <w:tcPr>
            <w:tcW w:w="1621" w:type="dxa"/>
            <w:vMerge/>
          </w:tcPr>
          <w:p w:rsidR="00761752" w:rsidRDefault="00761752" w:rsidP="00973227">
            <w:pPr>
              <w:pStyle w:val="Tabletext"/>
            </w:pPr>
          </w:p>
        </w:tc>
        <w:tc>
          <w:tcPr>
            <w:tcW w:w="1331" w:type="dxa"/>
            <w:tcBorders>
              <w:bottom w:val="single" w:sz="4" w:space="0" w:color="auto"/>
            </w:tcBorders>
            <w:shd w:val="clear" w:color="auto" w:fill="BFBFBF" w:themeFill="background1" w:themeFillShade="BF"/>
          </w:tcPr>
          <w:p w:rsidR="00761752" w:rsidRPr="002A66C2" w:rsidRDefault="00761752" w:rsidP="00973227">
            <w:pPr>
              <w:pStyle w:val="Tabletext"/>
              <w:jc w:val="center"/>
              <w:rPr>
                <w:rFonts w:cs="Arial"/>
                <w:b/>
              </w:rPr>
            </w:pPr>
            <w:r w:rsidRPr="002A66C2">
              <w:rPr>
                <w:rFonts w:cs="Arial"/>
                <w:b/>
              </w:rPr>
              <w:t>Prostanoid + ERA</w:t>
            </w:r>
          </w:p>
        </w:tc>
        <w:tc>
          <w:tcPr>
            <w:tcW w:w="1331" w:type="dxa"/>
            <w:tcBorders>
              <w:bottom w:val="single" w:sz="4" w:space="0" w:color="auto"/>
            </w:tcBorders>
            <w:shd w:val="clear" w:color="auto" w:fill="BFBFBF" w:themeFill="background1" w:themeFillShade="BF"/>
          </w:tcPr>
          <w:p w:rsidR="00761752" w:rsidRPr="002A66C2" w:rsidRDefault="00761752" w:rsidP="00973227">
            <w:pPr>
              <w:pStyle w:val="Tabletext"/>
              <w:jc w:val="center"/>
              <w:rPr>
                <w:rFonts w:cs="Arial"/>
                <w:b/>
              </w:rPr>
            </w:pPr>
            <w:r w:rsidRPr="002A66C2">
              <w:rPr>
                <w:rFonts w:cs="Arial"/>
                <w:b/>
              </w:rPr>
              <w:t>ERA</w:t>
            </w:r>
          </w:p>
        </w:tc>
        <w:tc>
          <w:tcPr>
            <w:tcW w:w="1331" w:type="dxa"/>
            <w:tcBorders>
              <w:bottom w:val="single" w:sz="4" w:space="0" w:color="auto"/>
            </w:tcBorders>
            <w:shd w:val="clear" w:color="auto" w:fill="BFBFBF" w:themeFill="background1" w:themeFillShade="BF"/>
          </w:tcPr>
          <w:p w:rsidR="00761752" w:rsidRPr="002A66C2" w:rsidRDefault="00761752" w:rsidP="00973227">
            <w:pPr>
              <w:pStyle w:val="Tabletext"/>
              <w:jc w:val="center"/>
              <w:rPr>
                <w:rFonts w:cs="Arial"/>
                <w:b/>
              </w:rPr>
            </w:pPr>
            <w:r w:rsidRPr="002A66C2">
              <w:rPr>
                <w:rFonts w:cs="Arial"/>
                <w:b/>
              </w:rPr>
              <w:t>Prostanoid + ERA</w:t>
            </w:r>
          </w:p>
        </w:tc>
        <w:tc>
          <w:tcPr>
            <w:tcW w:w="1332" w:type="dxa"/>
            <w:tcBorders>
              <w:bottom w:val="single" w:sz="4" w:space="0" w:color="auto"/>
            </w:tcBorders>
            <w:shd w:val="clear" w:color="auto" w:fill="BFBFBF" w:themeFill="background1" w:themeFillShade="BF"/>
          </w:tcPr>
          <w:p w:rsidR="00761752" w:rsidRPr="002A66C2" w:rsidRDefault="00761752" w:rsidP="00973227">
            <w:pPr>
              <w:pStyle w:val="Tabletext"/>
              <w:jc w:val="center"/>
              <w:rPr>
                <w:rFonts w:cs="Arial"/>
                <w:b/>
              </w:rPr>
            </w:pPr>
            <w:r w:rsidRPr="002A66C2">
              <w:rPr>
                <w:rFonts w:cs="Arial"/>
                <w:b/>
              </w:rPr>
              <w:t>ERA</w:t>
            </w:r>
          </w:p>
        </w:tc>
        <w:tc>
          <w:tcPr>
            <w:tcW w:w="1275" w:type="dxa"/>
            <w:vMerge/>
          </w:tcPr>
          <w:p w:rsidR="00761752" w:rsidRDefault="00761752" w:rsidP="00973227">
            <w:pPr>
              <w:pStyle w:val="Tabletext"/>
            </w:pPr>
          </w:p>
        </w:tc>
      </w:tr>
      <w:tr w:rsidR="00761752" w:rsidTr="002A66C2">
        <w:tc>
          <w:tcPr>
            <w:tcW w:w="1413" w:type="dxa"/>
          </w:tcPr>
          <w:p w:rsidR="00761752" w:rsidRPr="00DF0DAE" w:rsidRDefault="00761752" w:rsidP="00973227">
            <w:pPr>
              <w:pStyle w:val="Tabletext"/>
            </w:pPr>
            <w:r w:rsidRPr="00DF0DAE">
              <w:t>STEP</w:t>
            </w:r>
            <w:r w:rsidR="001D34EE">
              <w:rPr>
                <w:noProof/>
                <w:vertAlign w:val="superscript"/>
              </w:rPr>
              <w:t>48</w:t>
            </w:r>
            <w:r w:rsidR="000B12FE">
              <w:rPr>
                <w:vertAlign w:val="superscript"/>
              </w:rPr>
              <w:t xml:space="preserve"> b</w:t>
            </w:r>
          </w:p>
          <w:p w:rsidR="00761752" w:rsidRPr="00DF0DAE" w:rsidRDefault="00761752" w:rsidP="00973227">
            <w:pPr>
              <w:pStyle w:val="Tabletext"/>
            </w:pPr>
            <w:r>
              <w:t>Iloprost/</w:t>
            </w:r>
            <w:r w:rsidRPr="00DF0DAE">
              <w:t>bosentan</w:t>
            </w:r>
          </w:p>
          <w:p w:rsidR="00761752" w:rsidRPr="00DF0DAE" w:rsidRDefault="00761752" w:rsidP="00973227">
            <w:pPr>
              <w:pStyle w:val="Tabletext"/>
            </w:pPr>
            <w:r w:rsidRPr="00DF0DAE">
              <w:t>12 weeks</w:t>
            </w:r>
          </w:p>
          <w:p w:rsidR="00761752" w:rsidRPr="00DF0DAE" w:rsidRDefault="00761752" w:rsidP="00973227">
            <w:pPr>
              <w:pStyle w:val="Tabletext"/>
            </w:pPr>
            <w:r w:rsidRPr="00DF0DAE">
              <w:t>N=65</w:t>
            </w:r>
          </w:p>
        </w:tc>
        <w:tc>
          <w:tcPr>
            <w:tcW w:w="1621" w:type="dxa"/>
          </w:tcPr>
          <w:p w:rsidR="00761752" w:rsidRPr="00DF0DAE" w:rsidRDefault="00761752" w:rsidP="00973227">
            <w:pPr>
              <w:pStyle w:val="Tabletext"/>
            </w:pPr>
            <w:r w:rsidRPr="00DF0DAE">
              <w:t>PVR</w:t>
            </w:r>
            <w:r>
              <w:t xml:space="preserve"> </w:t>
            </w:r>
            <w:r w:rsidRPr="00DF0DAE">
              <w:t>(</w:t>
            </w:r>
            <w:r w:rsidR="00747709" w:rsidRPr="00DF0DAE">
              <w:t>dyn</w:t>
            </w:r>
            <w:r w:rsidR="00747709">
              <w:t>*</w:t>
            </w:r>
            <w:r w:rsidR="00747709" w:rsidRPr="00DF0DAE">
              <w:t>sec</w:t>
            </w:r>
            <w:r w:rsidR="00747709">
              <w:t>*</w:t>
            </w:r>
            <w:r w:rsidR="00747709" w:rsidRPr="00DF0DAE">
              <w:t>cm</w:t>
            </w:r>
            <w:r w:rsidR="00747709" w:rsidRPr="00747709">
              <w:rPr>
                <w:vertAlign w:val="superscript"/>
              </w:rPr>
              <w:t>-</w:t>
            </w:r>
            <w:r w:rsidR="00747709" w:rsidRPr="00DF0DAE">
              <w:rPr>
                <w:vertAlign w:val="superscript"/>
              </w:rPr>
              <w:t>5</w:t>
            </w:r>
            <w:r w:rsidRPr="00DF0DAE">
              <w:t>)</w:t>
            </w:r>
          </w:p>
          <w:p w:rsidR="00761752" w:rsidRPr="00DF0DAE" w:rsidRDefault="00761752" w:rsidP="00973227">
            <w:pPr>
              <w:pStyle w:val="Tabletext"/>
            </w:pPr>
            <w:r w:rsidRPr="00DF0DAE">
              <w:t>mPAP</w:t>
            </w:r>
            <w:r>
              <w:t xml:space="preserve"> </w:t>
            </w:r>
            <w:r w:rsidRPr="00DF0DAE">
              <w:t>(mmHg)</w:t>
            </w:r>
          </w:p>
        </w:tc>
        <w:tc>
          <w:tcPr>
            <w:tcW w:w="1331" w:type="dxa"/>
          </w:tcPr>
          <w:p w:rsidR="00761752" w:rsidRDefault="00761752" w:rsidP="00973227">
            <w:pPr>
              <w:pStyle w:val="Tabletext"/>
              <w:jc w:val="center"/>
            </w:pPr>
            <w:r>
              <w:t>815 ±381</w:t>
            </w:r>
          </w:p>
          <w:p w:rsidR="00761752" w:rsidRPr="00DF0DAE" w:rsidRDefault="00761752" w:rsidP="00973227">
            <w:pPr>
              <w:pStyle w:val="Tabletext"/>
              <w:jc w:val="center"/>
            </w:pPr>
            <w:r>
              <w:t>51 ± 11</w:t>
            </w:r>
          </w:p>
        </w:tc>
        <w:tc>
          <w:tcPr>
            <w:tcW w:w="1331" w:type="dxa"/>
          </w:tcPr>
          <w:p w:rsidR="00761752" w:rsidRDefault="00761752" w:rsidP="00973227">
            <w:pPr>
              <w:pStyle w:val="Tabletext"/>
              <w:jc w:val="center"/>
            </w:pPr>
            <w:r>
              <w:t>783 ± 378</w:t>
            </w:r>
          </w:p>
          <w:p w:rsidR="00761752" w:rsidRPr="00DF0DAE" w:rsidRDefault="00761752" w:rsidP="00973227">
            <w:pPr>
              <w:pStyle w:val="Tabletext"/>
              <w:jc w:val="center"/>
            </w:pPr>
            <w:r>
              <w:t>52 ± 13</w:t>
            </w:r>
          </w:p>
        </w:tc>
        <w:tc>
          <w:tcPr>
            <w:tcW w:w="1331" w:type="dxa"/>
          </w:tcPr>
          <w:p w:rsidR="00761752" w:rsidRDefault="00761752" w:rsidP="00973227">
            <w:pPr>
              <w:pStyle w:val="Tabletext"/>
              <w:jc w:val="center"/>
            </w:pPr>
            <w:r>
              <w:t xml:space="preserve">−164 </w:t>
            </w:r>
            <w:r w:rsidR="00E6350D">
              <w:t>(</w:t>
            </w:r>
            <w:r>
              <w:t>−20.1%</w:t>
            </w:r>
            <w:r w:rsidR="00E6350D">
              <w:t>)</w:t>
            </w:r>
          </w:p>
          <w:p w:rsidR="00761752" w:rsidRPr="00DF0DAE" w:rsidRDefault="00761752" w:rsidP="00E6350D">
            <w:pPr>
              <w:pStyle w:val="Tabletext"/>
              <w:jc w:val="center"/>
            </w:pPr>
            <w:r>
              <w:t xml:space="preserve">−6 </w:t>
            </w:r>
            <w:r w:rsidR="00E6350D">
              <w:t>(</w:t>
            </w:r>
            <w:r>
              <w:t>−11.8%</w:t>
            </w:r>
            <w:r w:rsidR="00E6350D">
              <w:t>)</w:t>
            </w:r>
          </w:p>
        </w:tc>
        <w:tc>
          <w:tcPr>
            <w:tcW w:w="1332" w:type="dxa"/>
          </w:tcPr>
          <w:p w:rsidR="00761752" w:rsidRDefault="00761752" w:rsidP="00973227">
            <w:pPr>
              <w:pStyle w:val="Tabletext"/>
              <w:jc w:val="center"/>
            </w:pPr>
            <w:r>
              <w:t xml:space="preserve">81 </w:t>
            </w:r>
            <w:r w:rsidR="00E6350D">
              <w:t>(</w:t>
            </w:r>
            <w:r>
              <w:t>10.3%</w:t>
            </w:r>
            <w:r w:rsidR="00E6350D">
              <w:t>)</w:t>
            </w:r>
          </w:p>
          <w:p w:rsidR="00761752" w:rsidRPr="00DF0DAE" w:rsidRDefault="00761752" w:rsidP="00E6350D">
            <w:pPr>
              <w:pStyle w:val="Tabletext"/>
              <w:jc w:val="center"/>
            </w:pPr>
            <w:r>
              <w:t xml:space="preserve">2 </w:t>
            </w:r>
            <w:r w:rsidR="00E6350D">
              <w:t>(</w:t>
            </w:r>
            <w:r>
              <w:t>3.8%</w:t>
            </w:r>
            <w:r w:rsidR="00E6350D">
              <w:t>)</w:t>
            </w:r>
          </w:p>
        </w:tc>
        <w:tc>
          <w:tcPr>
            <w:tcW w:w="1275" w:type="dxa"/>
          </w:tcPr>
          <w:p w:rsidR="00761752" w:rsidRPr="00DF0DAE" w:rsidRDefault="00761752" w:rsidP="00973227">
            <w:pPr>
              <w:pStyle w:val="Tabletext"/>
            </w:pPr>
            <w:r w:rsidRPr="00DF0DAE">
              <w:t>−30.4%</w:t>
            </w:r>
            <w:r>
              <w:t xml:space="preserve">, </w:t>
            </w:r>
            <w:r w:rsidRPr="00DF0DAE">
              <w:t>p=0.007</w:t>
            </w:r>
          </w:p>
          <w:p w:rsidR="00761752" w:rsidRPr="00DF0DAE" w:rsidRDefault="00761752" w:rsidP="00973227">
            <w:pPr>
              <w:pStyle w:val="Tabletext"/>
            </w:pPr>
            <w:r w:rsidRPr="00DF0DAE">
              <w:t>−15.6%</w:t>
            </w:r>
            <w:r>
              <w:t xml:space="preserve">, </w:t>
            </w:r>
            <w:r w:rsidRPr="00DF0DAE">
              <w:t>p=0.001</w:t>
            </w:r>
          </w:p>
        </w:tc>
      </w:tr>
    </w:tbl>
    <w:p w:rsidR="000B12FE" w:rsidRPr="000B12FE" w:rsidRDefault="00761752" w:rsidP="00761752">
      <w:pPr>
        <w:pStyle w:val="Tablenote"/>
      </w:pPr>
      <w:proofErr w:type="gramStart"/>
      <w:r w:rsidRPr="00E03CA3">
        <w:rPr>
          <w:vertAlign w:val="superscript"/>
        </w:rPr>
        <w:t>a</w:t>
      </w:r>
      <w:proofErr w:type="gramEnd"/>
      <w:r>
        <w:rPr>
          <w:vertAlign w:val="superscript"/>
        </w:rPr>
        <w:t xml:space="preserve"> </w:t>
      </w:r>
      <w:r w:rsidR="000B12FE">
        <w:t xml:space="preserve">A decrease in PVR or mPAP indicates improvement in </w:t>
      </w:r>
      <w:r w:rsidR="007E658F">
        <w:t>haemodynamic parameters</w:t>
      </w:r>
      <w:r w:rsidR="000B12FE">
        <w:t xml:space="preserve">. </w:t>
      </w:r>
    </w:p>
    <w:p w:rsidR="00761752" w:rsidRDefault="000B12FE" w:rsidP="00761752">
      <w:pPr>
        <w:pStyle w:val="Tablenote"/>
      </w:pPr>
      <w:proofErr w:type="gramStart"/>
      <w:r>
        <w:rPr>
          <w:vertAlign w:val="superscript"/>
        </w:rPr>
        <w:t>b</w:t>
      </w:r>
      <w:proofErr w:type="gramEnd"/>
      <w:r>
        <w:rPr>
          <w:vertAlign w:val="superscript"/>
        </w:rPr>
        <w:t xml:space="preserve"> </w:t>
      </w:r>
      <w:r w:rsidR="00761752">
        <w:t xml:space="preserve">One patient in the monotherapy group had </w:t>
      </w:r>
      <w:r w:rsidR="006B4B22">
        <w:t>WHO</w:t>
      </w:r>
      <w:r w:rsidR="00761752">
        <w:t xml:space="preserve"> FC II PAH</w:t>
      </w:r>
    </w:p>
    <w:p w:rsidR="00561DAB" w:rsidRPr="006316DF" w:rsidRDefault="00761752" w:rsidP="00761752">
      <w:pPr>
        <w:pStyle w:val="Tablenote"/>
      </w:pPr>
      <w:r w:rsidRPr="006316DF">
        <w:t xml:space="preserve">CSR = clinical study report; </w:t>
      </w:r>
      <w:r w:rsidR="00561DAB" w:rsidRPr="009E3B52">
        <w:t xml:space="preserve">ERA = endothelin receptor antagonist; </w:t>
      </w:r>
      <w:r w:rsidR="00561DAB" w:rsidRPr="006F774E">
        <w:t xml:space="preserve">FC = functional class; </w:t>
      </w:r>
      <w:r w:rsidR="00214AC1">
        <w:t xml:space="preserve">mPAP = mean pulmonary artery pressure; </w:t>
      </w:r>
      <w:r w:rsidRPr="006316DF">
        <w:t>N = number of patients</w:t>
      </w:r>
      <w:r>
        <w:t xml:space="preserve">; </w:t>
      </w:r>
      <w:r w:rsidR="00561DAB" w:rsidRPr="00715D78">
        <w:t xml:space="preserve">PAH = pulmonary arterial hypertension; </w:t>
      </w:r>
      <w:r>
        <w:t xml:space="preserve">PVR = </w:t>
      </w:r>
      <w:r w:rsidRPr="007A4F5B">
        <w:t>pulmonary vascular resistance</w:t>
      </w:r>
      <w:r w:rsidRPr="00C51FB4">
        <w:t>; SD = standard deviation</w:t>
      </w:r>
      <w:r w:rsidR="00E63678">
        <w:t xml:space="preserve">; WHO = World Health Organization </w:t>
      </w:r>
    </w:p>
    <w:p w:rsidR="0075777C" w:rsidRPr="00822C52" w:rsidRDefault="002E4833" w:rsidP="0075777C">
      <w:pPr>
        <w:pStyle w:val="Heading5"/>
      </w:pPr>
      <w:r>
        <w:t>h.</w:t>
      </w:r>
      <w:r w:rsidR="00761752">
        <w:tab/>
      </w:r>
      <w:r w:rsidR="0075777C">
        <w:t>Comparative s</w:t>
      </w:r>
      <w:r w:rsidR="0075777C" w:rsidRPr="00822C52">
        <w:t>afety</w:t>
      </w:r>
    </w:p>
    <w:p w:rsidR="0075777C" w:rsidRPr="00822C52" w:rsidRDefault="002E4833" w:rsidP="0077344D">
      <w:pPr>
        <w:pStyle w:val="Heading6"/>
      </w:pPr>
      <w:proofErr w:type="gramStart"/>
      <w:r>
        <w:t>h</w:t>
      </w:r>
      <w:r w:rsidR="0075777C" w:rsidRPr="00822C52">
        <w:t>.ii</w:t>
      </w:r>
      <w:proofErr w:type="gramEnd"/>
      <w:r w:rsidR="0075777C" w:rsidRPr="00822C52">
        <w:tab/>
        <w:t>PAH patients with FC III or IV</w:t>
      </w:r>
    </w:p>
    <w:p w:rsidR="0075777C" w:rsidRPr="00822C52" w:rsidRDefault="0075777C" w:rsidP="0075777C">
      <w:r w:rsidRPr="00B07302">
        <w:t>The proportion of patients who has an AE, a serious AE or an AE leading to discontinuation of study treatment did not differ</w:t>
      </w:r>
      <w:r>
        <w:t xml:space="preserve"> significantly </w:t>
      </w:r>
      <w:r w:rsidRPr="00B07302">
        <w:t xml:space="preserve">between the combination </w:t>
      </w:r>
      <w:r>
        <w:t>therapy and monotherapy groups (</w:t>
      </w:r>
      <w:r w:rsidR="003951FA">
        <w:t>Table 4.</w:t>
      </w:r>
      <w:r w:rsidR="003951FA">
        <w:rPr>
          <w:noProof/>
        </w:rPr>
        <w:t>85</w:t>
      </w:r>
      <w:r>
        <w:t>). However, in the COMBI trial 6-times as many patients in the combination therapy group had an AE compared to the monotherapy group (</w:t>
      </w:r>
      <w:r w:rsidR="00B21201">
        <w:t>ARD</w:t>
      </w:r>
      <w:r w:rsidR="00DB6ACB">
        <w:t> </w:t>
      </w:r>
      <w:r w:rsidRPr="00707847">
        <w:t>=</w:t>
      </w:r>
      <w:r w:rsidR="00DB6ACB">
        <w:t> </w:t>
      </w:r>
      <w:r>
        <w:t>26.8%; 95% CI 4.0, 49.6; p</w:t>
      </w:r>
      <w:r w:rsidR="00DB6ACB">
        <w:t> </w:t>
      </w:r>
      <w:r>
        <w:t>=</w:t>
      </w:r>
      <w:r w:rsidR="00DB6ACB">
        <w:t> </w:t>
      </w:r>
      <w:r>
        <w:t xml:space="preserve">0.026). The pooled RR point estimate </w:t>
      </w:r>
      <w:r w:rsidRPr="0011063F">
        <w:t xml:space="preserve">favoured </w:t>
      </w:r>
      <w:r>
        <w:t>ERA</w:t>
      </w:r>
      <w:r w:rsidRPr="0011063F">
        <w:t xml:space="preserve"> </w:t>
      </w:r>
      <w:r>
        <w:t>mono</w:t>
      </w:r>
      <w:r w:rsidRPr="0011063F">
        <w:t xml:space="preserve">therapy over </w:t>
      </w:r>
      <w:r>
        <w:t xml:space="preserve">combination </w:t>
      </w:r>
      <w:r w:rsidRPr="0011063F">
        <w:t xml:space="preserve">therapy but the 95% CIs </w:t>
      </w:r>
      <w:r>
        <w:t xml:space="preserve">were very wide and </w:t>
      </w:r>
      <w:r w:rsidRPr="0011063F">
        <w:t>indicated that there could also be the opposite effect</w:t>
      </w:r>
      <w:r>
        <w:t xml:space="preserve"> (</w:t>
      </w:r>
      <w:r w:rsidR="003951FA">
        <w:t>Figure 4.</w:t>
      </w:r>
      <w:r w:rsidR="003951FA">
        <w:rPr>
          <w:noProof/>
        </w:rPr>
        <w:t>22</w:t>
      </w:r>
      <w:r>
        <w:t>). The RR for AEs leading to discontinuation of treatment could not be calculated (</w:t>
      </w:r>
      <w:r w:rsidR="00B21201">
        <w:t>ARD</w:t>
      </w:r>
      <w:r>
        <w:t xml:space="preserve"> = 5.2%; 95% CI −4.8, 15.3; p = 0.29).</w:t>
      </w:r>
    </w:p>
    <w:p w:rsidR="0075777C" w:rsidRPr="00DD7790" w:rsidRDefault="00272F8F" w:rsidP="00BC5A2B">
      <w:pPr>
        <w:pStyle w:val="Caption"/>
      </w:pPr>
      <w:bookmarkStart w:id="261" w:name="_Ref504656955"/>
      <w:bookmarkStart w:id="262" w:name="_Toc38360382"/>
      <w:r>
        <w:t>Table 4.</w:t>
      </w:r>
      <w:r w:rsidR="003951FA">
        <w:rPr>
          <w:noProof/>
        </w:rPr>
        <w:t>85</w:t>
      </w:r>
      <w:bookmarkEnd w:id="261"/>
      <w:r w:rsidR="001A69BE">
        <w:tab/>
      </w:r>
      <w:r w:rsidR="0075777C" w:rsidRPr="00DD7790">
        <w:t xml:space="preserve">The comparative safety of </w:t>
      </w:r>
      <w:r w:rsidR="007E59EC">
        <w:t xml:space="preserve">a prostanoid in addition to an ERA compared with </w:t>
      </w:r>
      <w:r w:rsidR="007E59EC" w:rsidRPr="00DD7790">
        <w:t xml:space="preserve">ERA </w:t>
      </w:r>
      <w:r w:rsidR="007E59EC">
        <w:t>monotherapy</w:t>
      </w:r>
      <w:r w:rsidR="007E59EC" w:rsidRPr="00DD7790">
        <w:t xml:space="preserve"> </w:t>
      </w:r>
      <w:r w:rsidR="0075777C" w:rsidRPr="00DD7790">
        <w:t>in patients with WHO FC III/IV PAH</w:t>
      </w:r>
      <w:bookmarkEnd w:id="262"/>
    </w:p>
    <w:tbl>
      <w:tblPr>
        <w:tblStyle w:val="TableGrid7"/>
        <w:tblW w:w="9634" w:type="dxa"/>
        <w:tblLayout w:type="fixed"/>
        <w:tblLook w:val="04A0" w:firstRow="1" w:lastRow="0" w:firstColumn="1" w:lastColumn="0" w:noHBand="0" w:noVBand="1"/>
        <w:tblCaption w:val="The comparative safety of a prostanoid in addition to an ERA compared with ERA monotherapy in patients with WHO FC III/IV PAH"/>
      </w:tblPr>
      <w:tblGrid>
        <w:gridCol w:w="1838"/>
        <w:gridCol w:w="1843"/>
        <w:gridCol w:w="1984"/>
        <w:gridCol w:w="1985"/>
        <w:gridCol w:w="1984"/>
      </w:tblGrid>
      <w:tr w:rsidR="0075777C" w:rsidRPr="00822C52" w:rsidTr="001A69BE">
        <w:trPr>
          <w:trHeight w:val="416"/>
          <w:tblHeader/>
        </w:trPr>
        <w:tc>
          <w:tcPr>
            <w:tcW w:w="1838" w:type="dxa"/>
            <w:vMerge w:val="restart"/>
            <w:shd w:val="clear" w:color="auto" w:fill="BFBFBF" w:themeFill="background1" w:themeFillShade="BF"/>
          </w:tcPr>
          <w:p w:rsidR="0075777C" w:rsidRPr="001A69BE" w:rsidRDefault="0075777C" w:rsidP="001A69BE">
            <w:pPr>
              <w:pStyle w:val="Tabletext"/>
              <w:rPr>
                <w:b/>
              </w:rPr>
            </w:pPr>
            <w:r w:rsidRPr="001A69BE">
              <w:rPr>
                <w:b/>
              </w:rPr>
              <w:t>Study ID</w:t>
            </w:r>
          </w:p>
          <w:p w:rsidR="0075777C" w:rsidRPr="001A69BE" w:rsidRDefault="0075777C" w:rsidP="001A69BE">
            <w:pPr>
              <w:pStyle w:val="Tabletext"/>
              <w:rPr>
                <w:b/>
              </w:rPr>
            </w:pPr>
            <w:r w:rsidRPr="001A69BE">
              <w:rPr>
                <w:b/>
              </w:rPr>
              <w:t>Follow-up period</w:t>
            </w:r>
          </w:p>
          <w:p w:rsidR="0075777C" w:rsidRPr="001A69BE" w:rsidRDefault="001A69BE" w:rsidP="001A69BE">
            <w:pPr>
              <w:pStyle w:val="Tabletext"/>
              <w:rPr>
                <w:b/>
              </w:rPr>
            </w:pPr>
            <w:r w:rsidRPr="001A69BE">
              <w:rPr>
                <w:b/>
              </w:rPr>
              <w:t>Prostanoid</w:t>
            </w:r>
            <w:r w:rsidR="0075777C" w:rsidRPr="001A69BE">
              <w:rPr>
                <w:b/>
              </w:rPr>
              <w:t>/ERA</w:t>
            </w:r>
          </w:p>
        </w:tc>
        <w:tc>
          <w:tcPr>
            <w:tcW w:w="1843" w:type="dxa"/>
            <w:vMerge w:val="restart"/>
            <w:shd w:val="clear" w:color="auto" w:fill="BFBFBF" w:themeFill="background1" w:themeFillShade="BF"/>
          </w:tcPr>
          <w:p w:rsidR="0075777C" w:rsidRPr="001A69BE" w:rsidRDefault="0075777C" w:rsidP="001A69BE">
            <w:pPr>
              <w:pStyle w:val="Tabletext"/>
              <w:rPr>
                <w:b/>
              </w:rPr>
            </w:pPr>
            <w:r w:rsidRPr="001A69BE">
              <w:rPr>
                <w:b/>
              </w:rPr>
              <w:t>AE</w:t>
            </w:r>
          </w:p>
        </w:tc>
        <w:tc>
          <w:tcPr>
            <w:tcW w:w="3969" w:type="dxa"/>
            <w:gridSpan w:val="2"/>
            <w:shd w:val="clear" w:color="auto" w:fill="BFBFBF" w:themeFill="background1" w:themeFillShade="BF"/>
          </w:tcPr>
          <w:p w:rsidR="0075777C" w:rsidRPr="001A69BE" w:rsidRDefault="0075777C" w:rsidP="001A69BE">
            <w:pPr>
              <w:pStyle w:val="Tabletext"/>
              <w:jc w:val="center"/>
              <w:rPr>
                <w:b/>
              </w:rPr>
            </w:pPr>
            <w:proofErr w:type="gramStart"/>
            <w:r w:rsidRPr="001A69BE">
              <w:rPr>
                <w:b/>
              </w:rPr>
              <w:t>n/N</w:t>
            </w:r>
            <w:proofErr w:type="gramEnd"/>
            <w:r w:rsidRPr="001A69BE">
              <w:rPr>
                <w:b/>
              </w:rPr>
              <w:t xml:space="preserve"> (%)</w:t>
            </w:r>
          </w:p>
        </w:tc>
        <w:tc>
          <w:tcPr>
            <w:tcW w:w="1984" w:type="dxa"/>
            <w:vMerge w:val="restart"/>
            <w:shd w:val="clear" w:color="auto" w:fill="BFBFBF" w:themeFill="background1" w:themeFillShade="BF"/>
          </w:tcPr>
          <w:p w:rsidR="0075777C" w:rsidRPr="001A69BE" w:rsidRDefault="0075777C" w:rsidP="001A69BE">
            <w:pPr>
              <w:pStyle w:val="Tabletext"/>
              <w:rPr>
                <w:b/>
              </w:rPr>
            </w:pPr>
            <w:r w:rsidRPr="001A69BE">
              <w:rPr>
                <w:b/>
              </w:rPr>
              <w:t>RR (95% CI)</w:t>
            </w:r>
          </w:p>
        </w:tc>
      </w:tr>
      <w:tr w:rsidR="0075777C" w:rsidRPr="00822C52" w:rsidTr="001A69BE">
        <w:trPr>
          <w:trHeight w:val="202"/>
          <w:tblHeader/>
        </w:trPr>
        <w:tc>
          <w:tcPr>
            <w:tcW w:w="1838" w:type="dxa"/>
            <w:vMerge/>
            <w:shd w:val="clear" w:color="auto" w:fill="BFBFBF" w:themeFill="background1" w:themeFillShade="BF"/>
          </w:tcPr>
          <w:p w:rsidR="0075777C" w:rsidRPr="001A69BE" w:rsidRDefault="0075777C" w:rsidP="001A69BE">
            <w:pPr>
              <w:pStyle w:val="Tabletext"/>
            </w:pPr>
          </w:p>
        </w:tc>
        <w:tc>
          <w:tcPr>
            <w:tcW w:w="1843" w:type="dxa"/>
            <w:vMerge/>
            <w:shd w:val="clear" w:color="auto" w:fill="BFBFBF" w:themeFill="background1" w:themeFillShade="BF"/>
          </w:tcPr>
          <w:p w:rsidR="0075777C" w:rsidRPr="001A69BE" w:rsidRDefault="0075777C" w:rsidP="001A69BE">
            <w:pPr>
              <w:pStyle w:val="Tabletext"/>
            </w:pPr>
          </w:p>
        </w:tc>
        <w:tc>
          <w:tcPr>
            <w:tcW w:w="1984" w:type="dxa"/>
            <w:shd w:val="clear" w:color="auto" w:fill="BFBFBF" w:themeFill="background1" w:themeFillShade="BF"/>
          </w:tcPr>
          <w:p w:rsidR="0075777C" w:rsidRPr="001A69BE" w:rsidRDefault="0075777C" w:rsidP="001A69BE">
            <w:pPr>
              <w:pStyle w:val="Tabletext"/>
              <w:jc w:val="center"/>
              <w:rPr>
                <w:b/>
              </w:rPr>
            </w:pPr>
            <w:r w:rsidRPr="001A69BE">
              <w:rPr>
                <w:b/>
              </w:rPr>
              <w:t>Prostanoid + ERA</w:t>
            </w:r>
          </w:p>
        </w:tc>
        <w:tc>
          <w:tcPr>
            <w:tcW w:w="1985" w:type="dxa"/>
            <w:shd w:val="clear" w:color="auto" w:fill="BFBFBF" w:themeFill="background1" w:themeFillShade="BF"/>
          </w:tcPr>
          <w:p w:rsidR="0075777C" w:rsidRPr="001A69BE" w:rsidRDefault="00534ADA" w:rsidP="00534ADA">
            <w:pPr>
              <w:pStyle w:val="Tabletext"/>
              <w:jc w:val="center"/>
              <w:rPr>
                <w:b/>
              </w:rPr>
            </w:pPr>
            <w:r>
              <w:rPr>
                <w:b/>
              </w:rPr>
              <w:t>ERA</w:t>
            </w:r>
          </w:p>
        </w:tc>
        <w:tc>
          <w:tcPr>
            <w:tcW w:w="1984" w:type="dxa"/>
            <w:vMerge/>
            <w:shd w:val="clear" w:color="auto" w:fill="BFBFBF" w:themeFill="background1" w:themeFillShade="BF"/>
          </w:tcPr>
          <w:p w:rsidR="0075777C" w:rsidRPr="001A69BE" w:rsidRDefault="0075777C" w:rsidP="001A69BE">
            <w:pPr>
              <w:pStyle w:val="Tabletext"/>
            </w:pPr>
          </w:p>
        </w:tc>
      </w:tr>
      <w:tr w:rsidR="0075777C" w:rsidRPr="00822C52" w:rsidTr="001A69BE">
        <w:trPr>
          <w:trHeight w:val="70"/>
        </w:trPr>
        <w:tc>
          <w:tcPr>
            <w:tcW w:w="1838" w:type="dxa"/>
          </w:tcPr>
          <w:p w:rsidR="0075777C" w:rsidRPr="001A69BE" w:rsidRDefault="0075777C" w:rsidP="001A69BE">
            <w:pPr>
              <w:pStyle w:val="Tabletext"/>
            </w:pPr>
            <w:r w:rsidRPr="001A69BE">
              <w:t>COMBI</w:t>
            </w:r>
            <w:r w:rsidR="001D34EE">
              <w:rPr>
                <w:noProof/>
                <w:vertAlign w:val="superscript"/>
              </w:rPr>
              <w:t>36</w:t>
            </w:r>
          </w:p>
          <w:p w:rsidR="0075777C" w:rsidRPr="001A69BE" w:rsidRDefault="0075777C" w:rsidP="001A69BE">
            <w:pPr>
              <w:pStyle w:val="Tabletext"/>
            </w:pPr>
            <w:r w:rsidRPr="001A69BE">
              <w:t>16 weeks</w:t>
            </w:r>
          </w:p>
          <w:p w:rsidR="0075777C" w:rsidRPr="001A69BE" w:rsidRDefault="0075777C" w:rsidP="001A69BE">
            <w:pPr>
              <w:pStyle w:val="Tabletext"/>
            </w:pPr>
            <w:r w:rsidRPr="001A69BE">
              <w:t>Iloprost/bosentan</w:t>
            </w:r>
          </w:p>
        </w:tc>
        <w:tc>
          <w:tcPr>
            <w:tcW w:w="1843" w:type="dxa"/>
          </w:tcPr>
          <w:p w:rsidR="0075777C" w:rsidRPr="001A69BE" w:rsidRDefault="0075777C" w:rsidP="001A69BE">
            <w:pPr>
              <w:pStyle w:val="Tabletext"/>
            </w:pPr>
            <w:r w:rsidRPr="001A69BE">
              <w:t>Any AE</w:t>
            </w:r>
          </w:p>
          <w:p w:rsidR="0075777C" w:rsidRPr="001A69BE" w:rsidRDefault="0075777C" w:rsidP="001A69BE">
            <w:pPr>
              <w:pStyle w:val="Tabletext"/>
            </w:pPr>
            <w:r w:rsidRPr="001A69BE">
              <w:t xml:space="preserve">Discontinuation due to intractable coughing </w:t>
            </w:r>
          </w:p>
        </w:tc>
        <w:tc>
          <w:tcPr>
            <w:tcW w:w="1984" w:type="dxa"/>
            <w:shd w:val="clear" w:color="auto" w:fill="auto"/>
          </w:tcPr>
          <w:p w:rsidR="0075777C" w:rsidRPr="001A69BE" w:rsidRDefault="0075777C" w:rsidP="001A69BE">
            <w:pPr>
              <w:pStyle w:val="Tabletext"/>
              <w:jc w:val="center"/>
            </w:pPr>
            <w:r w:rsidRPr="001A69BE">
              <w:t>6/19 (32%)</w:t>
            </w:r>
          </w:p>
          <w:p w:rsidR="0075777C" w:rsidRPr="001A69BE" w:rsidRDefault="0075777C" w:rsidP="001A69BE">
            <w:pPr>
              <w:pStyle w:val="Tabletext"/>
              <w:jc w:val="center"/>
            </w:pPr>
            <w:r w:rsidRPr="001A69BE">
              <w:t>1/19 (5%)</w:t>
            </w:r>
          </w:p>
        </w:tc>
        <w:tc>
          <w:tcPr>
            <w:tcW w:w="1985" w:type="dxa"/>
            <w:shd w:val="clear" w:color="auto" w:fill="auto"/>
          </w:tcPr>
          <w:p w:rsidR="0075777C" w:rsidRPr="001A69BE" w:rsidRDefault="0075777C" w:rsidP="001A69BE">
            <w:pPr>
              <w:pStyle w:val="Tabletext"/>
              <w:jc w:val="center"/>
            </w:pPr>
            <w:r w:rsidRPr="001A69BE">
              <w:t>1/21 (5%)</w:t>
            </w:r>
          </w:p>
          <w:p w:rsidR="0075777C" w:rsidRPr="001A69BE" w:rsidRDefault="0075777C" w:rsidP="001A69BE">
            <w:pPr>
              <w:pStyle w:val="Tabletext"/>
              <w:jc w:val="center"/>
            </w:pPr>
            <w:r w:rsidRPr="001A69BE">
              <w:t>0/21 (0%)</w:t>
            </w:r>
          </w:p>
        </w:tc>
        <w:tc>
          <w:tcPr>
            <w:tcW w:w="1984" w:type="dxa"/>
          </w:tcPr>
          <w:p w:rsidR="0075777C" w:rsidRPr="001A69BE" w:rsidRDefault="0075777C" w:rsidP="001A69BE">
            <w:pPr>
              <w:pStyle w:val="Tabletext"/>
            </w:pPr>
            <w:r w:rsidRPr="001A69BE">
              <w:t>6.63 (0.88, 50.19)</w:t>
            </w:r>
          </w:p>
          <w:p w:rsidR="0075777C" w:rsidRPr="001A69BE" w:rsidRDefault="0075777C" w:rsidP="001A69BE">
            <w:pPr>
              <w:pStyle w:val="Tabletext"/>
            </w:pPr>
            <w:r w:rsidRPr="001A69BE">
              <w:t>Not calculable</w:t>
            </w:r>
          </w:p>
        </w:tc>
      </w:tr>
      <w:tr w:rsidR="0075777C" w:rsidRPr="00822C52" w:rsidTr="001A69BE">
        <w:trPr>
          <w:trHeight w:val="70"/>
        </w:trPr>
        <w:tc>
          <w:tcPr>
            <w:tcW w:w="1838" w:type="dxa"/>
          </w:tcPr>
          <w:p w:rsidR="0075777C" w:rsidRPr="001A69BE" w:rsidRDefault="0075777C" w:rsidP="001A69BE">
            <w:pPr>
              <w:pStyle w:val="Tabletext"/>
            </w:pPr>
            <w:r w:rsidRPr="001A69BE">
              <w:t>STEP</w:t>
            </w:r>
            <w:r w:rsidR="001D34EE">
              <w:rPr>
                <w:noProof/>
                <w:vertAlign w:val="superscript"/>
              </w:rPr>
              <w:t>48</w:t>
            </w:r>
            <w:r w:rsidR="002449DC">
              <w:rPr>
                <w:vertAlign w:val="superscript"/>
              </w:rPr>
              <w:t xml:space="preserve"> </w:t>
            </w:r>
            <w:r w:rsidR="00F30334" w:rsidRPr="00F30334">
              <w:rPr>
                <w:vertAlign w:val="superscript"/>
              </w:rPr>
              <w:t>a</w:t>
            </w:r>
          </w:p>
          <w:p w:rsidR="0075777C" w:rsidRPr="001A69BE" w:rsidRDefault="0075777C" w:rsidP="001A69BE">
            <w:pPr>
              <w:pStyle w:val="Tabletext"/>
            </w:pPr>
            <w:r w:rsidRPr="001A69BE">
              <w:t>12 weeks</w:t>
            </w:r>
          </w:p>
          <w:p w:rsidR="0075777C" w:rsidRPr="001A69BE" w:rsidRDefault="0075777C" w:rsidP="001A69BE">
            <w:pPr>
              <w:pStyle w:val="Tabletext"/>
            </w:pPr>
            <w:r w:rsidRPr="001A69BE">
              <w:t>Iloprost/bosentan</w:t>
            </w:r>
          </w:p>
        </w:tc>
        <w:tc>
          <w:tcPr>
            <w:tcW w:w="1843" w:type="dxa"/>
          </w:tcPr>
          <w:p w:rsidR="0075777C" w:rsidRPr="001A69BE" w:rsidRDefault="0075777C" w:rsidP="001A69BE">
            <w:pPr>
              <w:pStyle w:val="Tabletext"/>
            </w:pPr>
            <w:r w:rsidRPr="001A69BE">
              <w:t>Any AE</w:t>
            </w:r>
          </w:p>
          <w:p w:rsidR="0075777C" w:rsidRPr="001A69BE" w:rsidRDefault="0075777C" w:rsidP="001A69BE">
            <w:pPr>
              <w:pStyle w:val="Tabletext"/>
            </w:pPr>
            <w:r w:rsidRPr="001A69BE">
              <w:t>Serious AEs</w:t>
            </w:r>
          </w:p>
          <w:p w:rsidR="0075777C" w:rsidRPr="001A69BE" w:rsidRDefault="0075777C" w:rsidP="001A69BE">
            <w:pPr>
              <w:pStyle w:val="Tabletext"/>
            </w:pPr>
            <w:r w:rsidRPr="001A69BE">
              <w:t>Related to study drug</w:t>
            </w:r>
          </w:p>
        </w:tc>
        <w:tc>
          <w:tcPr>
            <w:tcW w:w="1984" w:type="dxa"/>
            <w:shd w:val="clear" w:color="auto" w:fill="auto"/>
          </w:tcPr>
          <w:p w:rsidR="0075777C" w:rsidRPr="001A69BE" w:rsidRDefault="0075777C" w:rsidP="001A69BE">
            <w:pPr>
              <w:pStyle w:val="Tabletext"/>
              <w:jc w:val="center"/>
            </w:pPr>
            <w:r w:rsidRPr="001A69BE">
              <w:t>35/35 (100%)</w:t>
            </w:r>
          </w:p>
          <w:p w:rsidR="0075777C" w:rsidRPr="001A69BE" w:rsidRDefault="0075777C" w:rsidP="001A69BE">
            <w:pPr>
              <w:pStyle w:val="Tabletext"/>
              <w:jc w:val="center"/>
            </w:pPr>
            <w:r w:rsidRPr="001A69BE">
              <w:t>5/35 (14%)</w:t>
            </w:r>
          </w:p>
          <w:p w:rsidR="0075777C" w:rsidRPr="001A69BE" w:rsidRDefault="0075777C" w:rsidP="001A69BE">
            <w:pPr>
              <w:pStyle w:val="Tabletext"/>
              <w:jc w:val="center"/>
            </w:pPr>
            <w:r w:rsidRPr="001A69BE">
              <w:t>2/35 (6%)</w:t>
            </w:r>
          </w:p>
        </w:tc>
        <w:tc>
          <w:tcPr>
            <w:tcW w:w="1985" w:type="dxa"/>
            <w:shd w:val="clear" w:color="auto" w:fill="auto"/>
          </w:tcPr>
          <w:p w:rsidR="0075777C" w:rsidRPr="001A69BE" w:rsidRDefault="0075777C" w:rsidP="001A69BE">
            <w:pPr>
              <w:pStyle w:val="Tabletext"/>
              <w:jc w:val="center"/>
            </w:pPr>
            <w:r w:rsidRPr="001A69BE">
              <w:t>29/32 (91%)</w:t>
            </w:r>
          </w:p>
          <w:p w:rsidR="0075777C" w:rsidRPr="001A69BE" w:rsidRDefault="0075777C" w:rsidP="001A69BE">
            <w:pPr>
              <w:pStyle w:val="Tabletext"/>
              <w:jc w:val="center"/>
            </w:pPr>
            <w:r w:rsidRPr="001A69BE">
              <w:t>7/32 (22%)</w:t>
            </w:r>
          </w:p>
          <w:p w:rsidR="0075777C" w:rsidRPr="001A69BE" w:rsidRDefault="0075777C" w:rsidP="001A69BE">
            <w:pPr>
              <w:pStyle w:val="Tabletext"/>
              <w:jc w:val="center"/>
            </w:pPr>
            <w:r w:rsidRPr="001A69BE">
              <w:t>1/32 (3%)</w:t>
            </w:r>
          </w:p>
        </w:tc>
        <w:tc>
          <w:tcPr>
            <w:tcW w:w="1984" w:type="dxa"/>
          </w:tcPr>
          <w:p w:rsidR="0075777C" w:rsidRPr="001A69BE" w:rsidRDefault="0075777C" w:rsidP="001A69BE">
            <w:pPr>
              <w:pStyle w:val="Tabletext"/>
            </w:pPr>
            <w:r w:rsidRPr="001A69BE">
              <w:t>1.10 (0.97, 1.25)</w:t>
            </w:r>
          </w:p>
          <w:p w:rsidR="0075777C" w:rsidRPr="001A69BE" w:rsidRDefault="0075777C" w:rsidP="001A69BE">
            <w:pPr>
              <w:pStyle w:val="Tabletext"/>
            </w:pPr>
            <w:r w:rsidRPr="001A69BE">
              <w:t>0.65 (0.23, 1.85)</w:t>
            </w:r>
          </w:p>
          <w:p w:rsidR="0075777C" w:rsidRPr="001A69BE" w:rsidRDefault="0075777C" w:rsidP="001A69BE">
            <w:pPr>
              <w:pStyle w:val="Tabletext"/>
            </w:pPr>
            <w:r w:rsidRPr="001A69BE">
              <w:t>1.83 (0.17, 19.21)</w:t>
            </w:r>
          </w:p>
        </w:tc>
      </w:tr>
    </w:tbl>
    <w:p w:rsidR="0075777C" w:rsidRDefault="0075777C" w:rsidP="001A69BE">
      <w:pPr>
        <w:pStyle w:val="Tablenote"/>
      </w:pPr>
      <w:proofErr w:type="gramStart"/>
      <w:r w:rsidRPr="00E03CA3">
        <w:rPr>
          <w:vertAlign w:val="superscript"/>
        </w:rPr>
        <w:t>a</w:t>
      </w:r>
      <w:proofErr w:type="gramEnd"/>
      <w:r>
        <w:rPr>
          <w:vertAlign w:val="superscript"/>
        </w:rPr>
        <w:t xml:space="preserve"> </w:t>
      </w:r>
      <w:r>
        <w:t xml:space="preserve">One patient in the monotherapy group had </w:t>
      </w:r>
      <w:r w:rsidR="006B4B22">
        <w:t>WHO</w:t>
      </w:r>
      <w:r>
        <w:t xml:space="preserve"> FC II PAH</w:t>
      </w:r>
    </w:p>
    <w:p w:rsidR="00561DAB" w:rsidRDefault="0075777C" w:rsidP="001A69BE">
      <w:pPr>
        <w:pStyle w:val="Tablenote"/>
      </w:pPr>
      <w:r w:rsidRPr="00822C52">
        <w:t xml:space="preserve">AE = adverse event; CI = confidence interval; ERA = endothelin receptor antagonist; </w:t>
      </w:r>
      <w:r w:rsidR="00561DAB" w:rsidRPr="006F774E">
        <w:t xml:space="preserve">FC = functional class; </w:t>
      </w:r>
      <w:r w:rsidRPr="00822C52">
        <w:t xml:space="preserve">n = number of </w:t>
      </w:r>
      <w:r w:rsidR="00561DAB">
        <w:t xml:space="preserve">patients with </w:t>
      </w:r>
      <w:r w:rsidRPr="00822C52">
        <w:t>events; N = number of patients; PAH = pulmonary arterial hypertension; RR = relative risk; WHO = World Health Organization</w:t>
      </w:r>
    </w:p>
    <w:p w:rsidR="0075777C" w:rsidRDefault="0075777C" w:rsidP="001A69BE">
      <w:pPr>
        <w:spacing w:after="40" w:line="240" w:lineRule="auto"/>
        <w:jc w:val="center"/>
      </w:pPr>
      <w:r>
        <w:rPr>
          <w:noProof/>
          <w:lang w:eastAsia="en-AU"/>
        </w:rPr>
        <w:drawing>
          <wp:inline distT="0" distB="0" distL="0" distR="0" wp14:anchorId="2782C228" wp14:editId="5E5F3F56">
            <wp:extent cx="6180960" cy="1965278"/>
            <wp:effectExtent l="0" t="0" r="0" b="0"/>
            <wp:docPr id="57" name="Picture 57" descr="The estimated RR from the meta-analysis was 2.40 (95% CI 0.15, 37.41)" title="Forest plot showing the RR of having an AE while being treated with a prostanoid and an ERA compared with ERA alone in patients with WHO FC III/IV 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11" t="4825" r="1664" b="2488"/>
                    <a:stretch/>
                  </pic:blipFill>
                  <pic:spPr bwMode="auto">
                    <a:xfrm>
                      <a:off x="0" y="0"/>
                      <a:ext cx="6236959" cy="1983083"/>
                    </a:xfrm>
                    <a:prstGeom prst="rect">
                      <a:avLst/>
                    </a:prstGeom>
                    <a:noFill/>
                    <a:ln>
                      <a:noFill/>
                    </a:ln>
                    <a:extLst>
                      <a:ext uri="{53640926-AAD7-44D8-BBD7-CCE9431645EC}">
                        <a14:shadowObscured xmlns:a14="http://schemas.microsoft.com/office/drawing/2010/main"/>
                      </a:ext>
                    </a:extLst>
                  </pic:spPr>
                </pic:pic>
              </a:graphicData>
            </a:graphic>
          </wp:inline>
        </w:drawing>
      </w:r>
    </w:p>
    <w:p w:rsidR="0075777C" w:rsidRPr="00DD7790" w:rsidRDefault="001A69BE" w:rsidP="00BC5A2B">
      <w:pPr>
        <w:pStyle w:val="Caption"/>
        <w:rPr>
          <w:rFonts w:ascii="Arial Narrow" w:hAnsi="Arial Narrow" w:cs="Tahoma"/>
          <w:u w:val="single"/>
        </w:rPr>
      </w:pPr>
      <w:bookmarkStart w:id="263" w:name="_Ref506307629"/>
      <w:bookmarkStart w:id="264" w:name="_Toc38360488"/>
      <w:r>
        <w:t>Figure 4.</w:t>
      </w:r>
      <w:r w:rsidR="003951FA">
        <w:rPr>
          <w:noProof/>
        </w:rPr>
        <w:t>22</w:t>
      </w:r>
      <w:bookmarkEnd w:id="263"/>
      <w:r>
        <w:tab/>
      </w:r>
      <w:r w:rsidR="0075777C" w:rsidRPr="00DD7790">
        <w:t xml:space="preserve">Forest plot showing the RR of </w:t>
      </w:r>
      <w:r w:rsidR="0075777C">
        <w:t xml:space="preserve">having an AE </w:t>
      </w:r>
      <w:r w:rsidR="0075777C" w:rsidRPr="00DD7790">
        <w:t xml:space="preserve">while being treated with </w:t>
      </w:r>
      <w:r w:rsidR="0075777C">
        <w:t xml:space="preserve">a </w:t>
      </w:r>
      <w:r w:rsidR="0017012F">
        <w:t>prostanoid</w:t>
      </w:r>
      <w:r w:rsidR="0075777C">
        <w:t xml:space="preserve"> </w:t>
      </w:r>
      <w:r w:rsidR="0075777C" w:rsidRPr="00DD7790">
        <w:t xml:space="preserve">and an ERA compared with </w:t>
      </w:r>
      <w:r w:rsidR="0075777C">
        <w:t>ERA</w:t>
      </w:r>
      <w:r w:rsidR="0075777C" w:rsidRPr="00DD7790">
        <w:t xml:space="preserve"> alone in patients</w:t>
      </w:r>
      <w:r w:rsidR="0075777C" w:rsidRPr="0011063F">
        <w:t xml:space="preserve"> with WHO FC III/IV PAH</w:t>
      </w:r>
      <w:bookmarkEnd w:id="264"/>
    </w:p>
    <w:p w:rsidR="00561DAB" w:rsidRPr="00822C52" w:rsidRDefault="00561DAB" w:rsidP="001A69BE">
      <w:pPr>
        <w:pStyle w:val="Tablenote"/>
      </w:pPr>
      <w:r w:rsidRPr="00561DAB">
        <w:t xml:space="preserve">AE = adverse event; </w:t>
      </w:r>
      <w:r w:rsidR="0075777C" w:rsidRPr="00822C52">
        <w:t xml:space="preserve">CI = confidence interval; ERA = </w:t>
      </w:r>
      <w:r w:rsidR="0006512A">
        <w:t>endothelin receptor</w:t>
      </w:r>
      <w:r w:rsidR="0075777C" w:rsidRPr="00822C52">
        <w:t xml:space="preserve"> antagonists; </w:t>
      </w:r>
      <w:r w:rsidRPr="00561DAB">
        <w:t xml:space="preserve">FC = functional class; </w:t>
      </w:r>
      <w:r w:rsidR="0075777C" w:rsidRPr="00822C52">
        <w:t>N = number of patients; RR = relative risk</w:t>
      </w:r>
      <w:r w:rsidRPr="00561DAB">
        <w:t>; WHO = World Health Organization</w:t>
      </w:r>
    </w:p>
    <w:p w:rsidR="0075777C" w:rsidRPr="00822C52" w:rsidRDefault="00761752" w:rsidP="0075777C">
      <w:pPr>
        <w:pStyle w:val="Heading4"/>
      </w:pPr>
      <w:r>
        <w:t>4.4.3.</w:t>
      </w:r>
      <w:r w:rsidR="00441F08">
        <w:t>6</w:t>
      </w:r>
      <w:r>
        <w:tab/>
      </w:r>
      <w:proofErr w:type="gramStart"/>
      <w:r w:rsidR="0075777C">
        <w:t>sGC</w:t>
      </w:r>
      <w:proofErr w:type="gramEnd"/>
      <w:r w:rsidR="0075777C">
        <w:t xml:space="preserve"> stimulator </w:t>
      </w:r>
      <w:r w:rsidR="0075777C" w:rsidRPr="00822C52">
        <w:t>in addition to ERA</w:t>
      </w:r>
    </w:p>
    <w:p w:rsidR="0075777C" w:rsidRPr="006316DF" w:rsidRDefault="0075777C" w:rsidP="0075777C">
      <w:r w:rsidRPr="00326FE2">
        <w:t xml:space="preserve">Only one RCT was identified that reported on the effectiveness of a sGC stimulator </w:t>
      </w:r>
      <w:proofErr w:type="gramStart"/>
      <w:r>
        <w:t>plus</w:t>
      </w:r>
      <w:proofErr w:type="gramEnd"/>
      <w:r>
        <w:t xml:space="preserve"> an ERA </w:t>
      </w:r>
      <w:r w:rsidRPr="00326FE2">
        <w:t>in treating PAH compared with placebo</w:t>
      </w:r>
      <w:r>
        <w:t xml:space="preserve"> plus ERA</w:t>
      </w:r>
      <w:r w:rsidRPr="00326FE2">
        <w:t xml:space="preserve"> in patients with PAH. The PATENT-1</w:t>
      </w:r>
      <w:r w:rsidR="001D34EE" w:rsidRPr="001D34EE">
        <w:rPr>
          <w:noProof/>
          <w:vertAlign w:val="superscript"/>
        </w:rPr>
        <w:t>23</w:t>
      </w:r>
      <w:r w:rsidRPr="00326FE2">
        <w:t xml:space="preserve"> double-blind trial, with a low-to-moderate risk of bias, randomised PAH patients of </w:t>
      </w:r>
      <w:r w:rsidRPr="00326FE2">
        <w:rPr>
          <w:u w:val="single"/>
        </w:rPr>
        <w:t>any</w:t>
      </w:r>
      <w:r w:rsidRPr="00326FE2">
        <w:t xml:space="preserve"> WHO FC</w:t>
      </w:r>
      <w:r>
        <w:t xml:space="preserve">, with or without background ERA </w:t>
      </w:r>
      <w:r w:rsidRPr="00326FE2">
        <w:t xml:space="preserve">or </w:t>
      </w:r>
      <w:r w:rsidR="00DB6ACB" w:rsidRPr="00326FE2">
        <w:t>prostanoid</w:t>
      </w:r>
      <w:r w:rsidRPr="00326FE2">
        <w:t xml:space="preserve"> </w:t>
      </w:r>
      <w:r>
        <w:t>therapy,</w:t>
      </w:r>
      <w:r w:rsidRPr="00326FE2">
        <w:t xml:space="preserve"> to receive riociguat or placebo for 12 weeks. Approximately 44% of included patients were using an ERA drug (primarily bosentan) at baseline. The baseline characteristics for the riociguat </w:t>
      </w:r>
      <w:r>
        <w:t xml:space="preserve">plus ERA </w:t>
      </w:r>
      <w:r w:rsidRPr="00326FE2">
        <w:t>and placebo</w:t>
      </w:r>
      <w:r>
        <w:t xml:space="preserve"> plus ERA </w:t>
      </w:r>
      <w:r w:rsidRPr="00326FE2">
        <w:t xml:space="preserve">subgroups were well balanced </w:t>
      </w:r>
      <w:r w:rsidRPr="00D72DAF">
        <w:t>with respect to age</w:t>
      </w:r>
      <w:r>
        <w:t xml:space="preserve"> and</w:t>
      </w:r>
      <w:r w:rsidRPr="00D72DAF">
        <w:t xml:space="preserve"> </w:t>
      </w:r>
      <w:r>
        <w:t>gender</w:t>
      </w:r>
      <w:r w:rsidRPr="00D72DAF">
        <w:t xml:space="preserve">, </w:t>
      </w:r>
      <w:r>
        <w:t xml:space="preserve">but the combination therapy group had a larger proportion of patients with </w:t>
      </w:r>
      <w:r w:rsidRPr="00D72DAF">
        <w:t xml:space="preserve">WHO FC </w:t>
      </w:r>
      <w:r>
        <w:t>III PAH (65% v</w:t>
      </w:r>
      <w:r w:rsidR="0095089E">
        <w:t>ersu</w:t>
      </w:r>
      <w:r>
        <w:t xml:space="preserve">s 55%) </w:t>
      </w:r>
      <w:r w:rsidRPr="00D72DAF">
        <w:t>and</w:t>
      </w:r>
      <w:r>
        <w:t xml:space="preserve"> the monotherapy group had more patient with WHO FC II PAH (43% v</w:t>
      </w:r>
      <w:r w:rsidR="0095089E">
        <w:t>ersus</w:t>
      </w:r>
      <w:r>
        <w:t xml:space="preserve"> 33%).</w:t>
      </w:r>
      <w:r w:rsidRPr="00D72DAF">
        <w:t xml:space="preserve"> </w:t>
      </w:r>
      <w:r>
        <w:t xml:space="preserve">The baseline </w:t>
      </w:r>
      <w:r w:rsidRPr="00D72DAF">
        <w:t>haemodynamic parameters</w:t>
      </w:r>
      <w:r>
        <w:t xml:space="preserve"> and</w:t>
      </w:r>
      <w:r w:rsidRPr="00D72DAF">
        <w:t xml:space="preserve"> the proportion of patients having different PAH aetiologies </w:t>
      </w:r>
      <w:r>
        <w:t xml:space="preserve">was </w:t>
      </w:r>
      <w:r w:rsidRPr="00D72DAF">
        <w:t>not reported</w:t>
      </w:r>
      <w:r w:rsidRPr="00CC0E70">
        <w:t xml:space="preserve"> </w:t>
      </w:r>
      <w:r>
        <w:t>for this subgroup</w:t>
      </w:r>
      <w:r w:rsidRPr="00D72DAF">
        <w:t>.</w:t>
      </w:r>
      <w:r w:rsidRPr="00326FE2">
        <w:t xml:space="preserve"> Data </w:t>
      </w:r>
      <w:proofErr w:type="gramStart"/>
      <w:r w:rsidRPr="00326FE2">
        <w:t>was reported</w:t>
      </w:r>
      <w:proofErr w:type="gramEnd"/>
      <w:r w:rsidRPr="00326FE2">
        <w:t xml:space="preserve"> for </w:t>
      </w:r>
      <w:r>
        <w:t xml:space="preserve">all PAH </w:t>
      </w:r>
      <w:r w:rsidRPr="00326FE2">
        <w:t xml:space="preserve">patients </w:t>
      </w:r>
      <w:r>
        <w:t xml:space="preserve">and patients with </w:t>
      </w:r>
      <w:r w:rsidRPr="00326FE2">
        <w:t>WHO FC I</w:t>
      </w:r>
      <w:r>
        <w:t>II</w:t>
      </w:r>
      <w:r w:rsidRPr="00326FE2">
        <w:t>/I</w:t>
      </w:r>
      <w:r>
        <w:t>V</w:t>
      </w:r>
      <w:r w:rsidRPr="00326FE2">
        <w:t xml:space="preserve"> PAH </w:t>
      </w:r>
      <w:r>
        <w:t>who had</w:t>
      </w:r>
      <w:r w:rsidRPr="00326FE2">
        <w:t xml:space="preserve"> </w:t>
      </w:r>
      <w:r>
        <w:t xml:space="preserve">background ERA treatment, </w:t>
      </w:r>
      <w:r w:rsidRPr="00326FE2">
        <w:t>in the CSR (highlighted in green below).</w:t>
      </w:r>
      <w:r>
        <w:t xml:space="preserve"> For the </w:t>
      </w:r>
      <w:r w:rsidRPr="00817DE4">
        <w:t xml:space="preserve">WHO FC III/IV PAH </w:t>
      </w:r>
      <w:r>
        <w:t xml:space="preserve">subgroup, </w:t>
      </w:r>
      <w:r w:rsidRPr="00817DE4">
        <w:t xml:space="preserve">12/87 (14%) patients were treated with a </w:t>
      </w:r>
      <w:r w:rsidR="00DB6ACB" w:rsidRPr="00817DE4">
        <w:t>prostanoid</w:t>
      </w:r>
      <w:r>
        <w:t xml:space="preserve"> instead of an ERA.</w:t>
      </w:r>
    </w:p>
    <w:p w:rsidR="0075777C" w:rsidRDefault="00761752" w:rsidP="0075777C">
      <w:pPr>
        <w:pStyle w:val="Heading5"/>
      </w:pPr>
      <w:r>
        <w:t>a.</w:t>
      </w:r>
      <w:r>
        <w:tab/>
      </w:r>
      <w:r w:rsidR="0075777C" w:rsidRPr="00822C52">
        <w:t>Study-defined clinical worsening</w:t>
      </w:r>
    </w:p>
    <w:p w:rsidR="0075777C" w:rsidRPr="00F34C0F" w:rsidRDefault="0075777C" w:rsidP="00B74DF7">
      <w:r>
        <w:t>In the PATENT-1 study, cl</w:t>
      </w:r>
      <w:r w:rsidRPr="00F34C0F">
        <w:t xml:space="preserve">inical worsening was defined as </w:t>
      </w:r>
      <w:r>
        <w:t xml:space="preserve">all-cause mortality, heart/lung transplantation, atrial septostomy, </w:t>
      </w:r>
      <w:r w:rsidR="00B74DF7">
        <w:t xml:space="preserve">start of new </w:t>
      </w:r>
      <w:r>
        <w:t xml:space="preserve">PAH treatment (ERA, </w:t>
      </w:r>
      <w:r w:rsidR="00DB6ACB">
        <w:t>prostanoid</w:t>
      </w:r>
      <w:r>
        <w:t xml:space="preserve"> or PDE-5 inhibitor), </w:t>
      </w:r>
      <w:r w:rsidR="00B74DF7">
        <w:t xml:space="preserve">modification of a pre-existing prostanoid treatment, </w:t>
      </w:r>
      <w:r>
        <w:t>hospitali</w:t>
      </w:r>
      <w:r w:rsidR="00C87EC4">
        <w:t>s</w:t>
      </w:r>
      <w:r>
        <w:t>ation</w:t>
      </w:r>
      <w:r w:rsidR="00B74DF7">
        <w:t xml:space="preserve"> due to PAH,</w:t>
      </w:r>
      <w:r>
        <w:t xml:space="preserve"> persistent decrease in 6MWD</w:t>
      </w:r>
      <w:r w:rsidR="00954966">
        <w:t>,</w:t>
      </w:r>
      <w:r>
        <w:t xml:space="preserve"> or persistent worsening of WHO FC due to worsening of PAH.</w:t>
      </w:r>
    </w:p>
    <w:p w:rsidR="0075777C" w:rsidRPr="00822C52" w:rsidRDefault="002E4833" w:rsidP="0077344D">
      <w:pPr>
        <w:pStyle w:val="Heading6"/>
      </w:pPr>
      <w:proofErr w:type="gramStart"/>
      <w:r>
        <w:t>a</w:t>
      </w:r>
      <w:r w:rsidR="0075777C" w:rsidRPr="00822C52">
        <w:t>.i</w:t>
      </w:r>
      <w:proofErr w:type="gramEnd"/>
      <w:r w:rsidR="0075777C" w:rsidRPr="00822C52">
        <w:tab/>
        <w:t>PAH patients, irrespective of disease severity or aetiology</w:t>
      </w:r>
    </w:p>
    <w:p w:rsidR="0075777C" w:rsidRPr="00F05153" w:rsidRDefault="0075777C" w:rsidP="0075777C">
      <w:r w:rsidRPr="00F05153">
        <w:t xml:space="preserve">Patients who received combination therapy were </w:t>
      </w:r>
      <w:r w:rsidR="002046A0">
        <w:rPr>
          <w:noProof/>
          <w:color w:val="000000"/>
          <w:highlight w:val="black"/>
        </w:rPr>
        <w:t>''''''''''''' '''''''' ''''''''''</w:t>
      </w:r>
      <w:r w:rsidRPr="00F05153">
        <w:t xml:space="preserve"> to experience a clinical worsening event than those on monotherapy (</w:t>
      </w:r>
      <w:r w:rsidR="003951FA" w:rsidRPr="00F05153">
        <w:t>Table 4.</w:t>
      </w:r>
      <w:r w:rsidR="003951FA">
        <w:t>86</w:t>
      </w:r>
      <w:r w:rsidRPr="00F05153">
        <w:t xml:space="preserve">), but this difference was not statistically </w:t>
      </w:r>
      <w:r w:rsidR="002046A0">
        <w:rPr>
          <w:noProof/>
          <w:color w:val="000000"/>
          <w:highlight w:val="black"/>
        </w:rPr>
        <w:t>''''''''''''''''''' ''</w:t>
      </w:r>
      <w:r w:rsidR="00B21201" w:rsidRPr="00F05153">
        <w:t>ARD</w:t>
      </w:r>
      <w:r w:rsidR="00DB6ACB" w:rsidRPr="00F05153">
        <w:t> </w:t>
      </w:r>
      <w:r w:rsidRPr="00F05153">
        <w:t>=</w:t>
      </w:r>
      <w:r w:rsidR="00DB6ACB" w:rsidRPr="00F05153">
        <w:t> </w:t>
      </w:r>
      <w:r w:rsidR="002046A0">
        <w:rPr>
          <w:noProof/>
          <w:color w:val="000000"/>
          <w:highlight w:val="black"/>
        </w:rPr>
        <w:t>'''''''''''' '''''''' '''' ''''''''''' '''''''' '''''''''''''''''</w:t>
      </w:r>
      <w:r w:rsidRPr="00F05153">
        <w:t xml:space="preserve"> The NNT indicates that </w:t>
      </w:r>
      <w:r w:rsidR="002046A0">
        <w:rPr>
          <w:noProof/>
          <w:color w:val="000000"/>
          <w:highlight w:val="black"/>
        </w:rPr>
        <w:t>'''''</w:t>
      </w:r>
      <w:r w:rsidRPr="00F05153">
        <w:t xml:space="preserve"> patients need to be treated with </w:t>
      </w:r>
      <w:r w:rsidR="002046A0">
        <w:rPr>
          <w:noProof/>
          <w:color w:val="000000"/>
          <w:highlight w:val="black"/>
        </w:rPr>
        <w:t>''''''' '''''''''''''''''' '''''''' '''''''' ''''''''''''''''''''''' '''''''''''''''</w:t>
      </w:r>
      <w:r w:rsidRPr="00F05153">
        <w:t xml:space="preserve"> to prevent clinical worsening in one additional patient compared with </w:t>
      </w:r>
      <w:r w:rsidR="002046A0">
        <w:rPr>
          <w:noProof/>
          <w:color w:val="000000"/>
          <w:highlight w:val="black"/>
        </w:rPr>
        <w:t>''''''' ''''''''''''''''''''''''''</w:t>
      </w:r>
      <w:r w:rsidRPr="00F05153">
        <w:t>.</w:t>
      </w:r>
    </w:p>
    <w:p w:rsidR="0075777C" w:rsidRPr="00F05153" w:rsidRDefault="00272F8F" w:rsidP="00BC5A2B">
      <w:pPr>
        <w:pStyle w:val="Caption"/>
      </w:pPr>
      <w:bookmarkStart w:id="265" w:name="_Ref504656997"/>
      <w:bookmarkStart w:id="266" w:name="_Toc38360383"/>
      <w:r w:rsidRPr="00F05153">
        <w:t>Table 4.</w:t>
      </w:r>
      <w:r w:rsidR="003951FA">
        <w:rPr>
          <w:noProof/>
        </w:rPr>
        <w:t>86</w:t>
      </w:r>
      <w:bookmarkEnd w:id="265"/>
      <w:r w:rsidR="001A69BE" w:rsidRPr="00F05153">
        <w:tab/>
      </w:r>
      <w:r w:rsidR="0075777C" w:rsidRPr="00F05153">
        <w:t xml:space="preserve">The effectiveness of </w:t>
      </w:r>
      <w:r w:rsidR="00242BA3" w:rsidRPr="00F05153">
        <w:t xml:space="preserve">a sGC stimulator </w:t>
      </w:r>
      <w:r w:rsidR="007E59EC" w:rsidRPr="00F05153">
        <w:t>in addition to</w:t>
      </w:r>
      <w:r w:rsidR="0075777C" w:rsidRPr="00F05153">
        <w:t xml:space="preserve"> </w:t>
      </w:r>
      <w:r w:rsidR="00242BA3" w:rsidRPr="00F05153">
        <w:t xml:space="preserve">an </w:t>
      </w:r>
      <w:r w:rsidR="0075777C" w:rsidRPr="00F05153">
        <w:t xml:space="preserve">ERA compared </w:t>
      </w:r>
      <w:r w:rsidR="007E59EC" w:rsidRPr="00F05153">
        <w:t>with</w:t>
      </w:r>
      <w:r w:rsidR="0075777C" w:rsidRPr="00F05153">
        <w:t xml:space="preserve"> ERA</w:t>
      </w:r>
      <w:r w:rsidR="007E59EC" w:rsidRPr="00F05153">
        <w:t xml:space="preserve"> monotherapy</w:t>
      </w:r>
      <w:r w:rsidR="0075777C" w:rsidRPr="00F05153">
        <w:t xml:space="preserve"> in preventing clinical worsening in all PAH patients</w:t>
      </w:r>
      <w:bookmarkEnd w:id="266"/>
    </w:p>
    <w:tbl>
      <w:tblPr>
        <w:tblStyle w:val="TableGrid7"/>
        <w:tblW w:w="9634" w:type="dxa"/>
        <w:tblLayout w:type="fixed"/>
        <w:tblLook w:val="04A0" w:firstRow="1" w:lastRow="0" w:firstColumn="1" w:lastColumn="0" w:noHBand="0" w:noVBand="1"/>
        <w:tblCaption w:val="The effectiveness of a sGC stimulator in addition to an ERA compared with ERA monotherapy in preventing clinical worsening in all PAH patients"/>
      </w:tblPr>
      <w:tblGrid>
        <w:gridCol w:w="1696"/>
        <w:gridCol w:w="1843"/>
        <w:gridCol w:w="1984"/>
        <w:gridCol w:w="1985"/>
        <w:gridCol w:w="2126"/>
      </w:tblGrid>
      <w:tr w:rsidR="0075777C" w:rsidRPr="00F05153" w:rsidTr="001A69BE">
        <w:trPr>
          <w:trHeight w:val="198"/>
          <w:tblHeader/>
        </w:trPr>
        <w:tc>
          <w:tcPr>
            <w:tcW w:w="1696" w:type="dxa"/>
            <w:vMerge w:val="restart"/>
            <w:shd w:val="clear" w:color="auto" w:fill="BFBFBF" w:themeFill="background1" w:themeFillShade="BF"/>
          </w:tcPr>
          <w:p w:rsidR="0075777C" w:rsidRPr="00F05153" w:rsidRDefault="0075777C" w:rsidP="001A69BE">
            <w:pPr>
              <w:pStyle w:val="Tabletext"/>
              <w:rPr>
                <w:b/>
              </w:rPr>
            </w:pPr>
            <w:r w:rsidRPr="00F05153">
              <w:rPr>
                <w:b/>
              </w:rPr>
              <w:t>Study ID</w:t>
            </w:r>
          </w:p>
          <w:p w:rsidR="00242BA3" w:rsidRPr="00F05153" w:rsidRDefault="00242BA3" w:rsidP="001A69BE">
            <w:pPr>
              <w:pStyle w:val="Tabletext"/>
              <w:rPr>
                <w:b/>
              </w:rPr>
            </w:pPr>
            <w:r w:rsidRPr="00F05153">
              <w:rPr>
                <w:b/>
              </w:rPr>
              <w:t>sGC stimulator</w:t>
            </w:r>
          </w:p>
        </w:tc>
        <w:tc>
          <w:tcPr>
            <w:tcW w:w="1843" w:type="dxa"/>
            <w:vMerge w:val="restart"/>
            <w:shd w:val="clear" w:color="auto" w:fill="BFBFBF" w:themeFill="background1" w:themeFillShade="BF"/>
          </w:tcPr>
          <w:p w:rsidR="0075777C" w:rsidRPr="00F05153" w:rsidRDefault="0075777C" w:rsidP="001A69BE">
            <w:pPr>
              <w:pStyle w:val="Tabletext"/>
              <w:rPr>
                <w:b/>
              </w:rPr>
            </w:pPr>
            <w:r w:rsidRPr="00F05153">
              <w:rPr>
                <w:b/>
              </w:rPr>
              <w:t>Study period</w:t>
            </w:r>
          </w:p>
        </w:tc>
        <w:tc>
          <w:tcPr>
            <w:tcW w:w="3969" w:type="dxa"/>
            <w:gridSpan w:val="2"/>
            <w:shd w:val="clear" w:color="auto" w:fill="BFBFBF" w:themeFill="background1" w:themeFillShade="BF"/>
          </w:tcPr>
          <w:p w:rsidR="0075777C" w:rsidRPr="00F05153" w:rsidRDefault="0075777C" w:rsidP="001A69BE">
            <w:pPr>
              <w:pStyle w:val="Tabletext"/>
              <w:jc w:val="center"/>
              <w:rPr>
                <w:b/>
              </w:rPr>
            </w:pPr>
            <w:proofErr w:type="gramStart"/>
            <w:r w:rsidRPr="00F05153">
              <w:rPr>
                <w:b/>
              </w:rPr>
              <w:t>n/N</w:t>
            </w:r>
            <w:proofErr w:type="gramEnd"/>
            <w:r w:rsidRPr="00F05153">
              <w:rPr>
                <w:b/>
              </w:rPr>
              <w:t xml:space="preserve"> (%)</w:t>
            </w:r>
          </w:p>
        </w:tc>
        <w:tc>
          <w:tcPr>
            <w:tcW w:w="2126" w:type="dxa"/>
            <w:vMerge w:val="restart"/>
            <w:shd w:val="clear" w:color="auto" w:fill="BFBFBF" w:themeFill="background1" w:themeFillShade="BF"/>
          </w:tcPr>
          <w:p w:rsidR="0075777C" w:rsidRPr="00F05153" w:rsidRDefault="0075777C" w:rsidP="001A69BE">
            <w:pPr>
              <w:pStyle w:val="Tabletext"/>
              <w:rPr>
                <w:b/>
              </w:rPr>
            </w:pPr>
            <w:r w:rsidRPr="00F05153">
              <w:rPr>
                <w:b/>
              </w:rPr>
              <w:t>RR (95% CI)</w:t>
            </w:r>
          </w:p>
        </w:tc>
      </w:tr>
      <w:tr w:rsidR="0075777C" w:rsidRPr="00F05153" w:rsidTr="001A69BE">
        <w:trPr>
          <w:trHeight w:val="202"/>
          <w:tblHeader/>
        </w:trPr>
        <w:tc>
          <w:tcPr>
            <w:tcW w:w="1696" w:type="dxa"/>
            <w:vMerge/>
            <w:shd w:val="clear" w:color="auto" w:fill="BFBFBF" w:themeFill="background1" w:themeFillShade="BF"/>
          </w:tcPr>
          <w:p w:rsidR="0075777C" w:rsidRPr="00F05153" w:rsidRDefault="0075777C" w:rsidP="001A69BE">
            <w:pPr>
              <w:pStyle w:val="Tabletext"/>
            </w:pPr>
          </w:p>
        </w:tc>
        <w:tc>
          <w:tcPr>
            <w:tcW w:w="1843" w:type="dxa"/>
            <w:vMerge/>
            <w:shd w:val="clear" w:color="auto" w:fill="BFBFBF" w:themeFill="background1" w:themeFillShade="BF"/>
          </w:tcPr>
          <w:p w:rsidR="0075777C" w:rsidRPr="00F05153" w:rsidRDefault="0075777C" w:rsidP="001A69BE">
            <w:pPr>
              <w:pStyle w:val="Tabletext"/>
            </w:pPr>
          </w:p>
        </w:tc>
        <w:tc>
          <w:tcPr>
            <w:tcW w:w="1984" w:type="dxa"/>
            <w:shd w:val="clear" w:color="auto" w:fill="BFBFBF" w:themeFill="background1" w:themeFillShade="BF"/>
          </w:tcPr>
          <w:p w:rsidR="0075777C" w:rsidRPr="00F05153" w:rsidRDefault="00242BA3" w:rsidP="001A69BE">
            <w:pPr>
              <w:pStyle w:val="Tabletext"/>
              <w:jc w:val="center"/>
              <w:rPr>
                <w:b/>
              </w:rPr>
            </w:pPr>
            <w:r w:rsidRPr="00F05153">
              <w:rPr>
                <w:b/>
              </w:rPr>
              <w:t xml:space="preserve">sGC stimulator </w:t>
            </w:r>
            <w:r w:rsidR="0075777C" w:rsidRPr="00F05153">
              <w:rPr>
                <w:b/>
              </w:rPr>
              <w:t>+ ERA</w:t>
            </w:r>
          </w:p>
        </w:tc>
        <w:tc>
          <w:tcPr>
            <w:tcW w:w="1985" w:type="dxa"/>
            <w:shd w:val="clear" w:color="auto" w:fill="BFBFBF" w:themeFill="background1" w:themeFillShade="BF"/>
          </w:tcPr>
          <w:p w:rsidR="0075777C" w:rsidRPr="00F05153" w:rsidRDefault="0075777C" w:rsidP="001A69BE">
            <w:pPr>
              <w:pStyle w:val="Tabletext"/>
              <w:jc w:val="center"/>
              <w:rPr>
                <w:b/>
              </w:rPr>
            </w:pPr>
            <w:r w:rsidRPr="00F05153">
              <w:rPr>
                <w:b/>
              </w:rPr>
              <w:t>ERA</w:t>
            </w:r>
          </w:p>
        </w:tc>
        <w:tc>
          <w:tcPr>
            <w:tcW w:w="2126" w:type="dxa"/>
            <w:vMerge/>
            <w:shd w:val="clear" w:color="auto" w:fill="BFBFBF" w:themeFill="background1" w:themeFillShade="BF"/>
          </w:tcPr>
          <w:p w:rsidR="0075777C" w:rsidRPr="00F05153" w:rsidRDefault="0075777C" w:rsidP="001A69BE">
            <w:pPr>
              <w:pStyle w:val="Tabletext"/>
            </w:pPr>
          </w:p>
        </w:tc>
      </w:tr>
      <w:tr w:rsidR="0075777C" w:rsidRPr="00F05153" w:rsidTr="001A69BE">
        <w:trPr>
          <w:trHeight w:val="70"/>
        </w:trPr>
        <w:tc>
          <w:tcPr>
            <w:tcW w:w="1696" w:type="dxa"/>
            <w:shd w:val="clear" w:color="auto" w:fill="auto"/>
          </w:tcPr>
          <w:p w:rsidR="0075777C" w:rsidRPr="00F05153" w:rsidRDefault="0075777C" w:rsidP="001A69BE">
            <w:pPr>
              <w:pStyle w:val="Tabletext"/>
              <w:rPr>
                <w:rFonts w:cs="Tahoma"/>
              </w:rPr>
            </w:pPr>
            <w:r w:rsidRPr="00F05153">
              <w:rPr>
                <w:rFonts w:cs="Tahoma"/>
              </w:rPr>
              <w:t>PATENT-1 CSR</w:t>
            </w:r>
          </w:p>
          <w:p w:rsidR="00242BA3" w:rsidRPr="00F05153" w:rsidRDefault="00242BA3" w:rsidP="001A69BE">
            <w:pPr>
              <w:pStyle w:val="Tabletext"/>
              <w:rPr>
                <w:rFonts w:cs="Tahoma"/>
              </w:rPr>
            </w:pPr>
            <w:r w:rsidRPr="00F05153">
              <w:t>Riociguat</w:t>
            </w:r>
          </w:p>
        </w:tc>
        <w:tc>
          <w:tcPr>
            <w:tcW w:w="1843" w:type="dxa"/>
            <w:shd w:val="clear" w:color="auto" w:fill="auto"/>
          </w:tcPr>
          <w:p w:rsidR="0075777C" w:rsidRPr="00F05153" w:rsidRDefault="0075777C" w:rsidP="001A69BE">
            <w:pPr>
              <w:pStyle w:val="Tabletext"/>
              <w:rPr>
                <w:rFonts w:cs="Tahoma"/>
              </w:rPr>
            </w:pPr>
            <w:r w:rsidRPr="00F05153">
              <w:rPr>
                <w:rFonts w:cs="Tahoma"/>
              </w:rPr>
              <w:t>12 weeks</w:t>
            </w:r>
          </w:p>
        </w:tc>
        <w:tc>
          <w:tcPr>
            <w:tcW w:w="1984" w:type="dxa"/>
            <w:shd w:val="clear" w:color="auto" w:fill="auto"/>
          </w:tcPr>
          <w:p w:rsidR="0075777C" w:rsidRPr="002046A0" w:rsidRDefault="002046A0" w:rsidP="001A69BE">
            <w:pPr>
              <w:pStyle w:val="Tabletext"/>
              <w:jc w:val="center"/>
              <w:rPr>
                <w:rFonts w:cs="Tahoma"/>
                <w:highlight w:val="black"/>
              </w:rPr>
            </w:pPr>
            <w:r>
              <w:rPr>
                <w:rFonts w:eastAsia="Times New Roman" w:cs="Tahoma"/>
                <w:noProof/>
                <w:color w:val="000000"/>
                <w:highlight w:val="black"/>
              </w:rPr>
              <w:t>''''''''''''' '''''''''''</w:t>
            </w:r>
          </w:p>
        </w:tc>
        <w:tc>
          <w:tcPr>
            <w:tcW w:w="1985" w:type="dxa"/>
            <w:shd w:val="clear" w:color="auto" w:fill="auto"/>
          </w:tcPr>
          <w:p w:rsidR="0075777C" w:rsidRPr="002046A0" w:rsidRDefault="002046A0" w:rsidP="001A69BE">
            <w:pPr>
              <w:pStyle w:val="Tabletext"/>
              <w:jc w:val="center"/>
              <w:rPr>
                <w:rFonts w:cs="Tahoma"/>
                <w:highlight w:val="black"/>
              </w:rPr>
            </w:pPr>
            <w:r>
              <w:rPr>
                <w:rFonts w:eastAsia="Times New Roman" w:cs="Tahoma"/>
                <w:noProof/>
                <w:color w:val="000000"/>
                <w:highlight w:val="black"/>
              </w:rPr>
              <w:t>''''''''''' '''''''''''</w:t>
            </w:r>
          </w:p>
        </w:tc>
        <w:tc>
          <w:tcPr>
            <w:tcW w:w="2126" w:type="dxa"/>
          </w:tcPr>
          <w:p w:rsidR="0075777C" w:rsidRPr="002046A0" w:rsidRDefault="002046A0" w:rsidP="001A69BE">
            <w:pPr>
              <w:pStyle w:val="Tabletext"/>
              <w:rPr>
                <w:rFonts w:cs="Tahoma"/>
                <w:highlight w:val="black"/>
              </w:rPr>
            </w:pPr>
            <w:r>
              <w:rPr>
                <w:rFonts w:cs="Tahoma"/>
                <w:noProof/>
                <w:color w:val="000000"/>
                <w:highlight w:val="black"/>
              </w:rPr>
              <w:t>'''''''''' ''''''''''''' '''''''''''</w:t>
            </w:r>
          </w:p>
        </w:tc>
      </w:tr>
    </w:tbl>
    <w:p w:rsidR="0075777C" w:rsidRPr="00F05153" w:rsidRDefault="0075777C" w:rsidP="001A69BE">
      <w:pPr>
        <w:pStyle w:val="Tablenote"/>
      </w:pPr>
      <w:r w:rsidRPr="00F05153">
        <w:t xml:space="preserve">CI = confidence interval; CSR = clinical study report; ERA = endothelin receptor antagonist; n = number of </w:t>
      </w:r>
      <w:r w:rsidR="00DC16A3" w:rsidRPr="00F05153">
        <w:t xml:space="preserve">patients with </w:t>
      </w:r>
      <w:r w:rsidRPr="00F05153">
        <w:t>events; N = number of patients; PAH = pulmonary arterial hypertension; RR = relative risk</w:t>
      </w:r>
      <w:r w:rsidR="009B47AA" w:rsidRPr="00F05153">
        <w:t>; sGC = soluble guanylate cyclase stimulator</w:t>
      </w:r>
    </w:p>
    <w:p w:rsidR="0075777C" w:rsidRPr="00F05153" w:rsidRDefault="002E4833" w:rsidP="0077344D">
      <w:pPr>
        <w:pStyle w:val="Heading6"/>
      </w:pPr>
      <w:proofErr w:type="gramStart"/>
      <w:r w:rsidRPr="00F05153">
        <w:t>a</w:t>
      </w:r>
      <w:r w:rsidR="0075777C" w:rsidRPr="00F05153">
        <w:t>.ii</w:t>
      </w:r>
      <w:proofErr w:type="gramEnd"/>
      <w:r w:rsidR="0075777C" w:rsidRPr="00F05153">
        <w:tab/>
        <w:t>PAH patients with FC III or IV</w:t>
      </w:r>
    </w:p>
    <w:p w:rsidR="0075777C" w:rsidRPr="00F05153" w:rsidRDefault="0075777C" w:rsidP="00FB0A80">
      <w:pPr>
        <w:spacing w:before="0" w:line="240" w:lineRule="auto"/>
      </w:pPr>
      <w:r w:rsidRPr="00F05153">
        <w:t xml:space="preserve">Patients with WHO FC III/IV PAH who received combination therapy were </w:t>
      </w:r>
      <w:r w:rsidR="002046A0">
        <w:rPr>
          <w:noProof/>
          <w:color w:val="000000"/>
          <w:highlight w:val="black"/>
        </w:rPr>
        <w:t>''''''''''''''' ''''''' '''''''''''</w:t>
      </w:r>
      <w:r w:rsidRPr="00F05153">
        <w:t xml:space="preserve"> to experience a clinical worsening event than those on monotherapy (</w:t>
      </w:r>
      <w:r w:rsidR="00FB0A80" w:rsidRPr="00F05153">
        <w:t>Table 4.87</w:t>
      </w:r>
      <w:r w:rsidRPr="00F05153">
        <w:t xml:space="preserve">), </w:t>
      </w:r>
      <w:r w:rsidR="002046A0">
        <w:rPr>
          <w:noProof/>
          <w:color w:val="000000"/>
          <w:highlight w:val="black"/>
        </w:rPr>
        <w:t>'''''''' '''''' ''''''''''''''''''''</w:t>
      </w:r>
      <w:r w:rsidRPr="00F05153">
        <w:t xml:space="preserve"> </w:t>
      </w:r>
      <w:r w:rsidR="002046A0">
        <w:rPr>
          <w:noProof/>
          <w:color w:val="000000"/>
          <w:highlight w:val="black"/>
        </w:rPr>
        <w:t>''''''' '''''' '''''''''''''''''''' ''''''''''''''''''''' ''</w:t>
      </w:r>
      <w:r w:rsidR="00B21201" w:rsidRPr="00F05153">
        <w:t>ARD</w:t>
      </w:r>
      <w:r w:rsidR="00DB6ACB" w:rsidRPr="00F05153">
        <w:t> </w:t>
      </w:r>
      <w:r w:rsidRPr="00F05153">
        <w:t>=</w:t>
      </w:r>
      <w:r w:rsidR="00DB6ACB" w:rsidRPr="00F05153">
        <w:t> </w:t>
      </w:r>
      <w:r w:rsidR="002046A0">
        <w:rPr>
          <w:noProof/>
          <w:color w:val="000000"/>
          <w:highlight w:val="black"/>
        </w:rPr>
        <w:t>''''''''''''' ''''''''' '''' ''''''''''' ''''''' ''''''''''''''''''</w:t>
      </w:r>
      <w:r w:rsidRPr="00F05153">
        <w:t xml:space="preserve"> Among patients with WHO FC III/IV PAH, </w:t>
      </w:r>
      <w:r w:rsidR="002046A0">
        <w:rPr>
          <w:noProof/>
          <w:color w:val="000000"/>
          <w:highlight w:val="black"/>
        </w:rPr>
        <w:t>'''''</w:t>
      </w:r>
      <w:r w:rsidRPr="00F05153">
        <w:t xml:space="preserve"> need to be treated with </w:t>
      </w:r>
      <w:r w:rsidR="002046A0">
        <w:rPr>
          <w:noProof/>
          <w:color w:val="000000"/>
          <w:highlight w:val="black"/>
        </w:rPr>
        <w:t>''''''' ''''''''''''''''''' '''''''' '''''''' ''''''''''''''''''''''''' '''''''''''''''</w:t>
      </w:r>
      <w:r w:rsidRPr="00F05153">
        <w:t xml:space="preserve"> to prevent clinical worsening in one additional patient compared with </w:t>
      </w:r>
      <w:r w:rsidR="002046A0">
        <w:rPr>
          <w:noProof/>
          <w:color w:val="000000"/>
          <w:highlight w:val="black"/>
        </w:rPr>
        <w:t>''''''' '''''''''''''''''''''''''''</w:t>
      </w:r>
      <w:r w:rsidRPr="00F05153">
        <w:t>.</w:t>
      </w:r>
    </w:p>
    <w:p w:rsidR="00A73209" w:rsidRDefault="00A73209">
      <w:pPr>
        <w:spacing w:before="0" w:line="240" w:lineRule="auto"/>
        <w:rPr>
          <w:b/>
          <w:iCs/>
          <w:szCs w:val="18"/>
        </w:rPr>
      </w:pPr>
      <w:bookmarkStart w:id="267" w:name="_Ref504657015"/>
      <w:bookmarkStart w:id="268" w:name="_Toc38360384"/>
      <w:r>
        <w:br w:type="page"/>
      </w:r>
    </w:p>
    <w:p w:rsidR="0075777C" w:rsidRPr="00F05153" w:rsidRDefault="00272F8F" w:rsidP="00BC5A2B">
      <w:pPr>
        <w:pStyle w:val="Caption"/>
      </w:pPr>
      <w:r w:rsidRPr="00F05153">
        <w:t>Table 4.</w:t>
      </w:r>
      <w:r w:rsidR="003951FA">
        <w:rPr>
          <w:noProof/>
        </w:rPr>
        <w:t>87</w:t>
      </w:r>
      <w:bookmarkEnd w:id="267"/>
      <w:r w:rsidR="001A69BE" w:rsidRPr="00F05153">
        <w:tab/>
      </w:r>
      <w:r w:rsidR="0075777C" w:rsidRPr="00F05153">
        <w:t xml:space="preserve">The effectiveness of </w:t>
      </w:r>
      <w:r w:rsidR="00242BA3" w:rsidRPr="00F05153">
        <w:t xml:space="preserve">a sGC stimulator </w:t>
      </w:r>
      <w:r w:rsidR="007E59EC" w:rsidRPr="00F05153">
        <w:t xml:space="preserve">in addition to an ERA compared with ERA monotherapy </w:t>
      </w:r>
      <w:r w:rsidR="0075777C" w:rsidRPr="00F05153">
        <w:t>in preventing clinical worsening in patients with WHO FC III/IV PAH</w:t>
      </w:r>
      <w:bookmarkEnd w:id="268"/>
    </w:p>
    <w:tbl>
      <w:tblPr>
        <w:tblStyle w:val="TableGrid7"/>
        <w:tblW w:w="9634" w:type="dxa"/>
        <w:tblLayout w:type="fixed"/>
        <w:tblLook w:val="04A0" w:firstRow="1" w:lastRow="0" w:firstColumn="1" w:lastColumn="0" w:noHBand="0" w:noVBand="1"/>
        <w:tblCaption w:val="The effectiveness of a sGC stimulator in addition to an ERA compared with ERA monotherapy in preventing clinical worsening in patients with WHO FC III/IV PAH"/>
      </w:tblPr>
      <w:tblGrid>
        <w:gridCol w:w="1696"/>
        <w:gridCol w:w="1701"/>
        <w:gridCol w:w="2127"/>
        <w:gridCol w:w="1984"/>
        <w:gridCol w:w="2126"/>
      </w:tblGrid>
      <w:tr w:rsidR="0075777C" w:rsidRPr="00F05153" w:rsidTr="001A69BE">
        <w:trPr>
          <w:trHeight w:val="277"/>
          <w:tblHeader/>
        </w:trPr>
        <w:tc>
          <w:tcPr>
            <w:tcW w:w="1696" w:type="dxa"/>
            <w:vMerge w:val="restart"/>
            <w:shd w:val="clear" w:color="auto" w:fill="BFBFBF" w:themeFill="background1" w:themeFillShade="BF"/>
          </w:tcPr>
          <w:p w:rsidR="0075777C" w:rsidRPr="00F05153" w:rsidRDefault="0075777C" w:rsidP="001A69BE">
            <w:pPr>
              <w:pStyle w:val="Tabletext"/>
              <w:rPr>
                <w:b/>
              </w:rPr>
            </w:pPr>
            <w:r w:rsidRPr="00F05153">
              <w:rPr>
                <w:b/>
              </w:rPr>
              <w:t>Study ID</w:t>
            </w:r>
          </w:p>
          <w:p w:rsidR="00242BA3" w:rsidRPr="00F05153" w:rsidRDefault="00242BA3" w:rsidP="001A69BE">
            <w:pPr>
              <w:pStyle w:val="Tabletext"/>
              <w:rPr>
                <w:b/>
              </w:rPr>
            </w:pPr>
            <w:r w:rsidRPr="00F05153">
              <w:rPr>
                <w:b/>
              </w:rPr>
              <w:t>sGC stimulator</w:t>
            </w:r>
          </w:p>
        </w:tc>
        <w:tc>
          <w:tcPr>
            <w:tcW w:w="1701" w:type="dxa"/>
            <w:vMerge w:val="restart"/>
            <w:shd w:val="clear" w:color="auto" w:fill="BFBFBF" w:themeFill="background1" w:themeFillShade="BF"/>
          </w:tcPr>
          <w:p w:rsidR="0075777C" w:rsidRPr="00F05153" w:rsidRDefault="0075777C" w:rsidP="001A69BE">
            <w:pPr>
              <w:pStyle w:val="Tabletext"/>
              <w:rPr>
                <w:b/>
              </w:rPr>
            </w:pPr>
            <w:r w:rsidRPr="00F05153">
              <w:rPr>
                <w:b/>
              </w:rPr>
              <w:t>Study period</w:t>
            </w:r>
          </w:p>
        </w:tc>
        <w:tc>
          <w:tcPr>
            <w:tcW w:w="4111" w:type="dxa"/>
            <w:gridSpan w:val="2"/>
            <w:shd w:val="clear" w:color="auto" w:fill="BFBFBF" w:themeFill="background1" w:themeFillShade="BF"/>
          </w:tcPr>
          <w:p w:rsidR="0075777C" w:rsidRPr="00F05153" w:rsidRDefault="0075777C" w:rsidP="001A69BE">
            <w:pPr>
              <w:pStyle w:val="Tabletext"/>
              <w:tabs>
                <w:tab w:val="left" w:pos="881"/>
              </w:tabs>
              <w:jc w:val="center"/>
              <w:rPr>
                <w:b/>
              </w:rPr>
            </w:pPr>
            <w:proofErr w:type="gramStart"/>
            <w:r w:rsidRPr="00F05153">
              <w:rPr>
                <w:b/>
              </w:rPr>
              <w:t>n/N</w:t>
            </w:r>
            <w:proofErr w:type="gramEnd"/>
            <w:r w:rsidRPr="00F05153">
              <w:rPr>
                <w:b/>
              </w:rPr>
              <w:t xml:space="preserve"> (%)</w:t>
            </w:r>
          </w:p>
        </w:tc>
        <w:tc>
          <w:tcPr>
            <w:tcW w:w="2126" w:type="dxa"/>
            <w:vMerge w:val="restart"/>
            <w:shd w:val="clear" w:color="auto" w:fill="BFBFBF" w:themeFill="background1" w:themeFillShade="BF"/>
          </w:tcPr>
          <w:p w:rsidR="0075777C" w:rsidRPr="00F05153" w:rsidRDefault="0075777C" w:rsidP="001A69BE">
            <w:pPr>
              <w:pStyle w:val="Tabletext"/>
              <w:rPr>
                <w:b/>
              </w:rPr>
            </w:pPr>
            <w:r w:rsidRPr="00F05153">
              <w:rPr>
                <w:b/>
              </w:rPr>
              <w:t>RR (95% CI)</w:t>
            </w:r>
          </w:p>
        </w:tc>
      </w:tr>
      <w:tr w:rsidR="0075777C" w:rsidRPr="00F05153" w:rsidTr="001A69BE">
        <w:trPr>
          <w:trHeight w:val="202"/>
          <w:tblHeader/>
        </w:trPr>
        <w:tc>
          <w:tcPr>
            <w:tcW w:w="1696" w:type="dxa"/>
            <w:vMerge/>
            <w:shd w:val="clear" w:color="auto" w:fill="BFBFBF" w:themeFill="background1" w:themeFillShade="BF"/>
          </w:tcPr>
          <w:p w:rsidR="0075777C" w:rsidRPr="00F05153" w:rsidRDefault="0075777C" w:rsidP="001A69BE">
            <w:pPr>
              <w:pStyle w:val="Tabletext"/>
            </w:pPr>
          </w:p>
        </w:tc>
        <w:tc>
          <w:tcPr>
            <w:tcW w:w="1701" w:type="dxa"/>
            <w:vMerge/>
            <w:shd w:val="clear" w:color="auto" w:fill="BFBFBF" w:themeFill="background1" w:themeFillShade="BF"/>
          </w:tcPr>
          <w:p w:rsidR="0075777C" w:rsidRPr="00F05153" w:rsidRDefault="0075777C" w:rsidP="001A69BE">
            <w:pPr>
              <w:pStyle w:val="Tabletext"/>
            </w:pPr>
          </w:p>
        </w:tc>
        <w:tc>
          <w:tcPr>
            <w:tcW w:w="2127" w:type="dxa"/>
            <w:shd w:val="clear" w:color="auto" w:fill="BFBFBF" w:themeFill="background1" w:themeFillShade="BF"/>
          </w:tcPr>
          <w:p w:rsidR="0075777C" w:rsidRPr="00F05153" w:rsidRDefault="00242BA3" w:rsidP="001A69BE">
            <w:pPr>
              <w:pStyle w:val="Tabletext"/>
              <w:jc w:val="center"/>
              <w:rPr>
                <w:b/>
              </w:rPr>
            </w:pPr>
            <w:r w:rsidRPr="00F05153">
              <w:rPr>
                <w:b/>
              </w:rPr>
              <w:t xml:space="preserve">sGC stimulator </w:t>
            </w:r>
            <w:r w:rsidR="0075777C" w:rsidRPr="00F05153">
              <w:rPr>
                <w:b/>
              </w:rPr>
              <w:t>+ ERA</w:t>
            </w:r>
          </w:p>
        </w:tc>
        <w:tc>
          <w:tcPr>
            <w:tcW w:w="1984" w:type="dxa"/>
            <w:shd w:val="clear" w:color="auto" w:fill="BFBFBF" w:themeFill="background1" w:themeFillShade="BF"/>
          </w:tcPr>
          <w:p w:rsidR="0075777C" w:rsidRPr="00F05153" w:rsidRDefault="0075777C" w:rsidP="001A69BE">
            <w:pPr>
              <w:pStyle w:val="Tabletext"/>
              <w:jc w:val="center"/>
              <w:rPr>
                <w:b/>
              </w:rPr>
            </w:pPr>
            <w:r w:rsidRPr="00F05153">
              <w:rPr>
                <w:b/>
              </w:rPr>
              <w:t>ERA</w:t>
            </w:r>
          </w:p>
        </w:tc>
        <w:tc>
          <w:tcPr>
            <w:tcW w:w="2126" w:type="dxa"/>
            <w:vMerge/>
            <w:shd w:val="clear" w:color="auto" w:fill="BFBFBF" w:themeFill="background1" w:themeFillShade="BF"/>
          </w:tcPr>
          <w:p w:rsidR="0075777C" w:rsidRPr="00F05153" w:rsidRDefault="0075777C" w:rsidP="001A69BE">
            <w:pPr>
              <w:pStyle w:val="Tabletext"/>
            </w:pPr>
          </w:p>
        </w:tc>
      </w:tr>
      <w:tr w:rsidR="0075777C" w:rsidRPr="00F05153" w:rsidTr="001A69BE">
        <w:trPr>
          <w:trHeight w:val="70"/>
        </w:trPr>
        <w:tc>
          <w:tcPr>
            <w:tcW w:w="1696" w:type="dxa"/>
            <w:shd w:val="clear" w:color="auto" w:fill="auto"/>
          </w:tcPr>
          <w:p w:rsidR="0075777C" w:rsidRPr="00F05153" w:rsidRDefault="0075777C" w:rsidP="001A69BE">
            <w:pPr>
              <w:pStyle w:val="Tabletext"/>
              <w:rPr>
                <w:rFonts w:cs="Tahoma"/>
              </w:rPr>
            </w:pPr>
            <w:r w:rsidRPr="00F05153">
              <w:rPr>
                <w:rFonts w:cs="Tahoma"/>
              </w:rPr>
              <w:t>PATENT-1</w:t>
            </w:r>
            <w:r w:rsidRPr="00F05153">
              <w:rPr>
                <w:rFonts w:cs="Tahoma"/>
                <w:vertAlign w:val="superscript"/>
              </w:rPr>
              <w:t>a</w:t>
            </w:r>
            <w:r w:rsidRPr="00F05153">
              <w:rPr>
                <w:rFonts w:cs="Tahoma"/>
              </w:rPr>
              <w:t xml:space="preserve"> CSR</w:t>
            </w:r>
          </w:p>
          <w:p w:rsidR="00242BA3" w:rsidRPr="00F05153" w:rsidRDefault="00242BA3" w:rsidP="001A69BE">
            <w:pPr>
              <w:pStyle w:val="Tabletext"/>
              <w:rPr>
                <w:rFonts w:cs="Tahoma"/>
              </w:rPr>
            </w:pPr>
            <w:r w:rsidRPr="00F05153">
              <w:t>Riociguat</w:t>
            </w:r>
          </w:p>
        </w:tc>
        <w:tc>
          <w:tcPr>
            <w:tcW w:w="1701" w:type="dxa"/>
            <w:shd w:val="clear" w:color="auto" w:fill="auto"/>
          </w:tcPr>
          <w:p w:rsidR="0075777C" w:rsidRPr="00F05153" w:rsidRDefault="0075777C" w:rsidP="001A69BE">
            <w:pPr>
              <w:pStyle w:val="Tabletext"/>
              <w:rPr>
                <w:rFonts w:cs="Tahoma"/>
              </w:rPr>
            </w:pPr>
            <w:r w:rsidRPr="00F05153">
              <w:rPr>
                <w:rFonts w:cs="Tahoma"/>
              </w:rPr>
              <w:t>12 weeks</w:t>
            </w:r>
          </w:p>
        </w:tc>
        <w:tc>
          <w:tcPr>
            <w:tcW w:w="2127" w:type="dxa"/>
            <w:shd w:val="clear" w:color="auto" w:fill="auto"/>
          </w:tcPr>
          <w:p w:rsidR="0075777C" w:rsidRPr="002046A0" w:rsidRDefault="002046A0" w:rsidP="001A69BE">
            <w:pPr>
              <w:pStyle w:val="Tabletext"/>
              <w:jc w:val="center"/>
              <w:rPr>
                <w:rFonts w:cs="Tahoma"/>
                <w:highlight w:val="black"/>
              </w:rPr>
            </w:pPr>
            <w:r>
              <w:rPr>
                <w:rFonts w:eastAsia="Times New Roman" w:cs="Tahoma"/>
                <w:noProof/>
                <w:color w:val="000000"/>
                <w:highlight w:val="black"/>
              </w:rPr>
              <w:t>'''''''''' '''''''''''</w:t>
            </w:r>
          </w:p>
        </w:tc>
        <w:tc>
          <w:tcPr>
            <w:tcW w:w="1984" w:type="dxa"/>
            <w:shd w:val="clear" w:color="auto" w:fill="auto"/>
          </w:tcPr>
          <w:p w:rsidR="0075777C" w:rsidRPr="002046A0" w:rsidRDefault="002046A0" w:rsidP="001A69BE">
            <w:pPr>
              <w:pStyle w:val="Tabletext"/>
              <w:jc w:val="center"/>
              <w:rPr>
                <w:rFonts w:cs="Tahoma"/>
                <w:highlight w:val="black"/>
              </w:rPr>
            </w:pPr>
            <w:r>
              <w:rPr>
                <w:rFonts w:eastAsia="Times New Roman" w:cs="Tahoma"/>
                <w:noProof/>
                <w:color w:val="000000"/>
                <w:highlight w:val="black"/>
              </w:rPr>
              <w:t>''''''''''' '''''''''''</w:t>
            </w:r>
          </w:p>
        </w:tc>
        <w:tc>
          <w:tcPr>
            <w:tcW w:w="2126" w:type="dxa"/>
            <w:shd w:val="clear" w:color="auto" w:fill="auto"/>
          </w:tcPr>
          <w:p w:rsidR="0075777C" w:rsidRPr="002046A0" w:rsidRDefault="002046A0" w:rsidP="001A69BE">
            <w:pPr>
              <w:pStyle w:val="Tabletext"/>
              <w:rPr>
                <w:rFonts w:cs="Tahoma"/>
                <w:highlight w:val="black"/>
              </w:rPr>
            </w:pPr>
            <w:r>
              <w:rPr>
                <w:rFonts w:cs="Tahoma"/>
                <w:noProof/>
                <w:color w:val="000000"/>
                <w:highlight w:val="black"/>
              </w:rPr>
              <w:t>'''''''''' ''''''''''''' '''''''''''''</w:t>
            </w:r>
          </w:p>
        </w:tc>
      </w:tr>
    </w:tbl>
    <w:p w:rsidR="0075777C" w:rsidRPr="00F05153" w:rsidRDefault="0075777C" w:rsidP="001A69BE">
      <w:pPr>
        <w:pStyle w:val="Tablenote"/>
      </w:pPr>
      <w:proofErr w:type="gramStart"/>
      <w:r w:rsidRPr="00F05153">
        <w:rPr>
          <w:vertAlign w:val="superscript"/>
        </w:rPr>
        <w:t>a</w:t>
      </w:r>
      <w:proofErr w:type="gramEnd"/>
      <w:r w:rsidRPr="00F05153">
        <w:t xml:space="preserve"> 14% of patients had background </w:t>
      </w:r>
      <w:r w:rsidR="001A69BE" w:rsidRPr="00F05153">
        <w:t>prostanoid</w:t>
      </w:r>
      <w:r w:rsidRPr="00F05153">
        <w:t xml:space="preserve"> therapy</w:t>
      </w:r>
    </w:p>
    <w:p w:rsidR="0075777C" w:rsidRPr="00F05153" w:rsidRDefault="0075777C" w:rsidP="001A69BE">
      <w:pPr>
        <w:pStyle w:val="Tablenote"/>
      </w:pPr>
      <w:r w:rsidRPr="00F05153">
        <w:t xml:space="preserve">CI = confidence interval; CSR = clinical study report; ERA = endothelin receptor antagonist; FC = functional class; n = number of </w:t>
      </w:r>
      <w:r w:rsidR="00DC16A3" w:rsidRPr="00F05153">
        <w:t xml:space="preserve">patients with </w:t>
      </w:r>
      <w:r w:rsidRPr="00F05153">
        <w:t xml:space="preserve">events; N = number of patients; PAH = pulmonary arterial hypertension; RR = relative risk; </w:t>
      </w:r>
      <w:r w:rsidR="009B47AA" w:rsidRPr="00F05153">
        <w:t xml:space="preserve">sGC = soluble guanylate cyclase stimulator; </w:t>
      </w:r>
      <w:r w:rsidRPr="00F05153">
        <w:t>WHO = World Health Organization</w:t>
      </w:r>
    </w:p>
    <w:p w:rsidR="0075777C" w:rsidRPr="00F05153" w:rsidRDefault="002E4833" w:rsidP="0075777C">
      <w:pPr>
        <w:pStyle w:val="Heading5"/>
      </w:pPr>
      <w:r w:rsidRPr="00F05153">
        <w:t>b.</w:t>
      </w:r>
      <w:r w:rsidR="00761752" w:rsidRPr="00F05153">
        <w:tab/>
      </w:r>
      <w:r w:rsidR="00C828F9" w:rsidRPr="00F05153">
        <w:t>All-cause mortality</w:t>
      </w:r>
    </w:p>
    <w:p w:rsidR="0075777C" w:rsidRPr="00F05153" w:rsidRDefault="002E4833" w:rsidP="0077344D">
      <w:pPr>
        <w:pStyle w:val="Heading6"/>
      </w:pPr>
      <w:proofErr w:type="gramStart"/>
      <w:r w:rsidRPr="00F05153">
        <w:t>b</w:t>
      </w:r>
      <w:r w:rsidR="0075777C" w:rsidRPr="00F05153">
        <w:t>.i</w:t>
      </w:r>
      <w:proofErr w:type="gramEnd"/>
      <w:r w:rsidR="0075777C" w:rsidRPr="00F05153">
        <w:tab/>
        <w:t>PAH patients, irrespective of disease severity or aetiology</w:t>
      </w:r>
    </w:p>
    <w:p w:rsidR="0075777C" w:rsidRPr="00F05153" w:rsidRDefault="0075777C" w:rsidP="0075777C">
      <w:r w:rsidRPr="00F05153">
        <w:t xml:space="preserve">Patients who received combination therapy were </w:t>
      </w:r>
      <w:r w:rsidR="002046A0">
        <w:rPr>
          <w:noProof/>
          <w:color w:val="000000"/>
          <w:highlight w:val="black"/>
        </w:rPr>
        <w:t>''''''' ''''''''''</w:t>
      </w:r>
      <w:r w:rsidRPr="00F05153">
        <w:t xml:space="preserve"> to die than those on monotherapy (</w:t>
      </w:r>
      <w:r w:rsidR="003951FA" w:rsidRPr="00F05153">
        <w:t>Table 4.</w:t>
      </w:r>
      <w:r w:rsidR="003951FA">
        <w:t>88</w:t>
      </w:r>
      <w:r w:rsidRPr="00F05153">
        <w:t xml:space="preserve">), </w:t>
      </w:r>
      <w:r w:rsidR="002046A0">
        <w:rPr>
          <w:noProof/>
          <w:color w:val="000000"/>
          <w:highlight w:val="black"/>
        </w:rPr>
        <w:t>''''''' ''''''' ''''''''''''''''''' '''''''' '''''' '''''''''''''''''''' '''''''''''''''''''' ''</w:t>
      </w:r>
      <w:r w:rsidR="00B21201" w:rsidRPr="00F05153">
        <w:t>ARD</w:t>
      </w:r>
      <w:r w:rsidR="00DB6ACB" w:rsidRPr="00F05153">
        <w:t> </w:t>
      </w:r>
      <w:r w:rsidRPr="00F05153">
        <w:t>=</w:t>
      </w:r>
      <w:r w:rsidR="00DB6ACB" w:rsidRPr="00F05153">
        <w:t> </w:t>
      </w:r>
      <w:r w:rsidR="002046A0">
        <w:rPr>
          <w:noProof/>
          <w:color w:val="000000"/>
          <w:highlight w:val="black"/>
        </w:rPr>
        <w:t>'''''''''''''' ''''''''' '''' '''''''''' ''''''</w:t>
      </w:r>
      <w:r w:rsidRPr="00F05153">
        <w:t xml:space="preserve">; </w:t>
      </w:r>
      <w:r w:rsidR="002046A0">
        <w:rPr>
          <w:noProof/>
          <w:color w:val="000000"/>
          <w:highlight w:val="black"/>
        </w:rPr>
        <w:t>'''''''''''''''''''''</w:t>
      </w:r>
      <w:r w:rsidRPr="00F05153">
        <w:t xml:space="preserve"> Thus, </w:t>
      </w:r>
      <w:r w:rsidR="002046A0">
        <w:rPr>
          <w:noProof/>
          <w:color w:val="000000"/>
          <w:highlight w:val="black"/>
        </w:rPr>
        <w:t>'''''</w:t>
      </w:r>
      <w:r w:rsidR="00443120" w:rsidRPr="00F05153">
        <w:t xml:space="preserve"> </w:t>
      </w:r>
      <w:r w:rsidRPr="00F05153">
        <w:t xml:space="preserve">patients need to be treated with </w:t>
      </w:r>
      <w:r w:rsidR="002046A0">
        <w:rPr>
          <w:noProof/>
          <w:color w:val="000000"/>
          <w:highlight w:val="black"/>
        </w:rPr>
        <w:t>''''''' '''''''''''''''''''' ''''''''' '''''''' '''''''''''''''''''''' '''''''''''''</w:t>
      </w:r>
      <w:r w:rsidRPr="00F05153">
        <w:t xml:space="preserve"> to prevent one additional death compared with </w:t>
      </w:r>
      <w:r w:rsidR="002046A0">
        <w:rPr>
          <w:noProof/>
          <w:color w:val="000000"/>
          <w:highlight w:val="black"/>
        </w:rPr>
        <w:t>''''''' '''''''''''''''''''''''</w:t>
      </w:r>
      <w:r w:rsidRPr="00F05153">
        <w:t>.</w:t>
      </w:r>
    </w:p>
    <w:p w:rsidR="0075777C" w:rsidRPr="00F05153" w:rsidRDefault="00272F8F" w:rsidP="00BC5A2B">
      <w:pPr>
        <w:pStyle w:val="Caption"/>
      </w:pPr>
      <w:bookmarkStart w:id="269" w:name="_Ref504657086"/>
      <w:bookmarkStart w:id="270" w:name="_Toc38360385"/>
      <w:r w:rsidRPr="00F05153">
        <w:t>Table 4.</w:t>
      </w:r>
      <w:r w:rsidR="003951FA">
        <w:rPr>
          <w:noProof/>
        </w:rPr>
        <w:t>88</w:t>
      </w:r>
      <w:bookmarkEnd w:id="269"/>
      <w:r w:rsidR="001A69BE" w:rsidRPr="00F05153">
        <w:tab/>
      </w:r>
      <w:r w:rsidR="0075777C" w:rsidRPr="00F05153">
        <w:t xml:space="preserve">Mortality rates for </w:t>
      </w:r>
      <w:r w:rsidR="00242BA3" w:rsidRPr="00F05153">
        <w:t xml:space="preserve">a sGC stimulator </w:t>
      </w:r>
      <w:r w:rsidR="007E59EC" w:rsidRPr="00F05153">
        <w:t xml:space="preserve">in addition to an ERA compared with ERA monotherapy </w:t>
      </w:r>
      <w:r w:rsidR="0075777C" w:rsidRPr="00F05153">
        <w:t>in all PAH patients</w:t>
      </w:r>
      <w:bookmarkEnd w:id="270"/>
    </w:p>
    <w:tbl>
      <w:tblPr>
        <w:tblStyle w:val="TableGrid7"/>
        <w:tblW w:w="9634" w:type="dxa"/>
        <w:tblLayout w:type="fixed"/>
        <w:tblLook w:val="04A0" w:firstRow="1" w:lastRow="0" w:firstColumn="1" w:lastColumn="0" w:noHBand="0" w:noVBand="1"/>
        <w:tblCaption w:val="Mortality rates for a sGC stimulator in addition to an ERA compared with ERA monotherapy in all PAH patients"/>
      </w:tblPr>
      <w:tblGrid>
        <w:gridCol w:w="1696"/>
        <w:gridCol w:w="1701"/>
        <w:gridCol w:w="2127"/>
        <w:gridCol w:w="1984"/>
        <w:gridCol w:w="2126"/>
      </w:tblGrid>
      <w:tr w:rsidR="0075777C" w:rsidRPr="00F05153" w:rsidTr="001A69BE">
        <w:trPr>
          <w:trHeight w:val="185"/>
          <w:tblHeader/>
        </w:trPr>
        <w:tc>
          <w:tcPr>
            <w:tcW w:w="1696" w:type="dxa"/>
            <w:vMerge w:val="restart"/>
            <w:shd w:val="clear" w:color="auto" w:fill="BFBFBF" w:themeFill="background1" w:themeFillShade="BF"/>
          </w:tcPr>
          <w:p w:rsidR="0075777C" w:rsidRPr="00F05153" w:rsidRDefault="0075777C" w:rsidP="001A69BE">
            <w:pPr>
              <w:pStyle w:val="Tabletext"/>
              <w:rPr>
                <w:b/>
              </w:rPr>
            </w:pPr>
            <w:r w:rsidRPr="00F05153">
              <w:rPr>
                <w:b/>
              </w:rPr>
              <w:t>Study ID</w:t>
            </w:r>
          </w:p>
          <w:p w:rsidR="00242BA3" w:rsidRPr="00F05153" w:rsidRDefault="00242BA3" w:rsidP="001A69BE">
            <w:pPr>
              <w:pStyle w:val="Tabletext"/>
              <w:rPr>
                <w:b/>
              </w:rPr>
            </w:pPr>
            <w:r w:rsidRPr="00F05153">
              <w:rPr>
                <w:b/>
              </w:rPr>
              <w:t>sGC stimulator</w:t>
            </w:r>
          </w:p>
        </w:tc>
        <w:tc>
          <w:tcPr>
            <w:tcW w:w="1701" w:type="dxa"/>
            <w:vMerge w:val="restart"/>
            <w:shd w:val="clear" w:color="auto" w:fill="BFBFBF" w:themeFill="background1" w:themeFillShade="BF"/>
          </w:tcPr>
          <w:p w:rsidR="0075777C" w:rsidRPr="00F05153" w:rsidRDefault="0075777C" w:rsidP="001A69BE">
            <w:pPr>
              <w:pStyle w:val="Tabletext"/>
              <w:rPr>
                <w:b/>
              </w:rPr>
            </w:pPr>
            <w:r w:rsidRPr="00F05153">
              <w:rPr>
                <w:b/>
              </w:rPr>
              <w:t>Study period</w:t>
            </w:r>
          </w:p>
        </w:tc>
        <w:tc>
          <w:tcPr>
            <w:tcW w:w="4111" w:type="dxa"/>
            <w:gridSpan w:val="2"/>
            <w:shd w:val="clear" w:color="auto" w:fill="BFBFBF" w:themeFill="background1" w:themeFillShade="BF"/>
          </w:tcPr>
          <w:p w:rsidR="0075777C" w:rsidRPr="00F05153" w:rsidRDefault="0075777C" w:rsidP="00DB5599">
            <w:pPr>
              <w:pStyle w:val="Tabletext"/>
              <w:jc w:val="center"/>
              <w:rPr>
                <w:b/>
              </w:rPr>
            </w:pPr>
            <w:proofErr w:type="gramStart"/>
            <w:r w:rsidRPr="00F05153">
              <w:rPr>
                <w:b/>
              </w:rPr>
              <w:t>n/N</w:t>
            </w:r>
            <w:proofErr w:type="gramEnd"/>
            <w:r w:rsidRPr="00F05153">
              <w:rPr>
                <w:b/>
              </w:rPr>
              <w:t xml:space="preserve"> (%)</w:t>
            </w:r>
          </w:p>
        </w:tc>
        <w:tc>
          <w:tcPr>
            <w:tcW w:w="2126" w:type="dxa"/>
            <w:vMerge w:val="restart"/>
            <w:shd w:val="clear" w:color="auto" w:fill="BFBFBF" w:themeFill="background1" w:themeFillShade="BF"/>
          </w:tcPr>
          <w:p w:rsidR="0075777C" w:rsidRPr="00F05153" w:rsidRDefault="0075777C" w:rsidP="001A69BE">
            <w:pPr>
              <w:pStyle w:val="Tabletext"/>
              <w:rPr>
                <w:b/>
              </w:rPr>
            </w:pPr>
            <w:r w:rsidRPr="00F05153">
              <w:rPr>
                <w:b/>
              </w:rPr>
              <w:t>RR (95% CI)</w:t>
            </w:r>
          </w:p>
        </w:tc>
      </w:tr>
      <w:tr w:rsidR="0075777C" w:rsidRPr="00F05153" w:rsidTr="001A69BE">
        <w:trPr>
          <w:trHeight w:val="202"/>
          <w:tblHeader/>
        </w:trPr>
        <w:tc>
          <w:tcPr>
            <w:tcW w:w="1696" w:type="dxa"/>
            <w:vMerge/>
            <w:shd w:val="clear" w:color="auto" w:fill="BFBFBF" w:themeFill="background1" w:themeFillShade="BF"/>
          </w:tcPr>
          <w:p w:rsidR="0075777C" w:rsidRPr="00F05153" w:rsidRDefault="0075777C" w:rsidP="001A69BE">
            <w:pPr>
              <w:pStyle w:val="Tabletext"/>
            </w:pPr>
          </w:p>
        </w:tc>
        <w:tc>
          <w:tcPr>
            <w:tcW w:w="1701" w:type="dxa"/>
            <w:vMerge/>
            <w:shd w:val="clear" w:color="auto" w:fill="BFBFBF" w:themeFill="background1" w:themeFillShade="BF"/>
          </w:tcPr>
          <w:p w:rsidR="0075777C" w:rsidRPr="00F05153" w:rsidRDefault="0075777C" w:rsidP="001A69BE">
            <w:pPr>
              <w:pStyle w:val="Tabletext"/>
            </w:pPr>
          </w:p>
        </w:tc>
        <w:tc>
          <w:tcPr>
            <w:tcW w:w="2127" w:type="dxa"/>
            <w:shd w:val="clear" w:color="auto" w:fill="BFBFBF" w:themeFill="background1" w:themeFillShade="BF"/>
          </w:tcPr>
          <w:p w:rsidR="0075777C" w:rsidRPr="00F05153" w:rsidRDefault="00242BA3" w:rsidP="00DB5599">
            <w:pPr>
              <w:pStyle w:val="Tabletext"/>
              <w:jc w:val="center"/>
              <w:rPr>
                <w:b/>
              </w:rPr>
            </w:pPr>
            <w:r w:rsidRPr="00F05153">
              <w:rPr>
                <w:b/>
              </w:rPr>
              <w:t xml:space="preserve">sGC stimulator </w:t>
            </w:r>
            <w:r w:rsidR="0075777C" w:rsidRPr="00F05153">
              <w:rPr>
                <w:b/>
              </w:rPr>
              <w:t>+ ERA</w:t>
            </w:r>
          </w:p>
        </w:tc>
        <w:tc>
          <w:tcPr>
            <w:tcW w:w="1984" w:type="dxa"/>
            <w:shd w:val="clear" w:color="auto" w:fill="BFBFBF" w:themeFill="background1" w:themeFillShade="BF"/>
          </w:tcPr>
          <w:p w:rsidR="0075777C" w:rsidRPr="00F05153" w:rsidRDefault="0075777C" w:rsidP="00DB5599">
            <w:pPr>
              <w:pStyle w:val="Tabletext"/>
              <w:jc w:val="center"/>
              <w:rPr>
                <w:b/>
              </w:rPr>
            </w:pPr>
            <w:r w:rsidRPr="00F05153">
              <w:rPr>
                <w:b/>
              </w:rPr>
              <w:t>ERA</w:t>
            </w:r>
          </w:p>
        </w:tc>
        <w:tc>
          <w:tcPr>
            <w:tcW w:w="2126" w:type="dxa"/>
            <w:vMerge/>
            <w:shd w:val="clear" w:color="auto" w:fill="BFBFBF" w:themeFill="background1" w:themeFillShade="BF"/>
          </w:tcPr>
          <w:p w:rsidR="0075777C" w:rsidRPr="00F05153" w:rsidRDefault="0075777C" w:rsidP="001A69BE">
            <w:pPr>
              <w:pStyle w:val="Tabletext"/>
            </w:pPr>
          </w:p>
        </w:tc>
      </w:tr>
      <w:tr w:rsidR="0075777C" w:rsidRPr="00F05153" w:rsidTr="00DB5599">
        <w:trPr>
          <w:trHeight w:val="70"/>
        </w:trPr>
        <w:tc>
          <w:tcPr>
            <w:tcW w:w="1696" w:type="dxa"/>
            <w:shd w:val="clear" w:color="auto" w:fill="auto"/>
          </w:tcPr>
          <w:p w:rsidR="00242BA3" w:rsidRPr="00F05153" w:rsidRDefault="0075777C" w:rsidP="001A69BE">
            <w:pPr>
              <w:pStyle w:val="Tabletext"/>
              <w:rPr>
                <w:rFonts w:cs="Tahoma"/>
              </w:rPr>
            </w:pPr>
            <w:r w:rsidRPr="00F05153">
              <w:rPr>
                <w:rFonts w:cs="Tahoma"/>
              </w:rPr>
              <w:t>PATENT-1 CSR</w:t>
            </w:r>
          </w:p>
          <w:p w:rsidR="0075777C" w:rsidRPr="00F05153" w:rsidRDefault="00242BA3" w:rsidP="001A69BE">
            <w:pPr>
              <w:pStyle w:val="Tabletext"/>
              <w:rPr>
                <w:rFonts w:cs="Tahoma"/>
              </w:rPr>
            </w:pPr>
            <w:r w:rsidRPr="00F05153">
              <w:t>Riociguat</w:t>
            </w:r>
          </w:p>
        </w:tc>
        <w:tc>
          <w:tcPr>
            <w:tcW w:w="1701" w:type="dxa"/>
            <w:shd w:val="clear" w:color="auto" w:fill="auto"/>
          </w:tcPr>
          <w:p w:rsidR="0075777C" w:rsidRPr="00F05153" w:rsidRDefault="0075777C" w:rsidP="001A69BE">
            <w:pPr>
              <w:pStyle w:val="Tabletext"/>
              <w:rPr>
                <w:rFonts w:cs="Tahoma"/>
              </w:rPr>
            </w:pPr>
            <w:r w:rsidRPr="00F05153">
              <w:rPr>
                <w:rFonts w:cs="Tahoma"/>
              </w:rPr>
              <w:t>12 weeks</w:t>
            </w:r>
          </w:p>
        </w:tc>
        <w:tc>
          <w:tcPr>
            <w:tcW w:w="2127" w:type="dxa"/>
            <w:shd w:val="clear" w:color="auto" w:fill="auto"/>
          </w:tcPr>
          <w:p w:rsidR="0075777C" w:rsidRPr="002046A0" w:rsidRDefault="002046A0" w:rsidP="0060259F">
            <w:pPr>
              <w:pStyle w:val="Tabletext"/>
              <w:jc w:val="center"/>
              <w:rPr>
                <w:rFonts w:cs="Tahoma"/>
                <w:highlight w:val="black"/>
              </w:rPr>
            </w:pPr>
            <w:r>
              <w:rPr>
                <w:rFonts w:eastAsia="Times New Roman" w:cs="Tahoma"/>
                <w:noProof/>
                <w:color w:val="000000"/>
                <w:highlight w:val="black"/>
              </w:rPr>
              <w:t>''''''''''''' ''''''''''</w:t>
            </w:r>
          </w:p>
        </w:tc>
        <w:tc>
          <w:tcPr>
            <w:tcW w:w="1984" w:type="dxa"/>
            <w:shd w:val="clear" w:color="auto" w:fill="auto"/>
          </w:tcPr>
          <w:p w:rsidR="0075777C" w:rsidRPr="002046A0" w:rsidRDefault="002046A0" w:rsidP="0060259F">
            <w:pPr>
              <w:pStyle w:val="Tabletext"/>
              <w:jc w:val="center"/>
              <w:rPr>
                <w:rFonts w:cs="Tahoma"/>
                <w:highlight w:val="black"/>
              </w:rPr>
            </w:pPr>
            <w:r>
              <w:rPr>
                <w:rFonts w:eastAsia="Times New Roman" w:cs="Tahoma"/>
                <w:noProof/>
                <w:color w:val="000000"/>
                <w:highlight w:val="black"/>
              </w:rPr>
              <w:t>''''''''''' ''''''''''</w:t>
            </w:r>
          </w:p>
        </w:tc>
        <w:tc>
          <w:tcPr>
            <w:tcW w:w="2126" w:type="dxa"/>
          </w:tcPr>
          <w:p w:rsidR="0075777C" w:rsidRPr="002046A0" w:rsidRDefault="002046A0" w:rsidP="00250528">
            <w:pPr>
              <w:pStyle w:val="Tabletext"/>
              <w:rPr>
                <w:rFonts w:cs="Tahoma"/>
                <w:highlight w:val="black"/>
              </w:rPr>
            </w:pPr>
            <w:r>
              <w:rPr>
                <w:rFonts w:cs="Tahoma"/>
                <w:noProof/>
                <w:color w:val="000000"/>
                <w:highlight w:val="black"/>
              </w:rPr>
              <w:t>''''''''' ''''''''''''''''''''''</w:t>
            </w:r>
          </w:p>
        </w:tc>
      </w:tr>
    </w:tbl>
    <w:p w:rsidR="0075777C" w:rsidRPr="00F05153" w:rsidRDefault="0075777C" w:rsidP="00DB5599">
      <w:pPr>
        <w:pStyle w:val="Tablenote"/>
      </w:pPr>
      <w:r w:rsidRPr="00F05153">
        <w:t xml:space="preserve">CI = confidence interval; CSR = clinical study report; ERA = endothelin receptor antagonist; n = number of </w:t>
      </w:r>
      <w:r w:rsidR="00DC16A3" w:rsidRPr="00F05153">
        <w:t xml:space="preserve">patients with </w:t>
      </w:r>
      <w:r w:rsidRPr="00F05153">
        <w:t>events; N = number of patients; PAH = pulmonary arterial hypertension; RR = relative risk</w:t>
      </w:r>
      <w:r w:rsidR="009B47AA" w:rsidRPr="00F05153">
        <w:t>; sGC = soluble guanylate cyclase stimulator</w:t>
      </w:r>
    </w:p>
    <w:p w:rsidR="0075777C" w:rsidRPr="00F05153" w:rsidRDefault="002E4833" w:rsidP="0077344D">
      <w:pPr>
        <w:pStyle w:val="Heading6"/>
      </w:pPr>
      <w:proofErr w:type="gramStart"/>
      <w:r w:rsidRPr="00F05153">
        <w:t>b</w:t>
      </w:r>
      <w:r w:rsidR="0075777C" w:rsidRPr="00F05153">
        <w:t>.ii</w:t>
      </w:r>
      <w:proofErr w:type="gramEnd"/>
      <w:r w:rsidR="0075777C" w:rsidRPr="00F05153">
        <w:tab/>
        <w:t>PAH patients with FC III or IV</w:t>
      </w:r>
    </w:p>
    <w:p w:rsidR="0075777C" w:rsidRPr="00F05153" w:rsidRDefault="0075777C" w:rsidP="0075777C">
      <w:r w:rsidRPr="00F05153">
        <w:t xml:space="preserve">Patients with WHO FC III/IV PAH who received combination therapy were </w:t>
      </w:r>
      <w:r w:rsidR="002046A0">
        <w:rPr>
          <w:noProof/>
          <w:color w:val="000000"/>
          <w:highlight w:val="black"/>
        </w:rPr>
        <w:t>'''''''''''''''''''''''' '''''' ''''''''''</w:t>
      </w:r>
      <w:r w:rsidRPr="00F05153">
        <w:t xml:space="preserve"> to </w:t>
      </w:r>
      <w:r w:rsidR="00DF00E0" w:rsidRPr="00F05153">
        <w:t>die</w:t>
      </w:r>
      <w:r w:rsidRPr="00F05153">
        <w:t xml:space="preserve"> than those on monotherapy (</w:t>
      </w:r>
      <w:r w:rsidR="003951FA" w:rsidRPr="00F05153">
        <w:t>Table 4.</w:t>
      </w:r>
      <w:r w:rsidR="003951FA">
        <w:t>89</w:t>
      </w:r>
      <w:r w:rsidR="00DF00E0" w:rsidRPr="00F05153">
        <w:t xml:space="preserve">; </w:t>
      </w:r>
      <w:r w:rsidR="00B21201" w:rsidRPr="00F05153">
        <w:t>ARD</w:t>
      </w:r>
      <w:r w:rsidR="00DB6ACB" w:rsidRPr="00F05153">
        <w:t> </w:t>
      </w:r>
      <w:r w:rsidRPr="00F05153">
        <w:t>=</w:t>
      </w:r>
      <w:r w:rsidR="00DB6ACB" w:rsidRPr="00F05153">
        <w:t> </w:t>
      </w:r>
      <w:r w:rsidR="002046A0">
        <w:rPr>
          <w:noProof/>
          <w:color w:val="000000"/>
          <w:highlight w:val="black"/>
        </w:rPr>
        <w:t>'''''''''''''' ''''''' '''' ''''''''''' ''''''' '''''''''''''''''''</w:t>
      </w:r>
      <w:r w:rsidRPr="00F05153">
        <w:t xml:space="preserve"> Among patients with WHO FC III/IV PAH, </w:t>
      </w:r>
      <w:r w:rsidR="002046A0">
        <w:rPr>
          <w:noProof/>
          <w:color w:val="000000"/>
          <w:highlight w:val="black"/>
        </w:rPr>
        <w:t xml:space="preserve">''''' </w:t>
      </w:r>
      <w:r w:rsidRPr="00F05153">
        <w:t xml:space="preserve">need to be treated with </w:t>
      </w:r>
      <w:r w:rsidR="002046A0">
        <w:rPr>
          <w:noProof/>
          <w:color w:val="000000"/>
          <w:highlight w:val="black"/>
        </w:rPr>
        <w:t>'''''''' '''''''''''''''''' ''''''''' '''''''' ''''''''''''''''''''''</w:t>
      </w:r>
      <w:r w:rsidRPr="00F05153">
        <w:t xml:space="preserve"> </w:t>
      </w:r>
      <w:r w:rsidR="002046A0">
        <w:rPr>
          <w:noProof/>
          <w:color w:val="000000"/>
          <w:highlight w:val="black"/>
        </w:rPr>
        <w:t>''''''''''''''</w:t>
      </w:r>
      <w:r w:rsidRPr="00F05153">
        <w:t xml:space="preserve"> to prevent one additional death compared with </w:t>
      </w:r>
      <w:r w:rsidR="002046A0">
        <w:rPr>
          <w:noProof/>
          <w:color w:val="000000"/>
          <w:highlight w:val="black"/>
        </w:rPr>
        <w:t>''''''' ''''''''''''''''''''''''</w:t>
      </w:r>
      <w:r w:rsidRPr="00F05153">
        <w:t>.</w:t>
      </w:r>
    </w:p>
    <w:p w:rsidR="0075777C" w:rsidRPr="00F05153" w:rsidRDefault="00272F8F" w:rsidP="00BC5A2B">
      <w:pPr>
        <w:pStyle w:val="Caption"/>
      </w:pPr>
      <w:bookmarkStart w:id="271" w:name="_Ref504657100"/>
      <w:bookmarkStart w:id="272" w:name="_Toc38360386"/>
      <w:r w:rsidRPr="00F05153">
        <w:t>Table 4.</w:t>
      </w:r>
      <w:r w:rsidR="003951FA">
        <w:rPr>
          <w:noProof/>
        </w:rPr>
        <w:t>89</w:t>
      </w:r>
      <w:bookmarkEnd w:id="271"/>
      <w:r w:rsidR="00DB5599" w:rsidRPr="00F05153">
        <w:tab/>
      </w:r>
      <w:r w:rsidR="0075777C" w:rsidRPr="00F05153">
        <w:t xml:space="preserve">Mortality rates for </w:t>
      </w:r>
      <w:r w:rsidR="00242BA3" w:rsidRPr="00F05153">
        <w:t xml:space="preserve">a sGC stimulator </w:t>
      </w:r>
      <w:r w:rsidR="007E59EC" w:rsidRPr="00F05153">
        <w:t xml:space="preserve">in addition to an ERA compared with ERA monotherapy </w:t>
      </w:r>
      <w:r w:rsidR="0075777C" w:rsidRPr="00F05153">
        <w:t>in patients with WHO FC III/IV PAH</w:t>
      </w:r>
      <w:bookmarkEnd w:id="272"/>
    </w:p>
    <w:tbl>
      <w:tblPr>
        <w:tblStyle w:val="TableGrid7"/>
        <w:tblW w:w="9634" w:type="dxa"/>
        <w:tblLayout w:type="fixed"/>
        <w:tblLook w:val="04A0" w:firstRow="1" w:lastRow="0" w:firstColumn="1" w:lastColumn="0" w:noHBand="0" w:noVBand="1"/>
        <w:tblCaption w:val="Mortality rates for a sGC stimulator in addition to an ERA compared with ERA monotherapy in patients with WHO FC III/IV PAH"/>
      </w:tblPr>
      <w:tblGrid>
        <w:gridCol w:w="1696"/>
        <w:gridCol w:w="1701"/>
        <w:gridCol w:w="2127"/>
        <w:gridCol w:w="1984"/>
        <w:gridCol w:w="2126"/>
      </w:tblGrid>
      <w:tr w:rsidR="0075777C" w:rsidRPr="00F05153" w:rsidTr="00DB5599">
        <w:trPr>
          <w:trHeight w:val="228"/>
          <w:tblHeader/>
        </w:trPr>
        <w:tc>
          <w:tcPr>
            <w:tcW w:w="1696" w:type="dxa"/>
            <w:vMerge w:val="restart"/>
            <w:shd w:val="clear" w:color="auto" w:fill="BFBFBF" w:themeFill="background1" w:themeFillShade="BF"/>
          </w:tcPr>
          <w:p w:rsidR="0075777C" w:rsidRPr="00F05153" w:rsidRDefault="0075777C" w:rsidP="00DB5599">
            <w:pPr>
              <w:pStyle w:val="Tabletext"/>
              <w:rPr>
                <w:b/>
              </w:rPr>
            </w:pPr>
            <w:r w:rsidRPr="00F05153">
              <w:rPr>
                <w:b/>
              </w:rPr>
              <w:t>Study ID</w:t>
            </w:r>
          </w:p>
          <w:p w:rsidR="00242BA3" w:rsidRPr="00F05153" w:rsidRDefault="00242BA3" w:rsidP="00DB5599">
            <w:pPr>
              <w:pStyle w:val="Tabletext"/>
              <w:rPr>
                <w:b/>
              </w:rPr>
            </w:pPr>
            <w:r w:rsidRPr="00F05153">
              <w:rPr>
                <w:b/>
              </w:rPr>
              <w:t>sGC stimulator</w:t>
            </w:r>
          </w:p>
        </w:tc>
        <w:tc>
          <w:tcPr>
            <w:tcW w:w="1701" w:type="dxa"/>
            <w:vMerge w:val="restart"/>
            <w:shd w:val="clear" w:color="auto" w:fill="BFBFBF" w:themeFill="background1" w:themeFillShade="BF"/>
          </w:tcPr>
          <w:p w:rsidR="0075777C" w:rsidRPr="00F05153" w:rsidRDefault="0075777C" w:rsidP="00DB5599">
            <w:pPr>
              <w:pStyle w:val="Tabletext"/>
              <w:rPr>
                <w:b/>
              </w:rPr>
            </w:pPr>
            <w:r w:rsidRPr="00F05153">
              <w:rPr>
                <w:b/>
              </w:rPr>
              <w:t>Study period</w:t>
            </w:r>
          </w:p>
        </w:tc>
        <w:tc>
          <w:tcPr>
            <w:tcW w:w="4111" w:type="dxa"/>
            <w:gridSpan w:val="2"/>
            <w:shd w:val="clear" w:color="auto" w:fill="BFBFBF" w:themeFill="background1" w:themeFillShade="BF"/>
          </w:tcPr>
          <w:p w:rsidR="0075777C" w:rsidRPr="00F05153" w:rsidRDefault="0075777C" w:rsidP="00DB5599">
            <w:pPr>
              <w:pStyle w:val="Tabletext"/>
              <w:jc w:val="center"/>
              <w:rPr>
                <w:b/>
              </w:rPr>
            </w:pPr>
            <w:proofErr w:type="gramStart"/>
            <w:r w:rsidRPr="00F05153">
              <w:rPr>
                <w:b/>
              </w:rPr>
              <w:t>n/N</w:t>
            </w:r>
            <w:proofErr w:type="gramEnd"/>
            <w:r w:rsidRPr="00F05153">
              <w:rPr>
                <w:b/>
              </w:rPr>
              <w:t xml:space="preserve"> (%)</w:t>
            </w:r>
          </w:p>
        </w:tc>
        <w:tc>
          <w:tcPr>
            <w:tcW w:w="2126" w:type="dxa"/>
            <w:vMerge w:val="restart"/>
            <w:shd w:val="clear" w:color="auto" w:fill="BFBFBF" w:themeFill="background1" w:themeFillShade="BF"/>
          </w:tcPr>
          <w:p w:rsidR="0075777C" w:rsidRPr="00F05153" w:rsidRDefault="0075777C" w:rsidP="00DB5599">
            <w:pPr>
              <w:pStyle w:val="Tabletext"/>
              <w:rPr>
                <w:b/>
              </w:rPr>
            </w:pPr>
            <w:r w:rsidRPr="00F05153">
              <w:rPr>
                <w:b/>
              </w:rPr>
              <w:t>RR (95% CI)</w:t>
            </w:r>
          </w:p>
        </w:tc>
      </w:tr>
      <w:tr w:rsidR="0075777C" w:rsidRPr="00F05153" w:rsidTr="00DB5599">
        <w:trPr>
          <w:trHeight w:val="202"/>
          <w:tblHeader/>
        </w:trPr>
        <w:tc>
          <w:tcPr>
            <w:tcW w:w="1696" w:type="dxa"/>
            <w:vMerge/>
            <w:shd w:val="clear" w:color="auto" w:fill="BFBFBF" w:themeFill="background1" w:themeFillShade="BF"/>
          </w:tcPr>
          <w:p w:rsidR="0075777C" w:rsidRPr="00F05153" w:rsidRDefault="0075777C" w:rsidP="00DB5599">
            <w:pPr>
              <w:pStyle w:val="Tabletext"/>
            </w:pPr>
          </w:p>
        </w:tc>
        <w:tc>
          <w:tcPr>
            <w:tcW w:w="1701" w:type="dxa"/>
            <w:vMerge/>
            <w:shd w:val="clear" w:color="auto" w:fill="BFBFBF" w:themeFill="background1" w:themeFillShade="BF"/>
          </w:tcPr>
          <w:p w:rsidR="0075777C" w:rsidRPr="00F05153" w:rsidRDefault="0075777C" w:rsidP="00DB5599">
            <w:pPr>
              <w:pStyle w:val="Tabletext"/>
            </w:pPr>
          </w:p>
        </w:tc>
        <w:tc>
          <w:tcPr>
            <w:tcW w:w="2127" w:type="dxa"/>
            <w:shd w:val="clear" w:color="auto" w:fill="BFBFBF" w:themeFill="background1" w:themeFillShade="BF"/>
          </w:tcPr>
          <w:p w:rsidR="0075777C" w:rsidRPr="00F05153" w:rsidRDefault="00242BA3" w:rsidP="00DB5599">
            <w:pPr>
              <w:pStyle w:val="Tabletext"/>
              <w:jc w:val="center"/>
              <w:rPr>
                <w:b/>
              </w:rPr>
            </w:pPr>
            <w:r w:rsidRPr="00F05153">
              <w:rPr>
                <w:b/>
              </w:rPr>
              <w:t xml:space="preserve">sGC stimulator </w:t>
            </w:r>
            <w:r w:rsidR="0075777C" w:rsidRPr="00F05153">
              <w:rPr>
                <w:b/>
              </w:rPr>
              <w:t>+ ERA</w:t>
            </w:r>
          </w:p>
        </w:tc>
        <w:tc>
          <w:tcPr>
            <w:tcW w:w="1984" w:type="dxa"/>
            <w:shd w:val="clear" w:color="auto" w:fill="BFBFBF" w:themeFill="background1" w:themeFillShade="BF"/>
          </w:tcPr>
          <w:p w:rsidR="0075777C" w:rsidRPr="00F05153" w:rsidRDefault="0075777C" w:rsidP="00DB5599">
            <w:pPr>
              <w:pStyle w:val="Tabletext"/>
              <w:jc w:val="center"/>
              <w:rPr>
                <w:b/>
              </w:rPr>
            </w:pPr>
            <w:r w:rsidRPr="00F05153">
              <w:rPr>
                <w:b/>
              </w:rPr>
              <w:t>ERA</w:t>
            </w:r>
          </w:p>
        </w:tc>
        <w:tc>
          <w:tcPr>
            <w:tcW w:w="2126" w:type="dxa"/>
            <w:vMerge/>
            <w:shd w:val="clear" w:color="auto" w:fill="BFBFBF" w:themeFill="background1" w:themeFillShade="BF"/>
          </w:tcPr>
          <w:p w:rsidR="0075777C" w:rsidRPr="00F05153" w:rsidRDefault="0075777C" w:rsidP="00DB5599">
            <w:pPr>
              <w:pStyle w:val="Tabletext"/>
            </w:pPr>
          </w:p>
        </w:tc>
      </w:tr>
      <w:tr w:rsidR="0075777C" w:rsidRPr="00F05153" w:rsidTr="00DB5599">
        <w:trPr>
          <w:trHeight w:val="70"/>
        </w:trPr>
        <w:tc>
          <w:tcPr>
            <w:tcW w:w="1696" w:type="dxa"/>
            <w:shd w:val="clear" w:color="auto" w:fill="auto"/>
          </w:tcPr>
          <w:p w:rsidR="0075777C" w:rsidRPr="00F05153" w:rsidRDefault="0075777C" w:rsidP="00DB5599">
            <w:pPr>
              <w:pStyle w:val="Tabletext"/>
              <w:rPr>
                <w:rFonts w:cs="Tahoma"/>
              </w:rPr>
            </w:pPr>
            <w:r w:rsidRPr="00F05153">
              <w:rPr>
                <w:rFonts w:cs="Tahoma"/>
              </w:rPr>
              <w:t>PATENT-1</w:t>
            </w:r>
            <w:r w:rsidRPr="00F05153">
              <w:rPr>
                <w:rFonts w:cs="Tahoma"/>
                <w:vertAlign w:val="superscript"/>
              </w:rPr>
              <w:t>a</w:t>
            </w:r>
            <w:r w:rsidRPr="00F05153">
              <w:rPr>
                <w:rFonts w:cs="Tahoma"/>
              </w:rPr>
              <w:t xml:space="preserve"> CSR</w:t>
            </w:r>
          </w:p>
          <w:p w:rsidR="00242BA3" w:rsidRPr="00F05153" w:rsidRDefault="00242BA3" w:rsidP="00DB5599">
            <w:pPr>
              <w:pStyle w:val="Tabletext"/>
              <w:rPr>
                <w:rFonts w:cs="Tahoma"/>
              </w:rPr>
            </w:pPr>
            <w:r w:rsidRPr="00F05153">
              <w:t>Riociguat</w:t>
            </w:r>
          </w:p>
        </w:tc>
        <w:tc>
          <w:tcPr>
            <w:tcW w:w="1701" w:type="dxa"/>
            <w:shd w:val="clear" w:color="auto" w:fill="auto"/>
          </w:tcPr>
          <w:p w:rsidR="0075777C" w:rsidRPr="00F05153" w:rsidRDefault="0075777C" w:rsidP="00DB5599">
            <w:pPr>
              <w:pStyle w:val="Tabletext"/>
              <w:rPr>
                <w:rFonts w:cs="Tahoma"/>
              </w:rPr>
            </w:pPr>
            <w:r w:rsidRPr="00F05153">
              <w:rPr>
                <w:rFonts w:cs="Tahoma"/>
              </w:rPr>
              <w:t>12 weeks</w:t>
            </w:r>
          </w:p>
        </w:tc>
        <w:tc>
          <w:tcPr>
            <w:tcW w:w="2127" w:type="dxa"/>
            <w:shd w:val="clear" w:color="auto" w:fill="auto"/>
          </w:tcPr>
          <w:p w:rsidR="0075777C" w:rsidRPr="002046A0" w:rsidRDefault="002046A0" w:rsidP="00DB5599">
            <w:pPr>
              <w:pStyle w:val="Tabletext"/>
              <w:jc w:val="center"/>
              <w:rPr>
                <w:rFonts w:cs="Tahoma"/>
                <w:highlight w:val="black"/>
              </w:rPr>
            </w:pPr>
            <w:r>
              <w:rPr>
                <w:rFonts w:eastAsia="Times New Roman" w:cs="Tahoma"/>
                <w:noProof/>
                <w:color w:val="000000"/>
                <w:highlight w:val="black"/>
              </w:rPr>
              <w:t>'''''''''''' ''''''''''</w:t>
            </w:r>
          </w:p>
        </w:tc>
        <w:tc>
          <w:tcPr>
            <w:tcW w:w="1984" w:type="dxa"/>
            <w:shd w:val="clear" w:color="auto" w:fill="auto"/>
          </w:tcPr>
          <w:p w:rsidR="0075777C" w:rsidRPr="002046A0" w:rsidRDefault="002046A0" w:rsidP="00DB5599">
            <w:pPr>
              <w:pStyle w:val="Tabletext"/>
              <w:jc w:val="center"/>
              <w:rPr>
                <w:rFonts w:cs="Tahoma"/>
                <w:highlight w:val="black"/>
              </w:rPr>
            </w:pPr>
            <w:r>
              <w:rPr>
                <w:rFonts w:eastAsia="Times New Roman" w:cs="Tahoma"/>
                <w:noProof/>
                <w:color w:val="000000"/>
                <w:highlight w:val="black"/>
              </w:rPr>
              <w:t>''''''''' ''''''''''</w:t>
            </w:r>
          </w:p>
        </w:tc>
        <w:tc>
          <w:tcPr>
            <w:tcW w:w="2126" w:type="dxa"/>
          </w:tcPr>
          <w:p w:rsidR="0075777C" w:rsidRPr="002046A0" w:rsidRDefault="002046A0" w:rsidP="00443120">
            <w:pPr>
              <w:pStyle w:val="Tabletext"/>
              <w:rPr>
                <w:rFonts w:cs="Tahoma"/>
                <w:highlight w:val="black"/>
              </w:rPr>
            </w:pPr>
            <w:r>
              <w:rPr>
                <w:rFonts w:cs="Tahoma"/>
                <w:noProof/>
                <w:color w:val="000000"/>
                <w:highlight w:val="black"/>
              </w:rPr>
              <w:t>'''''''' ''''''''''''''''''''''''''</w:t>
            </w:r>
          </w:p>
        </w:tc>
      </w:tr>
    </w:tbl>
    <w:p w:rsidR="0075777C" w:rsidRPr="00F05153" w:rsidRDefault="0075777C" w:rsidP="00DB5599">
      <w:pPr>
        <w:pStyle w:val="Tablenote"/>
      </w:pPr>
      <w:proofErr w:type="gramStart"/>
      <w:r w:rsidRPr="00F05153">
        <w:rPr>
          <w:vertAlign w:val="superscript"/>
        </w:rPr>
        <w:t>a</w:t>
      </w:r>
      <w:proofErr w:type="gramEnd"/>
      <w:r w:rsidRPr="00F05153">
        <w:t xml:space="preserve"> 14% of patients had background </w:t>
      </w:r>
      <w:r w:rsidR="0017012F" w:rsidRPr="00F05153">
        <w:t>prostanoid</w:t>
      </w:r>
      <w:r w:rsidRPr="00F05153">
        <w:t xml:space="preserve"> therapy</w:t>
      </w:r>
    </w:p>
    <w:p w:rsidR="0075777C" w:rsidRPr="00F05153" w:rsidRDefault="0075777C" w:rsidP="00DB5599">
      <w:pPr>
        <w:pStyle w:val="Tablenote"/>
      </w:pPr>
      <w:r w:rsidRPr="00F05153">
        <w:t xml:space="preserve">CI = confidence interval; CSR = clinical study report; ERA = endothelin receptor antagonist; FC = functional class; n = number of </w:t>
      </w:r>
      <w:r w:rsidR="00DC16A3" w:rsidRPr="00F05153">
        <w:t xml:space="preserve">patients with </w:t>
      </w:r>
      <w:r w:rsidRPr="00F05153">
        <w:t xml:space="preserve">events; N = number of patients; PAH = pulmonary arterial hypertension; RR = relative risk; </w:t>
      </w:r>
      <w:r w:rsidR="009B47AA" w:rsidRPr="00F05153">
        <w:t xml:space="preserve">sGC = soluble guanylate cyclase stimulator; </w:t>
      </w:r>
      <w:r w:rsidRPr="00F05153">
        <w:t>WHO = World Health Organization</w:t>
      </w:r>
    </w:p>
    <w:p w:rsidR="0075777C" w:rsidRPr="00F05153" w:rsidRDefault="002E4833" w:rsidP="0075777C">
      <w:pPr>
        <w:pStyle w:val="Heading5"/>
      </w:pPr>
      <w:r w:rsidRPr="00F05153">
        <w:t>c.</w:t>
      </w:r>
      <w:r w:rsidR="00761752" w:rsidRPr="00F05153">
        <w:tab/>
      </w:r>
      <w:r w:rsidR="00C828F9" w:rsidRPr="00F05153">
        <w:t>Hospitalisation due to worsening PAH</w:t>
      </w:r>
    </w:p>
    <w:p w:rsidR="0075777C" w:rsidRPr="00F05153" w:rsidRDefault="002E4833" w:rsidP="0077344D">
      <w:pPr>
        <w:pStyle w:val="Heading6"/>
      </w:pPr>
      <w:proofErr w:type="gramStart"/>
      <w:r w:rsidRPr="00F05153">
        <w:t>c</w:t>
      </w:r>
      <w:r w:rsidR="0075777C" w:rsidRPr="00F05153">
        <w:t>.i</w:t>
      </w:r>
      <w:proofErr w:type="gramEnd"/>
      <w:r w:rsidR="0075777C" w:rsidRPr="00F05153">
        <w:tab/>
        <w:t>PAH patients, irrespective of disease severity or aetiology</w:t>
      </w:r>
    </w:p>
    <w:p w:rsidR="0075777C" w:rsidRPr="00F05153" w:rsidRDefault="0075777C" w:rsidP="0075777C">
      <w:r w:rsidRPr="00F05153">
        <w:t xml:space="preserve">Patients who received combination therapy were </w:t>
      </w:r>
      <w:r w:rsidR="002046A0">
        <w:rPr>
          <w:noProof/>
          <w:color w:val="000000"/>
          <w:highlight w:val="black"/>
        </w:rPr>
        <w:t>'''''''''''''' ''''''' '''''''''</w:t>
      </w:r>
      <w:r w:rsidRPr="00F05153">
        <w:t xml:space="preserve"> to be hospitalised </w:t>
      </w:r>
      <w:r w:rsidR="002301D9" w:rsidRPr="00F05153">
        <w:t xml:space="preserve">due to PAH </w:t>
      </w:r>
      <w:r w:rsidRPr="00F05153">
        <w:t>than those on monotherapy (</w:t>
      </w:r>
      <w:r w:rsidR="003951FA" w:rsidRPr="00F05153">
        <w:t>Table 4.</w:t>
      </w:r>
      <w:r w:rsidR="003951FA">
        <w:t>90</w:t>
      </w:r>
      <w:r w:rsidRPr="00F05153">
        <w:t xml:space="preserve">), </w:t>
      </w:r>
      <w:r w:rsidR="002046A0">
        <w:rPr>
          <w:noProof/>
          <w:color w:val="000000"/>
          <w:highlight w:val="black"/>
        </w:rPr>
        <w:t>''''''' '''''' '''''''''''''''''''' '''''''' '''''' ''''''''''''''''''''' '''''''''''''''''''</w:t>
      </w:r>
      <w:r w:rsidRPr="00F05153">
        <w:t xml:space="preserve"> (</w:t>
      </w:r>
      <w:r w:rsidR="00B21201" w:rsidRPr="00F05153">
        <w:t>ARD</w:t>
      </w:r>
      <w:r w:rsidR="00DB6ACB" w:rsidRPr="00F05153">
        <w:t> </w:t>
      </w:r>
      <w:r w:rsidRPr="00F05153">
        <w:t>=</w:t>
      </w:r>
      <w:r w:rsidR="00DB6ACB" w:rsidRPr="00F05153">
        <w:t> </w:t>
      </w:r>
      <w:r w:rsidR="002046A0">
        <w:rPr>
          <w:noProof/>
          <w:color w:val="000000"/>
          <w:highlight w:val="black"/>
        </w:rPr>
        <w:t>''''''''''''' ''''''''' '''' ''''''''''' '''''''' '''''''''''''''''''</w:t>
      </w:r>
      <w:r w:rsidRPr="00F05153">
        <w:t xml:space="preserve"> Thus, </w:t>
      </w:r>
      <w:r w:rsidR="002046A0">
        <w:rPr>
          <w:noProof/>
          <w:color w:val="000000"/>
          <w:highlight w:val="black"/>
        </w:rPr>
        <w:t>'''''</w:t>
      </w:r>
      <w:r w:rsidRPr="00F05153">
        <w:t xml:space="preserve"> patients need to be treated with sGC stimulator plus ERA combination therapy to avoid hospitalisation of one additional patient compared with ERA monotherapy.</w:t>
      </w:r>
    </w:p>
    <w:p w:rsidR="0075777C" w:rsidRPr="00F05153" w:rsidRDefault="00272F8F" w:rsidP="00BC5A2B">
      <w:pPr>
        <w:pStyle w:val="Caption"/>
      </w:pPr>
      <w:bookmarkStart w:id="273" w:name="_Ref504657155"/>
      <w:bookmarkStart w:id="274" w:name="_Toc38360387"/>
      <w:r w:rsidRPr="00F05153">
        <w:t>Table 4.</w:t>
      </w:r>
      <w:r w:rsidR="003951FA">
        <w:rPr>
          <w:noProof/>
        </w:rPr>
        <w:t>90</w:t>
      </w:r>
      <w:bookmarkEnd w:id="273"/>
      <w:r w:rsidR="00DB5599" w:rsidRPr="00F05153">
        <w:tab/>
      </w:r>
      <w:r w:rsidR="0075777C" w:rsidRPr="00F05153">
        <w:t xml:space="preserve">Hospitalisation </w:t>
      </w:r>
      <w:r w:rsidR="002301D9" w:rsidRPr="00F05153">
        <w:t xml:space="preserve">due to PAH </w:t>
      </w:r>
      <w:r w:rsidR="0075777C" w:rsidRPr="00F05153">
        <w:t xml:space="preserve">for </w:t>
      </w:r>
      <w:r w:rsidR="00242BA3" w:rsidRPr="00F05153">
        <w:t xml:space="preserve">a sGC stimulator </w:t>
      </w:r>
      <w:r w:rsidR="007E59EC" w:rsidRPr="00F05153">
        <w:t>in addition to an ERA compared with ERA monotherapy</w:t>
      </w:r>
      <w:r w:rsidR="0075777C" w:rsidRPr="00F05153">
        <w:t xml:space="preserve"> in all PAH patients</w:t>
      </w:r>
      <w:bookmarkEnd w:id="274"/>
    </w:p>
    <w:tbl>
      <w:tblPr>
        <w:tblStyle w:val="TableGrid7"/>
        <w:tblW w:w="9634" w:type="dxa"/>
        <w:tblLayout w:type="fixed"/>
        <w:tblLook w:val="04A0" w:firstRow="1" w:lastRow="0" w:firstColumn="1" w:lastColumn="0" w:noHBand="0" w:noVBand="1"/>
        <w:tblCaption w:val="Hospitalisation due to PAH for a sGC stimulator in addition to an ERA compared with ERA monotherapy in all PAH patients"/>
      </w:tblPr>
      <w:tblGrid>
        <w:gridCol w:w="1696"/>
        <w:gridCol w:w="1701"/>
        <w:gridCol w:w="2127"/>
        <w:gridCol w:w="1984"/>
        <w:gridCol w:w="2126"/>
      </w:tblGrid>
      <w:tr w:rsidR="0075777C" w:rsidRPr="00F05153" w:rsidTr="00DB5599">
        <w:trPr>
          <w:trHeight w:val="171"/>
          <w:tblHeader/>
        </w:trPr>
        <w:tc>
          <w:tcPr>
            <w:tcW w:w="1696" w:type="dxa"/>
            <w:vMerge w:val="restart"/>
            <w:shd w:val="clear" w:color="auto" w:fill="BFBFBF" w:themeFill="background1" w:themeFillShade="BF"/>
          </w:tcPr>
          <w:p w:rsidR="0075777C" w:rsidRPr="00F05153" w:rsidRDefault="0075777C" w:rsidP="00DB5599">
            <w:pPr>
              <w:pStyle w:val="Tabletext"/>
              <w:rPr>
                <w:b/>
              </w:rPr>
            </w:pPr>
            <w:r w:rsidRPr="00F05153">
              <w:rPr>
                <w:b/>
              </w:rPr>
              <w:t>Study ID</w:t>
            </w:r>
          </w:p>
          <w:p w:rsidR="00DC16A3" w:rsidRPr="00F05153" w:rsidRDefault="00DC16A3" w:rsidP="00DB5599">
            <w:pPr>
              <w:pStyle w:val="Tabletext"/>
              <w:rPr>
                <w:b/>
              </w:rPr>
            </w:pPr>
            <w:r w:rsidRPr="00F05153">
              <w:rPr>
                <w:b/>
              </w:rPr>
              <w:t>sGC stimulator</w:t>
            </w:r>
          </w:p>
        </w:tc>
        <w:tc>
          <w:tcPr>
            <w:tcW w:w="1701" w:type="dxa"/>
            <w:vMerge w:val="restart"/>
            <w:shd w:val="clear" w:color="auto" w:fill="BFBFBF" w:themeFill="background1" w:themeFillShade="BF"/>
          </w:tcPr>
          <w:p w:rsidR="0075777C" w:rsidRPr="00F05153" w:rsidRDefault="0075777C" w:rsidP="00DB5599">
            <w:pPr>
              <w:pStyle w:val="Tabletext"/>
              <w:rPr>
                <w:b/>
              </w:rPr>
            </w:pPr>
            <w:r w:rsidRPr="00F05153">
              <w:rPr>
                <w:b/>
              </w:rPr>
              <w:t>Study period</w:t>
            </w:r>
          </w:p>
        </w:tc>
        <w:tc>
          <w:tcPr>
            <w:tcW w:w="4111" w:type="dxa"/>
            <w:gridSpan w:val="2"/>
            <w:shd w:val="clear" w:color="auto" w:fill="BFBFBF" w:themeFill="background1" w:themeFillShade="BF"/>
          </w:tcPr>
          <w:p w:rsidR="0075777C" w:rsidRPr="00F05153" w:rsidRDefault="0075777C" w:rsidP="00DB5599">
            <w:pPr>
              <w:pStyle w:val="Tabletext"/>
              <w:jc w:val="center"/>
              <w:rPr>
                <w:b/>
              </w:rPr>
            </w:pPr>
            <w:proofErr w:type="gramStart"/>
            <w:r w:rsidRPr="00F05153">
              <w:rPr>
                <w:b/>
              </w:rPr>
              <w:t>n/N</w:t>
            </w:r>
            <w:proofErr w:type="gramEnd"/>
            <w:r w:rsidRPr="00F05153">
              <w:rPr>
                <w:b/>
              </w:rPr>
              <w:t xml:space="preserve"> (%)</w:t>
            </w:r>
          </w:p>
        </w:tc>
        <w:tc>
          <w:tcPr>
            <w:tcW w:w="2126" w:type="dxa"/>
            <w:vMerge w:val="restart"/>
            <w:shd w:val="clear" w:color="auto" w:fill="BFBFBF" w:themeFill="background1" w:themeFillShade="BF"/>
          </w:tcPr>
          <w:p w:rsidR="0075777C" w:rsidRPr="00F05153" w:rsidRDefault="0075777C" w:rsidP="00DB5599">
            <w:pPr>
              <w:pStyle w:val="Tabletext"/>
              <w:rPr>
                <w:b/>
              </w:rPr>
            </w:pPr>
            <w:r w:rsidRPr="00F05153">
              <w:rPr>
                <w:b/>
              </w:rPr>
              <w:t>RR (95% CI)</w:t>
            </w:r>
          </w:p>
        </w:tc>
      </w:tr>
      <w:tr w:rsidR="0075777C" w:rsidRPr="00F05153" w:rsidTr="00DB5599">
        <w:trPr>
          <w:trHeight w:val="202"/>
          <w:tblHeader/>
        </w:trPr>
        <w:tc>
          <w:tcPr>
            <w:tcW w:w="1696" w:type="dxa"/>
            <w:vMerge/>
            <w:shd w:val="clear" w:color="auto" w:fill="BFBFBF" w:themeFill="background1" w:themeFillShade="BF"/>
          </w:tcPr>
          <w:p w:rsidR="0075777C" w:rsidRPr="00F05153" w:rsidRDefault="0075777C" w:rsidP="00DB5599">
            <w:pPr>
              <w:pStyle w:val="Tabletext"/>
            </w:pPr>
          </w:p>
        </w:tc>
        <w:tc>
          <w:tcPr>
            <w:tcW w:w="1701" w:type="dxa"/>
            <w:vMerge/>
            <w:shd w:val="clear" w:color="auto" w:fill="BFBFBF" w:themeFill="background1" w:themeFillShade="BF"/>
          </w:tcPr>
          <w:p w:rsidR="0075777C" w:rsidRPr="00F05153" w:rsidRDefault="0075777C" w:rsidP="00DB5599">
            <w:pPr>
              <w:pStyle w:val="Tabletext"/>
            </w:pPr>
          </w:p>
        </w:tc>
        <w:tc>
          <w:tcPr>
            <w:tcW w:w="2127" w:type="dxa"/>
            <w:shd w:val="clear" w:color="auto" w:fill="BFBFBF" w:themeFill="background1" w:themeFillShade="BF"/>
          </w:tcPr>
          <w:p w:rsidR="0075777C" w:rsidRPr="00F05153" w:rsidRDefault="008E565E" w:rsidP="00DB5599">
            <w:pPr>
              <w:pStyle w:val="Tabletext"/>
              <w:jc w:val="center"/>
              <w:rPr>
                <w:b/>
              </w:rPr>
            </w:pPr>
            <w:r w:rsidRPr="00F05153">
              <w:rPr>
                <w:b/>
              </w:rPr>
              <w:t xml:space="preserve">sGC stimulator </w:t>
            </w:r>
            <w:r w:rsidR="0075777C" w:rsidRPr="00F05153">
              <w:rPr>
                <w:b/>
              </w:rPr>
              <w:t>+ ERA</w:t>
            </w:r>
          </w:p>
        </w:tc>
        <w:tc>
          <w:tcPr>
            <w:tcW w:w="1984" w:type="dxa"/>
            <w:shd w:val="clear" w:color="auto" w:fill="BFBFBF" w:themeFill="background1" w:themeFillShade="BF"/>
          </w:tcPr>
          <w:p w:rsidR="0075777C" w:rsidRPr="00F05153" w:rsidRDefault="0075777C" w:rsidP="00DB5599">
            <w:pPr>
              <w:pStyle w:val="Tabletext"/>
              <w:jc w:val="center"/>
              <w:rPr>
                <w:b/>
              </w:rPr>
            </w:pPr>
            <w:r w:rsidRPr="00F05153">
              <w:rPr>
                <w:b/>
              </w:rPr>
              <w:t>ERA</w:t>
            </w:r>
          </w:p>
        </w:tc>
        <w:tc>
          <w:tcPr>
            <w:tcW w:w="2126" w:type="dxa"/>
            <w:vMerge/>
            <w:shd w:val="clear" w:color="auto" w:fill="BFBFBF" w:themeFill="background1" w:themeFillShade="BF"/>
          </w:tcPr>
          <w:p w:rsidR="0075777C" w:rsidRPr="00F05153" w:rsidRDefault="0075777C" w:rsidP="00DB5599">
            <w:pPr>
              <w:pStyle w:val="Tabletext"/>
            </w:pPr>
          </w:p>
        </w:tc>
      </w:tr>
      <w:tr w:rsidR="0075777C" w:rsidRPr="00F05153" w:rsidTr="00DB5599">
        <w:trPr>
          <w:trHeight w:val="70"/>
        </w:trPr>
        <w:tc>
          <w:tcPr>
            <w:tcW w:w="1696" w:type="dxa"/>
          </w:tcPr>
          <w:p w:rsidR="0075777C" w:rsidRPr="00F05153" w:rsidRDefault="0075777C" w:rsidP="00DB5599">
            <w:pPr>
              <w:pStyle w:val="Tabletext"/>
              <w:rPr>
                <w:rFonts w:cs="Tahoma"/>
              </w:rPr>
            </w:pPr>
            <w:r w:rsidRPr="00F05153">
              <w:rPr>
                <w:rFonts w:cs="Tahoma"/>
              </w:rPr>
              <w:t>PATENT-1 CSR</w:t>
            </w:r>
          </w:p>
          <w:p w:rsidR="00DC16A3" w:rsidRPr="00F05153" w:rsidRDefault="00DC16A3" w:rsidP="00DB5599">
            <w:pPr>
              <w:pStyle w:val="Tabletext"/>
              <w:rPr>
                <w:rFonts w:cs="Tahoma"/>
              </w:rPr>
            </w:pPr>
            <w:r w:rsidRPr="00F05153">
              <w:rPr>
                <w:rFonts w:cs="Tahoma"/>
              </w:rPr>
              <w:t>Riociguat</w:t>
            </w:r>
          </w:p>
        </w:tc>
        <w:tc>
          <w:tcPr>
            <w:tcW w:w="1701" w:type="dxa"/>
          </w:tcPr>
          <w:p w:rsidR="0075777C" w:rsidRPr="00F05153" w:rsidRDefault="0075777C" w:rsidP="00DB5599">
            <w:pPr>
              <w:pStyle w:val="Tabletext"/>
              <w:rPr>
                <w:rFonts w:cs="Tahoma"/>
              </w:rPr>
            </w:pPr>
            <w:r w:rsidRPr="00F05153">
              <w:rPr>
                <w:rFonts w:cs="Tahoma"/>
              </w:rPr>
              <w:t>12 weeks</w:t>
            </w:r>
          </w:p>
        </w:tc>
        <w:tc>
          <w:tcPr>
            <w:tcW w:w="2127" w:type="dxa"/>
            <w:shd w:val="clear" w:color="auto" w:fill="auto"/>
          </w:tcPr>
          <w:p w:rsidR="0075777C" w:rsidRPr="002046A0" w:rsidRDefault="002046A0" w:rsidP="00DB5599">
            <w:pPr>
              <w:pStyle w:val="Tabletext"/>
              <w:jc w:val="center"/>
              <w:rPr>
                <w:rFonts w:cs="Tahoma"/>
                <w:highlight w:val="black"/>
              </w:rPr>
            </w:pPr>
            <w:r>
              <w:rPr>
                <w:rFonts w:eastAsia="Times New Roman" w:cs="Tahoma"/>
                <w:noProof/>
                <w:color w:val="000000"/>
                <w:highlight w:val="black"/>
              </w:rPr>
              <w:t>'''''''''''''' '''''''''''''</w:t>
            </w:r>
          </w:p>
        </w:tc>
        <w:tc>
          <w:tcPr>
            <w:tcW w:w="1984" w:type="dxa"/>
            <w:shd w:val="clear" w:color="auto" w:fill="auto"/>
          </w:tcPr>
          <w:p w:rsidR="0075777C" w:rsidRPr="002046A0" w:rsidRDefault="002046A0" w:rsidP="00DB5599">
            <w:pPr>
              <w:pStyle w:val="Tabletext"/>
              <w:jc w:val="center"/>
              <w:rPr>
                <w:rFonts w:cs="Tahoma"/>
                <w:highlight w:val="black"/>
              </w:rPr>
            </w:pPr>
            <w:r>
              <w:rPr>
                <w:rFonts w:eastAsia="Times New Roman" w:cs="Tahoma"/>
                <w:noProof/>
                <w:color w:val="000000"/>
                <w:highlight w:val="black"/>
              </w:rPr>
              <w:t>''''''''''' ''''''''''''</w:t>
            </w:r>
          </w:p>
        </w:tc>
        <w:tc>
          <w:tcPr>
            <w:tcW w:w="2126" w:type="dxa"/>
          </w:tcPr>
          <w:p w:rsidR="0075777C" w:rsidRPr="002046A0" w:rsidRDefault="002046A0" w:rsidP="00DB5599">
            <w:pPr>
              <w:pStyle w:val="Tabletext"/>
              <w:rPr>
                <w:rFonts w:cs="Tahoma"/>
                <w:highlight w:val="black"/>
              </w:rPr>
            </w:pPr>
            <w:r>
              <w:rPr>
                <w:rFonts w:cs="Tahoma"/>
                <w:noProof/>
                <w:color w:val="000000"/>
                <w:highlight w:val="black"/>
              </w:rPr>
              <w:t>'''''''''' ''''''''''''' ''''''''''''</w:t>
            </w:r>
          </w:p>
        </w:tc>
      </w:tr>
    </w:tbl>
    <w:p w:rsidR="0075777C" w:rsidRPr="00F05153" w:rsidRDefault="0075777C" w:rsidP="00DB5599">
      <w:pPr>
        <w:pStyle w:val="Tablenote"/>
      </w:pPr>
      <w:r w:rsidRPr="00F05153">
        <w:t xml:space="preserve">CI = confidence interval; CSR = clinical study report; ERA = endothelin receptor antagonist; n = number of </w:t>
      </w:r>
      <w:r w:rsidR="00DC16A3" w:rsidRPr="00F05153">
        <w:t xml:space="preserve">patients with </w:t>
      </w:r>
      <w:r w:rsidRPr="00F05153">
        <w:t>events; N = number of patients; PAH = pulmonary arterial hypertension; RR = relative risk</w:t>
      </w:r>
      <w:r w:rsidR="009B47AA" w:rsidRPr="00F05153">
        <w:t>; sGC = soluble guanylate cyclase stimulator</w:t>
      </w:r>
    </w:p>
    <w:p w:rsidR="0075777C" w:rsidRPr="00F05153" w:rsidRDefault="002E4833" w:rsidP="0077344D">
      <w:pPr>
        <w:pStyle w:val="Heading6"/>
      </w:pPr>
      <w:proofErr w:type="gramStart"/>
      <w:r w:rsidRPr="00F05153">
        <w:t>c</w:t>
      </w:r>
      <w:r w:rsidR="0075777C" w:rsidRPr="00F05153">
        <w:t>.ii</w:t>
      </w:r>
      <w:proofErr w:type="gramEnd"/>
      <w:r w:rsidR="0075777C" w:rsidRPr="00F05153">
        <w:tab/>
        <w:t>PAH patients with FC III or IV</w:t>
      </w:r>
    </w:p>
    <w:p w:rsidR="0075777C" w:rsidRPr="00F05153" w:rsidRDefault="0075777C" w:rsidP="0075777C">
      <w:r w:rsidRPr="00F05153">
        <w:t xml:space="preserve">Patients with WHO FC III/IV PAH who received combination therapy were </w:t>
      </w:r>
      <w:r w:rsidR="002046A0">
        <w:rPr>
          <w:noProof/>
          <w:color w:val="000000"/>
          <w:highlight w:val="black"/>
        </w:rPr>
        <w:t>''''''''''''''' '''''''' '''''''''</w:t>
      </w:r>
      <w:r w:rsidRPr="00F05153">
        <w:t xml:space="preserve"> to </w:t>
      </w:r>
      <w:r w:rsidR="00A917D2" w:rsidRPr="00F05153">
        <w:t xml:space="preserve">be hospitalised due to PAH </w:t>
      </w:r>
      <w:r w:rsidRPr="00F05153">
        <w:t>than those on monotherapy (</w:t>
      </w:r>
      <w:r w:rsidR="003951FA" w:rsidRPr="00F05153">
        <w:t>Table 4.</w:t>
      </w:r>
      <w:r w:rsidR="003951FA">
        <w:t>91</w:t>
      </w:r>
      <w:r w:rsidRPr="00F05153">
        <w:t xml:space="preserve">), </w:t>
      </w:r>
      <w:r w:rsidR="002046A0">
        <w:rPr>
          <w:noProof/>
          <w:color w:val="000000"/>
          <w:highlight w:val="black"/>
        </w:rPr>
        <w:t>'''''''' ''''''' '''''''''''''''''''' '''''''' ''''''''</w:t>
      </w:r>
      <w:r w:rsidRPr="00F05153">
        <w:t xml:space="preserve"> </w:t>
      </w:r>
      <w:r w:rsidR="002046A0">
        <w:rPr>
          <w:noProof/>
          <w:color w:val="000000"/>
          <w:highlight w:val="black"/>
        </w:rPr>
        <w:t>''''''''''''''''''''' '''''''''''''''''''</w:t>
      </w:r>
      <w:r w:rsidRPr="00F05153">
        <w:t xml:space="preserve"> (</w:t>
      </w:r>
      <w:r w:rsidR="00B21201" w:rsidRPr="00F05153">
        <w:t>ARD</w:t>
      </w:r>
      <w:r w:rsidR="00DB6ACB" w:rsidRPr="00F05153">
        <w:t> </w:t>
      </w:r>
      <w:r w:rsidRPr="00F05153">
        <w:t>=</w:t>
      </w:r>
      <w:r w:rsidR="00DB6ACB" w:rsidRPr="00F05153">
        <w:t> </w:t>
      </w:r>
      <w:r w:rsidR="002046A0">
        <w:rPr>
          <w:noProof/>
          <w:color w:val="000000"/>
          <w:highlight w:val="black"/>
        </w:rPr>
        <w:t>'''''''''''' '''''''' ''''' ''''''''''' '''''''' '''''''''''''''''''</w:t>
      </w:r>
      <w:r w:rsidRPr="00F05153">
        <w:t xml:space="preserve"> Among patients with WHO FC III/IV PAH, </w:t>
      </w:r>
      <w:r w:rsidR="002046A0">
        <w:rPr>
          <w:noProof/>
          <w:color w:val="000000"/>
          <w:highlight w:val="black"/>
        </w:rPr>
        <w:t xml:space="preserve">''''' </w:t>
      </w:r>
      <w:r w:rsidRPr="00F05153">
        <w:t xml:space="preserve">need to be treated with </w:t>
      </w:r>
      <w:r w:rsidR="002046A0">
        <w:rPr>
          <w:noProof/>
          <w:color w:val="000000"/>
          <w:highlight w:val="black"/>
        </w:rPr>
        <w:t>''''''' ''''''''''''''''''''' '''''''' ''''''' ''''''''''''''''''''' ''''''''''''''''</w:t>
      </w:r>
      <w:r w:rsidRPr="00F05153">
        <w:t xml:space="preserve"> to avoid hospitalisation of one additional patient compared with </w:t>
      </w:r>
      <w:r w:rsidR="002046A0">
        <w:rPr>
          <w:noProof/>
          <w:color w:val="000000"/>
          <w:highlight w:val="black"/>
        </w:rPr>
        <w:t>'''''''' ''''''''''''''''''''''''''</w:t>
      </w:r>
      <w:r w:rsidRPr="00F05153">
        <w:t>.</w:t>
      </w:r>
    </w:p>
    <w:p w:rsidR="0075777C" w:rsidRPr="00F05153" w:rsidRDefault="00272F8F" w:rsidP="00BC5A2B">
      <w:pPr>
        <w:pStyle w:val="Caption"/>
      </w:pPr>
      <w:bookmarkStart w:id="275" w:name="_Ref504657224"/>
      <w:bookmarkStart w:id="276" w:name="_Toc38360388"/>
      <w:r w:rsidRPr="00F05153">
        <w:t>Table 4.</w:t>
      </w:r>
      <w:r w:rsidR="003951FA">
        <w:rPr>
          <w:noProof/>
        </w:rPr>
        <w:t>91</w:t>
      </w:r>
      <w:bookmarkEnd w:id="275"/>
      <w:r w:rsidR="00DB5599" w:rsidRPr="00F05153">
        <w:tab/>
      </w:r>
      <w:r w:rsidR="0075777C" w:rsidRPr="00F05153">
        <w:t xml:space="preserve">Hospitalisation </w:t>
      </w:r>
      <w:r w:rsidR="00A917D2" w:rsidRPr="00F05153">
        <w:t xml:space="preserve">due to PAH </w:t>
      </w:r>
      <w:r w:rsidR="0075777C" w:rsidRPr="00F05153">
        <w:t xml:space="preserve">for </w:t>
      </w:r>
      <w:r w:rsidR="00242BA3" w:rsidRPr="00F05153">
        <w:t xml:space="preserve">a sGC stimulator </w:t>
      </w:r>
      <w:r w:rsidR="007E59EC" w:rsidRPr="00F05153">
        <w:t>in addition to an ERA compared with ERA monotherapy</w:t>
      </w:r>
      <w:r w:rsidR="0075777C" w:rsidRPr="00F05153">
        <w:t xml:space="preserve"> in patients with WHO FC III/IV PAH</w:t>
      </w:r>
      <w:bookmarkEnd w:id="276"/>
    </w:p>
    <w:tbl>
      <w:tblPr>
        <w:tblStyle w:val="TableGrid7"/>
        <w:tblW w:w="9634" w:type="dxa"/>
        <w:tblLayout w:type="fixed"/>
        <w:tblLook w:val="04A0" w:firstRow="1" w:lastRow="0" w:firstColumn="1" w:lastColumn="0" w:noHBand="0" w:noVBand="1"/>
        <w:tblCaption w:val="Hospitalisation due to PAH for a sGC stimulator in addition to an ERA compared with ERA monotherapy in patients with WHO FC III/IV PAH"/>
      </w:tblPr>
      <w:tblGrid>
        <w:gridCol w:w="1696"/>
        <w:gridCol w:w="1701"/>
        <w:gridCol w:w="2127"/>
        <w:gridCol w:w="2126"/>
        <w:gridCol w:w="1984"/>
      </w:tblGrid>
      <w:tr w:rsidR="0075777C" w:rsidRPr="00F05153" w:rsidTr="00DB5599">
        <w:trPr>
          <w:trHeight w:val="240"/>
          <w:tblHeader/>
        </w:trPr>
        <w:tc>
          <w:tcPr>
            <w:tcW w:w="1696" w:type="dxa"/>
            <w:vMerge w:val="restart"/>
            <w:shd w:val="clear" w:color="auto" w:fill="BFBFBF" w:themeFill="background1" w:themeFillShade="BF"/>
          </w:tcPr>
          <w:p w:rsidR="0075777C" w:rsidRPr="00F05153" w:rsidRDefault="0075777C" w:rsidP="00DB5599">
            <w:pPr>
              <w:pStyle w:val="Tabletext"/>
              <w:rPr>
                <w:b/>
              </w:rPr>
            </w:pPr>
            <w:r w:rsidRPr="00F05153">
              <w:rPr>
                <w:b/>
              </w:rPr>
              <w:t>Study ID</w:t>
            </w:r>
          </w:p>
          <w:p w:rsidR="00242BA3" w:rsidRPr="00F05153" w:rsidRDefault="00242BA3" w:rsidP="00DB5599">
            <w:pPr>
              <w:pStyle w:val="Tabletext"/>
              <w:rPr>
                <w:b/>
              </w:rPr>
            </w:pPr>
            <w:r w:rsidRPr="00F05153">
              <w:rPr>
                <w:b/>
              </w:rPr>
              <w:t>sGC stimulator</w:t>
            </w:r>
          </w:p>
        </w:tc>
        <w:tc>
          <w:tcPr>
            <w:tcW w:w="1701" w:type="dxa"/>
            <w:vMerge w:val="restart"/>
            <w:shd w:val="clear" w:color="auto" w:fill="BFBFBF" w:themeFill="background1" w:themeFillShade="BF"/>
          </w:tcPr>
          <w:p w:rsidR="0075777C" w:rsidRPr="00F05153" w:rsidRDefault="0075777C" w:rsidP="00DB5599">
            <w:pPr>
              <w:pStyle w:val="Tabletext"/>
              <w:rPr>
                <w:b/>
              </w:rPr>
            </w:pPr>
            <w:r w:rsidRPr="00F05153">
              <w:rPr>
                <w:b/>
              </w:rPr>
              <w:t>Study period</w:t>
            </w:r>
          </w:p>
        </w:tc>
        <w:tc>
          <w:tcPr>
            <w:tcW w:w="4253" w:type="dxa"/>
            <w:gridSpan w:val="2"/>
            <w:shd w:val="clear" w:color="auto" w:fill="BFBFBF" w:themeFill="background1" w:themeFillShade="BF"/>
          </w:tcPr>
          <w:p w:rsidR="0075777C" w:rsidRPr="00F05153" w:rsidRDefault="0075777C" w:rsidP="00DB5599">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75777C" w:rsidRPr="00F05153" w:rsidRDefault="0075777C" w:rsidP="00DB5599">
            <w:pPr>
              <w:pStyle w:val="Tabletext"/>
              <w:rPr>
                <w:b/>
              </w:rPr>
            </w:pPr>
            <w:r w:rsidRPr="00F05153">
              <w:rPr>
                <w:b/>
              </w:rPr>
              <w:t>RR (95% CI)</w:t>
            </w:r>
          </w:p>
        </w:tc>
      </w:tr>
      <w:tr w:rsidR="0075777C" w:rsidRPr="00F05153" w:rsidTr="00DB5599">
        <w:trPr>
          <w:trHeight w:val="202"/>
          <w:tblHeader/>
        </w:trPr>
        <w:tc>
          <w:tcPr>
            <w:tcW w:w="1696" w:type="dxa"/>
            <w:vMerge/>
            <w:shd w:val="clear" w:color="auto" w:fill="BFBFBF" w:themeFill="background1" w:themeFillShade="BF"/>
          </w:tcPr>
          <w:p w:rsidR="0075777C" w:rsidRPr="00F05153" w:rsidRDefault="0075777C" w:rsidP="00DB5599">
            <w:pPr>
              <w:pStyle w:val="Tabletext"/>
            </w:pPr>
          </w:p>
        </w:tc>
        <w:tc>
          <w:tcPr>
            <w:tcW w:w="1701" w:type="dxa"/>
            <w:vMerge/>
            <w:shd w:val="clear" w:color="auto" w:fill="BFBFBF" w:themeFill="background1" w:themeFillShade="BF"/>
          </w:tcPr>
          <w:p w:rsidR="0075777C" w:rsidRPr="00F05153" w:rsidRDefault="0075777C" w:rsidP="00DB5599">
            <w:pPr>
              <w:pStyle w:val="Tabletext"/>
            </w:pPr>
          </w:p>
        </w:tc>
        <w:tc>
          <w:tcPr>
            <w:tcW w:w="2127" w:type="dxa"/>
            <w:shd w:val="clear" w:color="auto" w:fill="BFBFBF" w:themeFill="background1" w:themeFillShade="BF"/>
          </w:tcPr>
          <w:p w:rsidR="0075777C" w:rsidRPr="00F05153" w:rsidRDefault="00E35EDB" w:rsidP="00DB5599">
            <w:pPr>
              <w:pStyle w:val="Tabletext"/>
              <w:jc w:val="center"/>
              <w:rPr>
                <w:b/>
              </w:rPr>
            </w:pPr>
            <w:r w:rsidRPr="00F05153">
              <w:rPr>
                <w:b/>
              </w:rPr>
              <w:t xml:space="preserve">sGC stimulator </w:t>
            </w:r>
            <w:r w:rsidR="0075777C" w:rsidRPr="00F05153">
              <w:rPr>
                <w:b/>
              </w:rPr>
              <w:t>+ ERA</w:t>
            </w:r>
          </w:p>
        </w:tc>
        <w:tc>
          <w:tcPr>
            <w:tcW w:w="2126" w:type="dxa"/>
            <w:shd w:val="clear" w:color="auto" w:fill="BFBFBF" w:themeFill="background1" w:themeFillShade="BF"/>
          </w:tcPr>
          <w:p w:rsidR="0075777C" w:rsidRPr="00F05153" w:rsidRDefault="0075777C" w:rsidP="00DB5599">
            <w:pPr>
              <w:pStyle w:val="Tabletext"/>
              <w:jc w:val="center"/>
              <w:rPr>
                <w:b/>
              </w:rPr>
            </w:pPr>
            <w:r w:rsidRPr="00F05153">
              <w:rPr>
                <w:b/>
              </w:rPr>
              <w:t>ERA</w:t>
            </w:r>
          </w:p>
        </w:tc>
        <w:tc>
          <w:tcPr>
            <w:tcW w:w="1984" w:type="dxa"/>
            <w:vMerge/>
            <w:shd w:val="clear" w:color="auto" w:fill="BFBFBF" w:themeFill="background1" w:themeFillShade="BF"/>
          </w:tcPr>
          <w:p w:rsidR="0075777C" w:rsidRPr="00F05153" w:rsidRDefault="0075777C" w:rsidP="00DB5599">
            <w:pPr>
              <w:pStyle w:val="Tabletext"/>
            </w:pPr>
          </w:p>
        </w:tc>
      </w:tr>
      <w:tr w:rsidR="0075777C" w:rsidRPr="00F05153" w:rsidTr="00DB5599">
        <w:trPr>
          <w:trHeight w:val="70"/>
        </w:trPr>
        <w:tc>
          <w:tcPr>
            <w:tcW w:w="1696" w:type="dxa"/>
          </w:tcPr>
          <w:p w:rsidR="0075777C" w:rsidRPr="00F05153" w:rsidRDefault="0075777C" w:rsidP="00DB5599">
            <w:pPr>
              <w:pStyle w:val="Tabletext"/>
              <w:rPr>
                <w:rFonts w:cs="Tahoma"/>
              </w:rPr>
            </w:pPr>
            <w:r w:rsidRPr="00F05153">
              <w:rPr>
                <w:rFonts w:cs="Tahoma"/>
              </w:rPr>
              <w:t>PATENT-1</w:t>
            </w:r>
            <w:r w:rsidRPr="00F05153">
              <w:rPr>
                <w:rFonts w:cs="Tahoma"/>
                <w:vertAlign w:val="superscript"/>
              </w:rPr>
              <w:t>a</w:t>
            </w:r>
            <w:r w:rsidRPr="00F05153">
              <w:rPr>
                <w:rFonts w:cs="Tahoma"/>
              </w:rPr>
              <w:t xml:space="preserve"> CSR</w:t>
            </w:r>
          </w:p>
          <w:p w:rsidR="00242BA3" w:rsidRPr="00F05153" w:rsidRDefault="00E35EDB" w:rsidP="00DB5599">
            <w:pPr>
              <w:pStyle w:val="Tabletext"/>
              <w:rPr>
                <w:rFonts w:cs="Tahoma"/>
              </w:rPr>
            </w:pPr>
            <w:r w:rsidRPr="00F05153">
              <w:t>Riociguat</w:t>
            </w:r>
          </w:p>
        </w:tc>
        <w:tc>
          <w:tcPr>
            <w:tcW w:w="1701" w:type="dxa"/>
          </w:tcPr>
          <w:p w:rsidR="0075777C" w:rsidRPr="00F05153" w:rsidRDefault="0075777C" w:rsidP="00DB5599">
            <w:pPr>
              <w:pStyle w:val="Tabletext"/>
              <w:rPr>
                <w:rFonts w:cs="Tahoma"/>
              </w:rPr>
            </w:pPr>
            <w:r w:rsidRPr="00F05153">
              <w:rPr>
                <w:rFonts w:cs="Tahoma"/>
              </w:rPr>
              <w:t>12 weeks</w:t>
            </w:r>
          </w:p>
        </w:tc>
        <w:tc>
          <w:tcPr>
            <w:tcW w:w="2127" w:type="dxa"/>
            <w:shd w:val="clear" w:color="auto" w:fill="auto"/>
          </w:tcPr>
          <w:p w:rsidR="0075777C" w:rsidRPr="002046A0" w:rsidRDefault="002046A0" w:rsidP="00DB5599">
            <w:pPr>
              <w:pStyle w:val="Tabletext"/>
              <w:jc w:val="center"/>
              <w:rPr>
                <w:rFonts w:cs="Tahoma"/>
                <w:highlight w:val="black"/>
              </w:rPr>
            </w:pPr>
            <w:r>
              <w:rPr>
                <w:rFonts w:eastAsia="Times New Roman" w:cs="Tahoma"/>
                <w:noProof/>
                <w:color w:val="000000"/>
                <w:highlight w:val="black"/>
              </w:rPr>
              <w:t>'''''''''' '''''''''''</w:t>
            </w:r>
          </w:p>
        </w:tc>
        <w:tc>
          <w:tcPr>
            <w:tcW w:w="2126" w:type="dxa"/>
            <w:shd w:val="clear" w:color="auto" w:fill="auto"/>
          </w:tcPr>
          <w:p w:rsidR="0075777C" w:rsidRPr="002046A0" w:rsidRDefault="002046A0" w:rsidP="00DB5599">
            <w:pPr>
              <w:pStyle w:val="Tabletext"/>
              <w:jc w:val="center"/>
              <w:rPr>
                <w:rFonts w:cs="Tahoma"/>
                <w:highlight w:val="black"/>
              </w:rPr>
            </w:pPr>
            <w:r>
              <w:rPr>
                <w:rFonts w:eastAsia="Times New Roman" w:cs="Tahoma"/>
                <w:noProof/>
                <w:color w:val="000000"/>
                <w:highlight w:val="black"/>
              </w:rPr>
              <w:t>'''''''''' ''''''''''''</w:t>
            </w:r>
          </w:p>
        </w:tc>
        <w:tc>
          <w:tcPr>
            <w:tcW w:w="1984" w:type="dxa"/>
          </w:tcPr>
          <w:p w:rsidR="0075777C" w:rsidRPr="002046A0" w:rsidRDefault="002046A0" w:rsidP="00DB5599">
            <w:pPr>
              <w:pStyle w:val="Tabletext"/>
              <w:rPr>
                <w:rFonts w:cs="Tahoma"/>
                <w:highlight w:val="black"/>
              </w:rPr>
            </w:pPr>
            <w:r>
              <w:rPr>
                <w:rFonts w:cs="Tahoma"/>
                <w:noProof/>
                <w:color w:val="000000"/>
                <w:highlight w:val="black"/>
              </w:rPr>
              <w:t>''''''''''' ''''''''''''''' '''''''''''''</w:t>
            </w:r>
          </w:p>
        </w:tc>
      </w:tr>
    </w:tbl>
    <w:p w:rsidR="0075777C" w:rsidRPr="00F05153" w:rsidRDefault="0075777C" w:rsidP="00DB5599">
      <w:pPr>
        <w:pStyle w:val="Tablenote"/>
      </w:pPr>
      <w:proofErr w:type="gramStart"/>
      <w:r w:rsidRPr="00F05153">
        <w:rPr>
          <w:vertAlign w:val="superscript"/>
        </w:rPr>
        <w:t>a</w:t>
      </w:r>
      <w:proofErr w:type="gramEnd"/>
      <w:r w:rsidRPr="00F05153">
        <w:t xml:space="preserve"> 14% of patients had background </w:t>
      </w:r>
      <w:r w:rsidR="0017012F" w:rsidRPr="00F05153">
        <w:t>prostanoid</w:t>
      </w:r>
      <w:r w:rsidRPr="00F05153">
        <w:t xml:space="preserve"> therapy</w:t>
      </w:r>
    </w:p>
    <w:p w:rsidR="0075777C" w:rsidRPr="00F05153" w:rsidRDefault="0075777C" w:rsidP="00DB5599">
      <w:pPr>
        <w:pStyle w:val="Tablenote"/>
      </w:pPr>
      <w:r w:rsidRPr="00F05153">
        <w:t xml:space="preserve">CI = confidence interval; CSR = clinical study report; ERA = endothelin receptor antagonist; FC = functional class; n = number of </w:t>
      </w:r>
      <w:r w:rsidR="00DC16A3" w:rsidRPr="00F05153">
        <w:t xml:space="preserve">patients with </w:t>
      </w:r>
      <w:r w:rsidRPr="00F05153">
        <w:t xml:space="preserve">events; N = number of patients; PAH = pulmonary arterial hypertension; RR = relative risk; </w:t>
      </w:r>
      <w:r w:rsidR="009B47AA" w:rsidRPr="00F05153">
        <w:t xml:space="preserve">sGC = soluble guanylate cyclase stimulator; </w:t>
      </w:r>
      <w:r w:rsidRPr="00F05153">
        <w:t>WHO = World Health Organization</w:t>
      </w:r>
    </w:p>
    <w:p w:rsidR="0075777C" w:rsidRPr="00F05153" w:rsidRDefault="002E4833" w:rsidP="00761752">
      <w:pPr>
        <w:pStyle w:val="Heading5"/>
      </w:pPr>
      <w:r w:rsidRPr="00F05153">
        <w:t>d.</w:t>
      </w:r>
      <w:r w:rsidR="00761752" w:rsidRPr="00F05153">
        <w:tab/>
      </w:r>
      <w:r w:rsidR="0075777C" w:rsidRPr="00F05153">
        <w:t>Change in WHO FC</w:t>
      </w:r>
      <w:r w:rsidR="00761752" w:rsidRPr="00F05153">
        <w:t xml:space="preserve"> from baseline</w:t>
      </w:r>
    </w:p>
    <w:p w:rsidR="0075777C" w:rsidRPr="00F05153" w:rsidRDefault="002E4833" w:rsidP="0077344D">
      <w:pPr>
        <w:pStyle w:val="Heading6"/>
      </w:pPr>
      <w:proofErr w:type="gramStart"/>
      <w:r w:rsidRPr="00F05153">
        <w:t>d</w:t>
      </w:r>
      <w:r w:rsidR="0075777C" w:rsidRPr="00F05153">
        <w:t>.i</w:t>
      </w:r>
      <w:proofErr w:type="gramEnd"/>
      <w:r w:rsidR="0075777C" w:rsidRPr="00F05153">
        <w:tab/>
        <w:t>PAH patients, irrespective of disease severity or aetiology</w:t>
      </w:r>
    </w:p>
    <w:p w:rsidR="0075777C" w:rsidRPr="00F05153" w:rsidRDefault="00880228" w:rsidP="0075777C">
      <w:r w:rsidRPr="00F05153">
        <w:t xml:space="preserve">Patients who received combination therapy were </w:t>
      </w:r>
      <w:r w:rsidR="002046A0">
        <w:rPr>
          <w:noProof/>
          <w:color w:val="000000"/>
          <w:highlight w:val="black"/>
        </w:rPr>
        <w:t>''''''''' '''' '''''''''</w:t>
      </w:r>
      <w:r w:rsidRPr="00F05153">
        <w:t xml:space="preserve"> to improve their WHO FC</w:t>
      </w:r>
      <w:r w:rsidR="002449DC">
        <w:t xml:space="preserve"> </w:t>
      </w:r>
      <w:r w:rsidRPr="00F05153">
        <w:t xml:space="preserve">and </w:t>
      </w:r>
      <w:r w:rsidR="002046A0">
        <w:rPr>
          <w:noProof/>
          <w:color w:val="000000"/>
          <w:highlight w:val="black"/>
        </w:rPr>
        <w:t>'''''''''''''' ''''''' ''''''''''</w:t>
      </w:r>
      <w:r w:rsidRPr="00F05153">
        <w:t xml:space="preserve"> to experience a worsening of WHO FC than those on monotherapy (ARD = </w:t>
      </w:r>
      <w:r w:rsidR="002046A0">
        <w:rPr>
          <w:noProof/>
          <w:color w:val="000000"/>
          <w:highlight w:val="black"/>
        </w:rPr>
        <w:t xml:space="preserve">'''''''''''' ''''''''' ''''' ''''''' ''''''''''' ''''''''''''''''''' </w:t>
      </w:r>
      <w:r w:rsidRPr="00F05153">
        <w:t xml:space="preserve">and </w:t>
      </w:r>
      <w:r w:rsidR="002046A0">
        <w:rPr>
          <w:noProof/>
          <w:color w:val="000000"/>
          <w:highlight w:val="black"/>
        </w:rPr>
        <w:t>'''''''''''' '''''''' ''''' '''''''''''' ''''''' '''''''''''''''''' ''''''''''''''''''''''''''</w:t>
      </w:r>
      <w:r w:rsidRPr="00F05153">
        <w:t xml:space="preserve"> , </w:t>
      </w:r>
      <w:r w:rsidR="002046A0">
        <w:rPr>
          <w:noProof/>
          <w:color w:val="000000"/>
          <w:highlight w:val="black"/>
        </w:rPr>
        <w:t>''''''' '''''''</w:t>
      </w:r>
      <w:r w:rsidRPr="00F05153">
        <w:t xml:space="preserve"> </w:t>
      </w:r>
      <w:r w:rsidR="002046A0">
        <w:rPr>
          <w:noProof/>
          <w:color w:val="000000"/>
          <w:highlight w:val="black"/>
        </w:rPr>
        <w:t>''''''''''''''''''''' '''''''' ''''''' ''''''''''''''''''''' ''''''''''''''''''</w:t>
      </w:r>
      <w:r w:rsidRPr="00F05153">
        <w:t xml:space="preserve"> for either outcome (</w:t>
      </w:r>
      <w:r w:rsidR="003951FA" w:rsidRPr="00F05153">
        <w:t>Table 4.</w:t>
      </w:r>
      <w:r w:rsidR="003951FA">
        <w:t>92</w:t>
      </w:r>
      <w:r w:rsidRPr="00F05153">
        <w:t xml:space="preserve">). The NNT indicates that </w:t>
      </w:r>
      <w:r w:rsidR="002046A0">
        <w:rPr>
          <w:noProof/>
          <w:color w:val="000000"/>
          <w:highlight w:val="black"/>
        </w:rPr>
        <w:t>'''</w:t>
      </w:r>
      <w:r w:rsidRPr="00F05153">
        <w:t xml:space="preserve"> patients need to be treated with </w:t>
      </w:r>
      <w:r w:rsidR="002046A0">
        <w:rPr>
          <w:noProof/>
          <w:color w:val="000000"/>
          <w:highlight w:val="black"/>
        </w:rPr>
        <w:t>''''''' ''''''''''''''''''' '''''''' ''''''' '''''''''''''''''''''''' '''''''''''''''</w:t>
      </w:r>
      <w:r w:rsidRPr="00F05153">
        <w:t xml:space="preserve"> for one additional patient to improve their WHO FC compared with </w:t>
      </w:r>
      <w:r w:rsidR="002046A0">
        <w:rPr>
          <w:noProof/>
          <w:color w:val="000000"/>
          <w:highlight w:val="black"/>
        </w:rPr>
        <w:t>''''''' '''''''''''''''''''''''''</w:t>
      </w:r>
      <w:r w:rsidRPr="00F05153">
        <w:t xml:space="preserve">, and </w:t>
      </w:r>
      <w:r w:rsidR="002046A0">
        <w:rPr>
          <w:noProof/>
          <w:color w:val="000000"/>
          <w:highlight w:val="black"/>
        </w:rPr>
        <w:t>''''''</w:t>
      </w:r>
      <w:r w:rsidRPr="00F05153">
        <w:t xml:space="preserve"> to prevent worsening of WHO FC in one additional patient.</w:t>
      </w:r>
    </w:p>
    <w:p w:rsidR="0075777C" w:rsidRPr="00F05153" w:rsidRDefault="00272F8F" w:rsidP="00BC5A2B">
      <w:pPr>
        <w:pStyle w:val="Caption"/>
      </w:pPr>
      <w:bookmarkStart w:id="277" w:name="_Ref504657307"/>
      <w:bookmarkStart w:id="278" w:name="_Toc38360389"/>
      <w:r w:rsidRPr="00F05153">
        <w:t>Table 4.</w:t>
      </w:r>
      <w:r w:rsidR="003951FA">
        <w:rPr>
          <w:noProof/>
        </w:rPr>
        <w:t>92</w:t>
      </w:r>
      <w:bookmarkEnd w:id="277"/>
      <w:r w:rsidR="00DB5599" w:rsidRPr="00F05153">
        <w:tab/>
      </w:r>
      <w:r w:rsidR="0075777C" w:rsidRPr="00F05153">
        <w:rPr>
          <w:noProof/>
        </w:rPr>
        <w:t xml:space="preserve">The effectiveness of </w:t>
      </w:r>
      <w:r w:rsidR="00E35EDB" w:rsidRPr="00F05153">
        <w:rPr>
          <w:noProof/>
        </w:rPr>
        <w:t xml:space="preserve">a </w:t>
      </w:r>
      <w:r w:rsidR="00E35EDB" w:rsidRPr="00F05153">
        <w:t xml:space="preserve">sGC stimulator </w:t>
      </w:r>
      <w:r w:rsidR="007E59EC" w:rsidRPr="00F05153">
        <w:t>in addition to an ERA compared with ERA monotherapy</w:t>
      </w:r>
      <w:r w:rsidR="007E59EC" w:rsidRPr="00F05153">
        <w:rPr>
          <w:noProof/>
        </w:rPr>
        <w:t xml:space="preserve"> </w:t>
      </w:r>
      <w:r w:rsidR="0075777C" w:rsidRPr="00F05153">
        <w:rPr>
          <w:noProof/>
        </w:rPr>
        <w:t>in improving WHO FC in all PAH patients</w:t>
      </w:r>
      <w:bookmarkEnd w:id="278"/>
    </w:p>
    <w:tbl>
      <w:tblPr>
        <w:tblStyle w:val="TableGrid7"/>
        <w:tblW w:w="9634" w:type="dxa"/>
        <w:tblLayout w:type="fixed"/>
        <w:tblLook w:val="04A0" w:firstRow="1" w:lastRow="0" w:firstColumn="1" w:lastColumn="0" w:noHBand="0" w:noVBand="1"/>
        <w:tblCaption w:val="The effectiveness of a sGC stimulator in addition to an ERA compared with ERA monotherapy in improving WHO FC in all PAH patients"/>
      </w:tblPr>
      <w:tblGrid>
        <w:gridCol w:w="1698"/>
        <w:gridCol w:w="1699"/>
        <w:gridCol w:w="1985"/>
        <w:gridCol w:w="1984"/>
        <w:gridCol w:w="2268"/>
      </w:tblGrid>
      <w:tr w:rsidR="0075777C" w:rsidRPr="00F05153" w:rsidTr="00DB5599">
        <w:trPr>
          <w:trHeight w:val="302"/>
          <w:tblHeader/>
        </w:trPr>
        <w:tc>
          <w:tcPr>
            <w:tcW w:w="1698" w:type="dxa"/>
            <w:vMerge w:val="restart"/>
            <w:shd w:val="clear" w:color="auto" w:fill="BFBFBF" w:themeFill="background1" w:themeFillShade="BF"/>
          </w:tcPr>
          <w:p w:rsidR="0075777C" w:rsidRPr="00F05153" w:rsidRDefault="0075777C" w:rsidP="00DB5599">
            <w:pPr>
              <w:pStyle w:val="Tabletext"/>
              <w:rPr>
                <w:b/>
              </w:rPr>
            </w:pPr>
            <w:r w:rsidRPr="00F05153">
              <w:rPr>
                <w:b/>
              </w:rPr>
              <w:t>Study ID</w:t>
            </w:r>
          </w:p>
          <w:p w:rsidR="00E35EDB" w:rsidRPr="00F05153" w:rsidRDefault="00E35EDB" w:rsidP="00DB5599">
            <w:pPr>
              <w:pStyle w:val="Tabletext"/>
              <w:rPr>
                <w:b/>
              </w:rPr>
            </w:pPr>
            <w:r w:rsidRPr="00F05153">
              <w:rPr>
                <w:b/>
              </w:rPr>
              <w:t>sGC stimulator</w:t>
            </w:r>
          </w:p>
        </w:tc>
        <w:tc>
          <w:tcPr>
            <w:tcW w:w="1699" w:type="dxa"/>
            <w:vMerge w:val="restart"/>
            <w:shd w:val="clear" w:color="auto" w:fill="BFBFBF" w:themeFill="background1" w:themeFillShade="BF"/>
          </w:tcPr>
          <w:p w:rsidR="0075777C" w:rsidRPr="00F05153" w:rsidRDefault="0075777C" w:rsidP="00DB5599">
            <w:pPr>
              <w:pStyle w:val="Tabletext"/>
              <w:rPr>
                <w:b/>
              </w:rPr>
            </w:pPr>
            <w:r w:rsidRPr="00F05153">
              <w:rPr>
                <w:b/>
              </w:rPr>
              <w:t>Change in WHO FC</w:t>
            </w:r>
          </w:p>
        </w:tc>
        <w:tc>
          <w:tcPr>
            <w:tcW w:w="3969" w:type="dxa"/>
            <w:gridSpan w:val="2"/>
            <w:shd w:val="clear" w:color="auto" w:fill="BFBFBF" w:themeFill="background1" w:themeFillShade="BF"/>
          </w:tcPr>
          <w:p w:rsidR="0075777C" w:rsidRPr="00F05153" w:rsidRDefault="0075777C" w:rsidP="00DB5599">
            <w:pPr>
              <w:pStyle w:val="Tabletext"/>
              <w:jc w:val="center"/>
              <w:rPr>
                <w:b/>
              </w:rPr>
            </w:pPr>
            <w:proofErr w:type="gramStart"/>
            <w:r w:rsidRPr="00F05153">
              <w:rPr>
                <w:b/>
              </w:rPr>
              <w:t>n/N</w:t>
            </w:r>
            <w:proofErr w:type="gramEnd"/>
            <w:r w:rsidRPr="00F05153">
              <w:rPr>
                <w:b/>
              </w:rPr>
              <w:t xml:space="preserve"> (%)</w:t>
            </w:r>
          </w:p>
        </w:tc>
        <w:tc>
          <w:tcPr>
            <w:tcW w:w="2268" w:type="dxa"/>
            <w:vMerge w:val="restart"/>
            <w:shd w:val="clear" w:color="auto" w:fill="BFBFBF" w:themeFill="background1" w:themeFillShade="BF"/>
          </w:tcPr>
          <w:p w:rsidR="0075777C" w:rsidRPr="00F05153" w:rsidRDefault="0075777C" w:rsidP="00DB5599">
            <w:pPr>
              <w:pStyle w:val="Tabletext"/>
              <w:rPr>
                <w:b/>
              </w:rPr>
            </w:pPr>
            <w:r w:rsidRPr="00F05153">
              <w:rPr>
                <w:b/>
              </w:rPr>
              <w:t>RR (95% CI)</w:t>
            </w:r>
          </w:p>
        </w:tc>
      </w:tr>
      <w:tr w:rsidR="0075777C" w:rsidRPr="00F05153" w:rsidTr="00DB5599">
        <w:trPr>
          <w:trHeight w:val="202"/>
          <w:tblHeader/>
        </w:trPr>
        <w:tc>
          <w:tcPr>
            <w:tcW w:w="1698" w:type="dxa"/>
            <w:vMerge/>
            <w:shd w:val="clear" w:color="auto" w:fill="BFBFBF" w:themeFill="background1" w:themeFillShade="BF"/>
          </w:tcPr>
          <w:p w:rsidR="0075777C" w:rsidRPr="00F05153" w:rsidRDefault="0075777C" w:rsidP="00DB5599">
            <w:pPr>
              <w:pStyle w:val="Tabletext"/>
            </w:pPr>
          </w:p>
        </w:tc>
        <w:tc>
          <w:tcPr>
            <w:tcW w:w="1699" w:type="dxa"/>
            <w:vMerge/>
            <w:shd w:val="clear" w:color="auto" w:fill="BFBFBF" w:themeFill="background1" w:themeFillShade="BF"/>
          </w:tcPr>
          <w:p w:rsidR="0075777C" w:rsidRPr="00F05153" w:rsidRDefault="0075777C" w:rsidP="00DB5599">
            <w:pPr>
              <w:pStyle w:val="Tabletext"/>
            </w:pPr>
          </w:p>
        </w:tc>
        <w:tc>
          <w:tcPr>
            <w:tcW w:w="1985" w:type="dxa"/>
            <w:shd w:val="clear" w:color="auto" w:fill="BFBFBF" w:themeFill="background1" w:themeFillShade="BF"/>
          </w:tcPr>
          <w:p w:rsidR="0075777C" w:rsidRPr="00F05153" w:rsidRDefault="00E35EDB" w:rsidP="00DB5599">
            <w:pPr>
              <w:pStyle w:val="Tabletext"/>
              <w:jc w:val="center"/>
              <w:rPr>
                <w:b/>
              </w:rPr>
            </w:pPr>
            <w:r w:rsidRPr="00F05153">
              <w:rPr>
                <w:b/>
              </w:rPr>
              <w:t xml:space="preserve">sGC stimulator </w:t>
            </w:r>
            <w:r w:rsidR="0075777C" w:rsidRPr="00F05153">
              <w:rPr>
                <w:b/>
              </w:rPr>
              <w:t>+ ERA</w:t>
            </w:r>
          </w:p>
        </w:tc>
        <w:tc>
          <w:tcPr>
            <w:tcW w:w="1984" w:type="dxa"/>
            <w:shd w:val="clear" w:color="auto" w:fill="BFBFBF" w:themeFill="background1" w:themeFillShade="BF"/>
          </w:tcPr>
          <w:p w:rsidR="0075777C" w:rsidRPr="00F05153" w:rsidRDefault="0075777C" w:rsidP="00DB5599">
            <w:pPr>
              <w:pStyle w:val="Tabletext"/>
              <w:jc w:val="center"/>
              <w:rPr>
                <w:b/>
              </w:rPr>
            </w:pPr>
            <w:r w:rsidRPr="00F05153">
              <w:rPr>
                <w:b/>
              </w:rPr>
              <w:t>ERA</w:t>
            </w:r>
          </w:p>
        </w:tc>
        <w:tc>
          <w:tcPr>
            <w:tcW w:w="2268" w:type="dxa"/>
            <w:vMerge/>
            <w:shd w:val="clear" w:color="auto" w:fill="BFBFBF" w:themeFill="background1" w:themeFillShade="BF"/>
          </w:tcPr>
          <w:p w:rsidR="0075777C" w:rsidRPr="00F05153" w:rsidRDefault="0075777C" w:rsidP="00DB5599">
            <w:pPr>
              <w:pStyle w:val="Tabletext"/>
            </w:pPr>
          </w:p>
        </w:tc>
      </w:tr>
      <w:tr w:rsidR="0075777C" w:rsidRPr="00F05153" w:rsidTr="00DB5599">
        <w:trPr>
          <w:trHeight w:val="70"/>
        </w:trPr>
        <w:tc>
          <w:tcPr>
            <w:tcW w:w="1698" w:type="dxa"/>
            <w:vMerge w:val="restart"/>
          </w:tcPr>
          <w:p w:rsidR="0075777C" w:rsidRPr="00F05153" w:rsidRDefault="0075777C" w:rsidP="00DB5599">
            <w:pPr>
              <w:pStyle w:val="Tabletext"/>
              <w:rPr>
                <w:rFonts w:cs="Tahoma"/>
              </w:rPr>
            </w:pPr>
            <w:r w:rsidRPr="00F05153">
              <w:rPr>
                <w:rFonts w:cs="Tahoma"/>
              </w:rPr>
              <w:t>PATENT-1 CSR</w:t>
            </w:r>
          </w:p>
          <w:p w:rsidR="00E35EDB" w:rsidRPr="00F05153" w:rsidRDefault="00E35EDB" w:rsidP="00DB5599">
            <w:pPr>
              <w:pStyle w:val="Tabletext"/>
              <w:rPr>
                <w:rFonts w:cs="Tahoma"/>
              </w:rPr>
            </w:pPr>
            <w:r w:rsidRPr="00F05153">
              <w:t>Riociguat</w:t>
            </w:r>
          </w:p>
        </w:tc>
        <w:tc>
          <w:tcPr>
            <w:tcW w:w="1699" w:type="dxa"/>
          </w:tcPr>
          <w:p w:rsidR="0075777C" w:rsidRPr="00F05153" w:rsidRDefault="0075777C" w:rsidP="00DB5599">
            <w:pPr>
              <w:pStyle w:val="Tabletext"/>
              <w:rPr>
                <w:rFonts w:cs="Tahoma"/>
              </w:rPr>
            </w:pPr>
            <w:r w:rsidRPr="00F05153">
              <w:rPr>
                <w:rFonts w:cs="Tahoma"/>
              </w:rPr>
              <w:t>Improved</w:t>
            </w:r>
          </w:p>
        </w:tc>
        <w:tc>
          <w:tcPr>
            <w:tcW w:w="1985" w:type="dxa"/>
            <w:shd w:val="clear" w:color="auto" w:fill="auto"/>
          </w:tcPr>
          <w:p w:rsidR="0075777C" w:rsidRPr="002046A0" w:rsidRDefault="002046A0" w:rsidP="00DB5599">
            <w:pPr>
              <w:pStyle w:val="Tabletext"/>
              <w:jc w:val="center"/>
              <w:rPr>
                <w:rFonts w:cs="Tahoma"/>
                <w:highlight w:val="black"/>
              </w:rPr>
            </w:pPr>
            <w:r>
              <w:rPr>
                <w:rFonts w:cs="Tahoma"/>
                <w:noProof/>
                <w:color w:val="000000"/>
                <w:highlight w:val="black"/>
              </w:rPr>
              <w:t>'''''''''''''''' ''''''''''''''''</w:t>
            </w:r>
          </w:p>
        </w:tc>
        <w:tc>
          <w:tcPr>
            <w:tcW w:w="1984" w:type="dxa"/>
            <w:shd w:val="clear" w:color="auto" w:fill="auto"/>
          </w:tcPr>
          <w:p w:rsidR="0075777C" w:rsidRPr="002046A0" w:rsidRDefault="002046A0" w:rsidP="00DB5599">
            <w:pPr>
              <w:pStyle w:val="Tabletext"/>
              <w:jc w:val="center"/>
              <w:rPr>
                <w:rFonts w:cs="Tahoma"/>
                <w:highlight w:val="black"/>
              </w:rPr>
            </w:pPr>
            <w:r>
              <w:rPr>
                <w:rFonts w:cs="Tahoma"/>
                <w:noProof/>
                <w:color w:val="000000"/>
                <w:highlight w:val="black"/>
              </w:rPr>
              <w:t>'''''''''' '''''''''''''''</w:t>
            </w:r>
          </w:p>
        </w:tc>
        <w:tc>
          <w:tcPr>
            <w:tcW w:w="2268" w:type="dxa"/>
            <w:shd w:val="clear" w:color="auto" w:fill="auto"/>
          </w:tcPr>
          <w:p w:rsidR="0075777C" w:rsidRPr="002046A0" w:rsidRDefault="002046A0" w:rsidP="00DB5599">
            <w:pPr>
              <w:pStyle w:val="Tabletext"/>
              <w:rPr>
                <w:rFonts w:cs="Tahoma"/>
                <w:highlight w:val="black"/>
              </w:rPr>
            </w:pPr>
            <w:r>
              <w:rPr>
                <w:rFonts w:cs="Tahoma"/>
                <w:noProof/>
                <w:color w:val="000000"/>
                <w:highlight w:val="black"/>
              </w:rPr>
              <w:t>''''''''''' ''''''''''''''' ''''''''''''</w:t>
            </w:r>
          </w:p>
        </w:tc>
      </w:tr>
      <w:tr w:rsidR="0075777C" w:rsidRPr="00F05153" w:rsidTr="00DB5599">
        <w:trPr>
          <w:trHeight w:val="70"/>
        </w:trPr>
        <w:tc>
          <w:tcPr>
            <w:tcW w:w="1698" w:type="dxa"/>
            <w:vMerge/>
          </w:tcPr>
          <w:p w:rsidR="0075777C" w:rsidRPr="00F05153" w:rsidRDefault="0075777C" w:rsidP="00DB5599">
            <w:pPr>
              <w:pStyle w:val="Tabletext"/>
              <w:rPr>
                <w:rFonts w:cs="Tahoma"/>
              </w:rPr>
            </w:pPr>
          </w:p>
        </w:tc>
        <w:tc>
          <w:tcPr>
            <w:tcW w:w="1699" w:type="dxa"/>
          </w:tcPr>
          <w:p w:rsidR="0075777C" w:rsidRPr="00F05153" w:rsidRDefault="0075777C" w:rsidP="00DB5599">
            <w:pPr>
              <w:pStyle w:val="Tabletext"/>
              <w:rPr>
                <w:rFonts w:cs="Tahoma"/>
              </w:rPr>
            </w:pPr>
            <w:r w:rsidRPr="00F05153">
              <w:rPr>
                <w:rFonts w:cs="Tahoma"/>
              </w:rPr>
              <w:t>Worsened</w:t>
            </w:r>
          </w:p>
        </w:tc>
        <w:tc>
          <w:tcPr>
            <w:tcW w:w="1985" w:type="dxa"/>
            <w:shd w:val="clear" w:color="auto" w:fill="auto"/>
          </w:tcPr>
          <w:p w:rsidR="0075777C" w:rsidRPr="002046A0" w:rsidRDefault="002046A0" w:rsidP="00DB5599">
            <w:pPr>
              <w:pStyle w:val="Tabletext"/>
              <w:jc w:val="center"/>
              <w:rPr>
                <w:rFonts w:cs="Tahoma"/>
                <w:highlight w:val="black"/>
              </w:rPr>
            </w:pPr>
            <w:r>
              <w:rPr>
                <w:rFonts w:cs="Tahoma"/>
                <w:noProof/>
                <w:color w:val="000000"/>
                <w:highlight w:val="black"/>
              </w:rPr>
              <w:t>''''''''''''' '''''''''''</w:t>
            </w:r>
          </w:p>
        </w:tc>
        <w:tc>
          <w:tcPr>
            <w:tcW w:w="1984" w:type="dxa"/>
            <w:shd w:val="clear" w:color="auto" w:fill="auto"/>
          </w:tcPr>
          <w:p w:rsidR="0075777C" w:rsidRPr="002046A0" w:rsidRDefault="002046A0" w:rsidP="00DB5599">
            <w:pPr>
              <w:pStyle w:val="Tabletext"/>
              <w:jc w:val="center"/>
              <w:rPr>
                <w:rFonts w:cs="Tahoma"/>
                <w:highlight w:val="black"/>
              </w:rPr>
            </w:pPr>
            <w:r>
              <w:rPr>
                <w:rFonts w:cs="Tahoma"/>
                <w:noProof/>
                <w:color w:val="000000"/>
                <w:highlight w:val="black"/>
              </w:rPr>
              <w:t>''''''''''' ''''''''''''''</w:t>
            </w:r>
          </w:p>
        </w:tc>
        <w:tc>
          <w:tcPr>
            <w:tcW w:w="2268" w:type="dxa"/>
            <w:shd w:val="clear" w:color="auto" w:fill="auto"/>
          </w:tcPr>
          <w:p w:rsidR="0075777C" w:rsidRPr="002046A0" w:rsidRDefault="002046A0" w:rsidP="00DB5599">
            <w:pPr>
              <w:pStyle w:val="Tabletext"/>
              <w:rPr>
                <w:rFonts w:cs="Tahoma"/>
                <w:highlight w:val="black"/>
              </w:rPr>
            </w:pPr>
            <w:r>
              <w:rPr>
                <w:rFonts w:cs="Tahoma"/>
                <w:noProof/>
                <w:color w:val="000000"/>
                <w:highlight w:val="black"/>
              </w:rPr>
              <w:t>''''''''''' ''''''''''''''' ''''''''''''</w:t>
            </w:r>
          </w:p>
        </w:tc>
      </w:tr>
    </w:tbl>
    <w:p w:rsidR="0075777C" w:rsidRPr="00F05153" w:rsidRDefault="0075777C" w:rsidP="00DB5599">
      <w:pPr>
        <w:pStyle w:val="Tablenote"/>
      </w:pPr>
      <w:r w:rsidRPr="00F05153">
        <w:t xml:space="preserve">CI = confidence interval; CSR = clinical study report; ERA = endothelin receptor antagonist; FC = functional class; n = number of </w:t>
      </w:r>
      <w:r w:rsidR="00DC16A3" w:rsidRPr="00F05153">
        <w:t xml:space="preserve">patients with </w:t>
      </w:r>
      <w:r w:rsidRPr="00F05153">
        <w:t xml:space="preserve">events; N = number of patients; PAH = pulmonary arterial hypertension; RR = relative risk; </w:t>
      </w:r>
      <w:r w:rsidR="009B47AA" w:rsidRPr="00F05153">
        <w:t xml:space="preserve">sGC = soluble guanylate cyclase stimulator; </w:t>
      </w:r>
      <w:r w:rsidRPr="00F05153">
        <w:t>WHO = World Health Organization</w:t>
      </w:r>
    </w:p>
    <w:p w:rsidR="0075777C" w:rsidRPr="00F05153" w:rsidRDefault="002E4833" w:rsidP="0077344D">
      <w:pPr>
        <w:pStyle w:val="Heading6"/>
      </w:pPr>
      <w:proofErr w:type="gramStart"/>
      <w:r w:rsidRPr="00F05153">
        <w:t>d</w:t>
      </w:r>
      <w:r w:rsidR="0075777C" w:rsidRPr="00F05153">
        <w:t>.ii</w:t>
      </w:r>
      <w:proofErr w:type="gramEnd"/>
      <w:r w:rsidR="0075777C" w:rsidRPr="00F05153">
        <w:tab/>
        <w:t>PAH patients with FC III or IV</w:t>
      </w:r>
    </w:p>
    <w:p w:rsidR="0075777C" w:rsidRPr="00F05153" w:rsidRDefault="0075777C" w:rsidP="0075777C">
      <w:r w:rsidRPr="00F05153">
        <w:t xml:space="preserve">Patients with WHO FC III/IV PAH who received combination therapy were </w:t>
      </w:r>
      <w:r w:rsidR="002046A0">
        <w:rPr>
          <w:noProof/>
          <w:color w:val="000000"/>
          <w:highlight w:val="black"/>
        </w:rPr>
        <w:t>''''''''''''''''' ''''''''''' ''''''''''</w:t>
      </w:r>
      <w:r w:rsidR="002449DC">
        <w:t xml:space="preserve"> </w:t>
      </w:r>
      <w:r w:rsidRPr="00F05153">
        <w:t>to improve their WHO FC than those on monotherapy (</w:t>
      </w:r>
      <w:r w:rsidR="003951FA" w:rsidRPr="00F05153">
        <w:t>Table 4.</w:t>
      </w:r>
      <w:r w:rsidR="003951FA">
        <w:t>93</w:t>
      </w:r>
      <w:r w:rsidRPr="00F05153">
        <w:t xml:space="preserve">), </w:t>
      </w:r>
      <w:r w:rsidR="002046A0">
        <w:rPr>
          <w:noProof/>
          <w:color w:val="000000"/>
          <w:highlight w:val="black"/>
        </w:rPr>
        <w:t>'''''''' '''''''' ''''''''''''''''''' '''''''' ''''''</w:t>
      </w:r>
      <w:r w:rsidRPr="00F05153">
        <w:t xml:space="preserve"> </w:t>
      </w:r>
      <w:r w:rsidR="002046A0">
        <w:rPr>
          <w:noProof/>
          <w:color w:val="000000"/>
          <w:highlight w:val="black"/>
        </w:rPr>
        <w:t>''''''''''''''''''''' ''''''''''''''''''''</w:t>
      </w:r>
      <w:r w:rsidRPr="00F05153">
        <w:t xml:space="preserve"> (</w:t>
      </w:r>
      <w:r w:rsidR="00B21201" w:rsidRPr="00F05153">
        <w:t>ARD</w:t>
      </w:r>
      <w:r w:rsidR="00DB6ACB" w:rsidRPr="00F05153">
        <w:t> </w:t>
      </w:r>
      <w:r w:rsidRPr="00F05153">
        <w:t>=</w:t>
      </w:r>
      <w:r w:rsidR="00DB6ACB" w:rsidRPr="00F05153">
        <w:t> </w:t>
      </w:r>
      <w:r w:rsidR="002046A0">
        <w:rPr>
          <w:noProof/>
          <w:color w:val="000000"/>
          <w:highlight w:val="black"/>
        </w:rPr>
        <w:t>''''''''''' ''''''''' '''' ''''''''' '''''''''' ''''''''''''''''' '''''''''''</w:t>
      </w:r>
      <w:r w:rsidRPr="00F05153">
        <w:t xml:space="preserve"> patients in the monotherapy group experienced worsening of their WHO FC </w:t>
      </w:r>
      <w:r w:rsidR="002046A0">
        <w:rPr>
          <w:noProof/>
          <w:color w:val="000000"/>
          <w:highlight w:val="black"/>
        </w:rPr>
        <w:t>'''''''' '''''' '''''' ''''''''''' '''''''' ''''' ''''''''''''''''''''</w:t>
      </w:r>
      <w:r w:rsidRPr="00F05153">
        <w:t xml:space="preserve"> (</w:t>
      </w:r>
      <w:r w:rsidR="00B21201" w:rsidRPr="00F05153">
        <w:t>ARD</w:t>
      </w:r>
      <w:r w:rsidR="00DB6ACB" w:rsidRPr="00F05153">
        <w:t> </w:t>
      </w:r>
      <w:r w:rsidRPr="00F05153">
        <w:t>=</w:t>
      </w:r>
      <w:r w:rsidR="00DB6ACB" w:rsidRPr="00F05153">
        <w:t> </w:t>
      </w:r>
      <w:r w:rsidR="002046A0">
        <w:rPr>
          <w:noProof/>
          <w:color w:val="000000"/>
          <w:highlight w:val="black"/>
        </w:rPr>
        <w:t>'''''''''''' '''''''' '''' '''''''''''' '''''''' '''''''''''''''''''</w:t>
      </w:r>
      <w:r w:rsidRPr="00F05153">
        <w:t xml:space="preserve">. Among patients with WHO FC III/IV PAH, </w:t>
      </w:r>
      <w:r w:rsidR="002046A0">
        <w:rPr>
          <w:noProof/>
          <w:color w:val="000000"/>
          <w:highlight w:val="black"/>
        </w:rPr>
        <w:t xml:space="preserve">''' </w:t>
      </w:r>
      <w:r w:rsidRPr="00F05153">
        <w:t xml:space="preserve">need to be treated with </w:t>
      </w:r>
      <w:r w:rsidR="002046A0">
        <w:rPr>
          <w:noProof/>
          <w:color w:val="000000"/>
          <w:highlight w:val="black"/>
        </w:rPr>
        <w:t>'''''''' ''''''''''''''''''' '''''''' '''''''' ''''''''''''''''''''''''' ''''''''''''''''</w:t>
      </w:r>
      <w:r w:rsidRPr="00F05153">
        <w:t xml:space="preserve"> for one additional patient to improve in WHO FC compared with </w:t>
      </w:r>
      <w:r w:rsidR="002046A0">
        <w:rPr>
          <w:noProof/>
          <w:color w:val="000000"/>
          <w:highlight w:val="black"/>
        </w:rPr>
        <w:t>''''''' '''''''''''''''''''''''''</w:t>
      </w:r>
      <w:r w:rsidRPr="00F05153">
        <w:t xml:space="preserve">, and </w:t>
      </w:r>
      <w:r w:rsidR="002046A0">
        <w:rPr>
          <w:noProof/>
          <w:color w:val="000000"/>
          <w:highlight w:val="black"/>
        </w:rPr>
        <w:t>'''''</w:t>
      </w:r>
      <w:r w:rsidRPr="00F05153">
        <w:t xml:space="preserve"> to prevent worsening of WHO FC in one additional patient.</w:t>
      </w:r>
    </w:p>
    <w:p w:rsidR="0075777C" w:rsidRPr="00F05153" w:rsidRDefault="00272F8F" w:rsidP="00BC5A2B">
      <w:pPr>
        <w:pStyle w:val="Caption"/>
      </w:pPr>
      <w:bookmarkStart w:id="279" w:name="_Ref504657445"/>
      <w:bookmarkStart w:id="280" w:name="_Toc38360390"/>
      <w:r w:rsidRPr="00F05153">
        <w:t>Table 4.</w:t>
      </w:r>
      <w:r w:rsidR="003951FA">
        <w:rPr>
          <w:noProof/>
        </w:rPr>
        <w:t>93</w:t>
      </w:r>
      <w:bookmarkEnd w:id="279"/>
      <w:r w:rsidR="00DB5599" w:rsidRPr="00F05153">
        <w:tab/>
      </w:r>
      <w:r w:rsidR="0075777C" w:rsidRPr="00F05153">
        <w:t xml:space="preserve">The effectiveness of </w:t>
      </w:r>
      <w:r w:rsidR="00E35EDB" w:rsidRPr="00F05153">
        <w:t xml:space="preserve">a sGC stimulator </w:t>
      </w:r>
      <w:r w:rsidR="007E59EC" w:rsidRPr="00F05153">
        <w:t xml:space="preserve">in addition to an ERA compared with ERA monotherapy </w:t>
      </w:r>
      <w:r w:rsidR="0075777C" w:rsidRPr="00F05153">
        <w:t>in improving WHO FC in patients with WHO FC III/IV PAH</w:t>
      </w:r>
      <w:bookmarkEnd w:id="280"/>
    </w:p>
    <w:tbl>
      <w:tblPr>
        <w:tblStyle w:val="TableGrid7"/>
        <w:tblW w:w="9634" w:type="dxa"/>
        <w:tblLayout w:type="fixed"/>
        <w:tblLook w:val="04A0" w:firstRow="1" w:lastRow="0" w:firstColumn="1" w:lastColumn="0" w:noHBand="0" w:noVBand="1"/>
        <w:tblCaption w:val="The effectiveness of a sGC stimulator in addition to an ERA compared with ERA monotherapy in improving WHO FC in patients with WHO FC III/IV PAH"/>
      </w:tblPr>
      <w:tblGrid>
        <w:gridCol w:w="1696"/>
        <w:gridCol w:w="1701"/>
        <w:gridCol w:w="1985"/>
        <w:gridCol w:w="1984"/>
        <w:gridCol w:w="2268"/>
      </w:tblGrid>
      <w:tr w:rsidR="0075777C" w:rsidRPr="00F05153" w:rsidTr="00DB5599">
        <w:trPr>
          <w:trHeight w:val="281"/>
          <w:tblHeader/>
        </w:trPr>
        <w:tc>
          <w:tcPr>
            <w:tcW w:w="1696" w:type="dxa"/>
            <w:vMerge w:val="restart"/>
            <w:shd w:val="clear" w:color="auto" w:fill="BFBFBF" w:themeFill="background1" w:themeFillShade="BF"/>
          </w:tcPr>
          <w:p w:rsidR="0075777C" w:rsidRPr="00F05153" w:rsidRDefault="0075777C" w:rsidP="00DB5599">
            <w:pPr>
              <w:pStyle w:val="Tabletext"/>
              <w:rPr>
                <w:b/>
              </w:rPr>
            </w:pPr>
            <w:r w:rsidRPr="00F05153">
              <w:rPr>
                <w:b/>
              </w:rPr>
              <w:t>Study ID</w:t>
            </w:r>
          </w:p>
          <w:p w:rsidR="00E35EDB" w:rsidRPr="00F05153" w:rsidRDefault="00E35EDB" w:rsidP="00DB5599">
            <w:pPr>
              <w:pStyle w:val="Tabletext"/>
              <w:rPr>
                <w:b/>
              </w:rPr>
            </w:pPr>
            <w:r w:rsidRPr="00F05153">
              <w:rPr>
                <w:b/>
              </w:rPr>
              <w:t>sGC stimulator</w:t>
            </w:r>
          </w:p>
        </w:tc>
        <w:tc>
          <w:tcPr>
            <w:tcW w:w="1701" w:type="dxa"/>
            <w:vMerge w:val="restart"/>
            <w:shd w:val="clear" w:color="auto" w:fill="BFBFBF" w:themeFill="background1" w:themeFillShade="BF"/>
          </w:tcPr>
          <w:p w:rsidR="0075777C" w:rsidRPr="00F05153" w:rsidRDefault="0075777C" w:rsidP="00DB5599">
            <w:pPr>
              <w:pStyle w:val="Tabletext"/>
              <w:rPr>
                <w:b/>
              </w:rPr>
            </w:pPr>
            <w:r w:rsidRPr="00F05153">
              <w:rPr>
                <w:b/>
              </w:rPr>
              <w:t>Change in WHO FC</w:t>
            </w:r>
          </w:p>
        </w:tc>
        <w:tc>
          <w:tcPr>
            <w:tcW w:w="3969" w:type="dxa"/>
            <w:gridSpan w:val="2"/>
            <w:shd w:val="clear" w:color="auto" w:fill="BFBFBF" w:themeFill="background1" w:themeFillShade="BF"/>
          </w:tcPr>
          <w:p w:rsidR="0075777C" w:rsidRPr="00F05153" w:rsidRDefault="0075777C" w:rsidP="00DB5599">
            <w:pPr>
              <w:pStyle w:val="Tabletext"/>
              <w:jc w:val="center"/>
              <w:rPr>
                <w:b/>
              </w:rPr>
            </w:pPr>
            <w:proofErr w:type="gramStart"/>
            <w:r w:rsidRPr="00F05153">
              <w:rPr>
                <w:b/>
              </w:rPr>
              <w:t>n/N</w:t>
            </w:r>
            <w:proofErr w:type="gramEnd"/>
            <w:r w:rsidRPr="00F05153">
              <w:rPr>
                <w:b/>
              </w:rPr>
              <w:t xml:space="preserve"> (%)</w:t>
            </w:r>
          </w:p>
        </w:tc>
        <w:tc>
          <w:tcPr>
            <w:tcW w:w="2268" w:type="dxa"/>
            <w:vMerge w:val="restart"/>
            <w:shd w:val="clear" w:color="auto" w:fill="BFBFBF" w:themeFill="background1" w:themeFillShade="BF"/>
          </w:tcPr>
          <w:p w:rsidR="0075777C" w:rsidRPr="00F05153" w:rsidRDefault="0075777C" w:rsidP="00DB5599">
            <w:pPr>
              <w:pStyle w:val="Tabletext"/>
              <w:rPr>
                <w:b/>
              </w:rPr>
            </w:pPr>
            <w:r w:rsidRPr="00F05153">
              <w:rPr>
                <w:b/>
              </w:rPr>
              <w:t>RR (95% CI)</w:t>
            </w:r>
          </w:p>
        </w:tc>
      </w:tr>
      <w:tr w:rsidR="0075777C" w:rsidRPr="00F05153" w:rsidTr="00DB5599">
        <w:trPr>
          <w:trHeight w:val="202"/>
          <w:tblHeader/>
        </w:trPr>
        <w:tc>
          <w:tcPr>
            <w:tcW w:w="1696" w:type="dxa"/>
            <w:vMerge/>
            <w:shd w:val="clear" w:color="auto" w:fill="BFBFBF" w:themeFill="background1" w:themeFillShade="BF"/>
          </w:tcPr>
          <w:p w:rsidR="0075777C" w:rsidRPr="00F05153" w:rsidRDefault="0075777C" w:rsidP="00DB5599">
            <w:pPr>
              <w:pStyle w:val="Tabletext"/>
            </w:pPr>
          </w:p>
        </w:tc>
        <w:tc>
          <w:tcPr>
            <w:tcW w:w="1701" w:type="dxa"/>
            <w:vMerge/>
            <w:shd w:val="clear" w:color="auto" w:fill="BFBFBF" w:themeFill="background1" w:themeFillShade="BF"/>
          </w:tcPr>
          <w:p w:rsidR="0075777C" w:rsidRPr="00F05153" w:rsidRDefault="0075777C" w:rsidP="00DB5599">
            <w:pPr>
              <w:pStyle w:val="Tabletext"/>
            </w:pPr>
          </w:p>
        </w:tc>
        <w:tc>
          <w:tcPr>
            <w:tcW w:w="1985" w:type="dxa"/>
            <w:shd w:val="clear" w:color="auto" w:fill="BFBFBF" w:themeFill="background1" w:themeFillShade="BF"/>
          </w:tcPr>
          <w:p w:rsidR="0075777C" w:rsidRPr="00F05153" w:rsidRDefault="00E35EDB" w:rsidP="00DB5599">
            <w:pPr>
              <w:pStyle w:val="Tabletext"/>
              <w:jc w:val="center"/>
              <w:rPr>
                <w:b/>
              </w:rPr>
            </w:pPr>
            <w:r w:rsidRPr="00F05153">
              <w:rPr>
                <w:b/>
              </w:rPr>
              <w:t xml:space="preserve">sGC stimulator </w:t>
            </w:r>
            <w:r w:rsidR="0075777C" w:rsidRPr="00F05153">
              <w:rPr>
                <w:b/>
              </w:rPr>
              <w:t>+ ERA</w:t>
            </w:r>
          </w:p>
        </w:tc>
        <w:tc>
          <w:tcPr>
            <w:tcW w:w="1984" w:type="dxa"/>
            <w:shd w:val="clear" w:color="auto" w:fill="BFBFBF" w:themeFill="background1" w:themeFillShade="BF"/>
          </w:tcPr>
          <w:p w:rsidR="0075777C" w:rsidRPr="00F05153" w:rsidRDefault="0075777C" w:rsidP="00DB5599">
            <w:pPr>
              <w:pStyle w:val="Tabletext"/>
              <w:jc w:val="center"/>
              <w:rPr>
                <w:b/>
              </w:rPr>
            </w:pPr>
            <w:r w:rsidRPr="00F05153">
              <w:rPr>
                <w:b/>
              </w:rPr>
              <w:t>ERA</w:t>
            </w:r>
          </w:p>
        </w:tc>
        <w:tc>
          <w:tcPr>
            <w:tcW w:w="2268" w:type="dxa"/>
            <w:vMerge/>
            <w:shd w:val="clear" w:color="auto" w:fill="BFBFBF" w:themeFill="background1" w:themeFillShade="BF"/>
          </w:tcPr>
          <w:p w:rsidR="0075777C" w:rsidRPr="00F05153" w:rsidRDefault="0075777C" w:rsidP="00DB5599">
            <w:pPr>
              <w:pStyle w:val="Tabletext"/>
            </w:pPr>
          </w:p>
        </w:tc>
      </w:tr>
      <w:tr w:rsidR="0075777C" w:rsidRPr="00F05153" w:rsidTr="00DB5599">
        <w:trPr>
          <w:trHeight w:val="70"/>
        </w:trPr>
        <w:tc>
          <w:tcPr>
            <w:tcW w:w="1696" w:type="dxa"/>
            <w:vMerge w:val="restart"/>
          </w:tcPr>
          <w:p w:rsidR="0075777C" w:rsidRPr="00F05153" w:rsidRDefault="0075777C" w:rsidP="00DB5599">
            <w:pPr>
              <w:pStyle w:val="Tabletext"/>
              <w:rPr>
                <w:rFonts w:cs="Tahoma"/>
              </w:rPr>
            </w:pPr>
            <w:r w:rsidRPr="00F05153">
              <w:rPr>
                <w:rFonts w:cs="Tahoma"/>
              </w:rPr>
              <w:t>PATENT-1</w:t>
            </w:r>
            <w:r w:rsidRPr="00F05153">
              <w:rPr>
                <w:rFonts w:cs="Tahoma"/>
                <w:vertAlign w:val="superscript"/>
              </w:rPr>
              <w:t>a</w:t>
            </w:r>
            <w:r w:rsidRPr="00F05153">
              <w:rPr>
                <w:rFonts w:cs="Tahoma"/>
              </w:rPr>
              <w:t xml:space="preserve"> CSR</w:t>
            </w:r>
          </w:p>
          <w:p w:rsidR="00E35EDB" w:rsidRPr="00F05153" w:rsidRDefault="00E35EDB" w:rsidP="00DB5599">
            <w:pPr>
              <w:pStyle w:val="Tabletext"/>
              <w:rPr>
                <w:rFonts w:cs="Tahoma"/>
              </w:rPr>
            </w:pPr>
            <w:r w:rsidRPr="00F05153">
              <w:t>Riociguat</w:t>
            </w:r>
          </w:p>
        </w:tc>
        <w:tc>
          <w:tcPr>
            <w:tcW w:w="1701" w:type="dxa"/>
          </w:tcPr>
          <w:p w:rsidR="0075777C" w:rsidRPr="00F05153" w:rsidRDefault="0075777C" w:rsidP="00DB5599">
            <w:pPr>
              <w:pStyle w:val="Tabletext"/>
              <w:rPr>
                <w:rFonts w:cs="Tahoma"/>
              </w:rPr>
            </w:pPr>
            <w:r w:rsidRPr="00F05153">
              <w:rPr>
                <w:rFonts w:cs="Tahoma"/>
              </w:rPr>
              <w:t>Improved</w:t>
            </w:r>
          </w:p>
        </w:tc>
        <w:tc>
          <w:tcPr>
            <w:tcW w:w="1985" w:type="dxa"/>
            <w:shd w:val="clear" w:color="auto" w:fill="auto"/>
          </w:tcPr>
          <w:p w:rsidR="0075777C" w:rsidRPr="002046A0" w:rsidRDefault="002046A0" w:rsidP="00DB5599">
            <w:pPr>
              <w:pStyle w:val="Tabletext"/>
              <w:jc w:val="center"/>
              <w:rPr>
                <w:rFonts w:cs="Tahoma"/>
                <w:highlight w:val="black"/>
              </w:rPr>
            </w:pPr>
            <w:r>
              <w:rPr>
                <w:rFonts w:cs="Tahoma"/>
                <w:noProof/>
                <w:color w:val="000000"/>
                <w:highlight w:val="black"/>
              </w:rPr>
              <w:t>'''''''''''''' '''''''''''''</w:t>
            </w:r>
          </w:p>
        </w:tc>
        <w:tc>
          <w:tcPr>
            <w:tcW w:w="1984" w:type="dxa"/>
            <w:shd w:val="clear" w:color="auto" w:fill="auto"/>
          </w:tcPr>
          <w:p w:rsidR="0075777C" w:rsidRPr="002046A0" w:rsidRDefault="002046A0" w:rsidP="00DB5599">
            <w:pPr>
              <w:pStyle w:val="Tabletext"/>
              <w:jc w:val="center"/>
              <w:rPr>
                <w:rFonts w:cs="Tahoma"/>
                <w:highlight w:val="black"/>
              </w:rPr>
            </w:pPr>
            <w:r>
              <w:rPr>
                <w:rFonts w:cs="Tahoma"/>
                <w:noProof/>
                <w:color w:val="000000"/>
                <w:highlight w:val="black"/>
              </w:rPr>
              <w:t>''''''''''' '''''''''''''</w:t>
            </w:r>
          </w:p>
        </w:tc>
        <w:tc>
          <w:tcPr>
            <w:tcW w:w="2268" w:type="dxa"/>
            <w:shd w:val="clear" w:color="auto" w:fill="auto"/>
          </w:tcPr>
          <w:p w:rsidR="0075777C" w:rsidRPr="002046A0" w:rsidRDefault="002046A0" w:rsidP="00DB5599">
            <w:pPr>
              <w:pStyle w:val="Tabletext"/>
              <w:rPr>
                <w:rFonts w:cs="Tahoma"/>
                <w:highlight w:val="black"/>
              </w:rPr>
            </w:pPr>
            <w:r>
              <w:rPr>
                <w:rFonts w:cs="Tahoma"/>
                <w:noProof/>
                <w:color w:val="000000"/>
                <w:highlight w:val="black"/>
              </w:rPr>
              <w:t>''''''''''' ''''''''''''''' '''''''''''''</w:t>
            </w:r>
          </w:p>
        </w:tc>
      </w:tr>
      <w:tr w:rsidR="0075777C" w:rsidRPr="00F05153" w:rsidTr="00DB5599">
        <w:trPr>
          <w:trHeight w:val="70"/>
        </w:trPr>
        <w:tc>
          <w:tcPr>
            <w:tcW w:w="1696" w:type="dxa"/>
            <w:vMerge/>
          </w:tcPr>
          <w:p w:rsidR="0075777C" w:rsidRPr="00F05153" w:rsidRDefault="0075777C" w:rsidP="00DB5599">
            <w:pPr>
              <w:pStyle w:val="Tabletext"/>
              <w:rPr>
                <w:rFonts w:cs="Tahoma"/>
              </w:rPr>
            </w:pPr>
          </w:p>
        </w:tc>
        <w:tc>
          <w:tcPr>
            <w:tcW w:w="1701" w:type="dxa"/>
          </w:tcPr>
          <w:p w:rsidR="0075777C" w:rsidRPr="00F05153" w:rsidRDefault="0075777C" w:rsidP="00DB5599">
            <w:pPr>
              <w:pStyle w:val="Tabletext"/>
              <w:rPr>
                <w:rFonts w:cs="Tahoma"/>
              </w:rPr>
            </w:pPr>
            <w:r w:rsidRPr="00F05153">
              <w:rPr>
                <w:rFonts w:cs="Tahoma"/>
              </w:rPr>
              <w:t>Worsened</w:t>
            </w:r>
          </w:p>
        </w:tc>
        <w:tc>
          <w:tcPr>
            <w:tcW w:w="1985" w:type="dxa"/>
            <w:shd w:val="clear" w:color="auto" w:fill="auto"/>
          </w:tcPr>
          <w:p w:rsidR="0075777C" w:rsidRPr="002046A0" w:rsidRDefault="002046A0" w:rsidP="00DB5599">
            <w:pPr>
              <w:pStyle w:val="Tabletext"/>
              <w:jc w:val="center"/>
              <w:rPr>
                <w:rFonts w:cs="Tahoma"/>
                <w:highlight w:val="black"/>
              </w:rPr>
            </w:pPr>
            <w:r>
              <w:rPr>
                <w:rFonts w:cs="Tahoma"/>
                <w:noProof/>
                <w:color w:val="000000"/>
                <w:highlight w:val="black"/>
              </w:rPr>
              <w:t>'''''''''' ''''''''''''</w:t>
            </w:r>
          </w:p>
        </w:tc>
        <w:tc>
          <w:tcPr>
            <w:tcW w:w="1984" w:type="dxa"/>
            <w:shd w:val="clear" w:color="auto" w:fill="auto"/>
          </w:tcPr>
          <w:p w:rsidR="0075777C" w:rsidRPr="002046A0" w:rsidRDefault="002046A0" w:rsidP="00DB5599">
            <w:pPr>
              <w:pStyle w:val="Tabletext"/>
              <w:jc w:val="center"/>
              <w:rPr>
                <w:rFonts w:cs="Tahoma"/>
                <w:highlight w:val="black"/>
              </w:rPr>
            </w:pPr>
            <w:r>
              <w:rPr>
                <w:rFonts w:cs="Tahoma"/>
                <w:noProof/>
                <w:color w:val="000000"/>
                <w:highlight w:val="black"/>
              </w:rPr>
              <w:t>''''''''''' '''''''''''''</w:t>
            </w:r>
          </w:p>
        </w:tc>
        <w:tc>
          <w:tcPr>
            <w:tcW w:w="2268" w:type="dxa"/>
            <w:shd w:val="clear" w:color="auto" w:fill="auto"/>
          </w:tcPr>
          <w:p w:rsidR="0075777C" w:rsidRPr="002046A0" w:rsidRDefault="002046A0" w:rsidP="00DB5599">
            <w:pPr>
              <w:pStyle w:val="Tabletext"/>
              <w:rPr>
                <w:rFonts w:cs="Tahoma"/>
                <w:highlight w:val="black"/>
              </w:rPr>
            </w:pPr>
            <w:r>
              <w:rPr>
                <w:rFonts w:cs="Tahoma"/>
                <w:noProof/>
                <w:color w:val="000000"/>
                <w:highlight w:val="black"/>
              </w:rPr>
              <w:t>''' ''''''''' '''''''''''''''''''''''''''</w:t>
            </w:r>
          </w:p>
        </w:tc>
      </w:tr>
    </w:tbl>
    <w:p w:rsidR="0075777C" w:rsidRPr="00F05153" w:rsidRDefault="0075777C" w:rsidP="00DB5599">
      <w:pPr>
        <w:pStyle w:val="Tablenote"/>
      </w:pPr>
      <w:proofErr w:type="gramStart"/>
      <w:r w:rsidRPr="00F05153">
        <w:rPr>
          <w:vertAlign w:val="superscript"/>
        </w:rPr>
        <w:t>a</w:t>
      </w:r>
      <w:proofErr w:type="gramEnd"/>
      <w:r w:rsidRPr="00F05153">
        <w:t xml:space="preserve"> 14% of patients had background </w:t>
      </w:r>
      <w:r w:rsidR="0017012F" w:rsidRPr="00F05153">
        <w:t>prostanoid</w:t>
      </w:r>
      <w:r w:rsidRPr="00F05153">
        <w:t xml:space="preserve"> therapy</w:t>
      </w:r>
    </w:p>
    <w:p w:rsidR="0075777C" w:rsidRPr="00F05153" w:rsidRDefault="0075777C" w:rsidP="00DB5599">
      <w:pPr>
        <w:pStyle w:val="Tablenote"/>
      </w:pPr>
      <w:r w:rsidRPr="00F05153">
        <w:t xml:space="preserve">CI = confidence interval; CSR = clinical study report; ERA = endothelin receptor antagonist; FC = functional class; n = number of </w:t>
      </w:r>
      <w:r w:rsidR="00DC16A3" w:rsidRPr="00F05153">
        <w:t xml:space="preserve">patients with </w:t>
      </w:r>
      <w:r w:rsidRPr="00F05153">
        <w:t xml:space="preserve">events; N = number of patients; PAH = pulmonary arterial hypertension; RR = relative risk; </w:t>
      </w:r>
      <w:r w:rsidR="009B47AA" w:rsidRPr="00F05153">
        <w:t xml:space="preserve">sGC = soluble guanylate cyclase stimulator; </w:t>
      </w:r>
      <w:r w:rsidRPr="00F05153">
        <w:t>WHO = World Health Organization</w:t>
      </w:r>
    </w:p>
    <w:p w:rsidR="0075777C" w:rsidRPr="00F05153" w:rsidRDefault="00761752" w:rsidP="0075777C">
      <w:pPr>
        <w:pStyle w:val="Heading5"/>
      </w:pPr>
      <w:r w:rsidRPr="00F05153">
        <w:t>e</w:t>
      </w:r>
      <w:r w:rsidR="002E4833" w:rsidRPr="00F05153">
        <w:t>.</w:t>
      </w:r>
      <w:r w:rsidRPr="00F05153">
        <w:tab/>
      </w:r>
      <w:r w:rsidR="0075777C" w:rsidRPr="00F05153">
        <w:t xml:space="preserve">Change in 6MWD from baseline </w:t>
      </w:r>
    </w:p>
    <w:p w:rsidR="0075777C" w:rsidRPr="00F05153" w:rsidRDefault="00761752" w:rsidP="0077344D">
      <w:pPr>
        <w:pStyle w:val="Heading6"/>
      </w:pPr>
      <w:proofErr w:type="gramStart"/>
      <w:r w:rsidRPr="00F05153">
        <w:t>e</w:t>
      </w:r>
      <w:r w:rsidR="0075777C" w:rsidRPr="00F05153">
        <w:t>.i</w:t>
      </w:r>
      <w:proofErr w:type="gramEnd"/>
      <w:r w:rsidR="0075777C" w:rsidRPr="00F05153">
        <w:tab/>
        <w:t>PAH patients, irrespective of disease severity or aetiology</w:t>
      </w:r>
    </w:p>
    <w:p w:rsidR="0075777C" w:rsidRPr="00F05153" w:rsidRDefault="0075777C" w:rsidP="00FB0A80">
      <w:pPr>
        <w:spacing w:before="0" w:line="240" w:lineRule="auto"/>
      </w:pPr>
      <w:r w:rsidRPr="00F05153">
        <w:t xml:space="preserve">There was </w:t>
      </w:r>
      <w:r w:rsidR="002046A0">
        <w:rPr>
          <w:noProof/>
          <w:color w:val="000000"/>
          <w:highlight w:val="black"/>
        </w:rPr>
        <w:t>''' ''''''''''' '''''''''''''''''''''''''''</w:t>
      </w:r>
      <w:r w:rsidRPr="00F05153">
        <w:t xml:space="preserve"> in the 6MWD for patients receiving combination therapy (</w:t>
      </w:r>
      <w:r w:rsidR="00FB0A80" w:rsidRPr="00F05153">
        <w:t>Table 4.94</w:t>
      </w:r>
      <w:r w:rsidRPr="00F05153">
        <w:t xml:space="preserve">), whereas the 6MWD for patients receiving monotherapy </w:t>
      </w:r>
      <w:r w:rsidR="002046A0">
        <w:rPr>
          <w:noProof/>
          <w:color w:val="000000"/>
          <w:highlight w:val="black"/>
        </w:rPr>
        <w:t>''''''' ''''''' ''''''''''''''</w:t>
      </w:r>
      <w:r w:rsidRPr="00F05153">
        <w:t xml:space="preserve">. However, the improvement was </w:t>
      </w:r>
      <w:r w:rsidR="002046A0">
        <w:rPr>
          <w:noProof/>
          <w:color w:val="000000"/>
          <w:highlight w:val="black"/>
        </w:rPr>
        <w:t>'''''' ''''''''''''''''' ''''''''''''''''''''' ''''''''' '''''''''' ''''' ''''</w:t>
      </w:r>
      <w:r w:rsidRPr="00F05153">
        <w:t>, see Section 4.</w:t>
      </w:r>
      <w:r w:rsidR="0002253F" w:rsidRPr="00F05153">
        <w:t>3.5</w:t>
      </w:r>
      <w:r w:rsidRPr="00F05153">
        <w:t>).</w:t>
      </w:r>
    </w:p>
    <w:p w:rsidR="00A50F9E" w:rsidRDefault="00A50F9E">
      <w:pPr>
        <w:spacing w:before="0" w:line="240" w:lineRule="auto"/>
        <w:rPr>
          <w:b/>
          <w:iCs/>
          <w:szCs w:val="18"/>
        </w:rPr>
      </w:pPr>
      <w:bookmarkStart w:id="281" w:name="_Ref504657488"/>
      <w:bookmarkStart w:id="282" w:name="_Toc38360391"/>
      <w:r>
        <w:br w:type="page"/>
      </w:r>
    </w:p>
    <w:p w:rsidR="0075777C" w:rsidRPr="00F05153" w:rsidRDefault="00272F8F" w:rsidP="00BC5A2B">
      <w:pPr>
        <w:pStyle w:val="Caption"/>
      </w:pPr>
      <w:r w:rsidRPr="00F05153">
        <w:t>Table 4.</w:t>
      </w:r>
      <w:r w:rsidR="003951FA">
        <w:rPr>
          <w:noProof/>
        </w:rPr>
        <w:t>94</w:t>
      </w:r>
      <w:bookmarkEnd w:id="281"/>
      <w:r w:rsidR="00DB5599" w:rsidRPr="00F05153">
        <w:tab/>
      </w:r>
      <w:r w:rsidR="0075777C" w:rsidRPr="00F05153">
        <w:t xml:space="preserve">The effectiveness of </w:t>
      </w:r>
      <w:r w:rsidR="00E35EDB" w:rsidRPr="00F05153">
        <w:t xml:space="preserve">a sGC stimulator </w:t>
      </w:r>
      <w:r w:rsidR="007E59EC" w:rsidRPr="00F05153">
        <w:t xml:space="preserve">in addition to an ERA compared with ERA monotherapy </w:t>
      </w:r>
      <w:r w:rsidR="0075777C" w:rsidRPr="00F05153">
        <w:t>in improving 6MWD in all PAH patients</w:t>
      </w:r>
      <w:bookmarkEnd w:id="282"/>
    </w:p>
    <w:tbl>
      <w:tblPr>
        <w:tblStyle w:val="TableGrid"/>
        <w:tblW w:w="0" w:type="auto"/>
        <w:tblLook w:val="04A0" w:firstRow="1" w:lastRow="0" w:firstColumn="1" w:lastColumn="0" w:noHBand="0" w:noVBand="1"/>
        <w:tblCaption w:val="The effectiveness of a sGC stimulator in addition to an ERA compared with ERA monotherapy in improving 6MWD in all PAH patients"/>
      </w:tblPr>
      <w:tblGrid>
        <w:gridCol w:w="1271"/>
        <w:gridCol w:w="851"/>
        <w:gridCol w:w="1701"/>
        <w:gridCol w:w="1275"/>
        <w:gridCol w:w="1843"/>
        <w:gridCol w:w="1276"/>
        <w:gridCol w:w="1276"/>
      </w:tblGrid>
      <w:tr w:rsidR="0075777C" w:rsidRPr="00F05153" w:rsidTr="009B47AA">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75777C" w:rsidRPr="00F05153" w:rsidRDefault="0075777C" w:rsidP="00DB5599">
            <w:pPr>
              <w:pStyle w:val="Tabletext"/>
              <w:rPr>
                <w:b/>
              </w:rPr>
            </w:pPr>
            <w:r w:rsidRPr="00F05153">
              <w:rPr>
                <w:b/>
              </w:rPr>
              <w:t>Study ID</w:t>
            </w:r>
          </w:p>
          <w:p w:rsidR="00E35EDB" w:rsidRPr="00F05153" w:rsidRDefault="00E35EDB" w:rsidP="00DB5599">
            <w:pPr>
              <w:pStyle w:val="Tabletext"/>
              <w:rPr>
                <w:b/>
              </w:rPr>
            </w:pPr>
            <w:r w:rsidRPr="00F05153">
              <w:rPr>
                <w:b/>
              </w:rPr>
              <w:t>sGC stimulator</w:t>
            </w:r>
          </w:p>
        </w:tc>
        <w:tc>
          <w:tcPr>
            <w:tcW w:w="851" w:type="dxa"/>
            <w:vMerge w:val="restart"/>
            <w:shd w:val="clear" w:color="auto" w:fill="BFBFBF" w:themeFill="background1" w:themeFillShade="BF"/>
          </w:tcPr>
          <w:p w:rsidR="0075777C" w:rsidRPr="00F05153" w:rsidRDefault="0075777C" w:rsidP="00DB5599">
            <w:pPr>
              <w:pStyle w:val="Tabletext"/>
              <w:rPr>
                <w:b/>
              </w:rPr>
            </w:pPr>
            <w:r w:rsidRPr="00F05153">
              <w:rPr>
                <w:b/>
              </w:rPr>
              <w:t>N</w:t>
            </w:r>
          </w:p>
          <w:p w:rsidR="0075777C" w:rsidRPr="00F05153" w:rsidRDefault="0075777C" w:rsidP="00DB5599">
            <w:pPr>
              <w:pStyle w:val="Tabletext"/>
              <w:rPr>
                <w:b/>
              </w:rPr>
            </w:pPr>
            <w:r w:rsidRPr="00F05153">
              <w:rPr>
                <w:b/>
              </w:rPr>
              <w:t>Time point</w:t>
            </w:r>
          </w:p>
        </w:tc>
        <w:tc>
          <w:tcPr>
            <w:tcW w:w="2976" w:type="dxa"/>
            <w:gridSpan w:val="2"/>
            <w:shd w:val="clear" w:color="auto" w:fill="BFBFBF" w:themeFill="background1" w:themeFillShade="BF"/>
          </w:tcPr>
          <w:p w:rsidR="0075777C" w:rsidRPr="00F05153" w:rsidRDefault="00E35EDB" w:rsidP="00E35EDB">
            <w:pPr>
              <w:pStyle w:val="Tabletext"/>
              <w:jc w:val="center"/>
              <w:rPr>
                <w:b/>
              </w:rPr>
            </w:pPr>
            <w:r w:rsidRPr="00F05153">
              <w:rPr>
                <w:b/>
              </w:rPr>
              <w:t>Mean ± SD b</w:t>
            </w:r>
            <w:r w:rsidR="0075777C" w:rsidRPr="00F05153">
              <w:rPr>
                <w:b/>
              </w:rPr>
              <w:t>aseline</w:t>
            </w:r>
            <w:r w:rsidRPr="00F05153">
              <w:rPr>
                <w:b/>
              </w:rPr>
              <w:t xml:space="preserve"> 6MWD</w:t>
            </w:r>
            <w:r w:rsidR="0075777C" w:rsidRPr="00F05153">
              <w:rPr>
                <w:b/>
              </w:rPr>
              <w:t xml:space="preserve">, </w:t>
            </w:r>
            <w:r w:rsidR="00503643">
              <w:rPr>
                <w:b/>
              </w:rPr>
              <w:t>metres</w:t>
            </w:r>
          </w:p>
        </w:tc>
        <w:tc>
          <w:tcPr>
            <w:tcW w:w="3119" w:type="dxa"/>
            <w:gridSpan w:val="2"/>
            <w:shd w:val="clear" w:color="auto" w:fill="BFBFBF" w:themeFill="background1" w:themeFillShade="BF"/>
          </w:tcPr>
          <w:p w:rsidR="0075777C" w:rsidRPr="00F05153" w:rsidRDefault="0075777C" w:rsidP="00E35EDB">
            <w:pPr>
              <w:pStyle w:val="Tabletext"/>
              <w:jc w:val="center"/>
              <w:rPr>
                <w:b/>
              </w:rPr>
            </w:pPr>
            <w:r w:rsidRPr="00F05153">
              <w:rPr>
                <w:b/>
              </w:rPr>
              <w:t>Mean</w:t>
            </w:r>
            <w:r w:rsidR="00E35EDB" w:rsidRPr="00F05153">
              <w:rPr>
                <w:b/>
              </w:rPr>
              <w:t xml:space="preserve"> ± SD</w:t>
            </w:r>
            <w:r w:rsidRPr="00F05153">
              <w:rPr>
                <w:b/>
              </w:rPr>
              <w:t xml:space="preserve"> change from baseline, </w:t>
            </w:r>
            <w:r w:rsidR="00503643">
              <w:rPr>
                <w:b/>
              </w:rPr>
              <w:t>metres</w:t>
            </w:r>
          </w:p>
        </w:tc>
        <w:tc>
          <w:tcPr>
            <w:tcW w:w="1276" w:type="dxa"/>
            <w:vMerge w:val="restart"/>
            <w:shd w:val="clear" w:color="auto" w:fill="BFBFBF" w:themeFill="background1" w:themeFillShade="BF"/>
          </w:tcPr>
          <w:p w:rsidR="0075777C" w:rsidRPr="00F05153" w:rsidRDefault="0075777C" w:rsidP="00DB5599">
            <w:pPr>
              <w:pStyle w:val="Tabletext"/>
              <w:rPr>
                <w:b/>
              </w:rPr>
            </w:pPr>
            <w:r w:rsidRPr="00F05153">
              <w:rPr>
                <w:b/>
              </w:rPr>
              <w:t>Mean difference</w:t>
            </w:r>
            <w:r w:rsidR="002449DC">
              <w:rPr>
                <w:b/>
              </w:rPr>
              <w:t xml:space="preserve"> </w:t>
            </w:r>
            <w:r w:rsidRPr="00F05153">
              <w:rPr>
                <w:b/>
              </w:rPr>
              <w:t xml:space="preserve">(95% CI), </w:t>
            </w:r>
            <w:r w:rsidR="00503643">
              <w:rPr>
                <w:b/>
              </w:rPr>
              <w:t>metres</w:t>
            </w:r>
          </w:p>
        </w:tc>
      </w:tr>
      <w:tr w:rsidR="0075777C" w:rsidRPr="00F05153" w:rsidTr="009B47AA">
        <w:tc>
          <w:tcPr>
            <w:tcW w:w="1271" w:type="dxa"/>
            <w:vMerge/>
          </w:tcPr>
          <w:p w:rsidR="0075777C" w:rsidRPr="00F05153" w:rsidRDefault="0075777C" w:rsidP="00DB5599">
            <w:pPr>
              <w:pStyle w:val="Tabletext"/>
            </w:pPr>
          </w:p>
        </w:tc>
        <w:tc>
          <w:tcPr>
            <w:tcW w:w="851" w:type="dxa"/>
            <w:vMerge/>
          </w:tcPr>
          <w:p w:rsidR="0075777C" w:rsidRPr="00F05153" w:rsidRDefault="0075777C" w:rsidP="00DB5599">
            <w:pPr>
              <w:pStyle w:val="Tabletext"/>
            </w:pPr>
          </w:p>
        </w:tc>
        <w:tc>
          <w:tcPr>
            <w:tcW w:w="1701" w:type="dxa"/>
            <w:shd w:val="clear" w:color="auto" w:fill="BFBFBF" w:themeFill="background1" w:themeFillShade="BF"/>
          </w:tcPr>
          <w:p w:rsidR="0075777C" w:rsidRPr="00F05153" w:rsidRDefault="00E35EDB" w:rsidP="00E35EDB">
            <w:pPr>
              <w:pStyle w:val="Tabletext"/>
              <w:jc w:val="center"/>
              <w:rPr>
                <w:b/>
              </w:rPr>
            </w:pPr>
            <w:r w:rsidRPr="00F05153">
              <w:rPr>
                <w:b/>
              </w:rPr>
              <w:t xml:space="preserve">sGC stimulator </w:t>
            </w:r>
            <w:r w:rsidR="0075777C" w:rsidRPr="00F05153">
              <w:rPr>
                <w:b/>
              </w:rPr>
              <w:t>+ ERA</w:t>
            </w:r>
          </w:p>
        </w:tc>
        <w:tc>
          <w:tcPr>
            <w:tcW w:w="1275" w:type="dxa"/>
            <w:shd w:val="clear" w:color="auto" w:fill="BFBFBF" w:themeFill="background1" w:themeFillShade="BF"/>
          </w:tcPr>
          <w:p w:rsidR="0075777C" w:rsidRPr="00F05153" w:rsidRDefault="0075777C" w:rsidP="00E35EDB">
            <w:pPr>
              <w:pStyle w:val="Tabletext"/>
              <w:jc w:val="center"/>
              <w:rPr>
                <w:b/>
              </w:rPr>
            </w:pPr>
            <w:r w:rsidRPr="00F05153">
              <w:rPr>
                <w:b/>
              </w:rPr>
              <w:t>ERA</w:t>
            </w:r>
          </w:p>
        </w:tc>
        <w:tc>
          <w:tcPr>
            <w:tcW w:w="1843" w:type="dxa"/>
            <w:shd w:val="clear" w:color="auto" w:fill="BFBFBF" w:themeFill="background1" w:themeFillShade="BF"/>
          </w:tcPr>
          <w:p w:rsidR="0075777C" w:rsidRPr="00F05153" w:rsidRDefault="00E35EDB" w:rsidP="00E35EDB">
            <w:pPr>
              <w:pStyle w:val="Tabletext"/>
              <w:jc w:val="center"/>
              <w:rPr>
                <w:b/>
              </w:rPr>
            </w:pPr>
            <w:r w:rsidRPr="00F05153">
              <w:rPr>
                <w:b/>
              </w:rPr>
              <w:t xml:space="preserve">sGC stimulator </w:t>
            </w:r>
            <w:r w:rsidR="0075777C" w:rsidRPr="00F05153">
              <w:rPr>
                <w:b/>
              </w:rPr>
              <w:t>+ ERA</w:t>
            </w:r>
          </w:p>
        </w:tc>
        <w:tc>
          <w:tcPr>
            <w:tcW w:w="1276" w:type="dxa"/>
            <w:shd w:val="clear" w:color="auto" w:fill="BFBFBF" w:themeFill="background1" w:themeFillShade="BF"/>
          </w:tcPr>
          <w:p w:rsidR="0075777C" w:rsidRPr="00F05153" w:rsidRDefault="0075777C" w:rsidP="00E35EDB">
            <w:pPr>
              <w:pStyle w:val="Tabletext"/>
              <w:jc w:val="center"/>
              <w:rPr>
                <w:b/>
              </w:rPr>
            </w:pPr>
            <w:r w:rsidRPr="00F05153">
              <w:rPr>
                <w:b/>
              </w:rPr>
              <w:t>ERA</w:t>
            </w:r>
          </w:p>
        </w:tc>
        <w:tc>
          <w:tcPr>
            <w:tcW w:w="1276" w:type="dxa"/>
            <w:vMerge/>
          </w:tcPr>
          <w:p w:rsidR="0075777C" w:rsidRPr="00F05153" w:rsidRDefault="0075777C" w:rsidP="00DB5599">
            <w:pPr>
              <w:pStyle w:val="Tabletext"/>
            </w:pPr>
          </w:p>
        </w:tc>
      </w:tr>
      <w:tr w:rsidR="0075777C" w:rsidRPr="00F05153" w:rsidTr="009B47AA">
        <w:tc>
          <w:tcPr>
            <w:tcW w:w="1271" w:type="dxa"/>
          </w:tcPr>
          <w:p w:rsidR="0075777C" w:rsidRPr="00F05153" w:rsidRDefault="0075777C" w:rsidP="00DB5599">
            <w:pPr>
              <w:pStyle w:val="Tabletext"/>
              <w:rPr>
                <w:rFonts w:cs="Tahoma"/>
              </w:rPr>
            </w:pPr>
            <w:r w:rsidRPr="00F05153">
              <w:rPr>
                <w:rFonts w:cs="Tahoma"/>
              </w:rPr>
              <w:t>PATENT-1 CSR</w:t>
            </w:r>
          </w:p>
          <w:p w:rsidR="00E35EDB" w:rsidRPr="00F05153" w:rsidRDefault="00E35EDB" w:rsidP="00DB5599">
            <w:pPr>
              <w:pStyle w:val="Tabletext"/>
            </w:pPr>
            <w:r w:rsidRPr="00F05153">
              <w:t>Riociguat</w:t>
            </w:r>
          </w:p>
        </w:tc>
        <w:tc>
          <w:tcPr>
            <w:tcW w:w="851" w:type="dxa"/>
          </w:tcPr>
          <w:p w:rsidR="0075777C" w:rsidRPr="00F05153" w:rsidRDefault="0075777C" w:rsidP="00DB5599">
            <w:pPr>
              <w:pStyle w:val="Tabletext"/>
              <w:rPr>
                <w:rFonts w:cs="Tahoma"/>
              </w:rPr>
            </w:pPr>
            <w:r w:rsidRPr="00F05153">
              <w:rPr>
                <w:rFonts w:cs="Tahoma"/>
              </w:rPr>
              <w:t>N=167</w:t>
            </w:r>
          </w:p>
          <w:p w:rsidR="0075777C" w:rsidRPr="00F05153" w:rsidRDefault="0075777C" w:rsidP="00DB5599">
            <w:pPr>
              <w:pStyle w:val="Tabletext"/>
            </w:pPr>
            <w:r w:rsidRPr="00F05153">
              <w:rPr>
                <w:rFonts w:cs="Tahoma"/>
              </w:rPr>
              <w:t>Week 12</w:t>
            </w:r>
          </w:p>
        </w:tc>
        <w:tc>
          <w:tcPr>
            <w:tcW w:w="1701" w:type="dxa"/>
          </w:tcPr>
          <w:p w:rsidR="0075777C" w:rsidRPr="002046A0" w:rsidRDefault="002046A0" w:rsidP="00E35EDB">
            <w:pPr>
              <w:pStyle w:val="Tabletext"/>
              <w:jc w:val="center"/>
              <w:rPr>
                <w:highlight w:val="black"/>
              </w:rPr>
            </w:pPr>
            <w:r>
              <w:rPr>
                <w:rFonts w:cs="Tahoma"/>
                <w:noProof/>
                <w:color w:val="000000"/>
                <w:highlight w:val="black"/>
              </w:rPr>
              <w:t>'''''''''''' ''' ''''''''''</w:t>
            </w:r>
          </w:p>
        </w:tc>
        <w:tc>
          <w:tcPr>
            <w:tcW w:w="1275" w:type="dxa"/>
          </w:tcPr>
          <w:p w:rsidR="0075777C" w:rsidRPr="002046A0" w:rsidRDefault="002046A0" w:rsidP="00E35EDB">
            <w:pPr>
              <w:pStyle w:val="Tabletext"/>
              <w:jc w:val="center"/>
              <w:rPr>
                <w:highlight w:val="black"/>
              </w:rPr>
            </w:pPr>
            <w:r>
              <w:rPr>
                <w:rFonts w:cs="Tahoma"/>
                <w:noProof/>
                <w:color w:val="000000"/>
                <w:highlight w:val="black"/>
              </w:rPr>
              <w:t>'''''''''''''' '''' ''''''''''''</w:t>
            </w:r>
          </w:p>
        </w:tc>
        <w:tc>
          <w:tcPr>
            <w:tcW w:w="1843" w:type="dxa"/>
          </w:tcPr>
          <w:p w:rsidR="0075777C" w:rsidRPr="002046A0" w:rsidRDefault="002046A0" w:rsidP="00E35EDB">
            <w:pPr>
              <w:pStyle w:val="Tabletext"/>
              <w:jc w:val="center"/>
              <w:rPr>
                <w:highlight w:val="black"/>
              </w:rPr>
            </w:pPr>
            <w:r>
              <w:rPr>
                <w:rFonts w:cs="Tahoma"/>
                <w:noProof/>
                <w:color w:val="000000"/>
                <w:highlight w:val="black"/>
              </w:rPr>
              <w:t>''''''''''' ''' '''''''''''</w:t>
            </w:r>
          </w:p>
        </w:tc>
        <w:tc>
          <w:tcPr>
            <w:tcW w:w="1276" w:type="dxa"/>
          </w:tcPr>
          <w:p w:rsidR="0075777C" w:rsidRPr="002046A0" w:rsidRDefault="002046A0" w:rsidP="00E35EDB">
            <w:pPr>
              <w:pStyle w:val="Tabletext"/>
              <w:jc w:val="center"/>
              <w:rPr>
                <w:highlight w:val="black"/>
              </w:rPr>
            </w:pPr>
            <w:r>
              <w:rPr>
                <w:rFonts w:cs="Tahoma"/>
                <w:noProof/>
                <w:color w:val="000000"/>
                <w:highlight w:val="black"/>
              </w:rPr>
              <w:t>'''''''''''' ''' ''''''''''''</w:t>
            </w:r>
          </w:p>
        </w:tc>
        <w:tc>
          <w:tcPr>
            <w:tcW w:w="1276" w:type="dxa"/>
          </w:tcPr>
          <w:p w:rsidR="0075777C" w:rsidRPr="002046A0" w:rsidRDefault="002046A0" w:rsidP="00DB5599">
            <w:pPr>
              <w:pStyle w:val="Tabletext"/>
              <w:rPr>
                <w:highlight w:val="black"/>
              </w:rPr>
            </w:pPr>
            <w:r>
              <w:rPr>
                <w:rFonts w:cs="Tahoma"/>
                <w:noProof/>
                <w:color w:val="000000"/>
                <w:highlight w:val="black"/>
              </w:rPr>
              <w:t>''''''''''' ''''''''''' '''''''''''</w:t>
            </w:r>
          </w:p>
        </w:tc>
      </w:tr>
    </w:tbl>
    <w:p w:rsidR="0075777C" w:rsidRPr="00F05153" w:rsidRDefault="0075777C" w:rsidP="00C41039">
      <w:pPr>
        <w:pStyle w:val="Tablenote"/>
      </w:pPr>
      <w:r w:rsidRPr="00F05153">
        <w:t xml:space="preserve">6MWD = 6-minute </w:t>
      </w:r>
      <w:r w:rsidR="0082368E" w:rsidRPr="00F05153">
        <w:t>walk distance</w:t>
      </w:r>
      <w:r w:rsidRPr="00F05153">
        <w:t>; CI = confidence interval; CSR = clinical study report; ERA = endothelin receptor antagonist; N = number of patients; PAH = pulmonary arterial hypertension</w:t>
      </w:r>
      <w:r w:rsidR="009B47AA" w:rsidRPr="00F05153">
        <w:t>; sGC = solub</w:t>
      </w:r>
      <w:r w:rsidR="00074B5F" w:rsidRPr="00F05153">
        <w:t>le guanylate cyclase stimulator</w:t>
      </w:r>
    </w:p>
    <w:p w:rsidR="0075777C" w:rsidRPr="00F05153" w:rsidRDefault="00761752" w:rsidP="0077344D">
      <w:pPr>
        <w:pStyle w:val="Heading6"/>
      </w:pPr>
      <w:proofErr w:type="gramStart"/>
      <w:r w:rsidRPr="00F05153">
        <w:t>e</w:t>
      </w:r>
      <w:r w:rsidR="0075777C" w:rsidRPr="00F05153">
        <w:t>.ii</w:t>
      </w:r>
      <w:proofErr w:type="gramEnd"/>
      <w:r w:rsidR="0075777C" w:rsidRPr="00F05153">
        <w:tab/>
        <w:t>PAH patients with FC III or IV</w:t>
      </w:r>
    </w:p>
    <w:p w:rsidR="0075777C" w:rsidRPr="00F05153" w:rsidRDefault="0075777C" w:rsidP="000D6945">
      <w:pPr>
        <w:spacing w:before="0" w:line="240" w:lineRule="auto"/>
      </w:pPr>
      <w:r w:rsidRPr="00F05153">
        <w:t xml:space="preserve">There was </w:t>
      </w:r>
      <w:r w:rsidR="002046A0">
        <w:rPr>
          <w:noProof/>
          <w:color w:val="000000"/>
          <w:highlight w:val="black"/>
        </w:rPr>
        <w:t>''' '''''''''' '''''''''''''''''''''''''''' ''''' ''''' ''''</w:t>
      </w:r>
      <w:r w:rsidRPr="00F05153">
        <w:t xml:space="preserve"> in the 6MWD for patients with WHO FC III/IV PAH receiving combination therapy (</w:t>
      </w:r>
      <w:r w:rsidR="000D6945" w:rsidRPr="00F05153">
        <w:t>Table 4.95</w:t>
      </w:r>
      <w:r w:rsidRPr="00F05153">
        <w:t xml:space="preserve">), and </w:t>
      </w:r>
      <w:r w:rsidR="002046A0">
        <w:rPr>
          <w:noProof/>
          <w:color w:val="000000"/>
          <w:highlight w:val="black"/>
        </w:rPr>
        <w:t>''''' '''''''''''''' ''''''''' ''''''''''''''' '''' ''''' ''''</w:t>
      </w:r>
      <w:r w:rsidRPr="00F05153">
        <w:t xml:space="preserve"> for patients receiving monotherapy. Thus, </w:t>
      </w:r>
      <w:r w:rsidR="002046A0">
        <w:rPr>
          <w:noProof/>
          <w:color w:val="000000"/>
          <w:highlight w:val="black"/>
        </w:rPr>
        <w:t>'''''' '''''''''' ''''''''''''''''''' '''' '''''' ''''</w:t>
      </w:r>
      <w:r w:rsidRPr="00F05153">
        <w:t xml:space="preserve"> improvement in 6MWD for patients receiving combination therapy compared to those on monotherapy </w:t>
      </w:r>
      <w:r w:rsidR="002046A0">
        <w:rPr>
          <w:noProof/>
          <w:color w:val="000000"/>
          <w:highlight w:val="black"/>
        </w:rPr>
        <w:t>'''''''' '''''''''''''' '''''''''''''''''</w:t>
      </w:r>
      <w:r w:rsidRPr="00F05153">
        <w:t>.</w:t>
      </w:r>
    </w:p>
    <w:p w:rsidR="0075777C" w:rsidRPr="00F05153" w:rsidRDefault="00272F8F" w:rsidP="00BC5A2B">
      <w:pPr>
        <w:pStyle w:val="Caption"/>
      </w:pPr>
      <w:bookmarkStart w:id="283" w:name="_Ref504657508"/>
      <w:bookmarkStart w:id="284" w:name="_Toc38360392"/>
      <w:r w:rsidRPr="00F05153">
        <w:t>Table 4.</w:t>
      </w:r>
      <w:r w:rsidR="003951FA">
        <w:rPr>
          <w:noProof/>
        </w:rPr>
        <w:t>95</w:t>
      </w:r>
      <w:bookmarkEnd w:id="283"/>
      <w:r w:rsidR="00C41039" w:rsidRPr="00F05153">
        <w:tab/>
      </w:r>
      <w:r w:rsidR="0075777C" w:rsidRPr="00F05153">
        <w:t xml:space="preserve">The effectiveness of </w:t>
      </w:r>
      <w:r w:rsidR="00E35EDB" w:rsidRPr="00F05153">
        <w:t xml:space="preserve">a sGC stimulator </w:t>
      </w:r>
      <w:r w:rsidR="007E59EC" w:rsidRPr="00F05153">
        <w:t xml:space="preserve">in addition to an ERA compared with ERA monotherapy </w:t>
      </w:r>
      <w:r w:rsidR="0075777C" w:rsidRPr="00F05153">
        <w:t>in improving 6MWD in patients with WHO FC III/IV PAH</w:t>
      </w:r>
      <w:bookmarkEnd w:id="284"/>
    </w:p>
    <w:tbl>
      <w:tblPr>
        <w:tblStyle w:val="TableGrid"/>
        <w:tblW w:w="9634" w:type="dxa"/>
        <w:tblLook w:val="04A0" w:firstRow="1" w:lastRow="0" w:firstColumn="1" w:lastColumn="0" w:noHBand="0" w:noVBand="1"/>
        <w:tblCaption w:val="The effectiveness of a sGC stimulator in addition to an ERA compared with ERA monotherapy in improving 6MWD in patients with WHO FC III/IV PAH"/>
      </w:tblPr>
      <w:tblGrid>
        <w:gridCol w:w="1271"/>
        <w:gridCol w:w="992"/>
        <w:gridCol w:w="1701"/>
        <w:gridCol w:w="1205"/>
        <w:gridCol w:w="1772"/>
        <w:gridCol w:w="1276"/>
        <w:gridCol w:w="1417"/>
      </w:tblGrid>
      <w:tr w:rsidR="0075777C" w:rsidRPr="00F05153" w:rsidTr="00E35EDB">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75777C" w:rsidRPr="00F05153" w:rsidRDefault="0075777C" w:rsidP="00DB5599">
            <w:pPr>
              <w:pStyle w:val="Tabletext"/>
              <w:rPr>
                <w:b/>
              </w:rPr>
            </w:pPr>
            <w:r w:rsidRPr="00F05153">
              <w:rPr>
                <w:b/>
              </w:rPr>
              <w:t>Study ID</w:t>
            </w:r>
          </w:p>
          <w:p w:rsidR="00E35EDB" w:rsidRPr="00F05153" w:rsidRDefault="00E35EDB" w:rsidP="00DB5599">
            <w:pPr>
              <w:pStyle w:val="Tabletext"/>
              <w:rPr>
                <w:b/>
              </w:rPr>
            </w:pPr>
            <w:r w:rsidRPr="00F05153">
              <w:rPr>
                <w:b/>
              </w:rPr>
              <w:t>sGC stimulator</w:t>
            </w:r>
          </w:p>
        </w:tc>
        <w:tc>
          <w:tcPr>
            <w:tcW w:w="992" w:type="dxa"/>
            <w:vMerge w:val="restart"/>
            <w:shd w:val="clear" w:color="auto" w:fill="BFBFBF" w:themeFill="background1" w:themeFillShade="BF"/>
          </w:tcPr>
          <w:p w:rsidR="0075777C" w:rsidRPr="00F05153" w:rsidRDefault="0075777C" w:rsidP="00DB5599">
            <w:pPr>
              <w:pStyle w:val="Tabletext"/>
              <w:rPr>
                <w:b/>
              </w:rPr>
            </w:pPr>
            <w:r w:rsidRPr="00F05153">
              <w:rPr>
                <w:b/>
              </w:rPr>
              <w:t>N</w:t>
            </w:r>
          </w:p>
          <w:p w:rsidR="0075777C" w:rsidRPr="00F05153" w:rsidRDefault="0075777C" w:rsidP="00DB5599">
            <w:pPr>
              <w:pStyle w:val="Tabletext"/>
              <w:rPr>
                <w:b/>
              </w:rPr>
            </w:pPr>
            <w:r w:rsidRPr="00F05153">
              <w:rPr>
                <w:b/>
              </w:rPr>
              <w:t>Time point</w:t>
            </w:r>
          </w:p>
        </w:tc>
        <w:tc>
          <w:tcPr>
            <w:tcW w:w="2906" w:type="dxa"/>
            <w:gridSpan w:val="2"/>
            <w:shd w:val="clear" w:color="auto" w:fill="BFBFBF" w:themeFill="background1" w:themeFillShade="BF"/>
          </w:tcPr>
          <w:p w:rsidR="0075777C" w:rsidRPr="00F05153" w:rsidRDefault="00E35EDB" w:rsidP="00E35EDB">
            <w:pPr>
              <w:pStyle w:val="Tabletext"/>
              <w:jc w:val="center"/>
              <w:rPr>
                <w:b/>
              </w:rPr>
            </w:pPr>
            <w:r w:rsidRPr="00F05153">
              <w:rPr>
                <w:b/>
              </w:rPr>
              <w:t>Mean ± SD b</w:t>
            </w:r>
            <w:r w:rsidR="0075777C" w:rsidRPr="00F05153">
              <w:rPr>
                <w:b/>
              </w:rPr>
              <w:t>aseline</w:t>
            </w:r>
            <w:r w:rsidRPr="00F05153">
              <w:rPr>
                <w:b/>
              </w:rPr>
              <w:t xml:space="preserve"> 6MWD</w:t>
            </w:r>
            <w:r w:rsidR="0075777C" w:rsidRPr="00F05153">
              <w:rPr>
                <w:b/>
              </w:rPr>
              <w:t xml:space="preserve">, </w:t>
            </w:r>
            <w:r w:rsidR="00503643">
              <w:rPr>
                <w:b/>
              </w:rPr>
              <w:t>metres</w:t>
            </w:r>
          </w:p>
        </w:tc>
        <w:tc>
          <w:tcPr>
            <w:tcW w:w="3048" w:type="dxa"/>
            <w:gridSpan w:val="2"/>
            <w:shd w:val="clear" w:color="auto" w:fill="BFBFBF" w:themeFill="background1" w:themeFillShade="BF"/>
          </w:tcPr>
          <w:p w:rsidR="0075777C" w:rsidRPr="00F05153" w:rsidRDefault="0075777C" w:rsidP="00E35EDB">
            <w:pPr>
              <w:pStyle w:val="Tabletext"/>
              <w:jc w:val="center"/>
              <w:rPr>
                <w:b/>
              </w:rPr>
            </w:pPr>
            <w:r w:rsidRPr="00F05153">
              <w:rPr>
                <w:b/>
              </w:rPr>
              <w:t xml:space="preserve">Mean </w:t>
            </w:r>
            <w:r w:rsidR="00E35EDB" w:rsidRPr="00F05153">
              <w:rPr>
                <w:b/>
              </w:rPr>
              <w:t xml:space="preserve">± SD </w:t>
            </w:r>
            <w:r w:rsidRPr="00F05153">
              <w:rPr>
                <w:b/>
              </w:rPr>
              <w:t xml:space="preserve">change from baseline, </w:t>
            </w:r>
            <w:r w:rsidR="00503643">
              <w:rPr>
                <w:b/>
              </w:rPr>
              <w:t>metres</w:t>
            </w:r>
          </w:p>
        </w:tc>
        <w:tc>
          <w:tcPr>
            <w:tcW w:w="1417" w:type="dxa"/>
            <w:vMerge w:val="restart"/>
            <w:shd w:val="clear" w:color="auto" w:fill="BFBFBF" w:themeFill="background1" w:themeFillShade="BF"/>
          </w:tcPr>
          <w:p w:rsidR="0075777C" w:rsidRPr="00F05153" w:rsidRDefault="0075777C" w:rsidP="00DB5599">
            <w:pPr>
              <w:pStyle w:val="Tabletext"/>
              <w:rPr>
                <w:b/>
              </w:rPr>
            </w:pPr>
            <w:r w:rsidRPr="00F05153">
              <w:rPr>
                <w:b/>
              </w:rPr>
              <w:t>M</w:t>
            </w:r>
            <w:r w:rsidR="00E35EDB" w:rsidRPr="00F05153">
              <w:rPr>
                <w:b/>
              </w:rPr>
              <w:t xml:space="preserve">ean difference </w:t>
            </w:r>
            <w:r w:rsidRPr="00F05153">
              <w:rPr>
                <w:b/>
              </w:rPr>
              <w:t xml:space="preserve">(95% CI), </w:t>
            </w:r>
            <w:r w:rsidR="00503643">
              <w:rPr>
                <w:b/>
              </w:rPr>
              <w:t>metres</w:t>
            </w:r>
          </w:p>
        </w:tc>
      </w:tr>
      <w:tr w:rsidR="0075777C" w:rsidRPr="00F05153" w:rsidTr="00E35EDB">
        <w:tc>
          <w:tcPr>
            <w:tcW w:w="1271" w:type="dxa"/>
            <w:vMerge/>
          </w:tcPr>
          <w:p w:rsidR="0075777C" w:rsidRPr="00F05153" w:rsidRDefault="0075777C" w:rsidP="00DB5599">
            <w:pPr>
              <w:pStyle w:val="Tabletext"/>
            </w:pPr>
          </w:p>
        </w:tc>
        <w:tc>
          <w:tcPr>
            <w:tcW w:w="992" w:type="dxa"/>
            <w:vMerge/>
          </w:tcPr>
          <w:p w:rsidR="0075777C" w:rsidRPr="00F05153" w:rsidRDefault="0075777C" w:rsidP="00DB5599">
            <w:pPr>
              <w:pStyle w:val="Tabletext"/>
            </w:pPr>
          </w:p>
        </w:tc>
        <w:tc>
          <w:tcPr>
            <w:tcW w:w="1701" w:type="dxa"/>
            <w:shd w:val="clear" w:color="auto" w:fill="BFBFBF" w:themeFill="background1" w:themeFillShade="BF"/>
          </w:tcPr>
          <w:p w:rsidR="0075777C" w:rsidRPr="00F05153" w:rsidRDefault="00E35EDB" w:rsidP="00C41039">
            <w:pPr>
              <w:pStyle w:val="Tabletext"/>
              <w:jc w:val="center"/>
              <w:rPr>
                <w:b/>
              </w:rPr>
            </w:pPr>
            <w:r w:rsidRPr="00F05153">
              <w:rPr>
                <w:b/>
              </w:rPr>
              <w:t xml:space="preserve">sGC stimulator </w:t>
            </w:r>
            <w:r w:rsidR="0075777C" w:rsidRPr="00F05153">
              <w:rPr>
                <w:b/>
              </w:rPr>
              <w:t>+ ERA</w:t>
            </w:r>
          </w:p>
        </w:tc>
        <w:tc>
          <w:tcPr>
            <w:tcW w:w="1205" w:type="dxa"/>
            <w:shd w:val="clear" w:color="auto" w:fill="BFBFBF" w:themeFill="background1" w:themeFillShade="BF"/>
          </w:tcPr>
          <w:p w:rsidR="0075777C" w:rsidRPr="00F05153" w:rsidRDefault="0075777C" w:rsidP="00C41039">
            <w:pPr>
              <w:pStyle w:val="Tabletext"/>
              <w:jc w:val="center"/>
              <w:rPr>
                <w:b/>
              </w:rPr>
            </w:pPr>
            <w:r w:rsidRPr="00F05153">
              <w:rPr>
                <w:b/>
              </w:rPr>
              <w:t>ERA</w:t>
            </w:r>
          </w:p>
        </w:tc>
        <w:tc>
          <w:tcPr>
            <w:tcW w:w="1772" w:type="dxa"/>
            <w:shd w:val="clear" w:color="auto" w:fill="BFBFBF" w:themeFill="background1" w:themeFillShade="BF"/>
          </w:tcPr>
          <w:p w:rsidR="0075777C" w:rsidRPr="00F05153" w:rsidRDefault="00E35EDB" w:rsidP="00C41039">
            <w:pPr>
              <w:pStyle w:val="Tabletext"/>
              <w:jc w:val="center"/>
              <w:rPr>
                <w:b/>
              </w:rPr>
            </w:pPr>
            <w:r w:rsidRPr="00F05153">
              <w:rPr>
                <w:b/>
              </w:rPr>
              <w:t xml:space="preserve">sGC stimulator </w:t>
            </w:r>
            <w:r w:rsidR="0075777C" w:rsidRPr="00F05153">
              <w:rPr>
                <w:b/>
              </w:rPr>
              <w:t>+ ERA</w:t>
            </w:r>
          </w:p>
        </w:tc>
        <w:tc>
          <w:tcPr>
            <w:tcW w:w="1276" w:type="dxa"/>
            <w:shd w:val="clear" w:color="auto" w:fill="BFBFBF" w:themeFill="background1" w:themeFillShade="BF"/>
          </w:tcPr>
          <w:p w:rsidR="0075777C" w:rsidRPr="00F05153" w:rsidRDefault="0075777C" w:rsidP="00C41039">
            <w:pPr>
              <w:pStyle w:val="Tabletext"/>
              <w:jc w:val="center"/>
              <w:rPr>
                <w:b/>
              </w:rPr>
            </w:pPr>
            <w:r w:rsidRPr="00F05153">
              <w:rPr>
                <w:b/>
              </w:rPr>
              <w:t>ERA</w:t>
            </w:r>
          </w:p>
        </w:tc>
        <w:tc>
          <w:tcPr>
            <w:tcW w:w="1417" w:type="dxa"/>
            <w:vMerge/>
          </w:tcPr>
          <w:p w:rsidR="0075777C" w:rsidRPr="00F05153" w:rsidRDefault="0075777C" w:rsidP="00DB5599">
            <w:pPr>
              <w:pStyle w:val="Tabletext"/>
            </w:pPr>
          </w:p>
        </w:tc>
      </w:tr>
      <w:tr w:rsidR="0075777C" w:rsidRPr="00F05153" w:rsidTr="00E35EDB">
        <w:tc>
          <w:tcPr>
            <w:tcW w:w="1271" w:type="dxa"/>
          </w:tcPr>
          <w:p w:rsidR="0075777C" w:rsidRPr="00F05153" w:rsidRDefault="0075777C" w:rsidP="00DB5599">
            <w:pPr>
              <w:pStyle w:val="Tabletext"/>
              <w:rPr>
                <w:rFonts w:cs="Tahoma"/>
              </w:rPr>
            </w:pPr>
            <w:r w:rsidRPr="00F05153">
              <w:rPr>
                <w:rFonts w:cs="Tahoma"/>
              </w:rPr>
              <w:t>PATENT-1</w:t>
            </w:r>
            <w:r w:rsidRPr="00F05153">
              <w:rPr>
                <w:rFonts w:cs="Tahoma"/>
                <w:vertAlign w:val="superscript"/>
              </w:rPr>
              <w:t>a</w:t>
            </w:r>
            <w:r w:rsidRPr="00F05153">
              <w:rPr>
                <w:rFonts w:cs="Tahoma"/>
              </w:rPr>
              <w:t xml:space="preserve"> CSR</w:t>
            </w:r>
          </w:p>
          <w:p w:rsidR="00E35EDB" w:rsidRPr="00F05153" w:rsidRDefault="00E35EDB" w:rsidP="00DB5599">
            <w:pPr>
              <w:pStyle w:val="Tabletext"/>
            </w:pPr>
            <w:r w:rsidRPr="00F05153">
              <w:t>Riociguat</w:t>
            </w:r>
          </w:p>
        </w:tc>
        <w:tc>
          <w:tcPr>
            <w:tcW w:w="992" w:type="dxa"/>
          </w:tcPr>
          <w:p w:rsidR="0075777C" w:rsidRPr="00F05153" w:rsidRDefault="0075777C" w:rsidP="00DB5599">
            <w:pPr>
              <w:pStyle w:val="Tabletext"/>
              <w:rPr>
                <w:rFonts w:cs="Tahoma"/>
              </w:rPr>
            </w:pPr>
            <w:r w:rsidRPr="00F05153">
              <w:rPr>
                <w:rFonts w:cs="Tahoma"/>
              </w:rPr>
              <w:t>N=1</w:t>
            </w:r>
            <w:r w:rsidR="002600D5" w:rsidRPr="00F05153">
              <w:rPr>
                <w:rFonts w:cs="Tahoma"/>
              </w:rPr>
              <w:t>20</w:t>
            </w:r>
          </w:p>
          <w:p w:rsidR="0075777C" w:rsidRPr="00F05153" w:rsidRDefault="0075777C" w:rsidP="00DB5599">
            <w:pPr>
              <w:pStyle w:val="Tabletext"/>
            </w:pPr>
            <w:r w:rsidRPr="00F05153">
              <w:rPr>
                <w:rFonts w:cs="Tahoma"/>
              </w:rPr>
              <w:t>Week 12</w:t>
            </w:r>
          </w:p>
        </w:tc>
        <w:tc>
          <w:tcPr>
            <w:tcW w:w="1701" w:type="dxa"/>
          </w:tcPr>
          <w:p w:rsidR="0075777C" w:rsidRPr="002046A0" w:rsidRDefault="002046A0" w:rsidP="0032616B">
            <w:pPr>
              <w:pStyle w:val="Tabletext"/>
              <w:jc w:val="center"/>
              <w:rPr>
                <w:highlight w:val="black"/>
              </w:rPr>
            </w:pPr>
            <w:r>
              <w:rPr>
                <w:rFonts w:cs="Tahoma"/>
                <w:noProof/>
                <w:color w:val="000000"/>
                <w:highlight w:val="black"/>
              </w:rPr>
              <w:t>''''''''''''' ''' ''''''''''</w:t>
            </w:r>
          </w:p>
        </w:tc>
        <w:tc>
          <w:tcPr>
            <w:tcW w:w="1205" w:type="dxa"/>
          </w:tcPr>
          <w:p w:rsidR="0075777C" w:rsidRPr="002046A0" w:rsidRDefault="002046A0" w:rsidP="00C41039">
            <w:pPr>
              <w:pStyle w:val="Tabletext"/>
              <w:jc w:val="center"/>
              <w:rPr>
                <w:highlight w:val="black"/>
              </w:rPr>
            </w:pPr>
            <w:r>
              <w:rPr>
                <w:rFonts w:cs="Tahoma"/>
                <w:noProof/>
                <w:color w:val="000000"/>
                <w:highlight w:val="black"/>
              </w:rPr>
              <w:t>'''''''''''''' ''' '''''''''''</w:t>
            </w:r>
          </w:p>
        </w:tc>
        <w:tc>
          <w:tcPr>
            <w:tcW w:w="1772" w:type="dxa"/>
          </w:tcPr>
          <w:p w:rsidR="0075777C" w:rsidRPr="002046A0" w:rsidRDefault="002046A0" w:rsidP="00C41039">
            <w:pPr>
              <w:pStyle w:val="Tabletext"/>
              <w:jc w:val="center"/>
              <w:rPr>
                <w:highlight w:val="black"/>
              </w:rPr>
            </w:pPr>
            <w:r>
              <w:rPr>
                <w:rFonts w:cs="Tahoma"/>
                <w:noProof/>
                <w:color w:val="000000"/>
                <w:highlight w:val="black"/>
              </w:rPr>
              <w:t>''''''''''' ''' ''''''''''''</w:t>
            </w:r>
          </w:p>
        </w:tc>
        <w:tc>
          <w:tcPr>
            <w:tcW w:w="1276" w:type="dxa"/>
          </w:tcPr>
          <w:p w:rsidR="0075777C" w:rsidRPr="002046A0" w:rsidRDefault="002046A0" w:rsidP="00C41039">
            <w:pPr>
              <w:pStyle w:val="Tabletext"/>
              <w:jc w:val="center"/>
              <w:rPr>
                <w:highlight w:val="black"/>
              </w:rPr>
            </w:pPr>
            <w:r>
              <w:rPr>
                <w:rFonts w:cs="Tahoma"/>
                <w:noProof/>
                <w:color w:val="000000"/>
                <w:highlight w:val="black"/>
              </w:rPr>
              <w:t>''''''''''''' ''' '''''''''''</w:t>
            </w:r>
          </w:p>
        </w:tc>
        <w:tc>
          <w:tcPr>
            <w:tcW w:w="1417" w:type="dxa"/>
          </w:tcPr>
          <w:p w:rsidR="0075777C" w:rsidRPr="002046A0" w:rsidRDefault="002046A0" w:rsidP="0032616B">
            <w:pPr>
              <w:pStyle w:val="Tabletext"/>
              <w:rPr>
                <w:highlight w:val="black"/>
              </w:rPr>
            </w:pPr>
            <w:r>
              <w:rPr>
                <w:rFonts w:cs="Tahoma"/>
                <w:noProof/>
                <w:color w:val="000000"/>
                <w:highlight w:val="black"/>
              </w:rPr>
              <w:t>'''''''''' ''''''''''''' '''''''''''''</w:t>
            </w:r>
          </w:p>
        </w:tc>
      </w:tr>
    </w:tbl>
    <w:p w:rsidR="0075777C" w:rsidRPr="00F05153" w:rsidRDefault="0075777C" w:rsidP="00C41039">
      <w:pPr>
        <w:pStyle w:val="Tablenote"/>
      </w:pPr>
      <w:proofErr w:type="gramStart"/>
      <w:r w:rsidRPr="00F05153">
        <w:rPr>
          <w:vertAlign w:val="superscript"/>
        </w:rPr>
        <w:t>a</w:t>
      </w:r>
      <w:proofErr w:type="gramEnd"/>
      <w:r w:rsidRPr="00F05153">
        <w:t xml:space="preserve"> 14% of patients had background </w:t>
      </w:r>
      <w:r w:rsidR="0017012F" w:rsidRPr="00F05153">
        <w:t>prostanoid</w:t>
      </w:r>
      <w:r w:rsidRPr="00F05153">
        <w:t xml:space="preserve"> therapy</w:t>
      </w:r>
    </w:p>
    <w:p w:rsidR="0075777C" w:rsidRPr="00F05153" w:rsidRDefault="0075777C" w:rsidP="00C41039">
      <w:pPr>
        <w:pStyle w:val="Tablenote"/>
      </w:pPr>
      <w:r w:rsidRPr="00F05153">
        <w:t xml:space="preserve">6MWD = 6-minute </w:t>
      </w:r>
      <w:r w:rsidR="0082368E" w:rsidRPr="00F05153">
        <w:t>walk distance</w:t>
      </w:r>
      <w:r w:rsidRPr="00F05153">
        <w:t xml:space="preserve">; CI = confidence interval; CSR = clinical study report; ERA = endothelin receptor antagonist; FC = functional class; N = number of patients; PAH = pulmonary arterial hypertension; SD = standard deviation; </w:t>
      </w:r>
      <w:r w:rsidR="009B47AA" w:rsidRPr="00F05153">
        <w:t xml:space="preserve">sGC = soluble guanylate cyclase stimulator; </w:t>
      </w:r>
      <w:r w:rsidRPr="00F05153">
        <w:t>WHO = World Health Organization</w:t>
      </w:r>
    </w:p>
    <w:p w:rsidR="0075777C" w:rsidRPr="00F05153" w:rsidRDefault="00761752" w:rsidP="00761752">
      <w:pPr>
        <w:pStyle w:val="Heading5"/>
      </w:pPr>
      <w:r w:rsidRPr="00F05153">
        <w:t>f</w:t>
      </w:r>
      <w:r w:rsidR="002E4833" w:rsidRPr="00F05153">
        <w:t>.</w:t>
      </w:r>
      <w:r w:rsidRPr="00F05153">
        <w:tab/>
        <w:t>Change in QoL from baseline</w:t>
      </w:r>
    </w:p>
    <w:p w:rsidR="0075777C" w:rsidRPr="00F05153" w:rsidRDefault="00761752" w:rsidP="0077344D">
      <w:pPr>
        <w:pStyle w:val="Heading6"/>
      </w:pPr>
      <w:proofErr w:type="gramStart"/>
      <w:r w:rsidRPr="00F05153">
        <w:t>f</w:t>
      </w:r>
      <w:r w:rsidR="0075777C" w:rsidRPr="00F05153">
        <w:t>.i</w:t>
      </w:r>
      <w:proofErr w:type="gramEnd"/>
      <w:r w:rsidR="0075777C" w:rsidRPr="00F05153">
        <w:tab/>
        <w:t>PAH patients, irrespective of disease severity or aetiology</w:t>
      </w:r>
    </w:p>
    <w:p w:rsidR="0075777C" w:rsidRPr="006316DF" w:rsidRDefault="0075777C" w:rsidP="0075777C">
      <w:r w:rsidRPr="00F05153">
        <w:t xml:space="preserve">The self-reported change in health-related QoL of patients receiving combination therapy compared with monotherapy </w:t>
      </w:r>
      <w:proofErr w:type="gramStart"/>
      <w:r w:rsidRPr="00F05153">
        <w:t>was measured</w:t>
      </w:r>
      <w:proofErr w:type="gramEnd"/>
      <w:r w:rsidRPr="00F05153">
        <w:t xml:space="preserve"> using the EQ-5D and LPH questionnaires. Scores for the EQ-5D questionnaire indicated that QoL </w:t>
      </w:r>
      <w:r w:rsidR="002046A0">
        <w:rPr>
          <w:noProof/>
          <w:color w:val="000000"/>
          <w:highlight w:val="black"/>
        </w:rPr>
        <w:t>'''''''''''''''''''' ''''' '''''''''''</w:t>
      </w:r>
      <w:r w:rsidRPr="00F05153">
        <w:t xml:space="preserve"> in the combination therapy group and </w:t>
      </w:r>
      <w:r w:rsidR="002046A0">
        <w:rPr>
          <w:noProof/>
          <w:color w:val="000000"/>
          <w:highlight w:val="black"/>
        </w:rPr>
        <w:t>''''''''''''''''''' ''''' '''''''''''</w:t>
      </w:r>
      <w:r w:rsidRPr="00F05153">
        <w:t xml:space="preserve"> in the monotherapy group (a positive change from baseline denotes improvement;</w:t>
      </w:r>
      <w:r w:rsidR="00C41039" w:rsidRPr="00F05153">
        <w:t xml:space="preserve"> </w:t>
      </w:r>
      <w:r w:rsidR="003951FA">
        <w:t>Table 4.96</w:t>
      </w:r>
      <w:r w:rsidRPr="00F05153">
        <w:t xml:space="preserve">). The mean difference </w:t>
      </w:r>
      <w:r w:rsidR="002046A0">
        <w:rPr>
          <w:noProof/>
          <w:color w:val="000000"/>
          <w:highlight w:val="black"/>
        </w:rPr>
        <w:t>''''' ''''''''''' ''' ''''''''''' '''' ''''' ''''''''''''''''' ''''''''''''''''''''</w:t>
      </w:r>
      <w:r w:rsidRPr="00F05153">
        <w:t xml:space="preserve"> according to previous studies investigating the minimal clinically important change in EQ-5D score in patients with COPD</w:t>
      </w:r>
      <w:r w:rsidR="001D34EE" w:rsidRPr="00F05153">
        <w:rPr>
          <w:noProof/>
          <w:vertAlign w:val="superscript"/>
        </w:rPr>
        <w:t>85</w:t>
      </w:r>
      <w:r w:rsidRPr="00F05153">
        <w:t xml:space="preserve">. The scores for the LPH questionnaire showed an approximate </w:t>
      </w:r>
      <w:r w:rsidR="002046A0">
        <w:rPr>
          <w:noProof/>
          <w:color w:val="000000"/>
          <w:highlight w:val="black"/>
        </w:rPr>
        <w:t>''''''''''''''</w:t>
      </w:r>
      <w:r w:rsidRPr="00F05153">
        <w:t xml:space="preserve"> </w:t>
      </w:r>
      <w:r w:rsidR="002046A0">
        <w:rPr>
          <w:noProof/>
          <w:color w:val="000000"/>
          <w:highlight w:val="black"/>
        </w:rPr>
        <w:t>''''''''''''''''''''''''</w:t>
      </w:r>
      <w:r w:rsidRPr="00F05153">
        <w:t xml:space="preserve"> in QoL in the combination therapy group and a </w:t>
      </w:r>
      <w:r w:rsidR="002046A0">
        <w:rPr>
          <w:noProof/>
          <w:color w:val="000000"/>
          <w:highlight w:val="black"/>
        </w:rPr>
        <w:t>'''''''''''''' ''''''''''''''''''''''''''''</w:t>
      </w:r>
      <w:r w:rsidRPr="00F05153">
        <w:t xml:space="preserve"> in the monotherapy group (a higher score indicates that patients are more affected by their medical condition;</w:t>
      </w:r>
      <w:r w:rsidR="00C41039" w:rsidRPr="00F05153">
        <w:t xml:space="preserve"> </w:t>
      </w:r>
      <w:r w:rsidR="003951FA">
        <w:t>Table 4.96</w:t>
      </w:r>
      <w:r w:rsidRPr="00F05153">
        <w:t>). The minimally important difference for the LPH scale has been previously determined to be 7 points for the total score</w:t>
      </w:r>
      <w:r w:rsidR="001D34EE" w:rsidRPr="00F05153">
        <w:rPr>
          <w:noProof/>
          <w:vertAlign w:val="superscript"/>
        </w:rPr>
        <w:t>83</w:t>
      </w:r>
      <w:r w:rsidRPr="00F05153">
        <w:t xml:space="preserve">. Thus, although there was </w:t>
      </w:r>
      <w:r w:rsidR="002046A0">
        <w:rPr>
          <w:noProof/>
          <w:color w:val="000000"/>
          <w:highlight w:val="black"/>
        </w:rPr>
        <w:t>''' ''''''''''''''' ''''''''''''''''''''</w:t>
      </w:r>
      <w:r w:rsidRPr="00F05153">
        <w:t xml:space="preserve"> </w:t>
      </w:r>
      <w:r w:rsidR="002046A0">
        <w:rPr>
          <w:noProof/>
          <w:color w:val="000000"/>
          <w:highlight w:val="black"/>
        </w:rPr>
        <w:t xml:space="preserve">''''''''''''''''''''''' </w:t>
      </w:r>
      <w:r w:rsidRPr="00F05153">
        <w:t xml:space="preserve">in QoL for the combination therapy group, the difference between the combination therapy group and monotherapy group </w:t>
      </w:r>
      <w:r w:rsidR="002046A0">
        <w:rPr>
          <w:noProof/>
          <w:color w:val="000000"/>
          <w:highlight w:val="black"/>
        </w:rPr>
        <w:t>'''''''' ''''''' '''''''''''''''''' ''''''''''''''''''</w:t>
      </w:r>
      <w:r w:rsidRPr="00F05153">
        <w:t>.</w:t>
      </w:r>
    </w:p>
    <w:p w:rsidR="00D60D8E" w:rsidRDefault="00D60D8E">
      <w:pPr>
        <w:spacing w:before="0" w:line="240" w:lineRule="auto"/>
        <w:rPr>
          <w:b/>
          <w:iCs/>
          <w:szCs w:val="18"/>
        </w:rPr>
      </w:pPr>
      <w:bookmarkStart w:id="285" w:name="_Ref506308757"/>
      <w:bookmarkStart w:id="286" w:name="_Toc38360393"/>
      <w:r>
        <w:br w:type="page"/>
      </w:r>
    </w:p>
    <w:p w:rsidR="0075777C" w:rsidRDefault="00272F8F" w:rsidP="00BC5A2B">
      <w:pPr>
        <w:pStyle w:val="Caption"/>
      </w:pPr>
      <w:r>
        <w:t>Table 4.</w:t>
      </w:r>
      <w:r w:rsidR="003951FA">
        <w:rPr>
          <w:noProof/>
        </w:rPr>
        <w:t>96</w:t>
      </w:r>
      <w:bookmarkEnd w:id="285"/>
      <w:r w:rsidR="00C41039">
        <w:tab/>
      </w:r>
      <w:r w:rsidR="0075777C" w:rsidRPr="00DD7790">
        <w:t xml:space="preserve">The effectiveness of </w:t>
      </w:r>
      <w:r w:rsidR="00E35EDB">
        <w:t xml:space="preserve">a </w:t>
      </w:r>
      <w:r w:rsidR="00E35EDB" w:rsidRPr="00E35EDB">
        <w:t xml:space="preserve">sGC stimulator </w:t>
      </w:r>
      <w:r w:rsidR="007E59EC">
        <w:t>in addition to</w:t>
      </w:r>
      <w:r w:rsidR="007E59EC" w:rsidRPr="00DD7790">
        <w:t xml:space="preserve"> </w:t>
      </w:r>
      <w:r w:rsidR="007E59EC">
        <w:t xml:space="preserve">an </w:t>
      </w:r>
      <w:r w:rsidR="007E59EC" w:rsidRPr="00DD7790">
        <w:t xml:space="preserve">ERA </w:t>
      </w:r>
      <w:r w:rsidR="007E59EC" w:rsidRPr="00AA5E50">
        <w:t xml:space="preserve">compared </w:t>
      </w:r>
      <w:r w:rsidR="007E59EC">
        <w:t>with</w:t>
      </w:r>
      <w:r w:rsidR="007E59EC" w:rsidRPr="00DD7790">
        <w:t xml:space="preserve"> ERA</w:t>
      </w:r>
      <w:r w:rsidR="007E59EC">
        <w:t xml:space="preserve"> monotherapy</w:t>
      </w:r>
      <w:r w:rsidR="007E59EC" w:rsidRPr="00DD7790">
        <w:t xml:space="preserve"> </w:t>
      </w:r>
      <w:r w:rsidR="0075777C" w:rsidRPr="00DD7790">
        <w:t>in improving QoL in all PAH patients</w:t>
      </w:r>
      <w:bookmarkEnd w:id="286"/>
    </w:p>
    <w:tbl>
      <w:tblPr>
        <w:tblStyle w:val="TableGrid"/>
        <w:tblW w:w="9634" w:type="dxa"/>
        <w:tblLook w:val="04A0" w:firstRow="1" w:lastRow="0" w:firstColumn="1" w:lastColumn="0" w:noHBand="0" w:noVBand="1"/>
        <w:tblCaption w:val="The effectiveness of a sGC stimulator in addition to an ERA compared with ERA monotherapy in improving QoL in all PAH patients"/>
      </w:tblPr>
      <w:tblGrid>
        <w:gridCol w:w="1129"/>
        <w:gridCol w:w="851"/>
        <w:gridCol w:w="1843"/>
        <w:gridCol w:w="1275"/>
        <w:gridCol w:w="1843"/>
        <w:gridCol w:w="1418"/>
        <w:gridCol w:w="1275"/>
      </w:tblGrid>
      <w:tr w:rsidR="0075777C" w:rsidRPr="00F05153" w:rsidTr="00FA2050">
        <w:trPr>
          <w:cnfStyle w:val="100000000000" w:firstRow="1" w:lastRow="0" w:firstColumn="0" w:lastColumn="0" w:oddVBand="0" w:evenVBand="0" w:oddHBand="0" w:evenHBand="0" w:firstRowFirstColumn="0" w:firstRowLastColumn="0" w:lastRowFirstColumn="0" w:lastRowLastColumn="0"/>
        </w:trPr>
        <w:tc>
          <w:tcPr>
            <w:tcW w:w="1129" w:type="dxa"/>
            <w:vMerge w:val="restart"/>
            <w:shd w:val="clear" w:color="auto" w:fill="BFBFBF" w:themeFill="background1" w:themeFillShade="BF"/>
          </w:tcPr>
          <w:p w:rsidR="0075777C" w:rsidRPr="00F05153" w:rsidRDefault="0075777C" w:rsidP="00C41039">
            <w:pPr>
              <w:pStyle w:val="Tabletext"/>
              <w:rPr>
                <w:b/>
              </w:rPr>
            </w:pPr>
            <w:r w:rsidRPr="00F05153">
              <w:rPr>
                <w:b/>
              </w:rPr>
              <w:t>Study ID</w:t>
            </w:r>
          </w:p>
          <w:p w:rsidR="00087C8E" w:rsidRPr="00F05153" w:rsidRDefault="00087C8E" w:rsidP="00C41039">
            <w:pPr>
              <w:pStyle w:val="Tabletext"/>
              <w:rPr>
                <w:b/>
              </w:rPr>
            </w:pPr>
            <w:r w:rsidRPr="00F05153">
              <w:rPr>
                <w:b/>
              </w:rPr>
              <w:t>sGC stimulator</w:t>
            </w:r>
          </w:p>
        </w:tc>
        <w:tc>
          <w:tcPr>
            <w:tcW w:w="851" w:type="dxa"/>
            <w:vMerge w:val="restart"/>
            <w:shd w:val="clear" w:color="auto" w:fill="BFBFBF" w:themeFill="background1" w:themeFillShade="BF"/>
          </w:tcPr>
          <w:p w:rsidR="0075777C" w:rsidRPr="00F05153" w:rsidRDefault="0075777C" w:rsidP="00C41039">
            <w:pPr>
              <w:pStyle w:val="Tabletext"/>
              <w:rPr>
                <w:b/>
              </w:rPr>
            </w:pPr>
            <w:r w:rsidRPr="00F05153">
              <w:rPr>
                <w:b/>
              </w:rPr>
              <w:t>N</w:t>
            </w:r>
          </w:p>
          <w:p w:rsidR="0075777C" w:rsidRPr="00F05153" w:rsidRDefault="0075777C" w:rsidP="00C41039">
            <w:pPr>
              <w:pStyle w:val="Tabletext"/>
              <w:rPr>
                <w:b/>
              </w:rPr>
            </w:pPr>
            <w:r w:rsidRPr="00F05153">
              <w:rPr>
                <w:b/>
              </w:rPr>
              <w:t>Time point</w:t>
            </w:r>
          </w:p>
        </w:tc>
        <w:tc>
          <w:tcPr>
            <w:tcW w:w="3118" w:type="dxa"/>
            <w:gridSpan w:val="2"/>
            <w:shd w:val="clear" w:color="auto" w:fill="BFBFBF" w:themeFill="background1" w:themeFillShade="BF"/>
          </w:tcPr>
          <w:p w:rsidR="0075777C" w:rsidRPr="00F05153" w:rsidRDefault="00E35EDB" w:rsidP="00E35EDB">
            <w:pPr>
              <w:pStyle w:val="Tabletext"/>
              <w:jc w:val="center"/>
              <w:rPr>
                <w:b/>
              </w:rPr>
            </w:pPr>
            <w:r w:rsidRPr="00F05153">
              <w:rPr>
                <w:b/>
              </w:rPr>
              <w:t>Mean ± SD b</w:t>
            </w:r>
            <w:r w:rsidR="0075777C" w:rsidRPr="00F05153">
              <w:rPr>
                <w:b/>
              </w:rPr>
              <w:t>aseline QoL</w:t>
            </w:r>
          </w:p>
        </w:tc>
        <w:tc>
          <w:tcPr>
            <w:tcW w:w="3261" w:type="dxa"/>
            <w:gridSpan w:val="2"/>
            <w:shd w:val="clear" w:color="auto" w:fill="BFBFBF" w:themeFill="background1" w:themeFillShade="BF"/>
          </w:tcPr>
          <w:p w:rsidR="0075777C" w:rsidRPr="00F05153" w:rsidRDefault="0075777C" w:rsidP="00E35EDB">
            <w:pPr>
              <w:pStyle w:val="Tabletext"/>
              <w:jc w:val="center"/>
              <w:rPr>
                <w:b/>
              </w:rPr>
            </w:pPr>
            <w:r w:rsidRPr="00F05153">
              <w:rPr>
                <w:b/>
              </w:rPr>
              <w:t>Mean</w:t>
            </w:r>
            <w:r w:rsidR="002449DC">
              <w:rPr>
                <w:b/>
              </w:rPr>
              <w:t xml:space="preserve"> </w:t>
            </w:r>
            <w:r w:rsidR="00E35EDB" w:rsidRPr="00F05153">
              <w:rPr>
                <w:b/>
              </w:rPr>
              <w:t xml:space="preserve">± SD </w:t>
            </w:r>
            <w:r w:rsidRPr="00F05153">
              <w:rPr>
                <w:b/>
              </w:rPr>
              <w:t>change from baseline</w:t>
            </w:r>
          </w:p>
        </w:tc>
        <w:tc>
          <w:tcPr>
            <w:tcW w:w="1275" w:type="dxa"/>
            <w:vMerge w:val="restart"/>
            <w:shd w:val="clear" w:color="auto" w:fill="BFBFBF" w:themeFill="background1" w:themeFillShade="BF"/>
          </w:tcPr>
          <w:p w:rsidR="0075777C" w:rsidRPr="00F05153" w:rsidRDefault="0075777C" w:rsidP="00087C8E">
            <w:pPr>
              <w:pStyle w:val="Tabletext"/>
              <w:rPr>
                <w:b/>
              </w:rPr>
            </w:pPr>
            <w:r w:rsidRPr="00F05153">
              <w:rPr>
                <w:b/>
              </w:rPr>
              <w:t>Mean difference</w:t>
            </w:r>
            <w:r w:rsidR="00E35EDB" w:rsidRPr="00F05153">
              <w:rPr>
                <w:b/>
              </w:rPr>
              <w:t>, points</w:t>
            </w:r>
          </w:p>
        </w:tc>
      </w:tr>
      <w:tr w:rsidR="0075777C" w:rsidRPr="00F05153" w:rsidTr="00FA2050">
        <w:tc>
          <w:tcPr>
            <w:tcW w:w="1129" w:type="dxa"/>
            <w:vMerge/>
          </w:tcPr>
          <w:p w:rsidR="0075777C" w:rsidRPr="00F05153" w:rsidRDefault="0075777C" w:rsidP="00C41039">
            <w:pPr>
              <w:pStyle w:val="Tabletext"/>
            </w:pPr>
          </w:p>
        </w:tc>
        <w:tc>
          <w:tcPr>
            <w:tcW w:w="851" w:type="dxa"/>
            <w:vMerge/>
          </w:tcPr>
          <w:p w:rsidR="0075777C" w:rsidRPr="00F05153" w:rsidRDefault="0075777C" w:rsidP="00C41039">
            <w:pPr>
              <w:pStyle w:val="Tabletext"/>
            </w:pPr>
          </w:p>
        </w:tc>
        <w:tc>
          <w:tcPr>
            <w:tcW w:w="1843" w:type="dxa"/>
            <w:shd w:val="clear" w:color="auto" w:fill="BFBFBF" w:themeFill="background1" w:themeFillShade="BF"/>
          </w:tcPr>
          <w:p w:rsidR="0075777C" w:rsidRPr="00F05153" w:rsidRDefault="00087C8E" w:rsidP="00E35EDB">
            <w:pPr>
              <w:pStyle w:val="Tabletext"/>
              <w:jc w:val="center"/>
              <w:rPr>
                <w:b/>
              </w:rPr>
            </w:pPr>
            <w:r w:rsidRPr="00F05153">
              <w:rPr>
                <w:b/>
              </w:rPr>
              <w:t xml:space="preserve">sGC stimulator </w:t>
            </w:r>
            <w:r w:rsidR="0075777C" w:rsidRPr="00F05153">
              <w:rPr>
                <w:b/>
              </w:rPr>
              <w:t>+ ERA</w:t>
            </w:r>
          </w:p>
        </w:tc>
        <w:tc>
          <w:tcPr>
            <w:tcW w:w="1275" w:type="dxa"/>
            <w:shd w:val="clear" w:color="auto" w:fill="BFBFBF" w:themeFill="background1" w:themeFillShade="BF"/>
          </w:tcPr>
          <w:p w:rsidR="0075777C" w:rsidRPr="00F05153" w:rsidRDefault="0075777C" w:rsidP="00E35EDB">
            <w:pPr>
              <w:pStyle w:val="Tabletext"/>
              <w:jc w:val="center"/>
              <w:rPr>
                <w:b/>
              </w:rPr>
            </w:pPr>
            <w:r w:rsidRPr="00F05153">
              <w:rPr>
                <w:b/>
              </w:rPr>
              <w:t>ERA</w:t>
            </w:r>
          </w:p>
        </w:tc>
        <w:tc>
          <w:tcPr>
            <w:tcW w:w="1843" w:type="dxa"/>
            <w:shd w:val="clear" w:color="auto" w:fill="BFBFBF" w:themeFill="background1" w:themeFillShade="BF"/>
          </w:tcPr>
          <w:p w:rsidR="0075777C" w:rsidRPr="00F05153" w:rsidRDefault="00087C8E" w:rsidP="00E35EDB">
            <w:pPr>
              <w:pStyle w:val="Tabletext"/>
              <w:jc w:val="center"/>
              <w:rPr>
                <w:b/>
              </w:rPr>
            </w:pPr>
            <w:r w:rsidRPr="00F05153">
              <w:rPr>
                <w:b/>
              </w:rPr>
              <w:t xml:space="preserve">sGC stimulator </w:t>
            </w:r>
            <w:r w:rsidR="0075777C" w:rsidRPr="00F05153">
              <w:rPr>
                <w:b/>
              </w:rPr>
              <w:t>+ ERA</w:t>
            </w:r>
          </w:p>
        </w:tc>
        <w:tc>
          <w:tcPr>
            <w:tcW w:w="1418" w:type="dxa"/>
            <w:shd w:val="clear" w:color="auto" w:fill="BFBFBF" w:themeFill="background1" w:themeFillShade="BF"/>
          </w:tcPr>
          <w:p w:rsidR="0075777C" w:rsidRPr="00F05153" w:rsidRDefault="0075777C" w:rsidP="00E35EDB">
            <w:pPr>
              <w:pStyle w:val="Tabletext"/>
              <w:jc w:val="center"/>
              <w:rPr>
                <w:b/>
              </w:rPr>
            </w:pPr>
            <w:r w:rsidRPr="00F05153">
              <w:rPr>
                <w:b/>
              </w:rPr>
              <w:t>ERA</w:t>
            </w:r>
          </w:p>
        </w:tc>
        <w:tc>
          <w:tcPr>
            <w:tcW w:w="1275" w:type="dxa"/>
            <w:vMerge/>
          </w:tcPr>
          <w:p w:rsidR="0075777C" w:rsidRPr="00F05153" w:rsidRDefault="0075777C" w:rsidP="00C41039">
            <w:pPr>
              <w:pStyle w:val="Tabletext"/>
            </w:pPr>
          </w:p>
        </w:tc>
      </w:tr>
      <w:tr w:rsidR="0075777C" w:rsidRPr="00F05153" w:rsidTr="00FA2050">
        <w:tc>
          <w:tcPr>
            <w:tcW w:w="1129" w:type="dxa"/>
          </w:tcPr>
          <w:p w:rsidR="0075777C" w:rsidRPr="00F05153" w:rsidRDefault="0075777C" w:rsidP="00C41039">
            <w:pPr>
              <w:pStyle w:val="Tabletext"/>
              <w:rPr>
                <w:rFonts w:cs="Tahoma"/>
              </w:rPr>
            </w:pPr>
            <w:r w:rsidRPr="00F05153">
              <w:rPr>
                <w:rFonts w:cs="Tahoma"/>
              </w:rPr>
              <w:t>PATENT-1 CSR</w:t>
            </w:r>
          </w:p>
          <w:p w:rsidR="008E565E" w:rsidRPr="00F05153" w:rsidRDefault="008E565E" w:rsidP="00C41039">
            <w:pPr>
              <w:pStyle w:val="Tabletext"/>
            </w:pPr>
            <w:r w:rsidRPr="00F05153">
              <w:rPr>
                <w:rFonts w:cs="Tahoma"/>
              </w:rPr>
              <w:t>Riociguat</w:t>
            </w:r>
          </w:p>
        </w:tc>
        <w:tc>
          <w:tcPr>
            <w:tcW w:w="851" w:type="dxa"/>
          </w:tcPr>
          <w:p w:rsidR="0075777C" w:rsidRPr="00F05153" w:rsidRDefault="0075777C" w:rsidP="00C41039">
            <w:pPr>
              <w:pStyle w:val="Tabletext"/>
              <w:rPr>
                <w:rFonts w:cs="Tahoma"/>
              </w:rPr>
            </w:pPr>
            <w:r w:rsidRPr="00F05153">
              <w:rPr>
                <w:rFonts w:cs="Tahoma"/>
              </w:rPr>
              <w:t>N=167</w:t>
            </w:r>
          </w:p>
          <w:p w:rsidR="0075777C" w:rsidRPr="00F05153" w:rsidRDefault="0075777C" w:rsidP="00C41039">
            <w:pPr>
              <w:pStyle w:val="Tabletext"/>
            </w:pPr>
            <w:r w:rsidRPr="00F05153">
              <w:rPr>
                <w:rFonts w:cs="Tahoma"/>
              </w:rPr>
              <w:t>Week 12</w:t>
            </w:r>
          </w:p>
        </w:tc>
        <w:tc>
          <w:tcPr>
            <w:tcW w:w="1843" w:type="dxa"/>
          </w:tcPr>
          <w:p w:rsidR="0075777C" w:rsidRPr="002046A0" w:rsidRDefault="002046A0" w:rsidP="00C41039">
            <w:pPr>
              <w:pStyle w:val="Tabletext"/>
              <w:rPr>
                <w:highlight w:val="black"/>
              </w:rPr>
            </w:pPr>
            <w:r>
              <w:rPr>
                <w:noProof/>
                <w:color w:val="000000"/>
                <w:highlight w:val="black"/>
              </w:rPr>
              <w:t>''''''''''''''''''' ''''''''''''''' ''' '''''''''''''</w:t>
            </w:r>
          </w:p>
          <w:p w:rsidR="0075777C" w:rsidRPr="002046A0" w:rsidRDefault="002046A0" w:rsidP="00C41039">
            <w:pPr>
              <w:pStyle w:val="Tabletext"/>
              <w:rPr>
                <w:highlight w:val="black"/>
              </w:rPr>
            </w:pPr>
            <w:r>
              <w:rPr>
                <w:noProof/>
                <w:color w:val="000000"/>
                <w:highlight w:val="black"/>
              </w:rPr>
              <w:t>'''''''''''''''' ''''''''''''' ''' '''''''''''''</w:t>
            </w:r>
          </w:p>
        </w:tc>
        <w:tc>
          <w:tcPr>
            <w:tcW w:w="1275" w:type="dxa"/>
          </w:tcPr>
          <w:p w:rsidR="0075777C" w:rsidRPr="002046A0" w:rsidRDefault="002046A0" w:rsidP="00C41039">
            <w:pPr>
              <w:pStyle w:val="Tabletext"/>
              <w:rPr>
                <w:highlight w:val="black"/>
              </w:rPr>
            </w:pPr>
            <w:r>
              <w:rPr>
                <w:noProof/>
                <w:color w:val="000000"/>
                <w:highlight w:val="black"/>
              </w:rPr>
              <w:t>'''''''''''''' ''' ''''''''''''</w:t>
            </w:r>
          </w:p>
          <w:p w:rsidR="0075777C" w:rsidRPr="002046A0" w:rsidRDefault="002046A0" w:rsidP="00C41039">
            <w:pPr>
              <w:pStyle w:val="Tabletext"/>
              <w:rPr>
                <w:highlight w:val="black"/>
              </w:rPr>
            </w:pPr>
            <w:r>
              <w:rPr>
                <w:noProof/>
                <w:color w:val="000000"/>
                <w:highlight w:val="black"/>
              </w:rPr>
              <w:t>'''''''''''''' ''' '''''''''''''</w:t>
            </w:r>
          </w:p>
        </w:tc>
        <w:tc>
          <w:tcPr>
            <w:tcW w:w="1843" w:type="dxa"/>
          </w:tcPr>
          <w:p w:rsidR="0075777C" w:rsidRPr="002046A0" w:rsidRDefault="002046A0" w:rsidP="00C41039">
            <w:pPr>
              <w:pStyle w:val="Tabletext"/>
              <w:rPr>
                <w:highlight w:val="black"/>
              </w:rPr>
            </w:pPr>
            <w:r>
              <w:rPr>
                <w:noProof/>
                <w:color w:val="000000"/>
                <w:highlight w:val="black"/>
              </w:rPr>
              <w:t>'''''''''''''''''' ''''''''''''' ''' ''''''''''''''</w:t>
            </w:r>
          </w:p>
          <w:p w:rsidR="0075777C" w:rsidRPr="002046A0" w:rsidRDefault="002046A0" w:rsidP="00C41039">
            <w:pPr>
              <w:pStyle w:val="Tabletext"/>
              <w:rPr>
                <w:highlight w:val="black"/>
              </w:rPr>
            </w:pPr>
            <w:r>
              <w:rPr>
                <w:noProof/>
                <w:color w:val="000000"/>
                <w:highlight w:val="black"/>
              </w:rPr>
              <w:t>''''''''''''' ''''''''''''''' ''' ''''''''''''''</w:t>
            </w:r>
          </w:p>
        </w:tc>
        <w:tc>
          <w:tcPr>
            <w:tcW w:w="1418" w:type="dxa"/>
          </w:tcPr>
          <w:p w:rsidR="0075777C" w:rsidRPr="002046A0" w:rsidRDefault="002046A0" w:rsidP="00C41039">
            <w:pPr>
              <w:pStyle w:val="Tabletext"/>
              <w:rPr>
                <w:highlight w:val="black"/>
              </w:rPr>
            </w:pPr>
            <w:r>
              <w:rPr>
                <w:noProof/>
                <w:color w:val="000000"/>
                <w:highlight w:val="black"/>
              </w:rPr>
              <w:t>''''''''''''''''' ''' ''''''''''''''</w:t>
            </w:r>
          </w:p>
          <w:p w:rsidR="0075777C" w:rsidRPr="002046A0" w:rsidRDefault="002046A0" w:rsidP="00C41039">
            <w:pPr>
              <w:pStyle w:val="Tabletext"/>
              <w:rPr>
                <w:highlight w:val="black"/>
              </w:rPr>
            </w:pPr>
            <w:r>
              <w:rPr>
                <w:noProof/>
                <w:color w:val="000000"/>
                <w:highlight w:val="black"/>
              </w:rPr>
              <w:t>''''''''''''''' ''' ''''''''''''''</w:t>
            </w:r>
          </w:p>
        </w:tc>
        <w:tc>
          <w:tcPr>
            <w:tcW w:w="1275" w:type="dxa"/>
          </w:tcPr>
          <w:p w:rsidR="0075777C" w:rsidRPr="002046A0" w:rsidRDefault="002046A0" w:rsidP="00C41039">
            <w:pPr>
              <w:pStyle w:val="Tabletext"/>
              <w:rPr>
                <w:highlight w:val="black"/>
              </w:rPr>
            </w:pPr>
            <w:r>
              <w:rPr>
                <w:noProof/>
                <w:color w:val="000000"/>
                <w:highlight w:val="black"/>
              </w:rPr>
              <w:t>''''''''''''''''' ''''''''''''''</w:t>
            </w:r>
          </w:p>
          <w:p w:rsidR="0075777C" w:rsidRPr="002046A0" w:rsidRDefault="002046A0" w:rsidP="00C41039">
            <w:pPr>
              <w:pStyle w:val="Tabletext"/>
              <w:rPr>
                <w:highlight w:val="black"/>
              </w:rPr>
            </w:pPr>
            <w:r>
              <w:rPr>
                <w:noProof/>
                <w:color w:val="000000"/>
                <w:highlight w:val="black"/>
              </w:rPr>
              <w:t>''''''''''''' ''''''''''''</w:t>
            </w:r>
          </w:p>
        </w:tc>
      </w:tr>
    </w:tbl>
    <w:p w:rsidR="000B12FE" w:rsidRPr="00F05153" w:rsidRDefault="000B12FE" w:rsidP="00C41039">
      <w:pPr>
        <w:pStyle w:val="Tablenote"/>
      </w:pPr>
      <w:proofErr w:type="gramStart"/>
      <w:r w:rsidRPr="00F05153">
        <w:rPr>
          <w:vertAlign w:val="superscript"/>
        </w:rPr>
        <w:t>a</w:t>
      </w:r>
      <w:proofErr w:type="gramEnd"/>
      <w:r w:rsidRPr="00F05153">
        <w:rPr>
          <w:vertAlign w:val="superscript"/>
        </w:rPr>
        <w:t xml:space="preserve"> </w:t>
      </w:r>
      <w:r w:rsidRPr="00F05153">
        <w:t>An increase in EQ-5D indicates better QoL. A decrease in LPH indicates better QoL.</w:t>
      </w:r>
    </w:p>
    <w:p w:rsidR="0075777C" w:rsidRPr="00F05153" w:rsidRDefault="0075777C" w:rsidP="00C41039">
      <w:pPr>
        <w:pStyle w:val="Tablenote"/>
      </w:pPr>
      <w:r w:rsidRPr="00F05153">
        <w:t xml:space="preserve">CI = confidence interval; CSR = clinical </w:t>
      </w:r>
      <w:r w:rsidR="00572AE9" w:rsidRPr="00F05153">
        <w:t xml:space="preserve">study report; EQ-5D = EuroQol 5 </w:t>
      </w:r>
      <w:r w:rsidRPr="00F05153">
        <w:t>dimension; ERA = endothelin receptor antagonist; LPH = living with pulmonary hypertension; N = number of patients; PAH = pulmonary arterial hypertension; QoL = quality of life; SD = standard deviation</w:t>
      </w:r>
      <w:r w:rsidR="009B47AA" w:rsidRPr="00F05153">
        <w:t>; sGC = soluble guanylate cyclase stimulator</w:t>
      </w:r>
    </w:p>
    <w:p w:rsidR="0075777C" w:rsidRPr="00F05153" w:rsidRDefault="00761752" w:rsidP="0077344D">
      <w:pPr>
        <w:pStyle w:val="Heading6"/>
      </w:pPr>
      <w:proofErr w:type="gramStart"/>
      <w:r w:rsidRPr="00F05153">
        <w:t>f</w:t>
      </w:r>
      <w:r w:rsidR="0075777C" w:rsidRPr="00F05153">
        <w:t>.ii</w:t>
      </w:r>
      <w:proofErr w:type="gramEnd"/>
      <w:r w:rsidR="0075777C" w:rsidRPr="00F05153">
        <w:tab/>
        <w:t>PAH patients with FC III or IV</w:t>
      </w:r>
    </w:p>
    <w:p w:rsidR="0075777C" w:rsidRPr="00F05153" w:rsidRDefault="0075777C" w:rsidP="0075777C">
      <w:r w:rsidRPr="00F05153">
        <w:t xml:space="preserve">Scores for the EQ-5D questionnaire indicated that QoL </w:t>
      </w:r>
      <w:r w:rsidR="002046A0">
        <w:rPr>
          <w:noProof/>
          <w:color w:val="000000"/>
          <w:highlight w:val="black"/>
        </w:rPr>
        <w:t>'''''''''''''''' ''''' ''' '''''''''''''''' '''''''''''''''''''' '''''''''''</w:t>
      </w:r>
      <w:r w:rsidRPr="00F05153">
        <w:t xml:space="preserve"> for patients with WHO FC III/IV PAH receiving combination therapy and </w:t>
      </w:r>
      <w:r w:rsidR="002046A0">
        <w:rPr>
          <w:noProof/>
          <w:color w:val="000000"/>
          <w:highlight w:val="black"/>
        </w:rPr>
        <w:t>''''''''''''''''''''' ''''' '' '''''''''''''''</w:t>
      </w:r>
      <w:r w:rsidRPr="00F05153">
        <w:t xml:space="preserve"> </w:t>
      </w:r>
      <w:r w:rsidR="002046A0">
        <w:rPr>
          <w:noProof/>
          <w:color w:val="000000"/>
          <w:highlight w:val="black"/>
        </w:rPr>
        <w:t>''''''''''''''''''' '''''''''''</w:t>
      </w:r>
      <w:r w:rsidRPr="00F05153">
        <w:t xml:space="preserve"> for patients receiving monotherapy (</w:t>
      </w:r>
      <w:r w:rsidR="003951FA" w:rsidRPr="00F05153">
        <w:t>Table 4.</w:t>
      </w:r>
      <w:r w:rsidR="003951FA">
        <w:t>97</w:t>
      </w:r>
      <w:r w:rsidRPr="00F05153">
        <w:t xml:space="preserve">). The mean difference </w:t>
      </w:r>
      <w:r w:rsidR="002046A0">
        <w:rPr>
          <w:noProof/>
          <w:color w:val="000000"/>
          <w:highlight w:val="black"/>
        </w:rPr>
        <w:t>''''' ''''''''''</w:t>
      </w:r>
      <w:r w:rsidRPr="00F05153">
        <w:t xml:space="preserve"> suggests that </w:t>
      </w:r>
      <w:r w:rsidR="002046A0" w:rsidRPr="004F124F">
        <w:rPr>
          <w:noProof/>
          <w:color w:val="000000"/>
          <w:sz w:val="20"/>
          <w:szCs w:val="20"/>
          <w:highlight w:val="black"/>
        </w:rPr>
        <w:t>'''''''''' '''' ''' '''''''''''''''' ''''''''''''''''''' '''''''''''''''''''''''''''' '''' '''''''' ''''' '''''''''''''' ''''''''' ''''''''''' '''''</w:t>
      </w:r>
      <w:r w:rsidR="002046A0">
        <w:rPr>
          <w:noProof/>
          <w:color w:val="000000"/>
          <w:highlight w:val="black"/>
        </w:rPr>
        <w:t xml:space="preserve"> ''''''''' ''''''''' ''''''''''''''''' '''''''''''''''''''''' '''''''''''''' ''''''''' '''''''''''''''''''''''''''</w:t>
      </w:r>
      <w:r w:rsidRPr="00F05153">
        <w:t xml:space="preserve">. Similarly, to the LPH scores for all PAH patients, there was </w:t>
      </w:r>
      <w:r w:rsidR="002046A0">
        <w:rPr>
          <w:noProof/>
          <w:color w:val="000000"/>
          <w:highlight w:val="black"/>
        </w:rPr>
        <w:t>'' ''''''''''''''''' ''''''''''''''''''' '''''''''''''''''''''''''</w:t>
      </w:r>
      <w:r w:rsidRPr="00F05153">
        <w:t xml:space="preserve"> in QoL for the combination therapy group, </w:t>
      </w:r>
      <w:r w:rsidR="002046A0">
        <w:rPr>
          <w:noProof/>
          <w:color w:val="000000"/>
          <w:highlight w:val="black"/>
        </w:rPr>
        <w:t>''''''' '''''''</w:t>
      </w:r>
      <w:r w:rsidRPr="00F05153">
        <w:t xml:space="preserve"> the monotherapy group and the difference between them </w:t>
      </w:r>
      <w:r w:rsidR="002046A0">
        <w:rPr>
          <w:noProof/>
          <w:color w:val="000000"/>
          <w:highlight w:val="black"/>
        </w:rPr>
        <w:t>'''''''' '''''''' ''''''''''''''''' '''''''''''''''''''</w:t>
      </w:r>
      <w:r w:rsidRPr="00F05153">
        <w:t>.</w:t>
      </w:r>
    </w:p>
    <w:p w:rsidR="0075777C" w:rsidRPr="00F05153" w:rsidRDefault="00272F8F" w:rsidP="00BC5A2B">
      <w:pPr>
        <w:pStyle w:val="Caption"/>
      </w:pPr>
      <w:bookmarkStart w:id="287" w:name="_Ref504657614"/>
      <w:bookmarkStart w:id="288" w:name="_Toc38360394"/>
      <w:r w:rsidRPr="00F05153">
        <w:t>Table 4.</w:t>
      </w:r>
      <w:r w:rsidR="003951FA">
        <w:rPr>
          <w:noProof/>
        </w:rPr>
        <w:t>97</w:t>
      </w:r>
      <w:bookmarkEnd w:id="287"/>
      <w:r w:rsidR="00C41039" w:rsidRPr="00F05153">
        <w:tab/>
      </w:r>
      <w:r w:rsidR="0075777C" w:rsidRPr="00F05153">
        <w:t xml:space="preserve">The effectiveness of </w:t>
      </w:r>
      <w:r w:rsidR="00E35EDB" w:rsidRPr="00F05153">
        <w:t xml:space="preserve">a sGC stimulator </w:t>
      </w:r>
      <w:r w:rsidR="007E59EC" w:rsidRPr="00F05153">
        <w:t xml:space="preserve">in addition to an ERA compared with ERA monotherapy </w:t>
      </w:r>
      <w:r w:rsidR="0075777C" w:rsidRPr="00F05153">
        <w:t>in improving QoL in patients with WHO FC III</w:t>
      </w:r>
      <w:r w:rsidR="00AA1157" w:rsidRPr="00F05153">
        <w:t>/</w:t>
      </w:r>
      <w:r w:rsidR="0075777C" w:rsidRPr="00F05153">
        <w:t>IV PAH</w:t>
      </w:r>
      <w:bookmarkEnd w:id="288"/>
    </w:p>
    <w:tbl>
      <w:tblPr>
        <w:tblStyle w:val="TableGrid"/>
        <w:tblW w:w="9634" w:type="dxa"/>
        <w:tblLook w:val="04A0" w:firstRow="1" w:lastRow="0" w:firstColumn="1" w:lastColumn="0" w:noHBand="0" w:noVBand="1"/>
        <w:tblCaption w:val="The effectiveness of a sGC stimulator in addition to an ERA compared with ERA monotherapy in improving QoL in patients with WHO FC III/IV PAH"/>
      </w:tblPr>
      <w:tblGrid>
        <w:gridCol w:w="1082"/>
        <w:gridCol w:w="885"/>
        <w:gridCol w:w="1782"/>
        <w:gridCol w:w="1259"/>
        <w:gridCol w:w="1958"/>
        <w:gridCol w:w="1397"/>
        <w:gridCol w:w="1271"/>
      </w:tblGrid>
      <w:tr w:rsidR="0075777C" w:rsidRPr="00F05153" w:rsidTr="00C41039">
        <w:trPr>
          <w:cnfStyle w:val="100000000000" w:firstRow="1" w:lastRow="0" w:firstColumn="0" w:lastColumn="0" w:oddVBand="0" w:evenVBand="0" w:oddHBand="0" w:evenHBand="0" w:firstRowFirstColumn="0" w:firstRowLastColumn="0" w:lastRowFirstColumn="0" w:lastRowLastColumn="0"/>
        </w:trPr>
        <w:tc>
          <w:tcPr>
            <w:tcW w:w="988" w:type="dxa"/>
            <w:vMerge w:val="restart"/>
            <w:shd w:val="clear" w:color="auto" w:fill="BFBFBF" w:themeFill="background1" w:themeFillShade="BF"/>
          </w:tcPr>
          <w:p w:rsidR="0075777C" w:rsidRPr="00F05153" w:rsidRDefault="0075777C" w:rsidP="00C41039">
            <w:pPr>
              <w:pStyle w:val="Tabletext"/>
              <w:rPr>
                <w:b/>
              </w:rPr>
            </w:pPr>
            <w:r w:rsidRPr="00F05153">
              <w:rPr>
                <w:b/>
              </w:rPr>
              <w:t>Study ID</w:t>
            </w:r>
          </w:p>
          <w:p w:rsidR="00E35EDB" w:rsidRPr="00F05153" w:rsidRDefault="00E35EDB" w:rsidP="00C41039">
            <w:pPr>
              <w:pStyle w:val="Tabletext"/>
              <w:rPr>
                <w:b/>
              </w:rPr>
            </w:pPr>
            <w:r w:rsidRPr="00F05153">
              <w:rPr>
                <w:b/>
              </w:rPr>
              <w:t>sGC stimulator</w:t>
            </w:r>
          </w:p>
        </w:tc>
        <w:tc>
          <w:tcPr>
            <w:tcW w:w="890" w:type="dxa"/>
            <w:vMerge w:val="restart"/>
            <w:shd w:val="clear" w:color="auto" w:fill="BFBFBF" w:themeFill="background1" w:themeFillShade="BF"/>
          </w:tcPr>
          <w:p w:rsidR="0075777C" w:rsidRPr="00F05153" w:rsidRDefault="0075777C" w:rsidP="00C41039">
            <w:pPr>
              <w:pStyle w:val="Tabletext"/>
              <w:rPr>
                <w:b/>
              </w:rPr>
            </w:pPr>
            <w:r w:rsidRPr="00F05153">
              <w:rPr>
                <w:b/>
              </w:rPr>
              <w:t>N</w:t>
            </w:r>
          </w:p>
          <w:p w:rsidR="0075777C" w:rsidRPr="00F05153" w:rsidRDefault="0075777C" w:rsidP="00C41039">
            <w:pPr>
              <w:pStyle w:val="Tabletext"/>
              <w:rPr>
                <w:b/>
              </w:rPr>
            </w:pPr>
            <w:r w:rsidRPr="00F05153">
              <w:rPr>
                <w:b/>
              </w:rPr>
              <w:t>Time point</w:t>
            </w:r>
          </w:p>
        </w:tc>
        <w:tc>
          <w:tcPr>
            <w:tcW w:w="3079" w:type="dxa"/>
            <w:gridSpan w:val="2"/>
            <w:shd w:val="clear" w:color="auto" w:fill="BFBFBF" w:themeFill="background1" w:themeFillShade="BF"/>
          </w:tcPr>
          <w:p w:rsidR="0075777C" w:rsidRPr="00F05153" w:rsidRDefault="00237FAE" w:rsidP="00237FAE">
            <w:pPr>
              <w:pStyle w:val="Tabletext"/>
              <w:jc w:val="center"/>
              <w:rPr>
                <w:b/>
              </w:rPr>
            </w:pPr>
            <w:r w:rsidRPr="00F05153">
              <w:rPr>
                <w:b/>
              </w:rPr>
              <w:t>Mean ± SD b</w:t>
            </w:r>
            <w:r w:rsidR="0075777C" w:rsidRPr="00F05153">
              <w:rPr>
                <w:b/>
              </w:rPr>
              <w:t>aseline QoL</w:t>
            </w:r>
          </w:p>
        </w:tc>
        <w:tc>
          <w:tcPr>
            <w:tcW w:w="3402" w:type="dxa"/>
            <w:gridSpan w:val="2"/>
            <w:shd w:val="clear" w:color="auto" w:fill="BFBFBF" w:themeFill="background1" w:themeFillShade="BF"/>
          </w:tcPr>
          <w:p w:rsidR="0075777C" w:rsidRPr="00F05153" w:rsidRDefault="0075777C" w:rsidP="00237FAE">
            <w:pPr>
              <w:pStyle w:val="Tabletext"/>
              <w:jc w:val="center"/>
              <w:rPr>
                <w:b/>
              </w:rPr>
            </w:pPr>
            <w:r w:rsidRPr="00F05153">
              <w:rPr>
                <w:b/>
              </w:rPr>
              <w:t xml:space="preserve">Mean </w:t>
            </w:r>
            <w:r w:rsidR="00237FAE" w:rsidRPr="00F05153">
              <w:rPr>
                <w:b/>
              </w:rPr>
              <w:t xml:space="preserve">± SD </w:t>
            </w:r>
            <w:r w:rsidRPr="00F05153">
              <w:rPr>
                <w:b/>
              </w:rPr>
              <w:t>change from baseline</w:t>
            </w:r>
          </w:p>
        </w:tc>
        <w:tc>
          <w:tcPr>
            <w:tcW w:w="1275" w:type="dxa"/>
            <w:vMerge w:val="restart"/>
            <w:shd w:val="clear" w:color="auto" w:fill="BFBFBF" w:themeFill="background1" w:themeFillShade="BF"/>
          </w:tcPr>
          <w:p w:rsidR="0075777C" w:rsidRPr="00F05153" w:rsidRDefault="0075777C" w:rsidP="00C41039">
            <w:pPr>
              <w:pStyle w:val="Tabletext"/>
              <w:rPr>
                <w:b/>
              </w:rPr>
            </w:pPr>
            <w:r w:rsidRPr="00F05153">
              <w:rPr>
                <w:b/>
              </w:rPr>
              <w:t>Mean difference</w:t>
            </w:r>
            <w:r w:rsidR="00E35EDB" w:rsidRPr="00F05153">
              <w:rPr>
                <w:b/>
              </w:rPr>
              <w:t>, points</w:t>
            </w:r>
            <w:r w:rsidRPr="00F05153">
              <w:rPr>
                <w:b/>
              </w:rPr>
              <w:t xml:space="preserve"> (95% CI)</w:t>
            </w:r>
          </w:p>
        </w:tc>
      </w:tr>
      <w:tr w:rsidR="0075777C" w:rsidRPr="00F05153" w:rsidTr="00C41039">
        <w:tc>
          <w:tcPr>
            <w:tcW w:w="988" w:type="dxa"/>
            <w:vMerge/>
          </w:tcPr>
          <w:p w:rsidR="0075777C" w:rsidRPr="00F05153" w:rsidRDefault="0075777C" w:rsidP="00C41039">
            <w:pPr>
              <w:pStyle w:val="Tabletext"/>
            </w:pPr>
          </w:p>
        </w:tc>
        <w:tc>
          <w:tcPr>
            <w:tcW w:w="890" w:type="dxa"/>
            <w:vMerge/>
          </w:tcPr>
          <w:p w:rsidR="0075777C" w:rsidRPr="00F05153" w:rsidRDefault="0075777C" w:rsidP="00C41039">
            <w:pPr>
              <w:pStyle w:val="Tabletext"/>
            </w:pPr>
          </w:p>
        </w:tc>
        <w:tc>
          <w:tcPr>
            <w:tcW w:w="1803" w:type="dxa"/>
            <w:shd w:val="clear" w:color="auto" w:fill="BFBFBF" w:themeFill="background1" w:themeFillShade="BF"/>
          </w:tcPr>
          <w:p w:rsidR="0075777C" w:rsidRPr="00F05153" w:rsidRDefault="00E35EDB" w:rsidP="00534ADA">
            <w:pPr>
              <w:pStyle w:val="Tabletext"/>
              <w:jc w:val="center"/>
              <w:rPr>
                <w:b/>
              </w:rPr>
            </w:pPr>
            <w:r w:rsidRPr="00F05153">
              <w:rPr>
                <w:b/>
              </w:rPr>
              <w:t xml:space="preserve">sGC stimulator </w:t>
            </w:r>
            <w:r w:rsidR="0075777C" w:rsidRPr="00F05153">
              <w:rPr>
                <w:b/>
              </w:rPr>
              <w:t>+ ERA</w:t>
            </w:r>
          </w:p>
        </w:tc>
        <w:tc>
          <w:tcPr>
            <w:tcW w:w="1276" w:type="dxa"/>
            <w:shd w:val="clear" w:color="auto" w:fill="BFBFBF" w:themeFill="background1" w:themeFillShade="BF"/>
          </w:tcPr>
          <w:p w:rsidR="0075777C" w:rsidRPr="00F05153" w:rsidRDefault="0075777C" w:rsidP="00534ADA">
            <w:pPr>
              <w:pStyle w:val="Tabletext"/>
              <w:jc w:val="center"/>
              <w:rPr>
                <w:b/>
              </w:rPr>
            </w:pPr>
            <w:r w:rsidRPr="00F05153">
              <w:rPr>
                <w:b/>
              </w:rPr>
              <w:t>ERA</w:t>
            </w:r>
          </w:p>
        </w:tc>
        <w:tc>
          <w:tcPr>
            <w:tcW w:w="1984" w:type="dxa"/>
            <w:shd w:val="clear" w:color="auto" w:fill="BFBFBF" w:themeFill="background1" w:themeFillShade="BF"/>
          </w:tcPr>
          <w:p w:rsidR="0075777C" w:rsidRPr="00F05153" w:rsidRDefault="00E35EDB" w:rsidP="00534ADA">
            <w:pPr>
              <w:pStyle w:val="Tabletext"/>
              <w:jc w:val="center"/>
              <w:rPr>
                <w:b/>
              </w:rPr>
            </w:pPr>
            <w:r w:rsidRPr="00F05153">
              <w:rPr>
                <w:b/>
              </w:rPr>
              <w:t xml:space="preserve">sGC stimulator </w:t>
            </w:r>
            <w:r w:rsidR="0075777C" w:rsidRPr="00F05153">
              <w:rPr>
                <w:b/>
              </w:rPr>
              <w:t>+ ERA</w:t>
            </w:r>
          </w:p>
        </w:tc>
        <w:tc>
          <w:tcPr>
            <w:tcW w:w="1418" w:type="dxa"/>
            <w:shd w:val="clear" w:color="auto" w:fill="BFBFBF" w:themeFill="background1" w:themeFillShade="BF"/>
          </w:tcPr>
          <w:p w:rsidR="0075777C" w:rsidRPr="00F05153" w:rsidRDefault="0075777C" w:rsidP="00534ADA">
            <w:pPr>
              <w:pStyle w:val="Tabletext"/>
              <w:jc w:val="center"/>
              <w:rPr>
                <w:b/>
              </w:rPr>
            </w:pPr>
            <w:r w:rsidRPr="00F05153">
              <w:rPr>
                <w:b/>
              </w:rPr>
              <w:t>ERA</w:t>
            </w:r>
          </w:p>
        </w:tc>
        <w:tc>
          <w:tcPr>
            <w:tcW w:w="1275" w:type="dxa"/>
            <w:vMerge/>
          </w:tcPr>
          <w:p w:rsidR="0075777C" w:rsidRPr="00F05153" w:rsidRDefault="0075777C" w:rsidP="00C41039">
            <w:pPr>
              <w:pStyle w:val="Tabletext"/>
            </w:pPr>
          </w:p>
        </w:tc>
      </w:tr>
      <w:tr w:rsidR="0075777C" w:rsidRPr="00F05153" w:rsidTr="00C41039">
        <w:tc>
          <w:tcPr>
            <w:tcW w:w="988" w:type="dxa"/>
          </w:tcPr>
          <w:p w:rsidR="0075777C" w:rsidRPr="00F05153" w:rsidRDefault="0075777C" w:rsidP="00C41039">
            <w:pPr>
              <w:pStyle w:val="Tabletext"/>
              <w:rPr>
                <w:rFonts w:cs="Tahoma"/>
              </w:rPr>
            </w:pPr>
            <w:r w:rsidRPr="00F05153">
              <w:rPr>
                <w:rFonts w:cs="Tahoma"/>
              </w:rPr>
              <w:t>PATENT-1</w:t>
            </w:r>
            <w:r w:rsidRPr="00F05153">
              <w:rPr>
                <w:rFonts w:cs="Tahoma"/>
                <w:vertAlign w:val="superscript"/>
              </w:rPr>
              <w:t>a</w:t>
            </w:r>
            <w:r w:rsidRPr="00F05153">
              <w:rPr>
                <w:rFonts w:cs="Tahoma"/>
              </w:rPr>
              <w:t xml:space="preserve"> CSR</w:t>
            </w:r>
          </w:p>
          <w:p w:rsidR="00E35EDB" w:rsidRPr="00F05153" w:rsidRDefault="00E35EDB" w:rsidP="00C41039">
            <w:pPr>
              <w:pStyle w:val="Tabletext"/>
            </w:pPr>
            <w:r w:rsidRPr="00F05153">
              <w:t>Riociguat</w:t>
            </w:r>
          </w:p>
        </w:tc>
        <w:tc>
          <w:tcPr>
            <w:tcW w:w="890" w:type="dxa"/>
          </w:tcPr>
          <w:p w:rsidR="0075777C" w:rsidRPr="00F05153" w:rsidRDefault="0075777C" w:rsidP="00C41039">
            <w:pPr>
              <w:pStyle w:val="Tabletext"/>
              <w:rPr>
                <w:rFonts w:cs="Tahoma"/>
              </w:rPr>
            </w:pPr>
            <w:r w:rsidRPr="00F05153">
              <w:rPr>
                <w:rFonts w:cs="Tahoma"/>
              </w:rPr>
              <w:t>N=120</w:t>
            </w:r>
          </w:p>
          <w:p w:rsidR="0075777C" w:rsidRPr="00F05153" w:rsidRDefault="0075777C" w:rsidP="00C41039">
            <w:pPr>
              <w:pStyle w:val="Tabletext"/>
            </w:pPr>
            <w:r w:rsidRPr="00F05153">
              <w:rPr>
                <w:rFonts w:cs="Tahoma"/>
              </w:rPr>
              <w:t>Week 12</w:t>
            </w:r>
          </w:p>
        </w:tc>
        <w:tc>
          <w:tcPr>
            <w:tcW w:w="1803" w:type="dxa"/>
          </w:tcPr>
          <w:p w:rsidR="0075777C" w:rsidRPr="002046A0" w:rsidRDefault="002046A0" w:rsidP="00C41039">
            <w:pPr>
              <w:pStyle w:val="Tabletext"/>
              <w:rPr>
                <w:highlight w:val="black"/>
              </w:rPr>
            </w:pPr>
            <w:r>
              <w:rPr>
                <w:noProof/>
                <w:color w:val="000000"/>
                <w:highlight w:val="black"/>
              </w:rPr>
              <w:t>'''''''''''''''''''''' '''''''''''''' ''' '''''''''''''</w:t>
            </w:r>
          </w:p>
          <w:p w:rsidR="0075777C" w:rsidRPr="002046A0" w:rsidRDefault="002046A0" w:rsidP="00C41039">
            <w:pPr>
              <w:pStyle w:val="Tabletext"/>
              <w:rPr>
                <w:highlight w:val="black"/>
              </w:rPr>
            </w:pPr>
            <w:r>
              <w:rPr>
                <w:noProof/>
                <w:color w:val="000000"/>
                <w:highlight w:val="black"/>
              </w:rPr>
              <w:t>''''''''''''''' '''''''''''' ''' ''''''''''''''</w:t>
            </w:r>
          </w:p>
        </w:tc>
        <w:tc>
          <w:tcPr>
            <w:tcW w:w="1276" w:type="dxa"/>
          </w:tcPr>
          <w:p w:rsidR="0075777C" w:rsidRPr="002046A0" w:rsidRDefault="002046A0" w:rsidP="00C41039">
            <w:pPr>
              <w:pStyle w:val="Tabletext"/>
              <w:rPr>
                <w:highlight w:val="black"/>
              </w:rPr>
            </w:pPr>
            <w:r>
              <w:rPr>
                <w:noProof/>
                <w:color w:val="000000"/>
                <w:highlight w:val="black"/>
              </w:rPr>
              <w:t>''''''''''''' '''' '''''''''''''</w:t>
            </w:r>
          </w:p>
          <w:p w:rsidR="0075777C" w:rsidRPr="002046A0" w:rsidRDefault="002046A0" w:rsidP="00C41039">
            <w:pPr>
              <w:pStyle w:val="Tabletext"/>
              <w:rPr>
                <w:highlight w:val="black"/>
              </w:rPr>
            </w:pPr>
            <w:r>
              <w:rPr>
                <w:noProof/>
                <w:color w:val="000000"/>
                <w:highlight w:val="black"/>
              </w:rPr>
              <w:t>''''''''''''''' ''' '''''''''''''</w:t>
            </w:r>
          </w:p>
        </w:tc>
        <w:tc>
          <w:tcPr>
            <w:tcW w:w="1984" w:type="dxa"/>
          </w:tcPr>
          <w:p w:rsidR="0075777C" w:rsidRPr="002046A0" w:rsidRDefault="002046A0" w:rsidP="00C41039">
            <w:pPr>
              <w:pStyle w:val="Tabletext"/>
              <w:rPr>
                <w:highlight w:val="black"/>
              </w:rPr>
            </w:pPr>
            <w:r>
              <w:rPr>
                <w:noProof/>
                <w:color w:val="000000"/>
                <w:highlight w:val="black"/>
              </w:rPr>
              <w:t>''''''''''''''''''' ''''''''''''''' ''' '''''''''''''''</w:t>
            </w:r>
          </w:p>
          <w:p w:rsidR="0075777C" w:rsidRPr="002046A0" w:rsidRDefault="002046A0" w:rsidP="00C41039">
            <w:pPr>
              <w:pStyle w:val="Tabletext"/>
              <w:rPr>
                <w:highlight w:val="black"/>
              </w:rPr>
            </w:pPr>
            <w:r>
              <w:rPr>
                <w:noProof/>
                <w:color w:val="000000"/>
                <w:highlight w:val="black"/>
              </w:rPr>
              <w:t>''''''''''' ''''''''''''' ''' '''''''''''''''</w:t>
            </w:r>
          </w:p>
        </w:tc>
        <w:tc>
          <w:tcPr>
            <w:tcW w:w="1418" w:type="dxa"/>
          </w:tcPr>
          <w:p w:rsidR="0075777C" w:rsidRPr="002046A0" w:rsidRDefault="002046A0" w:rsidP="00C41039">
            <w:pPr>
              <w:pStyle w:val="Tabletext"/>
              <w:rPr>
                <w:highlight w:val="black"/>
              </w:rPr>
            </w:pPr>
            <w:r>
              <w:rPr>
                <w:noProof/>
                <w:color w:val="000000"/>
                <w:highlight w:val="black"/>
              </w:rPr>
              <w:t>''''''''''''''' '''' '''''''''''''</w:t>
            </w:r>
          </w:p>
          <w:p w:rsidR="0075777C" w:rsidRPr="002046A0" w:rsidRDefault="002046A0" w:rsidP="00C41039">
            <w:pPr>
              <w:pStyle w:val="Tabletext"/>
              <w:rPr>
                <w:highlight w:val="black"/>
              </w:rPr>
            </w:pPr>
            <w:r>
              <w:rPr>
                <w:noProof/>
                <w:color w:val="000000"/>
                <w:highlight w:val="black"/>
              </w:rPr>
              <w:t>''''''''''''' ''' ''''''''''''''</w:t>
            </w:r>
          </w:p>
        </w:tc>
        <w:tc>
          <w:tcPr>
            <w:tcW w:w="1275" w:type="dxa"/>
          </w:tcPr>
          <w:p w:rsidR="0075777C" w:rsidRPr="002046A0" w:rsidRDefault="002046A0" w:rsidP="00C41039">
            <w:pPr>
              <w:pStyle w:val="Tabletext"/>
              <w:rPr>
                <w:highlight w:val="black"/>
              </w:rPr>
            </w:pPr>
            <w:r>
              <w:rPr>
                <w:noProof/>
                <w:color w:val="000000"/>
                <w:highlight w:val="black"/>
              </w:rPr>
              <w:t>''''''''''''''''''' ''''''''''''</w:t>
            </w:r>
          </w:p>
          <w:p w:rsidR="0075777C" w:rsidRPr="002046A0" w:rsidRDefault="002046A0" w:rsidP="00C41039">
            <w:pPr>
              <w:pStyle w:val="Tabletext"/>
              <w:rPr>
                <w:highlight w:val="black"/>
              </w:rPr>
            </w:pPr>
            <w:r>
              <w:rPr>
                <w:noProof/>
                <w:color w:val="000000"/>
                <w:highlight w:val="black"/>
              </w:rPr>
              <w:t>''''''''''' '''''''''''''''</w:t>
            </w:r>
          </w:p>
        </w:tc>
      </w:tr>
    </w:tbl>
    <w:p w:rsidR="000B12FE" w:rsidRPr="00F05153" w:rsidRDefault="000B12FE" w:rsidP="000B12FE">
      <w:pPr>
        <w:pStyle w:val="Tablenote"/>
      </w:pPr>
      <w:proofErr w:type="gramStart"/>
      <w:r w:rsidRPr="00F05153">
        <w:rPr>
          <w:vertAlign w:val="superscript"/>
        </w:rPr>
        <w:t>a</w:t>
      </w:r>
      <w:proofErr w:type="gramEnd"/>
      <w:r w:rsidRPr="00F05153">
        <w:rPr>
          <w:vertAlign w:val="superscript"/>
        </w:rPr>
        <w:t xml:space="preserve"> </w:t>
      </w:r>
      <w:r w:rsidRPr="00F05153">
        <w:t>An increase in EQ-5D indicates better QoL. A decrease in LPH indicates better QoL.</w:t>
      </w:r>
    </w:p>
    <w:p w:rsidR="0075777C" w:rsidRPr="00F05153" w:rsidRDefault="0075777C" w:rsidP="00C41039">
      <w:pPr>
        <w:pStyle w:val="Tablenote"/>
      </w:pPr>
      <w:proofErr w:type="gramStart"/>
      <w:r w:rsidRPr="00F05153">
        <w:rPr>
          <w:vertAlign w:val="superscript"/>
        </w:rPr>
        <w:t>a</w:t>
      </w:r>
      <w:proofErr w:type="gramEnd"/>
      <w:r w:rsidRPr="00F05153">
        <w:t xml:space="preserve"> 14% of patients had background </w:t>
      </w:r>
      <w:r w:rsidR="0017012F" w:rsidRPr="00F05153">
        <w:t>prostanoid</w:t>
      </w:r>
      <w:r w:rsidRPr="00F05153">
        <w:t xml:space="preserve"> therapy</w:t>
      </w:r>
    </w:p>
    <w:p w:rsidR="0075777C" w:rsidRPr="00F05153" w:rsidRDefault="0075777C" w:rsidP="00C41039">
      <w:pPr>
        <w:pStyle w:val="Tablenote"/>
      </w:pPr>
      <w:r w:rsidRPr="00F05153">
        <w:t xml:space="preserve">CI = confidence interval; CSR = clinical </w:t>
      </w:r>
      <w:r w:rsidR="00572AE9" w:rsidRPr="00F05153">
        <w:t xml:space="preserve">study report; EQ-5D = EuroQol 5 </w:t>
      </w:r>
      <w:r w:rsidRPr="00F05153">
        <w:t xml:space="preserve">dimension; ERA = endothelin receptor antagonist; FC = functional class; LPH = living with pulmonary hypertension; N = number of patients; PAH = pulmonary arterial hypertension; QoL = quality of life; SD = standard deviation; </w:t>
      </w:r>
      <w:r w:rsidR="009B47AA" w:rsidRPr="00F05153">
        <w:t xml:space="preserve">sGC = soluble guanylate cyclase; </w:t>
      </w:r>
      <w:r w:rsidRPr="00F05153">
        <w:t>WHO = World Health Organization</w:t>
      </w:r>
    </w:p>
    <w:p w:rsidR="00761752" w:rsidRPr="00F05153" w:rsidRDefault="00761752" w:rsidP="00761752">
      <w:pPr>
        <w:pStyle w:val="Heading5"/>
      </w:pPr>
      <w:r w:rsidRPr="00F05153">
        <w:t>g.</w:t>
      </w:r>
      <w:r w:rsidRPr="00F05153">
        <w:tab/>
        <w:t>Change in haemodynamic parameters from baseline</w:t>
      </w:r>
    </w:p>
    <w:p w:rsidR="00761752" w:rsidRPr="00F05153" w:rsidRDefault="00761752" w:rsidP="00761752">
      <w:pPr>
        <w:pStyle w:val="Heading6"/>
      </w:pPr>
      <w:proofErr w:type="gramStart"/>
      <w:r w:rsidRPr="00F05153">
        <w:t>g.i</w:t>
      </w:r>
      <w:proofErr w:type="gramEnd"/>
      <w:r w:rsidRPr="00F05153">
        <w:tab/>
        <w:t>PAH patients, irrespective of disease severity or aetiology</w:t>
      </w:r>
    </w:p>
    <w:p w:rsidR="00761752" w:rsidRPr="00F05153" w:rsidRDefault="00761752" w:rsidP="00761752">
      <w:r w:rsidRPr="00F05153">
        <w:t xml:space="preserve">In the PATENT-1 trial, patients who were receiving background therapy with an ERA and were randomised to riociguat treatment had a mean baseline PVR </w:t>
      </w:r>
      <w:r w:rsidR="002046A0">
        <w:rPr>
          <w:noProof/>
          <w:color w:val="000000"/>
          <w:highlight w:val="black"/>
        </w:rPr>
        <w:t>'''''''''''' ''''''''''''</w:t>
      </w:r>
      <w:r w:rsidRPr="00F05153">
        <w:t xml:space="preserve"> than those who were randomised to placebo, but both groups are well above the normal laboratory PVR in adults of &lt;250 dyn</w:t>
      </w:r>
      <w:r w:rsidR="004776AC" w:rsidRPr="00F05153">
        <w:t>*</w:t>
      </w:r>
      <w:r w:rsidRPr="00F05153">
        <w:t>sec</w:t>
      </w:r>
      <w:r w:rsidR="004776AC" w:rsidRPr="00F05153">
        <w:t>*</w:t>
      </w:r>
      <w:r w:rsidRPr="00F05153">
        <w:t>cm</w:t>
      </w:r>
      <w:r w:rsidR="004776AC" w:rsidRPr="00F05153">
        <w:rPr>
          <w:vertAlign w:val="superscript"/>
        </w:rPr>
        <w:t>-</w:t>
      </w:r>
      <w:r w:rsidRPr="00F05153">
        <w:rPr>
          <w:vertAlign w:val="superscript"/>
        </w:rPr>
        <w:t>5</w:t>
      </w:r>
      <w:r w:rsidRPr="00F05153">
        <w:t xml:space="preserve">. Any confounding of the treatment effect would favour </w:t>
      </w:r>
      <w:r w:rsidR="002046A0">
        <w:rPr>
          <w:noProof/>
          <w:color w:val="000000"/>
          <w:highlight w:val="black"/>
        </w:rPr>
        <w:t>''''''' ''''''''''' ''''''''''''''''''''</w:t>
      </w:r>
      <w:r w:rsidRPr="00F05153">
        <w:t xml:space="preserve"> </w:t>
      </w:r>
      <w:r w:rsidR="002046A0">
        <w:rPr>
          <w:noProof/>
          <w:color w:val="000000"/>
          <w:highlight w:val="black"/>
        </w:rPr>
        <w:t>'''''''''''''</w:t>
      </w:r>
      <w:r w:rsidRPr="00F05153">
        <w:t xml:space="preserve"> </w:t>
      </w:r>
      <w:proofErr w:type="gramStart"/>
      <w:r w:rsidRPr="00F05153">
        <w:t>The</w:t>
      </w:r>
      <w:proofErr w:type="gramEnd"/>
      <w:r w:rsidRPr="00F05153">
        <w:t xml:space="preserve"> treatment-naïve patients with WHO FC I/II PAH had a mean placebo-adjusted </w:t>
      </w:r>
      <w:r w:rsidR="002046A0">
        <w:rPr>
          <w:noProof/>
          <w:color w:val="000000"/>
          <w:highlight w:val="black"/>
        </w:rPr>
        <w:t>''''''''''''''''''</w:t>
      </w:r>
      <w:r w:rsidRPr="00F05153">
        <w:t xml:space="preserve"> in PVR of </w:t>
      </w:r>
      <w:r w:rsidR="002046A0">
        <w:rPr>
          <w:noProof/>
          <w:color w:val="000000"/>
          <w:highlight w:val="black"/>
        </w:rPr>
        <w:t>''''''''</w:t>
      </w:r>
      <w:r w:rsidRPr="00F05153">
        <w:t xml:space="preserve"> after 12 weeks of riociguat treatment (</w:t>
      </w:r>
      <w:r w:rsidR="003951FA" w:rsidRPr="00F05153">
        <w:t>Table 4.</w:t>
      </w:r>
      <w:r w:rsidR="003951FA">
        <w:t>98</w:t>
      </w:r>
      <w:r w:rsidRPr="00F05153">
        <w:t xml:space="preserve">). </w:t>
      </w:r>
      <w:r w:rsidR="002046A0">
        <w:rPr>
          <w:noProof/>
          <w:color w:val="000000"/>
          <w:highlight w:val="black"/>
        </w:rPr>
        <w:t>''' '''' ''''''''''''''''''' ''' ''''''' ''''''''''''''''' ''' '''' '''''''''''''' '''''''''''''''''''''' '''''''''' '''''' ''''''''' ''''''''''''''' '''' '''''''''''''''' '''''''''' '''''''' ''''''''''''''</w:t>
      </w:r>
    </w:p>
    <w:p w:rsidR="00761752" w:rsidRPr="00F05153" w:rsidRDefault="00761752" w:rsidP="00761752">
      <w:pPr>
        <w:pStyle w:val="Caption"/>
      </w:pPr>
      <w:bookmarkStart w:id="289" w:name="_Ref506308311"/>
      <w:bookmarkStart w:id="290" w:name="_Toc38360395"/>
      <w:r w:rsidRPr="00F05153">
        <w:t>Table 4.</w:t>
      </w:r>
      <w:r w:rsidR="003951FA">
        <w:rPr>
          <w:noProof/>
        </w:rPr>
        <w:t>98</w:t>
      </w:r>
      <w:bookmarkEnd w:id="289"/>
      <w:r w:rsidRPr="00F05153">
        <w:tab/>
        <w:t xml:space="preserve">The effectiveness of </w:t>
      </w:r>
      <w:r w:rsidR="00E35EDB" w:rsidRPr="00F05153">
        <w:t xml:space="preserve">a sGC stimulator </w:t>
      </w:r>
      <w:r w:rsidR="007E59EC" w:rsidRPr="00F05153">
        <w:t xml:space="preserve">in addition to an ERA compared with ERA monotherapy </w:t>
      </w:r>
      <w:r w:rsidRPr="00F05153">
        <w:t xml:space="preserve">in improving PVR in </w:t>
      </w:r>
      <w:r w:rsidR="00DB6ACB" w:rsidRPr="00F05153">
        <w:t>all</w:t>
      </w:r>
      <w:r w:rsidRPr="00F05153">
        <w:t xml:space="preserve"> PAH </w:t>
      </w:r>
      <w:r w:rsidR="00DB6ACB" w:rsidRPr="00F05153">
        <w:t>patients</w:t>
      </w:r>
      <w:bookmarkEnd w:id="290"/>
    </w:p>
    <w:tbl>
      <w:tblPr>
        <w:tblStyle w:val="TableGrid"/>
        <w:tblW w:w="9634" w:type="dxa"/>
        <w:tblLayout w:type="fixed"/>
        <w:tblLook w:val="04A0" w:firstRow="1" w:lastRow="0" w:firstColumn="1" w:lastColumn="0" w:noHBand="0" w:noVBand="1"/>
        <w:tblCaption w:val="The effectiveness of a sGC stimulator in addition to an ERA compared with ERA monotherapy in improving PVR in all PAH patients"/>
      </w:tblPr>
      <w:tblGrid>
        <w:gridCol w:w="1271"/>
        <w:gridCol w:w="851"/>
        <w:gridCol w:w="1736"/>
        <w:gridCol w:w="1240"/>
        <w:gridCol w:w="1666"/>
        <w:gridCol w:w="1453"/>
        <w:gridCol w:w="1417"/>
      </w:tblGrid>
      <w:tr w:rsidR="00761752" w:rsidRPr="00F05153" w:rsidTr="00087C8E">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761752" w:rsidRPr="00F05153" w:rsidRDefault="00761752" w:rsidP="00973227">
            <w:pPr>
              <w:pStyle w:val="Tabletext"/>
              <w:rPr>
                <w:b/>
              </w:rPr>
            </w:pPr>
            <w:r w:rsidRPr="00F05153">
              <w:rPr>
                <w:b/>
              </w:rPr>
              <w:t>Study ID</w:t>
            </w:r>
          </w:p>
          <w:p w:rsidR="00087C8E" w:rsidRPr="00F05153" w:rsidRDefault="00087C8E" w:rsidP="00973227">
            <w:pPr>
              <w:pStyle w:val="Tabletext"/>
              <w:rPr>
                <w:b/>
              </w:rPr>
            </w:pPr>
            <w:r w:rsidRPr="00F05153">
              <w:rPr>
                <w:b/>
              </w:rPr>
              <w:t>sGC stimulator</w:t>
            </w:r>
          </w:p>
        </w:tc>
        <w:tc>
          <w:tcPr>
            <w:tcW w:w="851" w:type="dxa"/>
            <w:vMerge w:val="restart"/>
            <w:shd w:val="clear" w:color="auto" w:fill="BFBFBF" w:themeFill="background1" w:themeFillShade="BF"/>
          </w:tcPr>
          <w:p w:rsidR="00761752" w:rsidRPr="00F05153" w:rsidRDefault="00761752" w:rsidP="00973227">
            <w:pPr>
              <w:pStyle w:val="Tabletext"/>
              <w:rPr>
                <w:b/>
              </w:rPr>
            </w:pPr>
            <w:r w:rsidRPr="00F05153">
              <w:rPr>
                <w:b/>
              </w:rPr>
              <w:t>N</w:t>
            </w:r>
          </w:p>
          <w:p w:rsidR="00761752" w:rsidRPr="00F05153" w:rsidRDefault="00761752" w:rsidP="00973227">
            <w:pPr>
              <w:pStyle w:val="Tabletext"/>
              <w:rPr>
                <w:b/>
              </w:rPr>
            </w:pPr>
            <w:r w:rsidRPr="00F05153">
              <w:rPr>
                <w:b/>
              </w:rPr>
              <w:t>Follow-up period</w:t>
            </w:r>
          </w:p>
        </w:tc>
        <w:tc>
          <w:tcPr>
            <w:tcW w:w="2976" w:type="dxa"/>
            <w:gridSpan w:val="2"/>
            <w:shd w:val="clear" w:color="auto" w:fill="BFBFBF" w:themeFill="background1" w:themeFillShade="BF"/>
          </w:tcPr>
          <w:p w:rsidR="00761752" w:rsidRPr="00F05153" w:rsidRDefault="00761752" w:rsidP="00973227">
            <w:pPr>
              <w:pStyle w:val="Tabletext"/>
              <w:jc w:val="center"/>
              <w:rPr>
                <w:b/>
              </w:rPr>
            </w:pPr>
            <w:r w:rsidRPr="00F05153">
              <w:rPr>
                <w:b/>
              </w:rPr>
              <w:t>Mean ± SD baseline PVR</w:t>
            </w:r>
            <w:r w:rsidR="000B12FE" w:rsidRPr="00F05153">
              <w:rPr>
                <w:b/>
                <w:vertAlign w:val="superscript"/>
              </w:rPr>
              <w:t>a</w:t>
            </w:r>
            <w:r w:rsidRPr="00F05153">
              <w:rPr>
                <w:b/>
              </w:rPr>
              <w:t xml:space="preserve">, </w:t>
            </w:r>
            <w:r w:rsidR="00747709" w:rsidRPr="00F05153">
              <w:rPr>
                <w:b/>
              </w:rPr>
              <w:t>dyn*sec*cm</w:t>
            </w:r>
            <w:r w:rsidR="00747709" w:rsidRPr="00F05153">
              <w:rPr>
                <w:b/>
                <w:vertAlign w:val="superscript"/>
              </w:rPr>
              <w:t>-5</w:t>
            </w:r>
          </w:p>
        </w:tc>
        <w:tc>
          <w:tcPr>
            <w:tcW w:w="3119" w:type="dxa"/>
            <w:gridSpan w:val="2"/>
            <w:shd w:val="clear" w:color="auto" w:fill="BFBFBF" w:themeFill="background1" w:themeFillShade="BF"/>
          </w:tcPr>
          <w:p w:rsidR="00503643" w:rsidRDefault="00761752" w:rsidP="00237FAE">
            <w:pPr>
              <w:pStyle w:val="Tabletext"/>
              <w:jc w:val="center"/>
              <w:rPr>
                <w:b/>
              </w:rPr>
            </w:pPr>
            <w:r w:rsidRPr="00F05153">
              <w:rPr>
                <w:b/>
              </w:rPr>
              <w:t>Mean</w:t>
            </w:r>
            <w:r w:rsidR="0095089E" w:rsidRPr="00F05153">
              <w:rPr>
                <w:b/>
              </w:rPr>
              <w:t xml:space="preserve"> ± SD</w:t>
            </w:r>
            <w:r w:rsidRPr="00F05153">
              <w:rPr>
                <w:b/>
              </w:rPr>
              <w:t xml:space="preserve"> c</w:t>
            </w:r>
            <w:r w:rsidR="0095089E" w:rsidRPr="00F05153">
              <w:rPr>
                <w:rFonts w:asciiTheme="minorHAnsi" w:hAnsiTheme="minorHAnsi"/>
                <w:b/>
              </w:rPr>
              <w:t>hange from baseline</w:t>
            </w:r>
            <w:r w:rsidRPr="00F05153">
              <w:rPr>
                <w:b/>
              </w:rPr>
              <w:t xml:space="preserve">, </w:t>
            </w:r>
            <w:r w:rsidR="00747709" w:rsidRPr="00F05153">
              <w:rPr>
                <w:b/>
              </w:rPr>
              <w:t>dyn*sec*cm</w:t>
            </w:r>
            <w:r w:rsidR="00747709" w:rsidRPr="00F05153">
              <w:rPr>
                <w:b/>
                <w:vertAlign w:val="superscript"/>
              </w:rPr>
              <w:t>-5</w:t>
            </w:r>
          </w:p>
          <w:p w:rsidR="00761752" w:rsidRPr="00F05153" w:rsidRDefault="00E6350D" w:rsidP="00237FAE">
            <w:pPr>
              <w:pStyle w:val="Tabletext"/>
              <w:jc w:val="center"/>
              <w:rPr>
                <w:b/>
              </w:rPr>
            </w:pPr>
            <w:r w:rsidRPr="00F05153">
              <w:rPr>
                <w:b/>
              </w:rPr>
              <w:t>(% change from baseline)</w:t>
            </w:r>
          </w:p>
        </w:tc>
        <w:tc>
          <w:tcPr>
            <w:tcW w:w="1417" w:type="dxa"/>
            <w:vMerge w:val="restart"/>
            <w:shd w:val="clear" w:color="auto" w:fill="BFBFBF" w:themeFill="background1" w:themeFillShade="BF"/>
          </w:tcPr>
          <w:p w:rsidR="00761752" w:rsidRPr="00F05153" w:rsidRDefault="00761752" w:rsidP="00747709">
            <w:pPr>
              <w:pStyle w:val="Tabletext"/>
              <w:rPr>
                <w:b/>
              </w:rPr>
            </w:pPr>
            <w:r w:rsidRPr="00F05153">
              <w:rPr>
                <w:b/>
              </w:rPr>
              <w:t>Mean d</w:t>
            </w:r>
            <w:r w:rsidRPr="00F05153">
              <w:rPr>
                <w:rFonts w:asciiTheme="minorHAnsi" w:hAnsiTheme="minorHAnsi"/>
                <w:b/>
              </w:rPr>
              <w:t>ifference</w:t>
            </w:r>
            <w:r w:rsidRPr="00F05153">
              <w:rPr>
                <w:b/>
              </w:rPr>
              <w:t xml:space="preserve">, </w:t>
            </w:r>
            <w:r w:rsidR="00E6350D" w:rsidRPr="00F05153">
              <w:rPr>
                <w:b/>
              </w:rPr>
              <w:br/>
            </w:r>
            <w:r w:rsidR="00747709" w:rsidRPr="00F05153">
              <w:rPr>
                <w:b/>
              </w:rPr>
              <w:t>dyn*sec*cm</w:t>
            </w:r>
            <w:r w:rsidR="00747709" w:rsidRPr="00F05153">
              <w:rPr>
                <w:b/>
                <w:vertAlign w:val="superscript"/>
              </w:rPr>
              <w:t>-5</w:t>
            </w:r>
            <w:r w:rsidR="00747709" w:rsidRPr="00F05153">
              <w:rPr>
                <w:b/>
              </w:rPr>
              <w:t xml:space="preserve"> </w:t>
            </w:r>
            <w:r w:rsidR="00E6350D" w:rsidRPr="00F05153">
              <w:rPr>
                <w:b/>
              </w:rPr>
              <w:t>(% change)</w:t>
            </w:r>
          </w:p>
        </w:tc>
      </w:tr>
      <w:tr w:rsidR="00761752" w:rsidRPr="00F05153" w:rsidTr="00087C8E">
        <w:tc>
          <w:tcPr>
            <w:tcW w:w="1271" w:type="dxa"/>
            <w:vMerge/>
          </w:tcPr>
          <w:p w:rsidR="00761752" w:rsidRPr="00F05153" w:rsidRDefault="00761752" w:rsidP="00973227">
            <w:pPr>
              <w:pStyle w:val="Tabletext"/>
              <w:rPr>
                <w:b/>
              </w:rPr>
            </w:pPr>
          </w:p>
        </w:tc>
        <w:tc>
          <w:tcPr>
            <w:tcW w:w="851" w:type="dxa"/>
            <w:vMerge/>
          </w:tcPr>
          <w:p w:rsidR="00761752" w:rsidRPr="00F05153" w:rsidRDefault="00761752" w:rsidP="00973227">
            <w:pPr>
              <w:pStyle w:val="Tabletext"/>
              <w:rPr>
                <w:b/>
              </w:rPr>
            </w:pPr>
          </w:p>
        </w:tc>
        <w:tc>
          <w:tcPr>
            <w:tcW w:w="1736" w:type="dxa"/>
            <w:shd w:val="clear" w:color="auto" w:fill="BFBFBF" w:themeFill="background1" w:themeFillShade="BF"/>
          </w:tcPr>
          <w:p w:rsidR="00761752" w:rsidRPr="00F05153" w:rsidRDefault="00087C8E" w:rsidP="00087C8E">
            <w:pPr>
              <w:pStyle w:val="Tabletext"/>
              <w:jc w:val="center"/>
              <w:rPr>
                <w:b/>
              </w:rPr>
            </w:pPr>
            <w:r w:rsidRPr="00F05153">
              <w:rPr>
                <w:b/>
              </w:rPr>
              <w:t xml:space="preserve">sGC stimulator </w:t>
            </w:r>
            <w:r w:rsidR="00761752" w:rsidRPr="00F05153">
              <w:rPr>
                <w:rFonts w:asciiTheme="minorHAnsi" w:hAnsiTheme="minorHAnsi"/>
                <w:b/>
              </w:rPr>
              <w:t>+ ERA</w:t>
            </w:r>
          </w:p>
        </w:tc>
        <w:tc>
          <w:tcPr>
            <w:tcW w:w="1240" w:type="dxa"/>
            <w:shd w:val="clear" w:color="auto" w:fill="BFBFBF" w:themeFill="background1" w:themeFillShade="BF"/>
          </w:tcPr>
          <w:p w:rsidR="00761752" w:rsidRPr="00F05153" w:rsidRDefault="00761752" w:rsidP="00973227">
            <w:pPr>
              <w:pStyle w:val="Tabletext"/>
              <w:jc w:val="center"/>
              <w:rPr>
                <w:b/>
              </w:rPr>
            </w:pPr>
            <w:r w:rsidRPr="00F05153">
              <w:rPr>
                <w:rFonts w:asciiTheme="minorHAnsi" w:hAnsiTheme="minorHAnsi"/>
                <w:b/>
              </w:rPr>
              <w:t>ERA</w:t>
            </w:r>
          </w:p>
        </w:tc>
        <w:tc>
          <w:tcPr>
            <w:tcW w:w="1666" w:type="dxa"/>
            <w:shd w:val="clear" w:color="auto" w:fill="BFBFBF" w:themeFill="background1" w:themeFillShade="BF"/>
          </w:tcPr>
          <w:p w:rsidR="00761752" w:rsidRPr="00F05153" w:rsidRDefault="00087C8E" w:rsidP="00973227">
            <w:pPr>
              <w:pStyle w:val="Tabletext"/>
              <w:jc w:val="center"/>
              <w:rPr>
                <w:b/>
              </w:rPr>
            </w:pPr>
            <w:r w:rsidRPr="00F05153">
              <w:rPr>
                <w:b/>
              </w:rPr>
              <w:t xml:space="preserve">sGC stimulator </w:t>
            </w:r>
            <w:r w:rsidR="00761752" w:rsidRPr="00F05153">
              <w:rPr>
                <w:rFonts w:asciiTheme="minorHAnsi" w:hAnsiTheme="minorHAnsi"/>
                <w:b/>
              </w:rPr>
              <w:t>+ ERA</w:t>
            </w:r>
          </w:p>
        </w:tc>
        <w:tc>
          <w:tcPr>
            <w:tcW w:w="1453" w:type="dxa"/>
            <w:shd w:val="clear" w:color="auto" w:fill="BFBFBF" w:themeFill="background1" w:themeFillShade="BF"/>
          </w:tcPr>
          <w:p w:rsidR="00761752" w:rsidRPr="00F05153" w:rsidRDefault="00761752" w:rsidP="00973227">
            <w:pPr>
              <w:pStyle w:val="Tabletext"/>
              <w:jc w:val="center"/>
              <w:rPr>
                <w:b/>
              </w:rPr>
            </w:pPr>
            <w:r w:rsidRPr="00F05153">
              <w:rPr>
                <w:rFonts w:asciiTheme="minorHAnsi" w:hAnsiTheme="minorHAnsi"/>
                <w:b/>
              </w:rPr>
              <w:t>ERA</w:t>
            </w:r>
          </w:p>
        </w:tc>
        <w:tc>
          <w:tcPr>
            <w:tcW w:w="1417" w:type="dxa"/>
            <w:vMerge/>
          </w:tcPr>
          <w:p w:rsidR="00761752" w:rsidRPr="00F05153" w:rsidRDefault="00761752" w:rsidP="00973227">
            <w:pPr>
              <w:pStyle w:val="Tabletext"/>
            </w:pPr>
          </w:p>
        </w:tc>
      </w:tr>
      <w:tr w:rsidR="00761752" w:rsidRPr="00F05153" w:rsidTr="00087C8E">
        <w:tc>
          <w:tcPr>
            <w:tcW w:w="1271" w:type="dxa"/>
          </w:tcPr>
          <w:p w:rsidR="00087C8E" w:rsidRPr="00F05153" w:rsidRDefault="00761752" w:rsidP="00973227">
            <w:pPr>
              <w:pStyle w:val="Tabletext"/>
              <w:rPr>
                <w:rFonts w:cs="Tahoma"/>
              </w:rPr>
            </w:pPr>
            <w:r w:rsidRPr="00F05153">
              <w:rPr>
                <w:rFonts w:cs="Tahoma"/>
              </w:rPr>
              <w:t>PATENT-1 CSR</w:t>
            </w:r>
          </w:p>
          <w:p w:rsidR="00761752" w:rsidRPr="00F05153" w:rsidRDefault="00087C8E" w:rsidP="00973227">
            <w:pPr>
              <w:pStyle w:val="Tabletext"/>
            </w:pPr>
            <w:r w:rsidRPr="00F05153">
              <w:rPr>
                <w:rFonts w:cs="Tahoma"/>
              </w:rPr>
              <w:t>Riociguat</w:t>
            </w:r>
          </w:p>
        </w:tc>
        <w:tc>
          <w:tcPr>
            <w:tcW w:w="851" w:type="dxa"/>
          </w:tcPr>
          <w:p w:rsidR="00761752" w:rsidRPr="00F05153" w:rsidRDefault="00761752" w:rsidP="00973227">
            <w:pPr>
              <w:pStyle w:val="Tabletext"/>
              <w:rPr>
                <w:rFonts w:cs="Tahoma"/>
              </w:rPr>
            </w:pPr>
            <w:r w:rsidRPr="00F05153">
              <w:rPr>
                <w:rFonts w:cs="Tahoma"/>
              </w:rPr>
              <w:t>N=148</w:t>
            </w:r>
          </w:p>
          <w:p w:rsidR="00761752" w:rsidRPr="00F05153" w:rsidRDefault="00761752" w:rsidP="00973227">
            <w:pPr>
              <w:pStyle w:val="Tabletext"/>
            </w:pPr>
            <w:r w:rsidRPr="00F05153">
              <w:rPr>
                <w:rFonts w:cs="Tahoma"/>
              </w:rPr>
              <w:t>12 weeks</w:t>
            </w:r>
          </w:p>
        </w:tc>
        <w:tc>
          <w:tcPr>
            <w:tcW w:w="1736" w:type="dxa"/>
          </w:tcPr>
          <w:p w:rsidR="00761752" w:rsidRPr="002046A0" w:rsidRDefault="002046A0" w:rsidP="00973227">
            <w:pPr>
              <w:pStyle w:val="Tabletext"/>
              <w:jc w:val="center"/>
              <w:rPr>
                <w:highlight w:val="black"/>
              </w:rPr>
            </w:pPr>
            <w:r>
              <w:rPr>
                <w:rFonts w:cs="Tahoma"/>
                <w:noProof/>
                <w:color w:val="000000"/>
                <w:highlight w:val="black"/>
              </w:rPr>
              <w:t>''''''''' ''' ''''''''''</w:t>
            </w:r>
          </w:p>
        </w:tc>
        <w:tc>
          <w:tcPr>
            <w:tcW w:w="1240" w:type="dxa"/>
          </w:tcPr>
          <w:p w:rsidR="00761752" w:rsidRPr="002046A0" w:rsidRDefault="002046A0" w:rsidP="00973227">
            <w:pPr>
              <w:pStyle w:val="Tabletext"/>
              <w:jc w:val="center"/>
              <w:rPr>
                <w:highlight w:val="black"/>
              </w:rPr>
            </w:pPr>
            <w:r>
              <w:rPr>
                <w:rFonts w:cs="Tahoma"/>
                <w:noProof/>
                <w:color w:val="000000"/>
                <w:highlight w:val="black"/>
              </w:rPr>
              <w:t>'''''''''' ''' '''''''''</w:t>
            </w:r>
          </w:p>
        </w:tc>
        <w:tc>
          <w:tcPr>
            <w:tcW w:w="1666" w:type="dxa"/>
          </w:tcPr>
          <w:p w:rsidR="00761752" w:rsidRPr="002046A0" w:rsidRDefault="002046A0" w:rsidP="00973227">
            <w:pPr>
              <w:pStyle w:val="Tabletext"/>
              <w:jc w:val="center"/>
              <w:rPr>
                <w:rFonts w:cs="Tahoma"/>
                <w:highlight w:val="black"/>
              </w:rPr>
            </w:pPr>
            <w:r>
              <w:rPr>
                <w:rFonts w:cs="Tahoma"/>
                <w:noProof/>
                <w:color w:val="000000"/>
                <w:highlight w:val="black"/>
              </w:rPr>
              <w:t>'''''''''''' ''' '''''''''</w:t>
            </w:r>
          </w:p>
          <w:p w:rsidR="00761752" w:rsidRPr="002046A0" w:rsidRDefault="002046A0" w:rsidP="00E6350D">
            <w:pPr>
              <w:pStyle w:val="Tabletext"/>
              <w:jc w:val="center"/>
              <w:rPr>
                <w:highlight w:val="black"/>
              </w:rPr>
            </w:pPr>
            <w:r>
              <w:rPr>
                <w:rFonts w:cs="Tahoma"/>
                <w:noProof/>
                <w:color w:val="000000"/>
                <w:highlight w:val="black"/>
              </w:rPr>
              <w:t>''''''''''''''''' ''''''''''''''''''''''''</w:t>
            </w:r>
          </w:p>
        </w:tc>
        <w:tc>
          <w:tcPr>
            <w:tcW w:w="1453" w:type="dxa"/>
          </w:tcPr>
          <w:p w:rsidR="00761752" w:rsidRPr="002046A0" w:rsidRDefault="002046A0" w:rsidP="00973227">
            <w:pPr>
              <w:pStyle w:val="Tabletext"/>
              <w:jc w:val="center"/>
              <w:rPr>
                <w:rFonts w:cs="Tahoma"/>
                <w:highlight w:val="black"/>
              </w:rPr>
            </w:pPr>
            <w:r>
              <w:rPr>
                <w:rFonts w:cs="Tahoma"/>
                <w:noProof/>
                <w:color w:val="000000"/>
                <w:highlight w:val="black"/>
              </w:rPr>
              <w:t>''''''''' ''' ''''''''''</w:t>
            </w:r>
          </w:p>
          <w:p w:rsidR="00761752" w:rsidRPr="002046A0" w:rsidRDefault="002046A0" w:rsidP="00973227">
            <w:pPr>
              <w:pStyle w:val="Tabletext"/>
              <w:jc w:val="center"/>
              <w:rPr>
                <w:highlight w:val="black"/>
              </w:rPr>
            </w:pPr>
            <w:r>
              <w:rPr>
                <w:rFonts w:cs="Tahoma"/>
                <w:noProof/>
                <w:color w:val="000000"/>
                <w:highlight w:val="black"/>
              </w:rPr>
              <w:t>'''''''''''''' ''''''''''''''''''''''''</w:t>
            </w:r>
          </w:p>
        </w:tc>
        <w:tc>
          <w:tcPr>
            <w:tcW w:w="1417" w:type="dxa"/>
          </w:tcPr>
          <w:p w:rsidR="00761752" w:rsidRPr="00F05153" w:rsidRDefault="00761752" w:rsidP="00973227">
            <w:pPr>
              <w:pStyle w:val="Tabletext"/>
            </w:pPr>
            <w:r w:rsidRPr="00F05153">
              <w:rPr>
                <w:rFonts w:cs="Tahoma"/>
              </w:rPr>
              <w:t>−</w:t>
            </w:r>
            <w:r w:rsidR="002046A0">
              <w:rPr>
                <w:rFonts w:cs="Tahoma"/>
                <w:noProof/>
                <w:color w:val="000000"/>
                <w:highlight w:val="black"/>
              </w:rPr>
              <w:t>''''''''' '''''''''''''''''''''</w:t>
            </w:r>
          </w:p>
        </w:tc>
      </w:tr>
    </w:tbl>
    <w:p w:rsidR="000B12FE" w:rsidRPr="00F05153" w:rsidRDefault="000B12FE" w:rsidP="000B12FE">
      <w:pPr>
        <w:pStyle w:val="Tablenote"/>
      </w:pPr>
      <w:proofErr w:type="gramStart"/>
      <w:r w:rsidRPr="00F05153">
        <w:rPr>
          <w:vertAlign w:val="superscript"/>
        </w:rPr>
        <w:t>a</w:t>
      </w:r>
      <w:proofErr w:type="gramEnd"/>
      <w:r w:rsidRPr="00F05153">
        <w:t xml:space="preserve"> A decrease in PVR indicates improvement in </w:t>
      </w:r>
      <w:r w:rsidR="007E658F" w:rsidRPr="00F05153">
        <w:t>haemodynamic parameters</w:t>
      </w:r>
      <w:r w:rsidRPr="00F05153">
        <w:t xml:space="preserve">. </w:t>
      </w:r>
    </w:p>
    <w:p w:rsidR="00087C8E" w:rsidRPr="00F05153" w:rsidRDefault="00761752" w:rsidP="00761752">
      <w:pPr>
        <w:pStyle w:val="Tablenote"/>
      </w:pPr>
      <w:r w:rsidRPr="00F05153">
        <w:t xml:space="preserve">CSR = clinical study report; </w:t>
      </w:r>
      <w:r w:rsidR="00087C8E" w:rsidRPr="00F05153">
        <w:t xml:space="preserve">ERA = endothelin receptor antagonist; </w:t>
      </w:r>
      <w:r w:rsidRPr="00F05153">
        <w:t xml:space="preserve">N = number of patients; </w:t>
      </w:r>
      <w:r w:rsidR="00087C8E" w:rsidRPr="00F05153">
        <w:t xml:space="preserve">PAH = pulmonary arterial hypertension; </w:t>
      </w:r>
      <w:r w:rsidRPr="00F05153">
        <w:t>PVR = pulmonary vascular resistance</w:t>
      </w:r>
      <w:r w:rsidR="009B47AA" w:rsidRPr="00F05153">
        <w:t xml:space="preserve">; </w:t>
      </w:r>
      <w:r w:rsidR="00087C8E" w:rsidRPr="00F05153">
        <w:t xml:space="preserve">SD = standard deviation; </w:t>
      </w:r>
      <w:r w:rsidR="009B47AA" w:rsidRPr="00F05153">
        <w:t xml:space="preserve">sGC = soluble guanylate cyclase </w:t>
      </w:r>
    </w:p>
    <w:p w:rsidR="00761752" w:rsidRPr="00F05153" w:rsidRDefault="00761752" w:rsidP="00761752">
      <w:pPr>
        <w:pStyle w:val="Heading6"/>
      </w:pPr>
      <w:proofErr w:type="gramStart"/>
      <w:r w:rsidRPr="00F05153">
        <w:t>g.ii</w:t>
      </w:r>
      <w:proofErr w:type="gramEnd"/>
      <w:r w:rsidRPr="00F05153">
        <w:tab/>
        <w:t>PAH patients with FC III or IV</w:t>
      </w:r>
    </w:p>
    <w:p w:rsidR="00761752" w:rsidRPr="002046A0" w:rsidRDefault="00761752" w:rsidP="00761752">
      <w:r w:rsidRPr="00F05153">
        <w:t xml:space="preserve">In the PATENT-1 trial, patients with WHO FC III/IV PAH receiving background therapy with an ERA who were randomised to riociguat treatment had a mean baseline PVR </w:t>
      </w:r>
      <w:r w:rsidR="002046A0">
        <w:rPr>
          <w:noProof/>
          <w:color w:val="000000"/>
          <w:highlight w:val="black"/>
        </w:rPr>
        <w:t>''''''''''''' '''''''''''</w:t>
      </w:r>
      <w:r w:rsidRPr="00F05153">
        <w:t xml:space="preserve"> than those who were randomised to placebo. Hence, any confounding of the treatment effect would favour </w:t>
      </w:r>
      <w:r w:rsidR="002046A0">
        <w:rPr>
          <w:noProof/>
          <w:color w:val="000000"/>
          <w:highlight w:val="black"/>
        </w:rPr>
        <w:t>'''''' ''''''''''' ''''''''''''''''''' ''''''''''</w:t>
      </w:r>
      <w:r w:rsidRPr="00F05153">
        <w:t xml:space="preserve">. These patients had a mean placebo-adjusted </w:t>
      </w:r>
      <w:r w:rsidR="002046A0">
        <w:rPr>
          <w:noProof/>
          <w:color w:val="000000"/>
          <w:highlight w:val="black"/>
        </w:rPr>
        <w:t>'''''''''''''''''</w:t>
      </w:r>
      <w:r w:rsidRPr="00F05153">
        <w:t xml:space="preserve"> in PVR of </w:t>
      </w:r>
      <w:r w:rsidR="002046A0">
        <w:rPr>
          <w:noProof/>
          <w:color w:val="000000"/>
          <w:highlight w:val="black"/>
        </w:rPr>
        <w:t>''''''''</w:t>
      </w:r>
      <w:r w:rsidRPr="00F05153">
        <w:t xml:space="preserve"> after 12 weeks of riociguat treatment (</w:t>
      </w:r>
      <w:r w:rsidR="003951FA" w:rsidRPr="00F05153">
        <w:t>Table 4.</w:t>
      </w:r>
      <w:r w:rsidR="003951FA">
        <w:t>99</w:t>
      </w:r>
      <w:r w:rsidRPr="00F05153">
        <w:t xml:space="preserve">). </w:t>
      </w:r>
      <w:r w:rsidR="002046A0">
        <w:rPr>
          <w:noProof/>
          <w:color w:val="000000"/>
          <w:highlight w:val="black"/>
        </w:rPr>
        <w:t>'''' ''' ''''''''''' ''''''' '''''''' '''''''''''''''' ''' ''''' ''''''''''''' '''''''''''''''''''''' '''''''''''''' ''''''' ''''''''''' ''''''''''''''''' ''' '''''''''''''''' ''''''''''' '''''''' ''''''''''''''</w:t>
      </w:r>
    </w:p>
    <w:p w:rsidR="00761752" w:rsidRPr="00F05153" w:rsidRDefault="00761752" w:rsidP="00761752">
      <w:pPr>
        <w:pStyle w:val="Caption"/>
      </w:pPr>
      <w:bookmarkStart w:id="291" w:name="_Ref506308397"/>
      <w:bookmarkStart w:id="292" w:name="_Toc38360396"/>
      <w:r w:rsidRPr="00F05153">
        <w:t>Table 4.</w:t>
      </w:r>
      <w:r w:rsidR="003951FA">
        <w:rPr>
          <w:noProof/>
        </w:rPr>
        <w:t>99</w:t>
      </w:r>
      <w:bookmarkEnd w:id="291"/>
      <w:r w:rsidRPr="00F05153">
        <w:tab/>
        <w:t xml:space="preserve">The effectiveness of </w:t>
      </w:r>
      <w:r w:rsidR="00E35EDB" w:rsidRPr="00F05153">
        <w:t xml:space="preserve">a sGC stimulator </w:t>
      </w:r>
      <w:r w:rsidR="007E59EC" w:rsidRPr="00F05153">
        <w:t xml:space="preserve">in addition to an ERA compared with ERA monotherapy </w:t>
      </w:r>
      <w:r w:rsidRPr="00F05153">
        <w:t>in improving PVR in patients with WHO FC III/IV PAH</w:t>
      </w:r>
      <w:bookmarkEnd w:id="292"/>
    </w:p>
    <w:tbl>
      <w:tblPr>
        <w:tblStyle w:val="TableGrid"/>
        <w:tblW w:w="9776" w:type="dxa"/>
        <w:tblLayout w:type="fixed"/>
        <w:tblLook w:val="04A0" w:firstRow="1" w:lastRow="0" w:firstColumn="1" w:lastColumn="0" w:noHBand="0" w:noVBand="1"/>
        <w:tblCaption w:val="The effectiveness of a sGC stimulator in addition to an ERA compared with ERA monotherapy in improving PVR in patients with WHO FC III/IV PAH"/>
      </w:tblPr>
      <w:tblGrid>
        <w:gridCol w:w="1271"/>
        <w:gridCol w:w="851"/>
        <w:gridCol w:w="1736"/>
        <w:gridCol w:w="1382"/>
        <w:gridCol w:w="1701"/>
        <w:gridCol w:w="1276"/>
        <w:gridCol w:w="1559"/>
      </w:tblGrid>
      <w:tr w:rsidR="00761752" w:rsidRPr="00F05153" w:rsidTr="00FA2050">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761752" w:rsidRPr="00F05153" w:rsidRDefault="00761752" w:rsidP="00973227">
            <w:pPr>
              <w:pStyle w:val="Tabletext"/>
              <w:rPr>
                <w:b/>
              </w:rPr>
            </w:pPr>
            <w:r w:rsidRPr="00F05153">
              <w:rPr>
                <w:b/>
              </w:rPr>
              <w:t>Study ID</w:t>
            </w:r>
          </w:p>
          <w:p w:rsidR="00087C8E" w:rsidRPr="00F05153" w:rsidRDefault="00087C8E" w:rsidP="00973227">
            <w:pPr>
              <w:pStyle w:val="Tabletext"/>
              <w:rPr>
                <w:b/>
              </w:rPr>
            </w:pPr>
            <w:r w:rsidRPr="00F05153">
              <w:rPr>
                <w:b/>
              </w:rPr>
              <w:t>sGC stimulator</w:t>
            </w:r>
          </w:p>
        </w:tc>
        <w:tc>
          <w:tcPr>
            <w:tcW w:w="851" w:type="dxa"/>
            <w:vMerge w:val="restart"/>
            <w:shd w:val="clear" w:color="auto" w:fill="BFBFBF" w:themeFill="background1" w:themeFillShade="BF"/>
          </w:tcPr>
          <w:p w:rsidR="00761752" w:rsidRPr="00F05153" w:rsidRDefault="00761752" w:rsidP="00973227">
            <w:pPr>
              <w:pStyle w:val="Tabletext"/>
              <w:rPr>
                <w:b/>
              </w:rPr>
            </w:pPr>
            <w:r w:rsidRPr="00F05153">
              <w:rPr>
                <w:b/>
              </w:rPr>
              <w:t>N</w:t>
            </w:r>
          </w:p>
          <w:p w:rsidR="00761752" w:rsidRPr="00F05153" w:rsidRDefault="00761752" w:rsidP="00973227">
            <w:pPr>
              <w:pStyle w:val="Tabletext"/>
              <w:rPr>
                <w:b/>
              </w:rPr>
            </w:pPr>
            <w:r w:rsidRPr="00F05153">
              <w:rPr>
                <w:b/>
              </w:rPr>
              <w:t>Follow-up period</w:t>
            </w:r>
          </w:p>
        </w:tc>
        <w:tc>
          <w:tcPr>
            <w:tcW w:w="3118" w:type="dxa"/>
            <w:gridSpan w:val="2"/>
            <w:shd w:val="clear" w:color="auto" w:fill="BFBFBF" w:themeFill="background1" w:themeFillShade="BF"/>
          </w:tcPr>
          <w:p w:rsidR="00761752" w:rsidRPr="00F05153" w:rsidRDefault="00761752" w:rsidP="00973227">
            <w:pPr>
              <w:pStyle w:val="Tabletext"/>
              <w:jc w:val="center"/>
              <w:rPr>
                <w:b/>
              </w:rPr>
            </w:pPr>
            <w:r w:rsidRPr="00F05153">
              <w:rPr>
                <w:b/>
              </w:rPr>
              <w:t>Mean ± SD baseline PVR</w:t>
            </w:r>
            <w:r w:rsidR="000B12FE" w:rsidRPr="00F05153">
              <w:rPr>
                <w:b/>
                <w:vertAlign w:val="superscript"/>
              </w:rPr>
              <w:t>a</w:t>
            </w:r>
            <w:r w:rsidRPr="00F05153">
              <w:rPr>
                <w:b/>
              </w:rPr>
              <w:t xml:space="preserve">, </w:t>
            </w:r>
            <w:r w:rsidR="00747709" w:rsidRPr="00F05153">
              <w:rPr>
                <w:b/>
              </w:rPr>
              <w:t>dyn*sec*cm</w:t>
            </w:r>
            <w:r w:rsidR="00747709" w:rsidRPr="00F05153">
              <w:rPr>
                <w:b/>
                <w:vertAlign w:val="superscript"/>
              </w:rPr>
              <w:t>-5</w:t>
            </w:r>
          </w:p>
        </w:tc>
        <w:tc>
          <w:tcPr>
            <w:tcW w:w="2977" w:type="dxa"/>
            <w:gridSpan w:val="2"/>
            <w:shd w:val="clear" w:color="auto" w:fill="BFBFBF" w:themeFill="background1" w:themeFillShade="BF"/>
          </w:tcPr>
          <w:p w:rsidR="00503643" w:rsidRDefault="00761752" w:rsidP="00747709">
            <w:pPr>
              <w:pStyle w:val="Tabletext"/>
              <w:jc w:val="center"/>
              <w:rPr>
                <w:b/>
              </w:rPr>
            </w:pPr>
            <w:r w:rsidRPr="00F05153">
              <w:rPr>
                <w:b/>
              </w:rPr>
              <w:t xml:space="preserve">Mean </w:t>
            </w:r>
            <w:r w:rsidR="0095089E" w:rsidRPr="00F05153">
              <w:rPr>
                <w:b/>
              </w:rPr>
              <w:t xml:space="preserve">± SD </w:t>
            </w:r>
            <w:r w:rsidRPr="00F05153">
              <w:rPr>
                <w:b/>
              </w:rPr>
              <w:t>c</w:t>
            </w:r>
            <w:r w:rsidRPr="00F05153">
              <w:rPr>
                <w:rFonts w:asciiTheme="minorHAnsi" w:hAnsiTheme="minorHAnsi"/>
                <w:b/>
              </w:rPr>
              <w:t>hange from baseline</w:t>
            </w:r>
            <w:r w:rsidRPr="00F05153">
              <w:rPr>
                <w:b/>
              </w:rPr>
              <w:t xml:space="preserve">, </w:t>
            </w:r>
            <w:r w:rsidR="00747709" w:rsidRPr="00F05153">
              <w:rPr>
                <w:b/>
              </w:rPr>
              <w:t>dyn*sec*cm</w:t>
            </w:r>
            <w:r w:rsidR="00747709" w:rsidRPr="00F05153">
              <w:rPr>
                <w:b/>
                <w:vertAlign w:val="superscript"/>
              </w:rPr>
              <w:t>-5</w:t>
            </w:r>
          </w:p>
          <w:p w:rsidR="00761752" w:rsidRPr="00F05153" w:rsidRDefault="00E6350D" w:rsidP="00747709">
            <w:pPr>
              <w:pStyle w:val="Tabletext"/>
              <w:jc w:val="center"/>
              <w:rPr>
                <w:b/>
              </w:rPr>
            </w:pPr>
            <w:r w:rsidRPr="00F05153">
              <w:rPr>
                <w:b/>
              </w:rPr>
              <w:t>(% change from baseline)</w:t>
            </w:r>
          </w:p>
        </w:tc>
        <w:tc>
          <w:tcPr>
            <w:tcW w:w="1559" w:type="dxa"/>
            <w:vMerge w:val="restart"/>
            <w:shd w:val="clear" w:color="auto" w:fill="BFBFBF" w:themeFill="background1" w:themeFillShade="BF"/>
          </w:tcPr>
          <w:p w:rsidR="00761752" w:rsidRPr="00F05153" w:rsidRDefault="00761752" w:rsidP="00747709">
            <w:pPr>
              <w:pStyle w:val="Tabletext"/>
              <w:rPr>
                <w:b/>
              </w:rPr>
            </w:pPr>
            <w:r w:rsidRPr="00F05153">
              <w:rPr>
                <w:b/>
              </w:rPr>
              <w:t>Mean d</w:t>
            </w:r>
            <w:r w:rsidRPr="00F05153">
              <w:rPr>
                <w:rFonts w:asciiTheme="minorHAnsi" w:hAnsiTheme="minorHAnsi"/>
                <w:b/>
              </w:rPr>
              <w:t>ifference</w:t>
            </w:r>
            <w:r w:rsidRPr="00F05153">
              <w:rPr>
                <w:b/>
              </w:rPr>
              <w:t xml:space="preserve">, </w:t>
            </w:r>
            <w:r w:rsidR="00747709" w:rsidRPr="00F05153">
              <w:rPr>
                <w:b/>
              </w:rPr>
              <w:t>dyn*sec*cm</w:t>
            </w:r>
            <w:r w:rsidR="00747709" w:rsidRPr="00F05153">
              <w:rPr>
                <w:b/>
                <w:vertAlign w:val="superscript"/>
              </w:rPr>
              <w:t>-5</w:t>
            </w:r>
            <w:r w:rsidR="00E6350D" w:rsidRPr="00F05153">
              <w:rPr>
                <w:b/>
              </w:rPr>
              <w:t xml:space="preserve"> (% change)</w:t>
            </w:r>
          </w:p>
        </w:tc>
      </w:tr>
      <w:tr w:rsidR="00761752" w:rsidRPr="00F05153" w:rsidTr="00FA2050">
        <w:tc>
          <w:tcPr>
            <w:tcW w:w="1271" w:type="dxa"/>
            <w:vMerge/>
          </w:tcPr>
          <w:p w:rsidR="00761752" w:rsidRPr="00F05153" w:rsidRDefault="00761752" w:rsidP="00973227">
            <w:pPr>
              <w:pStyle w:val="Tabletext"/>
            </w:pPr>
          </w:p>
        </w:tc>
        <w:tc>
          <w:tcPr>
            <w:tcW w:w="851" w:type="dxa"/>
            <w:vMerge/>
          </w:tcPr>
          <w:p w:rsidR="00761752" w:rsidRPr="00F05153" w:rsidRDefault="00761752" w:rsidP="00973227">
            <w:pPr>
              <w:pStyle w:val="Tabletext"/>
            </w:pPr>
          </w:p>
        </w:tc>
        <w:tc>
          <w:tcPr>
            <w:tcW w:w="1736" w:type="dxa"/>
            <w:shd w:val="clear" w:color="auto" w:fill="BFBFBF" w:themeFill="background1" w:themeFillShade="BF"/>
          </w:tcPr>
          <w:p w:rsidR="00761752" w:rsidRPr="00F05153" w:rsidRDefault="00087C8E" w:rsidP="00973227">
            <w:pPr>
              <w:pStyle w:val="Tabletext"/>
              <w:jc w:val="center"/>
              <w:rPr>
                <w:b/>
              </w:rPr>
            </w:pPr>
            <w:r w:rsidRPr="00F05153">
              <w:rPr>
                <w:b/>
              </w:rPr>
              <w:t xml:space="preserve">sGC stimulator </w:t>
            </w:r>
            <w:r w:rsidR="00761752" w:rsidRPr="00F05153">
              <w:rPr>
                <w:rFonts w:asciiTheme="minorHAnsi" w:hAnsiTheme="minorHAnsi"/>
                <w:b/>
              </w:rPr>
              <w:t>+ ERA</w:t>
            </w:r>
          </w:p>
        </w:tc>
        <w:tc>
          <w:tcPr>
            <w:tcW w:w="1382" w:type="dxa"/>
            <w:shd w:val="clear" w:color="auto" w:fill="BFBFBF" w:themeFill="background1" w:themeFillShade="BF"/>
          </w:tcPr>
          <w:p w:rsidR="00761752" w:rsidRPr="00F05153" w:rsidRDefault="00761752" w:rsidP="00973227">
            <w:pPr>
              <w:pStyle w:val="Tabletext"/>
              <w:jc w:val="center"/>
              <w:rPr>
                <w:b/>
              </w:rPr>
            </w:pPr>
            <w:r w:rsidRPr="00F05153">
              <w:rPr>
                <w:rFonts w:asciiTheme="minorHAnsi" w:hAnsiTheme="minorHAnsi"/>
                <w:b/>
              </w:rPr>
              <w:t>ERA</w:t>
            </w:r>
          </w:p>
        </w:tc>
        <w:tc>
          <w:tcPr>
            <w:tcW w:w="1701" w:type="dxa"/>
            <w:shd w:val="clear" w:color="auto" w:fill="BFBFBF" w:themeFill="background1" w:themeFillShade="BF"/>
          </w:tcPr>
          <w:p w:rsidR="00761752" w:rsidRPr="00F05153" w:rsidRDefault="00087C8E" w:rsidP="00973227">
            <w:pPr>
              <w:pStyle w:val="Tabletext"/>
              <w:jc w:val="center"/>
              <w:rPr>
                <w:b/>
              </w:rPr>
            </w:pPr>
            <w:r w:rsidRPr="00F05153">
              <w:rPr>
                <w:b/>
              </w:rPr>
              <w:t xml:space="preserve">sGC stimulator </w:t>
            </w:r>
            <w:r w:rsidR="00761752" w:rsidRPr="00F05153">
              <w:rPr>
                <w:rFonts w:asciiTheme="minorHAnsi" w:hAnsiTheme="minorHAnsi"/>
                <w:b/>
              </w:rPr>
              <w:t>+ ERA</w:t>
            </w:r>
          </w:p>
        </w:tc>
        <w:tc>
          <w:tcPr>
            <w:tcW w:w="1276" w:type="dxa"/>
            <w:shd w:val="clear" w:color="auto" w:fill="BFBFBF" w:themeFill="background1" w:themeFillShade="BF"/>
          </w:tcPr>
          <w:p w:rsidR="00761752" w:rsidRPr="00F05153" w:rsidRDefault="00761752" w:rsidP="00973227">
            <w:pPr>
              <w:pStyle w:val="Tabletext"/>
              <w:jc w:val="center"/>
              <w:rPr>
                <w:b/>
              </w:rPr>
            </w:pPr>
            <w:r w:rsidRPr="00F05153">
              <w:rPr>
                <w:rFonts w:asciiTheme="minorHAnsi" w:hAnsiTheme="minorHAnsi"/>
                <w:b/>
              </w:rPr>
              <w:t>ERA</w:t>
            </w:r>
          </w:p>
        </w:tc>
        <w:tc>
          <w:tcPr>
            <w:tcW w:w="1559" w:type="dxa"/>
            <w:vMerge/>
          </w:tcPr>
          <w:p w:rsidR="00761752" w:rsidRPr="00F05153" w:rsidRDefault="00761752" w:rsidP="00973227">
            <w:pPr>
              <w:pStyle w:val="Tabletext"/>
            </w:pPr>
          </w:p>
        </w:tc>
      </w:tr>
      <w:tr w:rsidR="00761752" w:rsidRPr="00F05153" w:rsidTr="00FA2050">
        <w:tc>
          <w:tcPr>
            <w:tcW w:w="1271" w:type="dxa"/>
          </w:tcPr>
          <w:p w:rsidR="00761752" w:rsidRPr="00F05153" w:rsidRDefault="00761752" w:rsidP="00973227">
            <w:pPr>
              <w:pStyle w:val="Tabletext"/>
              <w:rPr>
                <w:rFonts w:cs="Tahoma"/>
              </w:rPr>
            </w:pPr>
            <w:r w:rsidRPr="00F05153">
              <w:rPr>
                <w:rFonts w:cs="Tahoma"/>
              </w:rPr>
              <w:t>PATENT-1</w:t>
            </w:r>
            <w:r w:rsidR="000B12FE" w:rsidRPr="00F05153">
              <w:rPr>
                <w:rFonts w:cs="Tahoma"/>
                <w:vertAlign w:val="superscript"/>
              </w:rPr>
              <w:t>b</w:t>
            </w:r>
            <w:r w:rsidRPr="00F05153">
              <w:rPr>
                <w:rFonts w:cs="Tahoma"/>
              </w:rPr>
              <w:t xml:space="preserve"> CSR</w:t>
            </w:r>
          </w:p>
          <w:p w:rsidR="00087C8E" w:rsidRPr="00F05153" w:rsidRDefault="00087C8E" w:rsidP="00973227">
            <w:pPr>
              <w:pStyle w:val="Tabletext"/>
            </w:pPr>
            <w:r w:rsidRPr="00F05153">
              <w:rPr>
                <w:rFonts w:cs="Tahoma"/>
              </w:rPr>
              <w:t>Riociguat</w:t>
            </w:r>
          </w:p>
        </w:tc>
        <w:tc>
          <w:tcPr>
            <w:tcW w:w="851" w:type="dxa"/>
          </w:tcPr>
          <w:p w:rsidR="00761752" w:rsidRPr="00F05153" w:rsidRDefault="00761752" w:rsidP="00973227">
            <w:pPr>
              <w:pStyle w:val="Tabletext"/>
              <w:rPr>
                <w:rFonts w:cs="Tahoma"/>
              </w:rPr>
            </w:pPr>
            <w:r w:rsidRPr="00F05153">
              <w:rPr>
                <w:rFonts w:cs="Tahoma"/>
              </w:rPr>
              <w:t>N=103</w:t>
            </w:r>
          </w:p>
          <w:p w:rsidR="00761752" w:rsidRPr="00F05153" w:rsidRDefault="00761752" w:rsidP="00973227">
            <w:pPr>
              <w:pStyle w:val="Tabletext"/>
            </w:pPr>
            <w:r w:rsidRPr="00F05153">
              <w:rPr>
                <w:rFonts w:cs="Tahoma"/>
              </w:rPr>
              <w:t>12 weeks</w:t>
            </w:r>
          </w:p>
        </w:tc>
        <w:tc>
          <w:tcPr>
            <w:tcW w:w="1736" w:type="dxa"/>
          </w:tcPr>
          <w:p w:rsidR="00761752" w:rsidRPr="002046A0" w:rsidRDefault="002046A0" w:rsidP="00973227">
            <w:pPr>
              <w:pStyle w:val="Tabletext"/>
              <w:jc w:val="center"/>
              <w:rPr>
                <w:highlight w:val="black"/>
              </w:rPr>
            </w:pPr>
            <w:r>
              <w:rPr>
                <w:rFonts w:cs="Tahoma"/>
                <w:noProof/>
                <w:color w:val="000000"/>
                <w:highlight w:val="black"/>
              </w:rPr>
              <w:t>''''''''' ''' '''''''''</w:t>
            </w:r>
          </w:p>
        </w:tc>
        <w:tc>
          <w:tcPr>
            <w:tcW w:w="1382" w:type="dxa"/>
          </w:tcPr>
          <w:p w:rsidR="00761752" w:rsidRPr="002046A0" w:rsidRDefault="002046A0" w:rsidP="00973227">
            <w:pPr>
              <w:pStyle w:val="Tabletext"/>
              <w:jc w:val="center"/>
              <w:rPr>
                <w:highlight w:val="black"/>
              </w:rPr>
            </w:pPr>
            <w:r>
              <w:rPr>
                <w:rFonts w:cs="Tahoma"/>
                <w:noProof/>
                <w:color w:val="000000"/>
                <w:highlight w:val="black"/>
              </w:rPr>
              <w:t>''''''''' ''' ''''''''''</w:t>
            </w:r>
          </w:p>
        </w:tc>
        <w:tc>
          <w:tcPr>
            <w:tcW w:w="1701" w:type="dxa"/>
          </w:tcPr>
          <w:p w:rsidR="00761752" w:rsidRPr="002046A0" w:rsidRDefault="002046A0" w:rsidP="00973227">
            <w:pPr>
              <w:pStyle w:val="Tabletext"/>
              <w:jc w:val="center"/>
              <w:rPr>
                <w:rFonts w:cs="Tahoma"/>
                <w:highlight w:val="black"/>
              </w:rPr>
            </w:pPr>
            <w:r>
              <w:rPr>
                <w:rFonts w:cs="Tahoma"/>
                <w:noProof/>
                <w:color w:val="000000"/>
                <w:highlight w:val="black"/>
              </w:rPr>
              <w:t>''''''''''''' ''' ''''''''''</w:t>
            </w:r>
          </w:p>
          <w:p w:rsidR="00761752" w:rsidRPr="00F05153" w:rsidRDefault="002046A0" w:rsidP="00E6350D">
            <w:pPr>
              <w:pStyle w:val="Tabletext"/>
              <w:jc w:val="center"/>
            </w:pPr>
            <w:r>
              <w:rPr>
                <w:rFonts w:cs="Tahoma"/>
                <w:noProof/>
                <w:color w:val="000000"/>
                <w:highlight w:val="black"/>
              </w:rPr>
              <w:t>''''''''''''''''' '''''''''''''''''''''</w:t>
            </w:r>
            <w:r w:rsidR="00E6350D" w:rsidRPr="00F05153">
              <w:rPr>
                <w:rFonts w:cs="Tahoma"/>
              </w:rPr>
              <w:t>)</w:t>
            </w:r>
          </w:p>
        </w:tc>
        <w:tc>
          <w:tcPr>
            <w:tcW w:w="1276" w:type="dxa"/>
          </w:tcPr>
          <w:p w:rsidR="00761752" w:rsidRPr="002046A0" w:rsidRDefault="002046A0" w:rsidP="00973227">
            <w:pPr>
              <w:pStyle w:val="Tabletext"/>
              <w:jc w:val="center"/>
              <w:rPr>
                <w:rFonts w:cs="Tahoma"/>
                <w:highlight w:val="black"/>
              </w:rPr>
            </w:pPr>
            <w:r>
              <w:rPr>
                <w:rFonts w:cs="Tahoma"/>
                <w:noProof/>
                <w:color w:val="000000"/>
                <w:highlight w:val="black"/>
              </w:rPr>
              <w:t>'''''' ''' '''''''''</w:t>
            </w:r>
          </w:p>
          <w:p w:rsidR="00761752" w:rsidRPr="002046A0" w:rsidRDefault="002046A0" w:rsidP="00E6350D">
            <w:pPr>
              <w:pStyle w:val="Tabletext"/>
              <w:jc w:val="center"/>
              <w:rPr>
                <w:highlight w:val="black"/>
              </w:rPr>
            </w:pPr>
            <w:r>
              <w:rPr>
                <w:rFonts w:cs="Tahoma"/>
                <w:noProof/>
                <w:color w:val="000000"/>
                <w:highlight w:val="black"/>
              </w:rPr>
              <w:t>''''''''''''''' '''''''''''''''''''''</w:t>
            </w:r>
          </w:p>
        </w:tc>
        <w:tc>
          <w:tcPr>
            <w:tcW w:w="1559" w:type="dxa"/>
          </w:tcPr>
          <w:p w:rsidR="00761752" w:rsidRPr="002046A0" w:rsidRDefault="002046A0" w:rsidP="00E6350D">
            <w:pPr>
              <w:pStyle w:val="Tabletext"/>
              <w:rPr>
                <w:highlight w:val="black"/>
              </w:rPr>
            </w:pPr>
            <w:r>
              <w:rPr>
                <w:rFonts w:cs="Tahoma"/>
                <w:noProof/>
                <w:color w:val="000000"/>
                <w:highlight w:val="black"/>
              </w:rPr>
              <w:t>''''''''''' '''''''''''''''''''''</w:t>
            </w:r>
          </w:p>
        </w:tc>
      </w:tr>
    </w:tbl>
    <w:p w:rsidR="000B12FE" w:rsidRPr="00F05153" w:rsidRDefault="000B12FE" w:rsidP="000B12FE">
      <w:pPr>
        <w:pStyle w:val="Tablenote"/>
      </w:pPr>
      <w:proofErr w:type="gramStart"/>
      <w:r w:rsidRPr="00F05153">
        <w:rPr>
          <w:vertAlign w:val="superscript"/>
        </w:rPr>
        <w:t>a</w:t>
      </w:r>
      <w:proofErr w:type="gramEnd"/>
      <w:r w:rsidRPr="00F05153">
        <w:t xml:space="preserve"> A decrease in PVR indicates improvement in </w:t>
      </w:r>
      <w:r w:rsidR="007E658F" w:rsidRPr="00F05153">
        <w:t>haemodynamic parameters</w:t>
      </w:r>
      <w:r w:rsidRPr="00F05153">
        <w:t xml:space="preserve">. </w:t>
      </w:r>
    </w:p>
    <w:p w:rsidR="00761752" w:rsidRPr="00F05153" w:rsidRDefault="000B12FE" w:rsidP="00761752">
      <w:pPr>
        <w:pStyle w:val="Tablenote"/>
      </w:pPr>
      <w:proofErr w:type="gramStart"/>
      <w:r w:rsidRPr="00F05153">
        <w:rPr>
          <w:vertAlign w:val="superscript"/>
        </w:rPr>
        <w:t>b</w:t>
      </w:r>
      <w:proofErr w:type="gramEnd"/>
      <w:r w:rsidR="00761752" w:rsidRPr="00F05153">
        <w:t xml:space="preserve"> 14% of patients had background </w:t>
      </w:r>
      <w:r w:rsidR="0017012F" w:rsidRPr="00F05153">
        <w:t>prostanoid</w:t>
      </w:r>
      <w:r w:rsidR="00761752" w:rsidRPr="00F05153">
        <w:t xml:space="preserve"> therapy</w:t>
      </w:r>
    </w:p>
    <w:p w:rsidR="00087C8E" w:rsidRPr="00F05153" w:rsidRDefault="00761752" w:rsidP="00761752">
      <w:pPr>
        <w:pStyle w:val="Tablenote"/>
      </w:pPr>
      <w:r w:rsidRPr="00F05153">
        <w:t xml:space="preserve">CSR = clinical study report; </w:t>
      </w:r>
      <w:r w:rsidR="00087C8E" w:rsidRPr="00F05153">
        <w:t xml:space="preserve">ERA = endothelin receptor antagonist; FC = functional class; </w:t>
      </w:r>
      <w:r w:rsidRPr="00F05153">
        <w:t xml:space="preserve">N = number of patients; </w:t>
      </w:r>
      <w:r w:rsidR="00087C8E" w:rsidRPr="00F05153">
        <w:t xml:space="preserve">PAH = pulmonary arterial hypertension; </w:t>
      </w:r>
      <w:r w:rsidRPr="00F05153">
        <w:t>PVR = pulmonary vascular resistance</w:t>
      </w:r>
      <w:r w:rsidR="009B47AA" w:rsidRPr="00F05153">
        <w:t xml:space="preserve">; </w:t>
      </w:r>
      <w:r w:rsidR="00087C8E" w:rsidRPr="00F05153">
        <w:t xml:space="preserve">SD = standard deviation; </w:t>
      </w:r>
      <w:r w:rsidR="009B47AA" w:rsidRPr="00F05153">
        <w:t>sGC = soluble guanylate cyclase</w:t>
      </w:r>
      <w:r w:rsidR="00087C8E" w:rsidRPr="00F05153">
        <w:t>; WHO = World Health Organization</w:t>
      </w:r>
    </w:p>
    <w:p w:rsidR="0075777C" w:rsidRPr="00F05153" w:rsidRDefault="002E4833" w:rsidP="0075777C">
      <w:pPr>
        <w:pStyle w:val="Heading5"/>
      </w:pPr>
      <w:r w:rsidRPr="00F05153">
        <w:t xml:space="preserve">h. </w:t>
      </w:r>
      <w:r w:rsidR="0075777C" w:rsidRPr="00F05153">
        <w:t>Comparative safety</w:t>
      </w:r>
    </w:p>
    <w:p w:rsidR="0075777C" w:rsidRPr="00822C52" w:rsidRDefault="0075777C" w:rsidP="0075777C">
      <w:r w:rsidRPr="00F05153">
        <w:t xml:space="preserve">PATENT-1 did not report on the comparative safety of treatment with a sGC stimulator </w:t>
      </w:r>
      <w:proofErr w:type="gramStart"/>
      <w:r w:rsidRPr="00F05153">
        <w:t>plus</w:t>
      </w:r>
      <w:proofErr w:type="gramEnd"/>
      <w:r w:rsidRPr="00F05153">
        <w:t xml:space="preserve"> an ERA</w:t>
      </w:r>
      <w:r>
        <w:t xml:space="preserve"> c</w:t>
      </w:r>
      <w:r w:rsidRPr="000D4940">
        <w:t>ompared with treat</w:t>
      </w:r>
      <w:r>
        <w:t>ment</w:t>
      </w:r>
      <w:r w:rsidRPr="000D4940">
        <w:t xml:space="preserve"> with an ERA alone.</w:t>
      </w:r>
    </w:p>
    <w:p w:rsidR="0075777C" w:rsidRPr="00822C52" w:rsidRDefault="00761752" w:rsidP="0075777C">
      <w:pPr>
        <w:pStyle w:val="Heading4"/>
      </w:pPr>
      <w:r>
        <w:t>4.4.3.</w:t>
      </w:r>
      <w:r w:rsidR="00441F08">
        <w:t>7</w:t>
      </w:r>
      <w:r>
        <w:tab/>
      </w:r>
      <w:proofErr w:type="gramStart"/>
      <w:r w:rsidR="0075777C">
        <w:t>sGC</w:t>
      </w:r>
      <w:proofErr w:type="gramEnd"/>
      <w:r w:rsidR="0075777C">
        <w:t xml:space="preserve"> stimulator</w:t>
      </w:r>
      <w:r w:rsidR="0075777C" w:rsidRPr="00822C52">
        <w:t xml:space="preserve"> in addition to </w:t>
      </w:r>
      <w:r w:rsidR="0075777C">
        <w:t>PDE-5 inhibitor</w:t>
      </w:r>
    </w:p>
    <w:p w:rsidR="0075777C" w:rsidRDefault="0075777C" w:rsidP="0075777C">
      <w:r w:rsidRPr="00326FE2">
        <w:t xml:space="preserve">Only one RCT was identified that reported on the effectiveness of a sGC stimulator </w:t>
      </w:r>
      <w:r>
        <w:t xml:space="preserve">in addition to a </w:t>
      </w:r>
      <w:r w:rsidRPr="000D4940">
        <w:t xml:space="preserve">PDE-5 inhibitor </w:t>
      </w:r>
      <w:r w:rsidRPr="00326FE2">
        <w:t xml:space="preserve">in treating PAH compared with </w:t>
      </w:r>
      <w:r>
        <w:t xml:space="preserve">placebo and a </w:t>
      </w:r>
      <w:r w:rsidRPr="00053F26">
        <w:t xml:space="preserve">PDE-5 inhibitor </w:t>
      </w:r>
      <w:r w:rsidRPr="00326FE2">
        <w:t>in patients with PAH. The PATENT-</w:t>
      </w:r>
      <w:r>
        <w:t>PLUS</w:t>
      </w:r>
      <w:r w:rsidR="001D34EE" w:rsidRPr="001A1C44">
        <w:rPr>
          <w:noProof/>
          <w:vertAlign w:val="superscript"/>
        </w:rPr>
        <w:t>44</w:t>
      </w:r>
      <w:r w:rsidRPr="00326FE2">
        <w:t xml:space="preserve"> doubl</w:t>
      </w:r>
      <w:r>
        <w:t>e-blind trial, with a low</w:t>
      </w:r>
      <w:r w:rsidRPr="00326FE2">
        <w:t xml:space="preserve"> risk of bias, randomised PAH patients</w:t>
      </w:r>
      <w:r>
        <w:t xml:space="preserve"> with </w:t>
      </w:r>
      <w:r w:rsidRPr="00053F26">
        <w:t xml:space="preserve">symptomatic PAH receiving stable sildenafil therapy </w:t>
      </w:r>
      <w:r w:rsidRPr="00326FE2">
        <w:t xml:space="preserve">to receive riociguat or placebo for 12 weeks. </w:t>
      </w:r>
      <w:r>
        <w:t>After 12 weeks, patients were eligible for an open-label long-term extension study to assess the long-term safety and tolerability of the riociguat/sildenafil combination. The combination therapy group had a greater proportion of patients with PAH-CTD (5/12, 42% v</w:t>
      </w:r>
      <w:r w:rsidR="0095089E">
        <w:t>ersu</w:t>
      </w:r>
      <w:r>
        <w:t>s 1/6, 17%), and a smaller proportion of patients with WHO FC II (6/12, 50% v</w:t>
      </w:r>
      <w:r w:rsidR="0095089E">
        <w:t>ersu</w:t>
      </w:r>
      <w:r>
        <w:t>s 4/6, 67%) and baseline 6MWD ≥ 320 m (7/12, 58% v</w:t>
      </w:r>
      <w:r w:rsidR="0095089E">
        <w:t>ersu</w:t>
      </w:r>
      <w:r>
        <w:t xml:space="preserve">s 6/6, 100%). Additionally, the baseline </w:t>
      </w:r>
      <w:r w:rsidRPr="00023C0D">
        <w:t>PVR dyn·s·cm</w:t>
      </w:r>
      <w:r w:rsidRPr="00023C0D">
        <w:rPr>
          <w:vertAlign w:val="superscript"/>
        </w:rPr>
        <w:t>−5</w:t>
      </w:r>
      <w:r w:rsidRPr="00023C0D">
        <w:t xml:space="preserve"> </w:t>
      </w:r>
      <w:r>
        <w:t>was lower in the combination therapy group (</w:t>
      </w:r>
      <w:r w:rsidRPr="00023C0D">
        <w:t>573</w:t>
      </w:r>
      <w:r>
        <w:t xml:space="preserve"> </w:t>
      </w:r>
      <w:r w:rsidRPr="00023C0D">
        <w:t>±</w:t>
      </w:r>
      <w:r>
        <w:t xml:space="preserve"> </w:t>
      </w:r>
      <w:r w:rsidRPr="00023C0D">
        <w:t xml:space="preserve">241 </w:t>
      </w:r>
      <w:r>
        <w:t>v</w:t>
      </w:r>
      <w:r w:rsidR="0095089E">
        <w:t>ersu</w:t>
      </w:r>
      <w:r>
        <w:t xml:space="preserve">s </w:t>
      </w:r>
      <w:r w:rsidRPr="00023C0D">
        <w:t>683</w:t>
      </w:r>
      <w:r>
        <w:t xml:space="preserve"> </w:t>
      </w:r>
      <w:r w:rsidRPr="00023C0D">
        <w:t>±</w:t>
      </w:r>
      <w:r>
        <w:t xml:space="preserve"> </w:t>
      </w:r>
      <w:r w:rsidRPr="00023C0D">
        <w:t>195</w:t>
      </w:r>
      <w:r>
        <w:t>).</w:t>
      </w:r>
      <w:r w:rsidRPr="00023C0D">
        <w:t xml:space="preserve"> </w:t>
      </w:r>
      <w:r>
        <w:t>These imbalances are not surprising considering the small sample size of the study.</w:t>
      </w:r>
    </w:p>
    <w:p w:rsidR="0075777C" w:rsidRPr="00E12BB1" w:rsidRDefault="002E4833" w:rsidP="0075777C">
      <w:pPr>
        <w:pStyle w:val="Heading5"/>
      </w:pPr>
      <w:r>
        <w:t>a.</w:t>
      </w:r>
      <w:r w:rsidR="00761752">
        <w:tab/>
      </w:r>
      <w:r w:rsidR="0075777C" w:rsidRPr="00E12BB1">
        <w:t>Study-defined clinical worsening</w:t>
      </w:r>
    </w:p>
    <w:p w:rsidR="0075777C" w:rsidRDefault="0075777C" w:rsidP="0075777C">
      <w:r w:rsidRPr="00CB0236">
        <w:t xml:space="preserve">The number of patients </w:t>
      </w:r>
      <w:r>
        <w:t xml:space="preserve">receiving sGC stimulator plus PDE-5 inhibitor </w:t>
      </w:r>
      <w:r w:rsidRPr="00CB0236">
        <w:t>combination treatment who</w:t>
      </w:r>
      <w:r>
        <w:t xml:space="preserve"> had clinical worsening </w:t>
      </w:r>
      <w:r w:rsidRPr="00CB0236">
        <w:t xml:space="preserve">compared with </w:t>
      </w:r>
      <w:r>
        <w:t xml:space="preserve">those receiving </w:t>
      </w:r>
      <w:r w:rsidRPr="00CB0236">
        <w:t xml:space="preserve">PDE-5 inhibitor monotherapy </w:t>
      </w:r>
      <w:proofErr w:type="gramStart"/>
      <w:r w:rsidRPr="00CB0236">
        <w:t>was not reported</w:t>
      </w:r>
      <w:proofErr w:type="gramEnd"/>
      <w:r w:rsidRPr="00CB0236">
        <w:t xml:space="preserve"> for the PA</w:t>
      </w:r>
      <w:r>
        <w:t>T</w:t>
      </w:r>
      <w:r w:rsidRPr="00CB0236">
        <w:t>E</w:t>
      </w:r>
      <w:r>
        <w:t>NT-PLU</w:t>
      </w:r>
      <w:r w:rsidRPr="00CB0236">
        <w:t>S trial.</w:t>
      </w:r>
    </w:p>
    <w:p w:rsidR="0075777C" w:rsidRPr="00822C52" w:rsidRDefault="002E4833" w:rsidP="0075777C">
      <w:pPr>
        <w:pStyle w:val="Heading5"/>
      </w:pPr>
      <w:r>
        <w:t>b.</w:t>
      </w:r>
      <w:r w:rsidR="00761752">
        <w:tab/>
      </w:r>
      <w:r w:rsidR="00C828F9">
        <w:t>All-cause m</w:t>
      </w:r>
      <w:r w:rsidR="00C828F9" w:rsidRPr="006316DF">
        <w:t>ortality</w:t>
      </w:r>
    </w:p>
    <w:p w:rsidR="0075777C" w:rsidRPr="00822C52" w:rsidRDefault="002E4833" w:rsidP="0077344D">
      <w:pPr>
        <w:pStyle w:val="Heading6"/>
      </w:pPr>
      <w:proofErr w:type="gramStart"/>
      <w:r>
        <w:t>b</w:t>
      </w:r>
      <w:r w:rsidR="0075777C" w:rsidRPr="00822C52">
        <w:t>.i</w:t>
      </w:r>
      <w:proofErr w:type="gramEnd"/>
      <w:r w:rsidR="0075777C" w:rsidRPr="00822C52">
        <w:tab/>
        <w:t>PAH patients, irrespective of disease severity or aetiology</w:t>
      </w:r>
    </w:p>
    <w:p w:rsidR="0075777C" w:rsidRDefault="0075777C" w:rsidP="0075777C">
      <w:r>
        <w:t>No patients died during the 12-week randomisation period of PATENT-PLUS study (</w:t>
      </w:r>
      <w:r w:rsidR="003951FA">
        <w:t>Table 4.</w:t>
      </w:r>
      <w:r w:rsidR="003951FA">
        <w:rPr>
          <w:noProof/>
        </w:rPr>
        <w:t>100</w:t>
      </w:r>
      <w:r>
        <w:t xml:space="preserve">). Thus, the effect of a sGC stimulator in addition to a </w:t>
      </w:r>
      <w:r w:rsidRPr="00816A99">
        <w:t xml:space="preserve">PDE-5 inhibitor </w:t>
      </w:r>
      <w:r>
        <w:t xml:space="preserve">compared with </w:t>
      </w:r>
      <w:r w:rsidRPr="00816A99">
        <w:t xml:space="preserve">PDE-5 inhibitor </w:t>
      </w:r>
      <w:r>
        <w:t>monotherapy on mortality rates cannot be determined.</w:t>
      </w:r>
    </w:p>
    <w:p w:rsidR="0075777C" w:rsidRPr="00DD7790" w:rsidRDefault="00272F8F" w:rsidP="00BC5A2B">
      <w:pPr>
        <w:pStyle w:val="Caption"/>
      </w:pPr>
      <w:bookmarkStart w:id="293" w:name="_Ref504658473"/>
      <w:bookmarkStart w:id="294" w:name="_Toc38360397"/>
      <w:r>
        <w:t>Table 4.</w:t>
      </w:r>
      <w:r w:rsidR="003951FA">
        <w:rPr>
          <w:noProof/>
        </w:rPr>
        <w:t>100</w:t>
      </w:r>
      <w:bookmarkEnd w:id="293"/>
      <w:r w:rsidR="00C41039">
        <w:tab/>
      </w:r>
      <w:r w:rsidR="0075777C" w:rsidRPr="00DD7790">
        <w:t xml:space="preserve">Mortality rates for </w:t>
      </w:r>
      <w:r w:rsidR="00AA08D3">
        <w:t xml:space="preserve">a </w:t>
      </w:r>
      <w:r w:rsidR="00E35EDB" w:rsidRPr="00E35EDB">
        <w:t xml:space="preserve">sGC stimulator </w:t>
      </w:r>
      <w:r w:rsidR="007E59EC">
        <w:t>in addition to</w:t>
      </w:r>
      <w:r w:rsidR="0075777C" w:rsidRPr="00DD7790">
        <w:t xml:space="preserve"> </w:t>
      </w:r>
      <w:r w:rsidR="00AA08D3">
        <w:t xml:space="preserve">a </w:t>
      </w:r>
      <w:r w:rsidR="0075777C" w:rsidRPr="00DD7790">
        <w:t xml:space="preserve">PDE-5 inhibitor </w:t>
      </w:r>
      <w:r w:rsidR="0075777C" w:rsidRPr="009B4D64">
        <w:t xml:space="preserve">compared with </w:t>
      </w:r>
      <w:r w:rsidR="0075777C" w:rsidRPr="00DD7790">
        <w:t xml:space="preserve">PDE-5 inhibitor </w:t>
      </w:r>
      <w:r w:rsidR="007E59EC">
        <w:t xml:space="preserve">monotherapy </w:t>
      </w:r>
      <w:r w:rsidR="0075777C" w:rsidRPr="00DD7790">
        <w:t>in all PAH patients</w:t>
      </w:r>
      <w:bookmarkEnd w:id="294"/>
    </w:p>
    <w:tbl>
      <w:tblPr>
        <w:tblStyle w:val="TableGrid7"/>
        <w:tblW w:w="9634" w:type="dxa"/>
        <w:tblLayout w:type="fixed"/>
        <w:tblLook w:val="04A0" w:firstRow="1" w:lastRow="0" w:firstColumn="1" w:lastColumn="0" w:noHBand="0" w:noVBand="1"/>
        <w:tblCaption w:val="Mortality rates for a sGC stimulator in addition to a PDE-5 inhibitor compared with PDE-5 inhibitor monotherapy in all PAH patients"/>
      </w:tblPr>
      <w:tblGrid>
        <w:gridCol w:w="1413"/>
        <w:gridCol w:w="1417"/>
        <w:gridCol w:w="2552"/>
        <w:gridCol w:w="2268"/>
        <w:gridCol w:w="1984"/>
      </w:tblGrid>
      <w:tr w:rsidR="0075777C" w:rsidRPr="00822C52" w:rsidTr="00C41039">
        <w:trPr>
          <w:trHeight w:val="194"/>
          <w:tblHeader/>
        </w:trPr>
        <w:tc>
          <w:tcPr>
            <w:tcW w:w="1413" w:type="dxa"/>
            <w:vMerge w:val="restart"/>
            <w:shd w:val="clear" w:color="auto" w:fill="BFBFBF" w:themeFill="background1" w:themeFillShade="BF"/>
          </w:tcPr>
          <w:p w:rsidR="0075777C" w:rsidRDefault="0075777C" w:rsidP="00C41039">
            <w:pPr>
              <w:pStyle w:val="Tabletext"/>
              <w:rPr>
                <w:b/>
              </w:rPr>
            </w:pPr>
            <w:r w:rsidRPr="00C41039">
              <w:rPr>
                <w:b/>
              </w:rPr>
              <w:t>Study ID</w:t>
            </w:r>
          </w:p>
          <w:p w:rsidR="00AA08D3" w:rsidRPr="00C41039" w:rsidRDefault="00AA08D3" w:rsidP="00C41039">
            <w:pPr>
              <w:pStyle w:val="Tabletext"/>
              <w:rPr>
                <w:b/>
              </w:rPr>
            </w:pPr>
            <w:r w:rsidRPr="00AA08D3">
              <w:rPr>
                <w:b/>
              </w:rPr>
              <w:t>sGC stimulator</w:t>
            </w:r>
          </w:p>
        </w:tc>
        <w:tc>
          <w:tcPr>
            <w:tcW w:w="1417" w:type="dxa"/>
            <w:vMerge w:val="restart"/>
            <w:shd w:val="clear" w:color="auto" w:fill="BFBFBF" w:themeFill="background1" w:themeFillShade="BF"/>
          </w:tcPr>
          <w:p w:rsidR="0075777C" w:rsidRPr="00C41039" w:rsidRDefault="0075777C" w:rsidP="00C41039">
            <w:pPr>
              <w:pStyle w:val="Tabletext"/>
              <w:rPr>
                <w:b/>
              </w:rPr>
            </w:pPr>
            <w:r w:rsidRPr="00C41039">
              <w:rPr>
                <w:b/>
              </w:rPr>
              <w:t>Study period</w:t>
            </w:r>
          </w:p>
          <w:p w:rsidR="0075777C" w:rsidRPr="00C41039" w:rsidRDefault="0075777C" w:rsidP="00C41039">
            <w:pPr>
              <w:pStyle w:val="Tabletext"/>
              <w:rPr>
                <w:b/>
              </w:rPr>
            </w:pPr>
            <w:r w:rsidRPr="00C41039">
              <w:rPr>
                <w:b/>
              </w:rPr>
              <w:t>PDE-5 inhibitor</w:t>
            </w:r>
          </w:p>
        </w:tc>
        <w:tc>
          <w:tcPr>
            <w:tcW w:w="4820" w:type="dxa"/>
            <w:gridSpan w:val="2"/>
            <w:shd w:val="clear" w:color="auto" w:fill="BFBFBF" w:themeFill="background1" w:themeFillShade="BF"/>
          </w:tcPr>
          <w:p w:rsidR="0075777C" w:rsidRPr="00C41039" w:rsidRDefault="0075777C" w:rsidP="00C41039">
            <w:pPr>
              <w:pStyle w:val="Tabletext"/>
              <w:jc w:val="center"/>
              <w:rPr>
                <w:b/>
              </w:rPr>
            </w:pPr>
            <w:proofErr w:type="gramStart"/>
            <w:r w:rsidRPr="00C41039">
              <w:rPr>
                <w:b/>
              </w:rPr>
              <w:t>n/N</w:t>
            </w:r>
            <w:proofErr w:type="gramEnd"/>
            <w:r w:rsidRPr="00C41039">
              <w:rPr>
                <w:b/>
              </w:rPr>
              <w:t xml:space="preserve"> (%)</w:t>
            </w:r>
          </w:p>
        </w:tc>
        <w:tc>
          <w:tcPr>
            <w:tcW w:w="1984" w:type="dxa"/>
            <w:vMerge w:val="restart"/>
            <w:shd w:val="clear" w:color="auto" w:fill="BFBFBF" w:themeFill="background1" w:themeFillShade="BF"/>
          </w:tcPr>
          <w:p w:rsidR="0075777C" w:rsidRPr="00C41039" w:rsidRDefault="0075777C" w:rsidP="00C41039">
            <w:pPr>
              <w:pStyle w:val="Tabletext"/>
              <w:rPr>
                <w:b/>
              </w:rPr>
            </w:pPr>
            <w:r w:rsidRPr="00C41039">
              <w:rPr>
                <w:b/>
              </w:rPr>
              <w:t>RR (95% CI)</w:t>
            </w:r>
          </w:p>
        </w:tc>
      </w:tr>
      <w:tr w:rsidR="0075777C" w:rsidRPr="00822C52" w:rsidTr="00AA08D3">
        <w:trPr>
          <w:trHeight w:val="202"/>
          <w:tblHeader/>
        </w:trPr>
        <w:tc>
          <w:tcPr>
            <w:tcW w:w="1413" w:type="dxa"/>
            <w:vMerge/>
            <w:shd w:val="clear" w:color="auto" w:fill="BFBFBF" w:themeFill="background1" w:themeFillShade="BF"/>
          </w:tcPr>
          <w:p w:rsidR="0075777C" w:rsidRPr="00822C52" w:rsidRDefault="0075777C" w:rsidP="00C41039">
            <w:pPr>
              <w:pStyle w:val="Tabletext"/>
            </w:pPr>
          </w:p>
        </w:tc>
        <w:tc>
          <w:tcPr>
            <w:tcW w:w="1417" w:type="dxa"/>
            <w:vMerge/>
            <w:shd w:val="clear" w:color="auto" w:fill="BFBFBF" w:themeFill="background1" w:themeFillShade="BF"/>
          </w:tcPr>
          <w:p w:rsidR="0075777C" w:rsidRPr="00822C52" w:rsidRDefault="0075777C" w:rsidP="00C41039">
            <w:pPr>
              <w:pStyle w:val="Tabletext"/>
            </w:pPr>
          </w:p>
        </w:tc>
        <w:tc>
          <w:tcPr>
            <w:tcW w:w="2552" w:type="dxa"/>
            <w:shd w:val="clear" w:color="auto" w:fill="BFBFBF" w:themeFill="background1" w:themeFillShade="BF"/>
          </w:tcPr>
          <w:p w:rsidR="0075777C" w:rsidRPr="00C41039" w:rsidRDefault="00AA08D3" w:rsidP="00C41039">
            <w:pPr>
              <w:pStyle w:val="Tabletext"/>
              <w:jc w:val="center"/>
              <w:rPr>
                <w:b/>
              </w:rPr>
            </w:pPr>
            <w:r w:rsidRPr="00AA08D3">
              <w:rPr>
                <w:b/>
              </w:rPr>
              <w:t xml:space="preserve">sGC stimulator </w:t>
            </w:r>
            <w:r w:rsidR="0075777C" w:rsidRPr="00C41039">
              <w:rPr>
                <w:b/>
              </w:rPr>
              <w:t>+ PDE-5 inhibitor</w:t>
            </w:r>
          </w:p>
        </w:tc>
        <w:tc>
          <w:tcPr>
            <w:tcW w:w="2268" w:type="dxa"/>
            <w:shd w:val="clear" w:color="auto" w:fill="BFBFBF" w:themeFill="background1" w:themeFillShade="BF"/>
          </w:tcPr>
          <w:p w:rsidR="0075777C" w:rsidRPr="00C41039" w:rsidRDefault="0075777C" w:rsidP="00C41039">
            <w:pPr>
              <w:pStyle w:val="Tabletext"/>
              <w:jc w:val="center"/>
              <w:rPr>
                <w:b/>
              </w:rPr>
            </w:pPr>
            <w:r w:rsidRPr="00C41039">
              <w:rPr>
                <w:b/>
              </w:rPr>
              <w:t>PDE-5 inhibitor</w:t>
            </w:r>
          </w:p>
        </w:tc>
        <w:tc>
          <w:tcPr>
            <w:tcW w:w="1984" w:type="dxa"/>
            <w:vMerge/>
            <w:shd w:val="clear" w:color="auto" w:fill="BFBFBF" w:themeFill="background1" w:themeFillShade="BF"/>
          </w:tcPr>
          <w:p w:rsidR="0075777C" w:rsidRPr="00822C52" w:rsidRDefault="0075777C" w:rsidP="00C41039">
            <w:pPr>
              <w:pStyle w:val="Tabletext"/>
            </w:pPr>
          </w:p>
        </w:tc>
      </w:tr>
      <w:tr w:rsidR="0075777C" w:rsidRPr="00822C52" w:rsidTr="00880228">
        <w:trPr>
          <w:cantSplit/>
          <w:trHeight w:val="70"/>
        </w:trPr>
        <w:tc>
          <w:tcPr>
            <w:tcW w:w="1413" w:type="dxa"/>
            <w:shd w:val="clear" w:color="auto" w:fill="auto"/>
          </w:tcPr>
          <w:p w:rsidR="0075777C" w:rsidRDefault="0075777C" w:rsidP="00742283">
            <w:pPr>
              <w:pStyle w:val="Tabletext"/>
              <w:rPr>
                <w:rFonts w:cs="Tahoma"/>
              </w:rPr>
            </w:pPr>
            <w:r w:rsidRPr="00326FE2">
              <w:rPr>
                <w:rFonts w:cs="Tahoma"/>
              </w:rPr>
              <w:t>PATENT-PLUS</w:t>
            </w:r>
            <w:r w:rsidR="001D34EE" w:rsidRPr="001A1C44">
              <w:rPr>
                <w:rFonts w:cs="Tahoma"/>
                <w:noProof/>
                <w:vertAlign w:val="superscript"/>
              </w:rPr>
              <w:t>44</w:t>
            </w:r>
          </w:p>
          <w:p w:rsidR="00AA08D3" w:rsidRPr="00AA08D3" w:rsidRDefault="00AA08D3" w:rsidP="00742283">
            <w:pPr>
              <w:pStyle w:val="Tabletext"/>
              <w:rPr>
                <w:rFonts w:cs="Tahoma"/>
              </w:rPr>
            </w:pPr>
            <w:r w:rsidRPr="00AA08D3">
              <w:t>Riociguat</w:t>
            </w:r>
          </w:p>
        </w:tc>
        <w:tc>
          <w:tcPr>
            <w:tcW w:w="1417" w:type="dxa"/>
            <w:shd w:val="clear" w:color="auto" w:fill="auto"/>
          </w:tcPr>
          <w:p w:rsidR="0075777C" w:rsidRPr="00326FE2" w:rsidRDefault="0075777C" w:rsidP="00C41039">
            <w:pPr>
              <w:pStyle w:val="Tabletext"/>
              <w:rPr>
                <w:rFonts w:cs="Tahoma"/>
              </w:rPr>
            </w:pPr>
            <w:r w:rsidRPr="00326FE2">
              <w:rPr>
                <w:rFonts w:cs="Tahoma"/>
              </w:rPr>
              <w:t>12 weeks</w:t>
            </w:r>
          </w:p>
          <w:p w:rsidR="0075777C" w:rsidRPr="00326FE2" w:rsidRDefault="0075777C" w:rsidP="00C41039">
            <w:pPr>
              <w:pStyle w:val="Tabletext"/>
              <w:rPr>
                <w:rFonts w:cs="Tahoma"/>
              </w:rPr>
            </w:pPr>
            <w:r w:rsidRPr="00326FE2">
              <w:rPr>
                <w:rFonts w:cs="Tahoma"/>
              </w:rPr>
              <w:t>Sildenafil</w:t>
            </w:r>
          </w:p>
        </w:tc>
        <w:tc>
          <w:tcPr>
            <w:tcW w:w="2552" w:type="dxa"/>
            <w:shd w:val="clear" w:color="auto" w:fill="auto"/>
          </w:tcPr>
          <w:p w:rsidR="0075777C" w:rsidRPr="00326FE2" w:rsidRDefault="0075777C" w:rsidP="00C41039">
            <w:pPr>
              <w:pStyle w:val="Tabletext"/>
              <w:jc w:val="center"/>
              <w:rPr>
                <w:rFonts w:cs="Tahoma"/>
              </w:rPr>
            </w:pPr>
            <w:r w:rsidRPr="00326FE2">
              <w:rPr>
                <w:rFonts w:eastAsia="Times New Roman" w:cs="Tahoma"/>
              </w:rPr>
              <w:t>0/12 (0%)</w:t>
            </w:r>
          </w:p>
        </w:tc>
        <w:tc>
          <w:tcPr>
            <w:tcW w:w="2268" w:type="dxa"/>
            <w:shd w:val="clear" w:color="auto" w:fill="auto"/>
          </w:tcPr>
          <w:p w:rsidR="0075777C" w:rsidRPr="00326FE2" w:rsidRDefault="0075777C" w:rsidP="00C41039">
            <w:pPr>
              <w:pStyle w:val="Tabletext"/>
              <w:jc w:val="center"/>
              <w:rPr>
                <w:rFonts w:cs="Tahoma"/>
              </w:rPr>
            </w:pPr>
            <w:r w:rsidRPr="00326FE2">
              <w:rPr>
                <w:rFonts w:eastAsia="Times New Roman" w:cs="Tahoma"/>
              </w:rPr>
              <w:t>0/6 (0%)</w:t>
            </w:r>
          </w:p>
        </w:tc>
        <w:tc>
          <w:tcPr>
            <w:tcW w:w="1984" w:type="dxa"/>
          </w:tcPr>
          <w:p w:rsidR="0075777C" w:rsidRPr="00326FE2" w:rsidRDefault="0075777C" w:rsidP="00C41039">
            <w:pPr>
              <w:pStyle w:val="Tabletext"/>
              <w:rPr>
                <w:rFonts w:cs="Tahoma"/>
              </w:rPr>
            </w:pPr>
            <w:r w:rsidRPr="00326FE2">
              <w:rPr>
                <w:rFonts w:cs="Tahoma"/>
              </w:rPr>
              <w:t>Not calculable</w:t>
            </w:r>
          </w:p>
        </w:tc>
      </w:tr>
    </w:tbl>
    <w:p w:rsidR="0075777C" w:rsidRPr="00822C52" w:rsidRDefault="0075777C" w:rsidP="00C41039">
      <w:pPr>
        <w:pStyle w:val="Tablenote"/>
      </w:pPr>
      <w:r w:rsidRPr="00822C52">
        <w:t xml:space="preserve">CI = confidence interval; n = number of </w:t>
      </w:r>
      <w:r w:rsidR="00087C8E">
        <w:t xml:space="preserve">patients with </w:t>
      </w:r>
      <w:r w:rsidRPr="00822C52">
        <w:t xml:space="preserve">events; N = number of patients; PAH = pulmonary arterial hypertension; </w:t>
      </w:r>
      <w:r>
        <w:t xml:space="preserve">PDE-5 </w:t>
      </w:r>
      <w:r w:rsidRPr="00822C52">
        <w:t>= phosphodiesterase type-5; RR = relative risk</w:t>
      </w:r>
      <w:r w:rsidR="009B47AA">
        <w:t xml:space="preserve">; </w:t>
      </w:r>
      <w:r w:rsidR="009B47AA" w:rsidRPr="009B47AA">
        <w:t>sGC = solub</w:t>
      </w:r>
      <w:r w:rsidR="009B47AA">
        <w:t xml:space="preserve">le guanylate cyclase </w:t>
      </w:r>
    </w:p>
    <w:p w:rsidR="0075777C" w:rsidRPr="00822C52" w:rsidRDefault="00761752" w:rsidP="0075777C">
      <w:pPr>
        <w:pStyle w:val="Heading5"/>
      </w:pPr>
      <w:r>
        <w:t>c.</w:t>
      </w:r>
      <w:r>
        <w:tab/>
      </w:r>
      <w:r w:rsidR="00C828F9" w:rsidRPr="006316DF">
        <w:t>Hospitalisation</w:t>
      </w:r>
      <w:r w:rsidR="00C828F9" w:rsidRPr="0046652B">
        <w:t xml:space="preserve"> due to worsening PAH</w:t>
      </w:r>
    </w:p>
    <w:p w:rsidR="0075777C" w:rsidRDefault="0075777C" w:rsidP="0075777C">
      <w:r w:rsidRPr="00CB0236">
        <w:t xml:space="preserve">The number of patients </w:t>
      </w:r>
      <w:r>
        <w:t xml:space="preserve">receiving sGC stimulator plus PDE-5 inhibitor </w:t>
      </w:r>
      <w:r w:rsidRPr="00CB0236">
        <w:t>combination treatment who</w:t>
      </w:r>
      <w:r>
        <w:t xml:space="preserve"> were hospitalised </w:t>
      </w:r>
      <w:r w:rsidRPr="00CB0236">
        <w:t xml:space="preserve">compared with </w:t>
      </w:r>
      <w:r>
        <w:t xml:space="preserve">those receiving </w:t>
      </w:r>
      <w:r w:rsidRPr="00CB0236">
        <w:t xml:space="preserve">PDE-5 inhibitor monotherapy </w:t>
      </w:r>
      <w:proofErr w:type="gramStart"/>
      <w:r w:rsidRPr="00CB0236">
        <w:t>was not reported</w:t>
      </w:r>
      <w:proofErr w:type="gramEnd"/>
      <w:r w:rsidRPr="00CB0236">
        <w:t xml:space="preserve"> for the PA</w:t>
      </w:r>
      <w:r>
        <w:t>T</w:t>
      </w:r>
      <w:r w:rsidRPr="00CB0236">
        <w:t>E</w:t>
      </w:r>
      <w:r>
        <w:t>NT-PLU</w:t>
      </w:r>
      <w:r w:rsidRPr="00CB0236">
        <w:t>S trial.</w:t>
      </w:r>
    </w:p>
    <w:p w:rsidR="0075777C" w:rsidRPr="00822C52" w:rsidRDefault="00761752" w:rsidP="00761752">
      <w:pPr>
        <w:pStyle w:val="Heading5"/>
      </w:pPr>
      <w:r>
        <w:t>d.</w:t>
      </w:r>
      <w:r>
        <w:tab/>
      </w:r>
      <w:r w:rsidR="0075777C" w:rsidRPr="00822C52">
        <w:t xml:space="preserve">Change in WHO </w:t>
      </w:r>
      <w:r w:rsidR="0075777C">
        <w:t>FC</w:t>
      </w:r>
      <w:r w:rsidRPr="00761752">
        <w:t xml:space="preserve"> from baseline</w:t>
      </w:r>
    </w:p>
    <w:p w:rsidR="0075777C" w:rsidRPr="00822C52" w:rsidRDefault="002E4833" w:rsidP="0077344D">
      <w:pPr>
        <w:pStyle w:val="Heading6"/>
      </w:pPr>
      <w:proofErr w:type="gramStart"/>
      <w:r>
        <w:t>d</w:t>
      </w:r>
      <w:r w:rsidR="0075777C" w:rsidRPr="00822C52">
        <w:t>.i</w:t>
      </w:r>
      <w:proofErr w:type="gramEnd"/>
      <w:r w:rsidR="0075777C" w:rsidRPr="00822C52">
        <w:tab/>
        <w:t>PAH patients, irrespective of disease severity or aetiology</w:t>
      </w:r>
    </w:p>
    <w:p w:rsidR="0075777C" w:rsidRDefault="0075777C" w:rsidP="0075777C">
      <w:r w:rsidRPr="00816A99">
        <w:t xml:space="preserve">Patients who received combination therapy were </w:t>
      </w:r>
      <w:r>
        <w:t>approximately 2</w:t>
      </w:r>
      <w:r w:rsidRPr="00816A99">
        <w:t xml:space="preserve">-times </w:t>
      </w:r>
      <w:r>
        <w:t>less</w:t>
      </w:r>
      <w:r w:rsidRPr="00816A99">
        <w:t xml:space="preserve"> likely to improve their WHO FC than those on monotherapy (</w:t>
      </w:r>
      <w:r w:rsidR="003951FA">
        <w:t>Table 4.</w:t>
      </w:r>
      <w:r w:rsidR="003951FA">
        <w:rPr>
          <w:noProof/>
        </w:rPr>
        <w:t>101</w:t>
      </w:r>
      <w:r>
        <w:t>)</w:t>
      </w:r>
      <w:r w:rsidRPr="00816A99">
        <w:t>, but this difference was not statistically significant (</w:t>
      </w:r>
      <w:r w:rsidR="00B21201">
        <w:t>ARD</w:t>
      </w:r>
      <w:r w:rsidR="00DB6ACB">
        <w:t> </w:t>
      </w:r>
      <w:r w:rsidRPr="00707847">
        <w:t>=</w:t>
      </w:r>
      <w:r w:rsidR="00DB6ACB">
        <w:t> </w:t>
      </w:r>
      <w:r>
        <w:t>−16.7%; 95% CI −59.9, −26.5; p</w:t>
      </w:r>
      <w:r w:rsidR="00DB6ACB">
        <w:t> </w:t>
      </w:r>
      <w:r>
        <w:t>=</w:t>
      </w:r>
      <w:r w:rsidR="00DB6ACB">
        <w:t> </w:t>
      </w:r>
      <w:r>
        <w:t>0.43)</w:t>
      </w:r>
      <w:r w:rsidRPr="00816A99">
        <w:t>.</w:t>
      </w:r>
      <w:r>
        <w:t xml:space="preserve"> No patients in either group experienced worsening of their WHO FC during the randomisation period.</w:t>
      </w:r>
    </w:p>
    <w:p w:rsidR="0075777C" w:rsidRPr="00DD7790" w:rsidRDefault="00272F8F" w:rsidP="00BC5A2B">
      <w:pPr>
        <w:pStyle w:val="Caption"/>
      </w:pPr>
      <w:bookmarkStart w:id="295" w:name="_Ref504661029"/>
      <w:bookmarkStart w:id="296" w:name="_Toc38360398"/>
      <w:r>
        <w:t>Table 4.</w:t>
      </w:r>
      <w:r w:rsidR="003951FA">
        <w:rPr>
          <w:noProof/>
        </w:rPr>
        <w:t>101</w:t>
      </w:r>
      <w:bookmarkEnd w:id="295"/>
      <w:r w:rsidR="00C41039">
        <w:tab/>
      </w:r>
      <w:r w:rsidR="0075777C" w:rsidRPr="00DD7790">
        <w:rPr>
          <w:noProof/>
        </w:rPr>
        <w:t xml:space="preserve">The effectiveness of </w:t>
      </w:r>
      <w:r w:rsidR="00AA08D3">
        <w:rPr>
          <w:noProof/>
        </w:rPr>
        <w:t xml:space="preserve">a </w:t>
      </w:r>
      <w:r w:rsidR="00AA08D3" w:rsidRPr="00AA08D3">
        <w:rPr>
          <w:noProof/>
        </w:rPr>
        <w:t xml:space="preserve">sGC stimulator </w:t>
      </w:r>
      <w:r w:rsidR="007E59EC">
        <w:t>in addition to</w:t>
      </w:r>
      <w:r w:rsidR="007E59EC" w:rsidRPr="00DD7790">
        <w:t xml:space="preserve"> </w:t>
      </w:r>
      <w:r w:rsidR="007E59EC">
        <w:t xml:space="preserve">a </w:t>
      </w:r>
      <w:r w:rsidR="007E59EC" w:rsidRPr="00DD7790">
        <w:t xml:space="preserve">PDE-5 inhibitor </w:t>
      </w:r>
      <w:r w:rsidR="007E59EC" w:rsidRPr="009B4D64">
        <w:t xml:space="preserve">compared with </w:t>
      </w:r>
      <w:r w:rsidR="007E59EC" w:rsidRPr="00DD7790">
        <w:t xml:space="preserve">PDE-5 inhibitor </w:t>
      </w:r>
      <w:r w:rsidR="007E59EC">
        <w:t>monotherapy</w:t>
      </w:r>
      <w:r w:rsidR="0075777C" w:rsidRPr="00DD7790">
        <w:rPr>
          <w:noProof/>
        </w:rPr>
        <w:t xml:space="preserve"> in improving WHO FC in all PAH patients</w:t>
      </w:r>
      <w:bookmarkEnd w:id="296"/>
    </w:p>
    <w:tbl>
      <w:tblPr>
        <w:tblStyle w:val="TableGrid7"/>
        <w:tblW w:w="9634" w:type="dxa"/>
        <w:tblLayout w:type="fixed"/>
        <w:tblLook w:val="04A0" w:firstRow="1" w:lastRow="0" w:firstColumn="1" w:lastColumn="0" w:noHBand="0" w:noVBand="1"/>
        <w:tblCaption w:val="The effectiveness of a sGC stimulator in addition to a PDE-5 inhibitor compared with PDE-5 inhibitor monotherapy in improving WHO FC in all PAH patients"/>
      </w:tblPr>
      <w:tblGrid>
        <w:gridCol w:w="1696"/>
        <w:gridCol w:w="1418"/>
        <w:gridCol w:w="2548"/>
        <w:gridCol w:w="2271"/>
        <w:gridCol w:w="1701"/>
      </w:tblGrid>
      <w:tr w:rsidR="0075777C" w:rsidRPr="00822C52" w:rsidTr="00AA08D3">
        <w:trPr>
          <w:trHeight w:val="189"/>
          <w:tblHeader/>
        </w:trPr>
        <w:tc>
          <w:tcPr>
            <w:tcW w:w="1696" w:type="dxa"/>
            <w:vMerge w:val="restart"/>
            <w:shd w:val="clear" w:color="auto" w:fill="BFBFBF" w:themeFill="background1" w:themeFillShade="BF"/>
          </w:tcPr>
          <w:p w:rsidR="0075777C" w:rsidRPr="00C41039" w:rsidRDefault="0075777C" w:rsidP="00C41039">
            <w:pPr>
              <w:pStyle w:val="Tabletext"/>
              <w:rPr>
                <w:b/>
              </w:rPr>
            </w:pPr>
            <w:r w:rsidRPr="00C41039">
              <w:rPr>
                <w:b/>
              </w:rPr>
              <w:t>Study ID</w:t>
            </w:r>
          </w:p>
          <w:p w:rsidR="0075777C" w:rsidRPr="00C41039" w:rsidRDefault="00AA08D3" w:rsidP="00C41039">
            <w:pPr>
              <w:pStyle w:val="Tabletext"/>
              <w:rPr>
                <w:b/>
              </w:rPr>
            </w:pPr>
            <w:r w:rsidRPr="00AA08D3">
              <w:rPr>
                <w:b/>
              </w:rPr>
              <w:t>sGC stimulator</w:t>
            </w:r>
            <w:r>
              <w:rPr>
                <w:b/>
              </w:rPr>
              <w:t>/</w:t>
            </w:r>
            <w:r w:rsidRPr="00AA08D3">
              <w:rPr>
                <w:b/>
              </w:rPr>
              <w:t xml:space="preserve"> </w:t>
            </w:r>
            <w:r w:rsidR="0075777C" w:rsidRPr="00C41039">
              <w:rPr>
                <w:b/>
              </w:rPr>
              <w:t>PDE-5 inhibitor</w:t>
            </w:r>
          </w:p>
        </w:tc>
        <w:tc>
          <w:tcPr>
            <w:tcW w:w="1418" w:type="dxa"/>
            <w:vMerge w:val="restart"/>
            <w:shd w:val="clear" w:color="auto" w:fill="BFBFBF" w:themeFill="background1" w:themeFillShade="BF"/>
          </w:tcPr>
          <w:p w:rsidR="0075777C" w:rsidRPr="00C41039" w:rsidRDefault="0075777C" w:rsidP="00C41039">
            <w:pPr>
              <w:pStyle w:val="Tabletext"/>
              <w:rPr>
                <w:b/>
              </w:rPr>
            </w:pPr>
            <w:r w:rsidRPr="00C41039">
              <w:rPr>
                <w:b/>
              </w:rPr>
              <w:t>Change in WHO FC</w:t>
            </w:r>
          </w:p>
        </w:tc>
        <w:tc>
          <w:tcPr>
            <w:tcW w:w="4819" w:type="dxa"/>
            <w:gridSpan w:val="2"/>
            <w:shd w:val="clear" w:color="auto" w:fill="BFBFBF" w:themeFill="background1" w:themeFillShade="BF"/>
          </w:tcPr>
          <w:p w:rsidR="0075777C" w:rsidRPr="00C41039" w:rsidRDefault="0075777C" w:rsidP="00C41039">
            <w:pPr>
              <w:pStyle w:val="Tabletext"/>
              <w:jc w:val="center"/>
              <w:rPr>
                <w:b/>
              </w:rPr>
            </w:pPr>
            <w:proofErr w:type="gramStart"/>
            <w:r w:rsidRPr="00C41039">
              <w:rPr>
                <w:b/>
              </w:rPr>
              <w:t>n/N</w:t>
            </w:r>
            <w:proofErr w:type="gramEnd"/>
            <w:r w:rsidRPr="00C41039">
              <w:rPr>
                <w:b/>
              </w:rPr>
              <w:t xml:space="preserve"> (%)</w:t>
            </w:r>
          </w:p>
        </w:tc>
        <w:tc>
          <w:tcPr>
            <w:tcW w:w="1701" w:type="dxa"/>
            <w:vMerge w:val="restart"/>
            <w:shd w:val="clear" w:color="auto" w:fill="BFBFBF" w:themeFill="background1" w:themeFillShade="BF"/>
          </w:tcPr>
          <w:p w:rsidR="0075777C" w:rsidRPr="00C41039" w:rsidRDefault="0075777C" w:rsidP="00C41039">
            <w:pPr>
              <w:pStyle w:val="Tabletext"/>
              <w:rPr>
                <w:b/>
              </w:rPr>
            </w:pPr>
            <w:r w:rsidRPr="00C41039">
              <w:rPr>
                <w:b/>
              </w:rPr>
              <w:t>RR (95% CI)</w:t>
            </w:r>
          </w:p>
        </w:tc>
      </w:tr>
      <w:tr w:rsidR="0075777C" w:rsidRPr="00822C52" w:rsidTr="00AA08D3">
        <w:trPr>
          <w:trHeight w:val="202"/>
          <w:tblHeader/>
        </w:trPr>
        <w:tc>
          <w:tcPr>
            <w:tcW w:w="1696" w:type="dxa"/>
            <w:vMerge/>
            <w:shd w:val="clear" w:color="auto" w:fill="BFBFBF" w:themeFill="background1" w:themeFillShade="BF"/>
          </w:tcPr>
          <w:p w:rsidR="0075777C" w:rsidRPr="00822C52" w:rsidRDefault="0075777C" w:rsidP="00C41039">
            <w:pPr>
              <w:pStyle w:val="Tabletext"/>
            </w:pPr>
          </w:p>
        </w:tc>
        <w:tc>
          <w:tcPr>
            <w:tcW w:w="1418" w:type="dxa"/>
            <w:vMerge/>
            <w:shd w:val="clear" w:color="auto" w:fill="BFBFBF" w:themeFill="background1" w:themeFillShade="BF"/>
          </w:tcPr>
          <w:p w:rsidR="0075777C" w:rsidRPr="00822C52" w:rsidRDefault="0075777C" w:rsidP="00C41039">
            <w:pPr>
              <w:pStyle w:val="Tabletext"/>
            </w:pPr>
          </w:p>
        </w:tc>
        <w:tc>
          <w:tcPr>
            <w:tcW w:w="2548" w:type="dxa"/>
            <w:shd w:val="clear" w:color="auto" w:fill="BFBFBF" w:themeFill="background1" w:themeFillShade="BF"/>
          </w:tcPr>
          <w:p w:rsidR="0075777C" w:rsidRPr="00C41039" w:rsidRDefault="00AA08D3" w:rsidP="00C41039">
            <w:pPr>
              <w:pStyle w:val="Tabletext"/>
              <w:jc w:val="center"/>
              <w:rPr>
                <w:b/>
              </w:rPr>
            </w:pPr>
            <w:r w:rsidRPr="00AA08D3">
              <w:rPr>
                <w:b/>
              </w:rPr>
              <w:t xml:space="preserve">sGC stimulator </w:t>
            </w:r>
            <w:r w:rsidR="0075777C" w:rsidRPr="00C41039">
              <w:rPr>
                <w:b/>
              </w:rPr>
              <w:t>+ PDE-5 inhibitor</w:t>
            </w:r>
          </w:p>
        </w:tc>
        <w:tc>
          <w:tcPr>
            <w:tcW w:w="2271" w:type="dxa"/>
            <w:shd w:val="clear" w:color="auto" w:fill="BFBFBF" w:themeFill="background1" w:themeFillShade="BF"/>
          </w:tcPr>
          <w:p w:rsidR="0075777C" w:rsidRPr="00C41039" w:rsidRDefault="0075777C" w:rsidP="00C41039">
            <w:pPr>
              <w:pStyle w:val="Tabletext"/>
              <w:jc w:val="center"/>
              <w:rPr>
                <w:b/>
              </w:rPr>
            </w:pPr>
            <w:r w:rsidRPr="00C41039">
              <w:rPr>
                <w:b/>
              </w:rPr>
              <w:t>PDE-5 inhibitor</w:t>
            </w:r>
          </w:p>
        </w:tc>
        <w:tc>
          <w:tcPr>
            <w:tcW w:w="1701" w:type="dxa"/>
            <w:vMerge/>
            <w:shd w:val="clear" w:color="auto" w:fill="BFBFBF" w:themeFill="background1" w:themeFillShade="BF"/>
          </w:tcPr>
          <w:p w:rsidR="0075777C" w:rsidRPr="00822C52" w:rsidRDefault="0075777C" w:rsidP="00C41039">
            <w:pPr>
              <w:pStyle w:val="Tabletext"/>
            </w:pPr>
          </w:p>
        </w:tc>
      </w:tr>
      <w:tr w:rsidR="0075777C" w:rsidRPr="00822C52" w:rsidTr="00AA08D3">
        <w:trPr>
          <w:trHeight w:val="70"/>
        </w:trPr>
        <w:tc>
          <w:tcPr>
            <w:tcW w:w="1696" w:type="dxa"/>
            <w:vMerge w:val="restart"/>
          </w:tcPr>
          <w:p w:rsidR="0075777C" w:rsidRPr="00822C52" w:rsidRDefault="0075777C" w:rsidP="00C41039">
            <w:pPr>
              <w:pStyle w:val="Tabletext"/>
              <w:rPr>
                <w:rFonts w:cs="Tahoma"/>
              </w:rPr>
            </w:pPr>
            <w:r w:rsidRPr="00822C52">
              <w:rPr>
                <w:rFonts w:cs="Tahoma"/>
              </w:rPr>
              <w:t>PATENT-PLUS</w:t>
            </w:r>
            <w:r w:rsidR="001D34EE" w:rsidRPr="001A1C44">
              <w:rPr>
                <w:rFonts w:cs="Tahoma"/>
                <w:noProof/>
                <w:vertAlign w:val="superscript"/>
              </w:rPr>
              <w:t>44</w:t>
            </w:r>
          </w:p>
          <w:p w:rsidR="0075777C" w:rsidRPr="00822C52" w:rsidRDefault="00AA08D3" w:rsidP="00AA08D3">
            <w:pPr>
              <w:pStyle w:val="Tabletext"/>
              <w:rPr>
                <w:rFonts w:cs="Tahoma"/>
              </w:rPr>
            </w:pPr>
            <w:r w:rsidRPr="00AA08D3">
              <w:t>Riociguat</w:t>
            </w:r>
            <w:r>
              <w:t>/s</w:t>
            </w:r>
            <w:r w:rsidR="0075777C" w:rsidRPr="00822C52">
              <w:rPr>
                <w:rFonts w:cs="Tahoma"/>
              </w:rPr>
              <w:t>ildenafil</w:t>
            </w:r>
          </w:p>
        </w:tc>
        <w:tc>
          <w:tcPr>
            <w:tcW w:w="1418" w:type="dxa"/>
          </w:tcPr>
          <w:p w:rsidR="0075777C" w:rsidRPr="00822C52" w:rsidRDefault="0075777C" w:rsidP="00C41039">
            <w:pPr>
              <w:pStyle w:val="Tabletext"/>
              <w:rPr>
                <w:rFonts w:cs="Tahoma"/>
              </w:rPr>
            </w:pPr>
            <w:r w:rsidRPr="00822C52">
              <w:rPr>
                <w:rFonts w:cs="Tahoma"/>
              </w:rPr>
              <w:t>Improved</w:t>
            </w:r>
          </w:p>
        </w:tc>
        <w:tc>
          <w:tcPr>
            <w:tcW w:w="2548" w:type="dxa"/>
            <w:shd w:val="clear" w:color="auto" w:fill="auto"/>
          </w:tcPr>
          <w:p w:rsidR="0075777C" w:rsidRPr="00822C52" w:rsidRDefault="0075777C" w:rsidP="00C41039">
            <w:pPr>
              <w:pStyle w:val="Tabletext"/>
              <w:jc w:val="center"/>
              <w:rPr>
                <w:rFonts w:cs="Tahoma"/>
              </w:rPr>
            </w:pPr>
            <w:r w:rsidRPr="00822C52">
              <w:rPr>
                <w:rFonts w:cs="Tahoma"/>
              </w:rPr>
              <w:t>2/12 (17%)</w:t>
            </w:r>
          </w:p>
        </w:tc>
        <w:tc>
          <w:tcPr>
            <w:tcW w:w="2271" w:type="dxa"/>
            <w:shd w:val="clear" w:color="auto" w:fill="auto"/>
          </w:tcPr>
          <w:p w:rsidR="0075777C" w:rsidRPr="00822C52" w:rsidRDefault="0075777C" w:rsidP="00C41039">
            <w:pPr>
              <w:pStyle w:val="Tabletext"/>
              <w:jc w:val="center"/>
              <w:rPr>
                <w:rFonts w:cs="Tahoma"/>
              </w:rPr>
            </w:pPr>
            <w:r w:rsidRPr="00822C52">
              <w:rPr>
                <w:rFonts w:cs="Tahoma"/>
              </w:rPr>
              <w:t>2/</w:t>
            </w:r>
            <w:r>
              <w:rPr>
                <w:rFonts w:cs="Tahoma"/>
              </w:rPr>
              <w:t>6</w:t>
            </w:r>
            <w:r w:rsidRPr="00822C52">
              <w:rPr>
                <w:rFonts w:cs="Tahoma"/>
              </w:rPr>
              <w:t xml:space="preserve"> (29%)</w:t>
            </w:r>
          </w:p>
        </w:tc>
        <w:tc>
          <w:tcPr>
            <w:tcW w:w="1701" w:type="dxa"/>
          </w:tcPr>
          <w:p w:rsidR="0075777C" w:rsidRPr="00822C52" w:rsidRDefault="0075777C" w:rsidP="00C41039">
            <w:pPr>
              <w:pStyle w:val="Tabletext"/>
              <w:rPr>
                <w:rFonts w:cs="Tahoma"/>
              </w:rPr>
            </w:pPr>
            <w:r>
              <w:rPr>
                <w:rFonts w:cs="Tahoma"/>
              </w:rPr>
              <w:t>0.50 (0.09, 2.73)</w:t>
            </w:r>
          </w:p>
        </w:tc>
      </w:tr>
      <w:tr w:rsidR="0075777C" w:rsidRPr="00822C52" w:rsidTr="00AA08D3">
        <w:trPr>
          <w:trHeight w:val="70"/>
        </w:trPr>
        <w:tc>
          <w:tcPr>
            <w:tcW w:w="1696" w:type="dxa"/>
            <w:vMerge/>
          </w:tcPr>
          <w:p w:rsidR="0075777C" w:rsidRPr="00822C52" w:rsidRDefault="0075777C" w:rsidP="00C41039">
            <w:pPr>
              <w:pStyle w:val="Tabletext"/>
              <w:rPr>
                <w:rFonts w:cs="Tahoma"/>
              </w:rPr>
            </w:pPr>
          </w:p>
        </w:tc>
        <w:tc>
          <w:tcPr>
            <w:tcW w:w="1418" w:type="dxa"/>
          </w:tcPr>
          <w:p w:rsidR="0075777C" w:rsidRPr="00822C52" w:rsidRDefault="0075777C" w:rsidP="00C41039">
            <w:pPr>
              <w:pStyle w:val="Tabletext"/>
              <w:rPr>
                <w:rFonts w:cs="Tahoma"/>
              </w:rPr>
            </w:pPr>
            <w:r w:rsidRPr="00822C52">
              <w:rPr>
                <w:rFonts w:cs="Tahoma"/>
              </w:rPr>
              <w:t>Worsened</w:t>
            </w:r>
          </w:p>
        </w:tc>
        <w:tc>
          <w:tcPr>
            <w:tcW w:w="2548" w:type="dxa"/>
            <w:shd w:val="clear" w:color="auto" w:fill="auto"/>
          </w:tcPr>
          <w:p w:rsidR="0075777C" w:rsidRPr="00822C52" w:rsidRDefault="0075777C" w:rsidP="00C41039">
            <w:pPr>
              <w:pStyle w:val="Tabletext"/>
              <w:jc w:val="center"/>
              <w:rPr>
                <w:rFonts w:cs="Tahoma"/>
              </w:rPr>
            </w:pPr>
            <w:r w:rsidRPr="00822C52">
              <w:rPr>
                <w:rFonts w:cs="Tahoma"/>
              </w:rPr>
              <w:t>0/12 (0%)</w:t>
            </w:r>
          </w:p>
        </w:tc>
        <w:tc>
          <w:tcPr>
            <w:tcW w:w="2271" w:type="dxa"/>
            <w:shd w:val="clear" w:color="auto" w:fill="auto"/>
          </w:tcPr>
          <w:p w:rsidR="0075777C" w:rsidRPr="00822C52" w:rsidRDefault="0075777C" w:rsidP="00C41039">
            <w:pPr>
              <w:pStyle w:val="Tabletext"/>
              <w:jc w:val="center"/>
              <w:rPr>
                <w:rFonts w:cs="Tahoma"/>
              </w:rPr>
            </w:pPr>
            <w:r>
              <w:rPr>
                <w:rFonts w:cs="Tahoma"/>
              </w:rPr>
              <w:t>0/6</w:t>
            </w:r>
            <w:r w:rsidRPr="00822C52">
              <w:rPr>
                <w:rFonts w:cs="Tahoma"/>
              </w:rPr>
              <w:t xml:space="preserve"> (0%)</w:t>
            </w:r>
          </w:p>
        </w:tc>
        <w:tc>
          <w:tcPr>
            <w:tcW w:w="1701" w:type="dxa"/>
          </w:tcPr>
          <w:p w:rsidR="0075777C" w:rsidRPr="00822C52" w:rsidRDefault="0075777C" w:rsidP="00C41039">
            <w:pPr>
              <w:pStyle w:val="Tabletext"/>
              <w:rPr>
                <w:rFonts w:cs="Tahoma"/>
              </w:rPr>
            </w:pPr>
            <w:r>
              <w:rPr>
                <w:rFonts w:cs="Tahoma"/>
              </w:rPr>
              <w:t>Not calculable</w:t>
            </w:r>
          </w:p>
        </w:tc>
      </w:tr>
    </w:tbl>
    <w:p w:rsidR="00087C8E" w:rsidRPr="00822C52" w:rsidRDefault="0075777C" w:rsidP="00C41039">
      <w:pPr>
        <w:pStyle w:val="Tablenote"/>
      </w:pPr>
      <w:r w:rsidRPr="00822C52">
        <w:t xml:space="preserve">CI = confidence interval; FC = functional class; n = number of </w:t>
      </w:r>
      <w:r w:rsidR="008E565E">
        <w:t xml:space="preserve">patients with </w:t>
      </w:r>
      <w:r w:rsidRPr="00822C52">
        <w:t xml:space="preserve">events; N = number of patients; PAH = pulmonary arterial hypertension; </w:t>
      </w:r>
      <w:r>
        <w:t xml:space="preserve">PDE-5 </w:t>
      </w:r>
      <w:r w:rsidRPr="00822C52">
        <w:t xml:space="preserve">= phosphodiesterase type-5; RR = relative risk; </w:t>
      </w:r>
      <w:r w:rsidR="009B47AA" w:rsidRPr="009B47AA">
        <w:t xml:space="preserve">sGC = soluble guanylate cyclase; </w:t>
      </w:r>
      <w:r w:rsidRPr="00822C52">
        <w:t>WHO = World Health Organization</w:t>
      </w:r>
    </w:p>
    <w:p w:rsidR="0075777C" w:rsidRPr="00822C52" w:rsidRDefault="00761752" w:rsidP="0075777C">
      <w:pPr>
        <w:pStyle w:val="Heading5"/>
      </w:pPr>
      <w:r>
        <w:t>e</w:t>
      </w:r>
      <w:r w:rsidR="002E4833">
        <w:t>.</w:t>
      </w:r>
      <w:r>
        <w:tab/>
      </w:r>
      <w:r w:rsidR="0075777C">
        <w:t>Change in 6MWD from baseline</w:t>
      </w:r>
    </w:p>
    <w:p w:rsidR="0075777C" w:rsidRPr="00822C52" w:rsidRDefault="00761752" w:rsidP="0077344D">
      <w:pPr>
        <w:pStyle w:val="Heading6"/>
      </w:pPr>
      <w:proofErr w:type="gramStart"/>
      <w:r>
        <w:t>e</w:t>
      </w:r>
      <w:r w:rsidR="0075777C" w:rsidRPr="00822C52">
        <w:t>.i</w:t>
      </w:r>
      <w:proofErr w:type="gramEnd"/>
      <w:r w:rsidR="0075777C" w:rsidRPr="00822C52">
        <w:tab/>
        <w:t>PAH patients, irrespective of disease severity or aetiology</w:t>
      </w:r>
    </w:p>
    <w:p w:rsidR="0075777C" w:rsidRPr="00822C52" w:rsidRDefault="0075777C" w:rsidP="0075777C">
      <w:r>
        <w:t>Patients in the monotherapy group had a larger mean improvement in 6MWD than the combination therapy group, but both the distance of improvement and the mean difference between the two treatment groups were not clinically important (</w:t>
      </w:r>
      <w:r w:rsidR="003951FA">
        <w:t>Table 4.</w:t>
      </w:r>
      <w:r w:rsidR="003951FA">
        <w:rPr>
          <w:noProof/>
        </w:rPr>
        <w:t>102</w:t>
      </w:r>
      <w:r>
        <w:t>).</w:t>
      </w:r>
    </w:p>
    <w:p w:rsidR="0075777C" w:rsidRDefault="00272F8F" w:rsidP="00BC5A2B">
      <w:pPr>
        <w:pStyle w:val="Caption"/>
      </w:pPr>
      <w:bookmarkStart w:id="297" w:name="_Ref505254030"/>
      <w:bookmarkStart w:id="298" w:name="_Toc38360399"/>
      <w:r>
        <w:t>Table 4.</w:t>
      </w:r>
      <w:r w:rsidR="003951FA">
        <w:rPr>
          <w:noProof/>
        </w:rPr>
        <w:t>102</w:t>
      </w:r>
      <w:bookmarkEnd w:id="297"/>
      <w:r w:rsidR="00C41039">
        <w:tab/>
      </w:r>
      <w:r w:rsidR="0075777C" w:rsidRPr="00DD7790">
        <w:t xml:space="preserve">The effectiveness of </w:t>
      </w:r>
      <w:r w:rsidR="00AA08D3">
        <w:t xml:space="preserve">a </w:t>
      </w:r>
      <w:r w:rsidR="00AA08D3" w:rsidRPr="00AA08D3">
        <w:t xml:space="preserve">sGC stimulator </w:t>
      </w:r>
      <w:r w:rsidR="007E59EC">
        <w:t>in addition to</w:t>
      </w:r>
      <w:r w:rsidR="007E59EC" w:rsidRPr="00DD7790">
        <w:t xml:space="preserve"> </w:t>
      </w:r>
      <w:r w:rsidR="007E59EC">
        <w:t xml:space="preserve">a </w:t>
      </w:r>
      <w:r w:rsidR="007E59EC" w:rsidRPr="00DD7790">
        <w:t xml:space="preserve">PDE-5 inhibitor </w:t>
      </w:r>
      <w:r w:rsidR="007E59EC" w:rsidRPr="009B4D64">
        <w:t xml:space="preserve">compared with </w:t>
      </w:r>
      <w:r w:rsidR="007E59EC" w:rsidRPr="00DD7790">
        <w:t xml:space="preserve">PDE-5 inhibitor </w:t>
      </w:r>
      <w:r w:rsidR="007E59EC">
        <w:t>monotherapy</w:t>
      </w:r>
      <w:r w:rsidR="007E59EC" w:rsidRPr="00DD7790">
        <w:t xml:space="preserve"> </w:t>
      </w:r>
      <w:r w:rsidR="0075777C" w:rsidRPr="00DD7790">
        <w:t>in improving 6MWD in all PAH patients</w:t>
      </w:r>
      <w:bookmarkEnd w:id="298"/>
    </w:p>
    <w:tbl>
      <w:tblPr>
        <w:tblStyle w:val="TableGrid"/>
        <w:tblW w:w="9634" w:type="dxa"/>
        <w:tblLook w:val="04A0" w:firstRow="1" w:lastRow="0" w:firstColumn="1" w:lastColumn="0" w:noHBand="0" w:noVBand="1"/>
        <w:tblCaption w:val="The effectiveness of a sGC stimulator in addition to a PDE-5 inhibitor compared with PDE-5 inhibitor monotherapy in improving 6MWD in all PAH patients"/>
      </w:tblPr>
      <w:tblGrid>
        <w:gridCol w:w="1783"/>
        <w:gridCol w:w="916"/>
        <w:gridCol w:w="1552"/>
        <w:gridCol w:w="1409"/>
        <w:gridCol w:w="1440"/>
        <w:gridCol w:w="1408"/>
        <w:gridCol w:w="1126"/>
      </w:tblGrid>
      <w:tr w:rsidR="0075777C" w:rsidTr="00AA08D3">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75777C" w:rsidRDefault="0075777C" w:rsidP="00C41039">
            <w:pPr>
              <w:pStyle w:val="Tabletext"/>
              <w:rPr>
                <w:b/>
              </w:rPr>
            </w:pPr>
            <w:r w:rsidRPr="00C41039">
              <w:rPr>
                <w:b/>
              </w:rPr>
              <w:t>Study ID</w:t>
            </w:r>
          </w:p>
          <w:p w:rsidR="00AA08D3" w:rsidRPr="00C41039" w:rsidRDefault="00AA08D3" w:rsidP="00C41039">
            <w:pPr>
              <w:pStyle w:val="Tabletext"/>
              <w:rPr>
                <w:b/>
              </w:rPr>
            </w:pPr>
            <w:r w:rsidRPr="00AA08D3">
              <w:rPr>
                <w:b/>
              </w:rPr>
              <w:t>sGC stimulator</w:t>
            </w:r>
            <w:r>
              <w:rPr>
                <w:b/>
              </w:rPr>
              <w:t>/</w:t>
            </w:r>
            <w:r w:rsidRPr="00AA08D3">
              <w:rPr>
                <w:b/>
              </w:rPr>
              <w:t xml:space="preserve"> </w:t>
            </w:r>
            <w:r w:rsidRPr="00C41039">
              <w:rPr>
                <w:b/>
              </w:rPr>
              <w:t>PDE-5 inhibitor</w:t>
            </w:r>
          </w:p>
        </w:tc>
        <w:tc>
          <w:tcPr>
            <w:tcW w:w="992" w:type="dxa"/>
            <w:vMerge w:val="restart"/>
            <w:shd w:val="clear" w:color="auto" w:fill="BFBFBF" w:themeFill="background1" w:themeFillShade="BF"/>
          </w:tcPr>
          <w:p w:rsidR="0075777C" w:rsidRPr="00C41039" w:rsidRDefault="0075777C" w:rsidP="00C41039">
            <w:pPr>
              <w:pStyle w:val="Tabletext"/>
              <w:rPr>
                <w:b/>
              </w:rPr>
            </w:pPr>
            <w:r w:rsidRPr="00C41039">
              <w:rPr>
                <w:b/>
              </w:rPr>
              <w:t>N</w:t>
            </w:r>
          </w:p>
          <w:p w:rsidR="0075777C" w:rsidRPr="00C41039" w:rsidRDefault="0075777C" w:rsidP="00C41039">
            <w:pPr>
              <w:pStyle w:val="Tabletext"/>
              <w:rPr>
                <w:b/>
              </w:rPr>
            </w:pPr>
            <w:r w:rsidRPr="00C41039">
              <w:rPr>
                <w:b/>
              </w:rPr>
              <w:t>Time point</w:t>
            </w:r>
          </w:p>
        </w:tc>
        <w:tc>
          <w:tcPr>
            <w:tcW w:w="3261" w:type="dxa"/>
            <w:gridSpan w:val="2"/>
            <w:shd w:val="clear" w:color="auto" w:fill="BFBFBF" w:themeFill="background1" w:themeFillShade="BF"/>
          </w:tcPr>
          <w:p w:rsidR="0075777C" w:rsidRPr="00C41039" w:rsidRDefault="00AA08D3" w:rsidP="00AA08D3">
            <w:pPr>
              <w:pStyle w:val="Tabletext"/>
              <w:jc w:val="center"/>
              <w:rPr>
                <w:b/>
              </w:rPr>
            </w:pPr>
            <w:r>
              <w:rPr>
                <w:b/>
              </w:rPr>
              <w:t>M</w:t>
            </w:r>
            <w:r w:rsidRPr="00C41039">
              <w:rPr>
                <w:b/>
              </w:rPr>
              <w:t xml:space="preserve">ean ± SD </w:t>
            </w:r>
            <w:r>
              <w:rPr>
                <w:b/>
              </w:rPr>
              <w:t>b</w:t>
            </w:r>
            <w:r w:rsidR="0075777C" w:rsidRPr="00C41039">
              <w:rPr>
                <w:b/>
              </w:rPr>
              <w:t>aseline</w:t>
            </w:r>
            <w:r>
              <w:rPr>
                <w:b/>
              </w:rPr>
              <w:t xml:space="preserve"> 6MWD</w:t>
            </w:r>
            <w:r w:rsidR="0075777C" w:rsidRPr="00C41039">
              <w:rPr>
                <w:b/>
              </w:rPr>
              <w:t xml:space="preserve">, </w:t>
            </w:r>
            <w:r w:rsidR="00503643">
              <w:rPr>
                <w:b/>
              </w:rPr>
              <w:t>metres</w:t>
            </w:r>
          </w:p>
        </w:tc>
        <w:tc>
          <w:tcPr>
            <w:tcW w:w="3118" w:type="dxa"/>
            <w:gridSpan w:val="2"/>
            <w:shd w:val="clear" w:color="auto" w:fill="BFBFBF" w:themeFill="background1" w:themeFillShade="BF"/>
          </w:tcPr>
          <w:p w:rsidR="0075777C" w:rsidRPr="00C41039" w:rsidRDefault="0075777C" w:rsidP="00AA08D3">
            <w:pPr>
              <w:pStyle w:val="Tabletext"/>
              <w:jc w:val="center"/>
              <w:rPr>
                <w:b/>
              </w:rPr>
            </w:pPr>
            <w:r w:rsidRPr="00C41039">
              <w:rPr>
                <w:b/>
              </w:rPr>
              <w:t xml:space="preserve">Mean </w:t>
            </w:r>
            <w:r w:rsidR="00AA08D3" w:rsidRPr="00C41039">
              <w:rPr>
                <w:b/>
              </w:rPr>
              <w:t xml:space="preserve">± SD </w:t>
            </w:r>
            <w:r w:rsidRPr="00C41039">
              <w:rPr>
                <w:b/>
              </w:rPr>
              <w:t xml:space="preserve">change from baseline, </w:t>
            </w:r>
            <w:r w:rsidR="00503643">
              <w:rPr>
                <w:b/>
              </w:rPr>
              <w:t>metres</w:t>
            </w:r>
          </w:p>
        </w:tc>
        <w:tc>
          <w:tcPr>
            <w:tcW w:w="992" w:type="dxa"/>
            <w:vMerge w:val="restart"/>
            <w:shd w:val="clear" w:color="auto" w:fill="BFBFBF" w:themeFill="background1" w:themeFillShade="BF"/>
          </w:tcPr>
          <w:p w:rsidR="0075777C" w:rsidRPr="00C41039" w:rsidRDefault="00AA08D3" w:rsidP="00AA08D3">
            <w:pPr>
              <w:pStyle w:val="Tabletext"/>
              <w:rPr>
                <w:b/>
              </w:rPr>
            </w:pPr>
            <w:r>
              <w:rPr>
                <w:b/>
              </w:rPr>
              <w:t>Mean difference</w:t>
            </w:r>
            <w:r w:rsidR="0075777C" w:rsidRPr="00C41039">
              <w:rPr>
                <w:b/>
              </w:rPr>
              <w:t xml:space="preserve">, </w:t>
            </w:r>
            <w:r w:rsidR="00503643">
              <w:rPr>
                <w:b/>
              </w:rPr>
              <w:t>metres</w:t>
            </w:r>
          </w:p>
        </w:tc>
      </w:tr>
      <w:tr w:rsidR="0075777C" w:rsidTr="00AA08D3">
        <w:tc>
          <w:tcPr>
            <w:tcW w:w="1271" w:type="dxa"/>
            <w:vMerge/>
          </w:tcPr>
          <w:p w:rsidR="0075777C" w:rsidRDefault="0075777C" w:rsidP="00C41039">
            <w:pPr>
              <w:pStyle w:val="Tabletext"/>
            </w:pPr>
          </w:p>
        </w:tc>
        <w:tc>
          <w:tcPr>
            <w:tcW w:w="992" w:type="dxa"/>
            <w:vMerge/>
          </w:tcPr>
          <w:p w:rsidR="0075777C" w:rsidRDefault="0075777C" w:rsidP="00C41039">
            <w:pPr>
              <w:pStyle w:val="Tabletext"/>
            </w:pPr>
          </w:p>
        </w:tc>
        <w:tc>
          <w:tcPr>
            <w:tcW w:w="1701" w:type="dxa"/>
            <w:shd w:val="clear" w:color="auto" w:fill="BFBFBF" w:themeFill="background1" w:themeFillShade="BF"/>
          </w:tcPr>
          <w:p w:rsidR="0075777C" w:rsidRPr="00503643" w:rsidRDefault="00AA08D3" w:rsidP="00AA08D3">
            <w:pPr>
              <w:pStyle w:val="Tabletext"/>
              <w:jc w:val="center"/>
              <w:rPr>
                <w:b/>
                <w:sz w:val="18"/>
                <w:szCs w:val="18"/>
              </w:rPr>
            </w:pPr>
            <w:r w:rsidRPr="00503643">
              <w:rPr>
                <w:b/>
                <w:sz w:val="18"/>
                <w:szCs w:val="18"/>
              </w:rPr>
              <w:t xml:space="preserve">sGC stimulator </w:t>
            </w:r>
            <w:r w:rsidR="0075777C" w:rsidRPr="00503643">
              <w:rPr>
                <w:b/>
                <w:sz w:val="18"/>
                <w:szCs w:val="18"/>
              </w:rPr>
              <w:t>+ PDE-5 inhibitor</w:t>
            </w:r>
          </w:p>
        </w:tc>
        <w:tc>
          <w:tcPr>
            <w:tcW w:w="1560" w:type="dxa"/>
            <w:shd w:val="clear" w:color="auto" w:fill="BFBFBF" w:themeFill="background1" w:themeFillShade="BF"/>
          </w:tcPr>
          <w:p w:rsidR="0075777C" w:rsidRPr="00503643" w:rsidRDefault="0075777C" w:rsidP="00C41039">
            <w:pPr>
              <w:pStyle w:val="Tabletext"/>
              <w:jc w:val="center"/>
              <w:rPr>
                <w:b/>
                <w:sz w:val="18"/>
                <w:szCs w:val="18"/>
              </w:rPr>
            </w:pPr>
            <w:r w:rsidRPr="00503643">
              <w:rPr>
                <w:b/>
                <w:sz w:val="18"/>
                <w:szCs w:val="18"/>
              </w:rPr>
              <w:t>PDE-5 inhibitor</w:t>
            </w:r>
          </w:p>
        </w:tc>
        <w:tc>
          <w:tcPr>
            <w:tcW w:w="1559" w:type="dxa"/>
            <w:shd w:val="clear" w:color="auto" w:fill="BFBFBF" w:themeFill="background1" w:themeFillShade="BF"/>
          </w:tcPr>
          <w:p w:rsidR="0075777C" w:rsidRPr="00503643" w:rsidRDefault="00AA08D3" w:rsidP="00AA08D3">
            <w:pPr>
              <w:pStyle w:val="Tabletext"/>
              <w:jc w:val="center"/>
              <w:rPr>
                <w:b/>
                <w:sz w:val="18"/>
                <w:szCs w:val="18"/>
              </w:rPr>
            </w:pPr>
            <w:r w:rsidRPr="00503643">
              <w:rPr>
                <w:b/>
                <w:sz w:val="18"/>
                <w:szCs w:val="18"/>
              </w:rPr>
              <w:t xml:space="preserve">sGC stimulator </w:t>
            </w:r>
            <w:r w:rsidR="0075777C" w:rsidRPr="00503643">
              <w:rPr>
                <w:b/>
                <w:sz w:val="18"/>
                <w:szCs w:val="18"/>
              </w:rPr>
              <w:t>+ PDE-5 inhibitor</w:t>
            </w:r>
          </w:p>
        </w:tc>
        <w:tc>
          <w:tcPr>
            <w:tcW w:w="1559" w:type="dxa"/>
            <w:shd w:val="clear" w:color="auto" w:fill="BFBFBF" w:themeFill="background1" w:themeFillShade="BF"/>
          </w:tcPr>
          <w:p w:rsidR="0075777C" w:rsidRPr="00503643" w:rsidRDefault="0075777C" w:rsidP="00C41039">
            <w:pPr>
              <w:pStyle w:val="Tabletext"/>
              <w:jc w:val="center"/>
              <w:rPr>
                <w:b/>
                <w:sz w:val="18"/>
                <w:szCs w:val="18"/>
              </w:rPr>
            </w:pPr>
            <w:r w:rsidRPr="00503643">
              <w:rPr>
                <w:b/>
                <w:sz w:val="18"/>
                <w:szCs w:val="18"/>
              </w:rPr>
              <w:t>PDE-5 inhibitor</w:t>
            </w:r>
          </w:p>
        </w:tc>
        <w:tc>
          <w:tcPr>
            <w:tcW w:w="992" w:type="dxa"/>
            <w:vMerge/>
          </w:tcPr>
          <w:p w:rsidR="0075777C" w:rsidRDefault="0075777C" w:rsidP="00C41039">
            <w:pPr>
              <w:pStyle w:val="Tabletext"/>
            </w:pPr>
          </w:p>
        </w:tc>
      </w:tr>
      <w:tr w:rsidR="0075777C" w:rsidTr="00AA08D3">
        <w:tc>
          <w:tcPr>
            <w:tcW w:w="1271" w:type="dxa"/>
          </w:tcPr>
          <w:p w:rsidR="0075777C" w:rsidRPr="00822C52" w:rsidRDefault="0075777C" w:rsidP="00C41039">
            <w:pPr>
              <w:pStyle w:val="Tabletext"/>
              <w:rPr>
                <w:rFonts w:cs="Tahoma"/>
              </w:rPr>
            </w:pPr>
            <w:r w:rsidRPr="00822C52">
              <w:rPr>
                <w:rFonts w:cs="Tahoma"/>
              </w:rPr>
              <w:t>PATENT-PLUS</w:t>
            </w:r>
            <w:r w:rsidR="001D34EE" w:rsidRPr="001A1C44">
              <w:rPr>
                <w:rFonts w:cs="Tahoma"/>
                <w:noProof/>
                <w:vertAlign w:val="superscript"/>
              </w:rPr>
              <w:t>44</w:t>
            </w:r>
          </w:p>
          <w:p w:rsidR="0075777C" w:rsidRDefault="00AA08D3" w:rsidP="00AA08D3">
            <w:pPr>
              <w:pStyle w:val="Tabletext"/>
            </w:pPr>
            <w:r w:rsidRPr="00AA08D3">
              <w:t>Riociguat</w:t>
            </w:r>
            <w:r>
              <w:t>/s</w:t>
            </w:r>
            <w:r w:rsidR="0075777C" w:rsidRPr="00822C52">
              <w:rPr>
                <w:rFonts w:cs="Tahoma"/>
              </w:rPr>
              <w:t>ildenafil</w:t>
            </w:r>
          </w:p>
        </w:tc>
        <w:tc>
          <w:tcPr>
            <w:tcW w:w="992" w:type="dxa"/>
          </w:tcPr>
          <w:p w:rsidR="0075777C" w:rsidRPr="00822C52" w:rsidRDefault="0075777C" w:rsidP="00C41039">
            <w:pPr>
              <w:pStyle w:val="Tabletext"/>
              <w:rPr>
                <w:rFonts w:cs="Tahoma"/>
              </w:rPr>
            </w:pPr>
            <w:r w:rsidRPr="00822C52">
              <w:rPr>
                <w:rFonts w:cs="Tahoma"/>
              </w:rPr>
              <w:t>N=20</w:t>
            </w:r>
          </w:p>
          <w:p w:rsidR="0075777C" w:rsidRDefault="0075777C" w:rsidP="00C41039">
            <w:pPr>
              <w:pStyle w:val="Tabletext"/>
            </w:pPr>
            <w:r w:rsidRPr="00822C52">
              <w:rPr>
                <w:rFonts w:cs="Tahoma"/>
              </w:rPr>
              <w:t>Week 12</w:t>
            </w:r>
          </w:p>
        </w:tc>
        <w:tc>
          <w:tcPr>
            <w:tcW w:w="1701" w:type="dxa"/>
          </w:tcPr>
          <w:p w:rsidR="0075777C" w:rsidRDefault="0075777C" w:rsidP="00C41039">
            <w:pPr>
              <w:pStyle w:val="Tabletext"/>
              <w:jc w:val="center"/>
            </w:pPr>
            <w:r w:rsidRPr="00822C52">
              <w:rPr>
                <w:rFonts w:cs="Tahoma"/>
              </w:rPr>
              <w:t>359 ± 122</w:t>
            </w:r>
          </w:p>
        </w:tc>
        <w:tc>
          <w:tcPr>
            <w:tcW w:w="1560" w:type="dxa"/>
          </w:tcPr>
          <w:p w:rsidR="0075777C" w:rsidRDefault="0075777C" w:rsidP="00C41039">
            <w:pPr>
              <w:pStyle w:val="Tabletext"/>
              <w:jc w:val="center"/>
            </w:pPr>
            <w:r w:rsidRPr="00822C52">
              <w:rPr>
                <w:rFonts w:cs="Tahoma"/>
              </w:rPr>
              <w:t>426 ± 66</w:t>
            </w:r>
          </w:p>
        </w:tc>
        <w:tc>
          <w:tcPr>
            <w:tcW w:w="1559" w:type="dxa"/>
          </w:tcPr>
          <w:p w:rsidR="0075777C" w:rsidRDefault="0075777C" w:rsidP="00C41039">
            <w:pPr>
              <w:pStyle w:val="Tabletext"/>
              <w:jc w:val="center"/>
            </w:pPr>
            <w:r w:rsidRPr="00822C52">
              <w:rPr>
                <w:rFonts w:cs="Tahoma"/>
              </w:rPr>
              <w:t>7 ± 48</w:t>
            </w:r>
          </w:p>
        </w:tc>
        <w:tc>
          <w:tcPr>
            <w:tcW w:w="1559" w:type="dxa"/>
          </w:tcPr>
          <w:p w:rsidR="0075777C" w:rsidRDefault="0075777C" w:rsidP="00C41039">
            <w:pPr>
              <w:pStyle w:val="Tabletext"/>
              <w:jc w:val="center"/>
            </w:pPr>
            <w:r w:rsidRPr="00822C52">
              <w:rPr>
                <w:rFonts w:cs="Tahoma"/>
              </w:rPr>
              <w:t>30 ± 56</w:t>
            </w:r>
          </w:p>
        </w:tc>
        <w:tc>
          <w:tcPr>
            <w:tcW w:w="992" w:type="dxa"/>
          </w:tcPr>
          <w:p w:rsidR="0075777C" w:rsidRDefault="0075777C" w:rsidP="00C41039">
            <w:pPr>
              <w:pStyle w:val="Tabletext"/>
            </w:pPr>
            <w:r w:rsidRPr="00822C52">
              <w:rPr>
                <w:rFonts w:cs="Tahoma"/>
              </w:rPr>
              <w:t>–23</w:t>
            </w:r>
          </w:p>
        </w:tc>
      </w:tr>
    </w:tbl>
    <w:p w:rsidR="0075777C" w:rsidRPr="005E6791" w:rsidRDefault="0075777C" w:rsidP="00C41039">
      <w:pPr>
        <w:pStyle w:val="Tablenote"/>
      </w:pPr>
      <w:r w:rsidRPr="005E6791">
        <w:t xml:space="preserve">6MWD = 6-minute </w:t>
      </w:r>
      <w:r w:rsidR="0082368E">
        <w:t>walk distance</w:t>
      </w:r>
      <w:r w:rsidRPr="005E6791">
        <w:t>; CI = confidence interval</w:t>
      </w:r>
      <w:r>
        <w:t xml:space="preserve">; </w:t>
      </w:r>
      <w:r w:rsidRPr="005E6791">
        <w:t>N = number of patients; PAH = pulmonary arterial hypertension; PDE-5 = phosphodiesterase type-5; RR = relative risk; SD = standard deviation</w:t>
      </w:r>
      <w:r w:rsidR="009B47AA">
        <w:t>;</w:t>
      </w:r>
      <w:r w:rsidR="009B47AA" w:rsidRPr="009B47AA">
        <w:t xml:space="preserve"> sGC = solub</w:t>
      </w:r>
      <w:r w:rsidR="009B47AA">
        <w:t xml:space="preserve">le guanylate cyclase </w:t>
      </w:r>
    </w:p>
    <w:p w:rsidR="0075777C" w:rsidRPr="00822C52" w:rsidRDefault="00761752" w:rsidP="00761752">
      <w:pPr>
        <w:pStyle w:val="Heading5"/>
      </w:pPr>
      <w:r>
        <w:t>f</w:t>
      </w:r>
      <w:r w:rsidR="002E4833">
        <w:t>.</w:t>
      </w:r>
      <w:r>
        <w:tab/>
      </w:r>
      <w:r w:rsidRPr="00761752">
        <w:t>Change in QoL from baseline</w:t>
      </w:r>
    </w:p>
    <w:p w:rsidR="0075777C" w:rsidRDefault="0075777C" w:rsidP="0075777C">
      <w:r w:rsidRPr="00CB0236">
        <w:t xml:space="preserve">The </w:t>
      </w:r>
      <w:r>
        <w:t>change in QoL for</w:t>
      </w:r>
      <w:r w:rsidRPr="00CB0236">
        <w:t xml:space="preserve"> patients </w:t>
      </w:r>
      <w:r>
        <w:t xml:space="preserve">receiving </w:t>
      </w:r>
      <w:r w:rsidR="00AA08D3">
        <w:t xml:space="preserve">a </w:t>
      </w:r>
      <w:r>
        <w:t xml:space="preserve">sGC stimulator plus </w:t>
      </w:r>
      <w:r w:rsidR="00AA08D3">
        <w:t xml:space="preserve">a </w:t>
      </w:r>
      <w:r>
        <w:t xml:space="preserve">PDE-5 inhibitor </w:t>
      </w:r>
      <w:r w:rsidRPr="00CB0236">
        <w:t xml:space="preserve">combination treatment compared with </w:t>
      </w:r>
      <w:r>
        <w:t xml:space="preserve">those receiving </w:t>
      </w:r>
      <w:r w:rsidRPr="00CB0236">
        <w:t xml:space="preserve">PDE-5 inhibitor monotherapy </w:t>
      </w:r>
      <w:proofErr w:type="gramStart"/>
      <w:r w:rsidRPr="00CB0236">
        <w:t>was not reported</w:t>
      </w:r>
      <w:proofErr w:type="gramEnd"/>
      <w:r w:rsidRPr="00CB0236">
        <w:t xml:space="preserve"> for the PA</w:t>
      </w:r>
      <w:r>
        <w:t>T</w:t>
      </w:r>
      <w:r w:rsidRPr="00CB0236">
        <w:t>E</w:t>
      </w:r>
      <w:r>
        <w:t>NT-PLU</w:t>
      </w:r>
      <w:r w:rsidRPr="00CB0236">
        <w:t>S trial.</w:t>
      </w:r>
    </w:p>
    <w:p w:rsidR="00761752" w:rsidRDefault="00761752" w:rsidP="00761752">
      <w:pPr>
        <w:pStyle w:val="Heading5"/>
      </w:pPr>
      <w:r>
        <w:t>g.</w:t>
      </w:r>
      <w:r>
        <w:tab/>
      </w:r>
      <w:r w:rsidRPr="006316DF">
        <w:t xml:space="preserve">Change in </w:t>
      </w:r>
      <w:r>
        <w:t>haemodynamic parameters</w:t>
      </w:r>
      <w:r w:rsidRPr="006316DF">
        <w:t xml:space="preserve"> from baseline</w:t>
      </w:r>
    </w:p>
    <w:p w:rsidR="00761752" w:rsidRPr="002E22DB" w:rsidRDefault="00761752" w:rsidP="00761752">
      <w:r>
        <w:t>The PATENT-PLUS trial did not report on any haemodynamic outcomes.</w:t>
      </w:r>
    </w:p>
    <w:p w:rsidR="0075777C" w:rsidRPr="00822C52" w:rsidRDefault="002E4833" w:rsidP="0075777C">
      <w:pPr>
        <w:pStyle w:val="Heading5"/>
      </w:pPr>
      <w:r>
        <w:t>h.</w:t>
      </w:r>
      <w:r w:rsidR="00761752">
        <w:tab/>
      </w:r>
      <w:r w:rsidR="0075777C">
        <w:t>Comparative s</w:t>
      </w:r>
      <w:r w:rsidR="0075777C" w:rsidRPr="00822C52">
        <w:t>afety</w:t>
      </w:r>
    </w:p>
    <w:p w:rsidR="0075777C" w:rsidRPr="00822C52" w:rsidRDefault="002E4833" w:rsidP="0077344D">
      <w:pPr>
        <w:pStyle w:val="Heading6"/>
      </w:pPr>
      <w:proofErr w:type="gramStart"/>
      <w:r>
        <w:t>h</w:t>
      </w:r>
      <w:r w:rsidR="0075777C" w:rsidRPr="00822C52">
        <w:t>.i</w:t>
      </w:r>
      <w:proofErr w:type="gramEnd"/>
      <w:r w:rsidR="0075777C" w:rsidRPr="00822C52">
        <w:tab/>
        <w:t>PAH patients, irrespective of disease severity or aetiology</w:t>
      </w:r>
    </w:p>
    <w:p w:rsidR="0075777C" w:rsidRPr="00822C52" w:rsidRDefault="0075777C" w:rsidP="0075777C">
      <w:r>
        <w:t>During the 12-week randomised phase of the PATENT-PLUS study, 1.5-times more patients receiving combination therapy had an AE compared with those on monotherapy, but this was not statistically significant (</w:t>
      </w:r>
      <w:r w:rsidR="003951FA">
        <w:t>Table 4.</w:t>
      </w:r>
      <w:r w:rsidR="003951FA">
        <w:rPr>
          <w:noProof/>
        </w:rPr>
        <w:t>103</w:t>
      </w:r>
      <w:r>
        <w:t>). Two patients in the combination therapy group had serious AEs compared with no patients in the monotherapy group (</w:t>
      </w:r>
      <w:r w:rsidR="00B21201">
        <w:t>ARD</w:t>
      </w:r>
      <w:r w:rsidR="00DB6ACB">
        <w:t> </w:t>
      </w:r>
      <w:r>
        <w:t>=</w:t>
      </w:r>
      <w:r w:rsidR="00DB6ACB">
        <w:t> </w:t>
      </w:r>
      <w:r>
        <w:t>16.7%; 95% CI −4.4, 37.8; p</w:t>
      </w:r>
      <w:r w:rsidR="00DB6ACB">
        <w:t> </w:t>
      </w:r>
      <w:r>
        <w:t>=</w:t>
      </w:r>
      <w:r w:rsidR="00DB6ACB">
        <w:t> </w:t>
      </w:r>
      <w:r>
        <w:t xml:space="preserve">0.29). Only one </w:t>
      </w:r>
      <w:r w:rsidRPr="00822C52">
        <w:t>patient</w:t>
      </w:r>
      <w:r w:rsidRPr="00A31E5D">
        <w:t xml:space="preserve"> </w:t>
      </w:r>
      <w:r>
        <w:t xml:space="preserve">in the </w:t>
      </w:r>
      <w:r w:rsidRPr="00822C52">
        <w:t>PATENT-PLUS</w:t>
      </w:r>
      <w:r>
        <w:t xml:space="preserve"> study, who had been randomised to combination therapy, </w:t>
      </w:r>
      <w:r w:rsidRPr="00822C52">
        <w:t xml:space="preserve">withdrew from </w:t>
      </w:r>
      <w:r>
        <w:t>treatment</w:t>
      </w:r>
      <w:r w:rsidRPr="00822C52">
        <w:t xml:space="preserve"> due to </w:t>
      </w:r>
      <w:r>
        <w:t xml:space="preserve">an </w:t>
      </w:r>
      <w:r w:rsidRPr="00822C52">
        <w:t>AE (blurred vision)</w:t>
      </w:r>
      <w:r>
        <w:t xml:space="preserve"> (</w:t>
      </w:r>
      <w:r w:rsidR="00B21201">
        <w:t>ARD</w:t>
      </w:r>
      <w:r w:rsidR="00DB6ACB">
        <w:t> </w:t>
      </w:r>
      <w:r>
        <w:t>=</w:t>
      </w:r>
      <w:r w:rsidR="00DB6ACB">
        <w:t> </w:t>
      </w:r>
      <w:r>
        <w:t>8.3%; 95% CI −7.3, 24.0; p</w:t>
      </w:r>
      <w:r w:rsidR="00DB6ACB">
        <w:t> </w:t>
      </w:r>
      <w:r>
        <w:t>=</w:t>
      </w:r>
      <w:r w:rsidR="00DB6ACB">
        <w:t> </w:t>
      </w:r>
      <w:r>
        <w:t>0.47).</w:t>
      </w:r>
    </w:p>
    <w:p w:rsidR="0075777C" w:rsidRPr="00DD7790" w:rsidRDefault="00272F8F" w:rsidP="00BC5A2B">
      <w:pPr>
        <w:pStyle w:val="Caption"/>
      </w:pPr>
      <w:bookmarkStart w:id="299" w:name="_Ref505254066"/>
      <w:bookmarkStart w:id="300" w:name="_Toc38360400"/>
      <w:r>
        <w:t>Table 4.</w:t>
      </w:r>
      <w:r w:rsidR="003951FA">
        <w:rPr>
          <w:noProof/>
        </w:rPr>
        <w:t>103</w:t>
      </w:r>
      <w:bookmarkEnd w:id="299"/>
      <w:r w:rsidR="00C41039">
        <w:tab/>
      </w:r>
      <w:r w:rsidR="0075777C" w:rsidRPr="00DD7790">
        <w:t xml:space="preserve">The comparative safety of </w:t>
      </w:r>
      <w:r w:rsidR="00AA08D3">
        <w:t xml:space="preserve">a </w:t>
      </w:r>
      <w:r w:rsidR="00AA08D3" w:rsidRPr="00AA08D3">
        <w:t xml:space="preserve">sGC stimulator </w:t>
      </w:r>
      <w:r w:rsidR="007E59EC">
        <w:t>in addition to</w:t>
      </w:r>
      <w:r w:rsidR="007E59EC" w:rsidRPr="00DD7790">
        <w:t xml:space="preserve"> </w:t>
      </w:r>
      <w:r w:rsidR="007E59EC">
        <w:t xml:space="preserve">a </w:t>
      </w:r>
      <w:r w:rsidR="007E59EC" w:rsidRPr="00DD7790">
        <w:t xml:space="preserve">PDE-5 inhibitor </w:t>
      </w:r>
      <w:r w:rsidR="007E59EC" w:rsidRPr="009B4D64">
        <w:t xml:space="preserve">compared with </w:t>
      </w:r>
      <w:r w:rsidR="007E59EC" w:rsidRPr="00DD7790">
        <w:t xml:space="preserve">PDE-5 inhibitor </w:t>
      </w:r>
      <w:r w:rsidR="007E59EC">
        <w:t>monotherapy</w:t>
      </w:r>
      <w:r w:rsidR="007E59EC" w:rsidRPr="00DD7790">
        <w:t xml:space="preserve"> </w:t>
      </w:r>
      <w:r w:rsidR="0075777C" w:rsidRPr="00DD7790">
        <w:t xml:space="preserve">in </w:t>
      </w:r>
      <w:r w:rsidR="0075777C">
        <w:t>all PAH patients</w:t>
      </w:r>
      <w:bookmarkEnd w:id="300"/>
    </w:p>
    <w:tbl>
      <w:tblPr>
        <w:tblStyle w:val="TableGrid7"/>
        <w:tblW w:w="9634" w:type="dxa"/>
        <w:tblLayout w:type="fixed"/>
        <w:tblLook w:val="04A0" w:firstRow="1" w:lastRow="0" w:firstColumn="1" w:lastColumn="0" w:noHBand="0" w:noVBand="1"/>
        <w:tblCaption w:val="The comparative safety of a sGC stimulator in addition to a PDE-5 inhibitor compared with PDE-5 inhibitor monotherapy in all PAH patients"/>
      </w:tblPr>
      <w:tblGrid>
        <w:gridCol w:w="1555"/>
        <w:gridCol w:w="2268"/>
        <w:gridCol w:w="2693"/>
        <w:gridCol w:w="1701"/>
        <w:gridCol w:w="1417"/>
      </w:tblGrid>
      <w:tr w:rsidR="0075777C" w:rsidRPr="00822C52" w:rsidTr="00AA08D3">
        <w:trPr>
          <w:trHeight w:val="228"/>
          <w:tblHeader/>
        </w:trPr>
        <w:tc>
          <w:tcPr>
            <w:tcW w:w="1555" w:type="dxa"/>
            <w:vMerge w:val="restart"/>
            <w:shd w:val="clear" w:color="auto" w:fill="BFBFBF" w:themeFill="background1" w:themeFillShade="BF"/>
          </w:tcPr>
          <w:p w:rsidR="0075777C" w:rsidRPr="00C41039" w:rsidRDefault="0075777C" w:rsidP="00C41039">
            <w:pPr>
              <w:pStyle w:val="Tabletext"/>
              <w:rPr>
                <w:b/>
              </w:rPr>
            </w:pPr>
            <w:r w:rsidRPr="00C41039">
              <w:rPr>
                <w:b/>
              </w:rPr>
              <w:t>Study ID</w:t>
            </w:r>
          </w:p>
          <w:p w:rsidR="0075777C" w:rsidRPr="00C41039" w:rsidRDefault="00AA08D3" w:rsidP="00C41039">
            <w:pPr>
              <w:pStyle w:val="Tabletext"/>
              <w:rPr>
                <w:b/>
              </w:rPr>
            </w:pPr>
            <w:r w:rsidRPr="00AA08D3">
              <w:rPr>
                <w:b/>
              </w:rPr>
              <w:t>sGC stimulator</w:t>
            </w:r>
            <w:r>
              <w:rPr>
                <w:b/>
              </w:rPr>
              <w:t>/</w:t>
            </w:r>
            <w:r w:rsidRPr="00AA08D3">
              <w:rPr>
                <w:b/>
              </w:rPr>
              <w:t xml:space="preserve"> </w:t>
            </w:r>
            <w:r w:rsidR="0075777C" w:rsidRPr="00C41039">
              <w:rPr>
                <w:b/>
              </w:rPr>
              <w:t>PDE-5 inhibitor</w:t>
            </w:r>
          </w:p>
        </w:tc>
        <w:tc>
          <w:tcPr>
            <w:tcW w:w="2268" w:type="dxa"/>
            <w:vMerge w:val="restart"/>
            <w:shd w:val="clear" w:color="auto" w:fill="BFBFBF" w:themeFill="background1" w:themeFillShade="BF"/>
          </w:tcPr>
          <w:p w:rsidR="0075777C" w:rsidRPr="00C41039" w:rsidRDefault="0075777C" w:rsidP="00C41039">
            <w:pPr>
              <w:pStyle w:val="Tabletext"/>
              <w:rPr>
                <w:b/>
              </w:rPr>
            </w:pPr>
            <w:r w:rsidRPr="00C41039">
              <w:rPr>
                <w:b/>
              </w:rPr>
              <w:t>AE</w:t>
            </w:r>
          </w:p>
        </w:tc>
        <w:tc>
          <w:tcPr>
            <w:tcW w:w="4394" w:type="dxa"/>
            <w:gridSpan w:val="2"/>
            <w:shd w:val="clear" w:color="auto" w:fill="BFBFBF" w:themeFill="background1" w:themeFillShade="BF"/>
          </w:tcPr>
          <w:p w:rsidR="0075777C" w:rsidRPr="00C41039" w:rsidRDefault="0075777C" w:rsidP="00C41039">
            <w:pPr>
              <w:pStyle w:val="Tabletext"/>
              <w:jc w:val="center"/>
              <w:rPr>
                <w:b/>
              </w:rPr>
            </w:pPr>
            <w:proofErr w:type="gramStart"/>
            <w:r w:rsidRPr="00C41039">
              <w:rPr>
                <w:b/>
              </w:rPr>
              <w:t>n/N</w:t>
            </w:r>
            <w:proofErr w:type="gramEnd"/>
            <w:r w:rsidRPr="00C41039">
              <w:rPr>
                <w:b/>
              </w:rPr>
              <w:t xml:space="preserve"> (%)</w:t>
            </w:r>
          </w:p>
        </w:tc>
        <w:tc>
          <w:tcPr>
            <w:tcW w:w="1417" w:type="dxa"/>
            <w:vMerge w:val="restart"/>
            <w:shd w:val="clear" w:color="auto" w:fill="BFBFBF" w:themeFill="background1" w:themeFillShade="BF"/>
          </w:tcPr>
          <w:p w:rsidR="0075777C" w:rsidRPr="00C41039" w:rsidRDefault="0075777C" w:rsidP="00C41039">
            <w:pPr>
              <w:pStyle w:val="Tabletext"/>
              <w:rPr>
                <w:b/>
              </w:rPr>
            </w:pPr>
            <w:r w:rsidRPr="00C41039">
              <w:rPr>
                <w:b/>
              </w:rPr>
              <w:t>RR (95% CI)</w:t>
            </w:r>
          </w:p>
        </w:tc>
      </w:tr>
      <w:tr w:rsidR="0075777C" w:rsidRPr="00822C52" w:rsidTr="00534ADA">
        <w:trPr>
          <w:trHeight w:val="202"/>
          <w:tblHeader/>
        </w:trPr>
        <w:tc>
          <w:tcPr>
            <w:tcW w:w="1555" w:type="dxa"/>
            <w:vMerge/>
            <w:shd w:val="clear" w:color="auto" w:fill="BFBFBF" w:themeFill="background1" w:themeFillShade="BF"/>
          </w:tcPr>
          <w:p w:rsidR="0075777C" w:rsidRPr="00822C52" w:rsidRDefault="0075777C" w:rsidP="00C41039">
            <w:pPr>
              <w:pStyle w:val="Tabletext"/>
            </w:pPr>
          </w:p>
        </w:tc>
        <w:tc>
          <w:tcPr>
            <w:tcW w:w="2268" w:type="dxa"/>
            <w:vMerge/>
            <w:shd w:val="clear" w:color="auto" w:fill="BFBFBF" w:themeFill="background1" w:themeFillShade="BF"/>
          </w:tcPr>
          <w:p w:rsidR="0075777C" w:rsidRPr="00822C52" w:rsidRDefault="0075777C" w:rsidP="00C41039">
            <w:pPr>
              <w:pStyle w:val="Tabletext"/>
            </w:pPr>
          </w:p>
        </w:tc>
        <w:tc>
          <w:tcPr>
            <w:tcW w:w="2693" w:type="dxa"/>
            <w:shd w:val="clear" w:color="auto" w:fill="BFBFBF" w:themeFill="background1" w:themeFillShade="BF"/>
          </w:tcPr>
          <w:p w:rsidR="0075777C" w:rsidRPr="00C41039" w:rsidRDefault="00AA08D3" w:rsidP="00C41039">
            <w:pPr>
              <w:pStyle w:val="Tabletext"/>
              <w:jc w:val="center"/>
              <w:rPr>
                <w:b/>
              </w:rPr>
            </w:pPr>
            <w:r w:rsidRPr="00AA08D3">
              <w:rPr>
                <w:b/>
              </w:rPr>
              <w:t xml:space="preserve">sGC stimulator </w:t>
            </w:r>
            <w:r w:rsidR="0075777C" w:rsidRPr="00C41039">
              <w:rPr>
                <w:b/>
              </w:rPr>
              <w:t>+</w:t>
            </w:r>
            <w:r w:rsidR="002449DC">
              <w:rPr>
                <w:b/>
              </w:rPr>
              <w:t xml:space="preserve"> </w:t>
            </w:r>
            <w:r w:rsidR="0075777C" w:rsidRPr="00C41039">
              <w:rPr>
                <w:b/>
              </w:rPr>
              <w:t>PDE-5 inhibitor</w:t>
            </w:r>
          </w:p>
        </w:tc>
        <w:tc>
          <w:tcPr>
            <w:tcW w:w="1701" w:type="dxa"/>
            <w:shd w:val="clear" w:color="auto" w:fill="BFBFBF" w:themeFill="background1" w:themeFillShade="BF"/>
          </w:tcPr>
          <w:p w:rsidR="0075777C" w:rsidRPr="00C41039" w:rsidRDefault="0075777C" w:rsidP="00C41039">
            <w:pPr>
              <w:pStyle w:val="Tabletext"/>
              <w:jc w:val="center"/>
              <w:rPr>
                <w:b/>
              </w:rPr>
            </w:pPr>
            <w:r w:rsidRPr="00C41039">
              <w:rPr>
                <w:b/>
              </w:rPr>
              <w:t>PDE-5 inhibitor</w:t>
            </w:r>
          </w:p>
        </w:tc>
        <w:tc>
          <w:tcPr>
            <w:tcW w:w="1417" w:type="dxa"/>
            <w:vMerge/>
            <w:shd w:val="clear" w:color="auto" w:fill="BFBFBF" w:themeFill="background1" w:themeFillShade="BF"/>
          </w:tcPr>
          <w:p w:rsidR="0075777C" w:rsidRPr="00822C52" w:rsidRDefault="0075777C" w:rsidP="00C41039">
            <w:pPr>
              <w:pStyle w:val="Tabletext"/>
            </w:pPr>
          </w:p>
        </w:tc>
      </w:tr>
      <w:tr w:rsidR="0075777C" w:rsidRPr="00822C52" w:rsidTr="00534ADA">
        <w:trPr>
          <w:trHeight w:val="70"/>
        </w:trPr>
        <w:tc>
          <w:tcPr>
            <w:tcW w:w="1555" w:type="dxa"/>
            <w:shd w:val="clear" w:color="auto" w:fill="auto"/>
          </w:tcPr>
          <w:p w:rsidR="0075777C" w:rsidRPr="00822C52" w:rsidRDefault="0075777C" w:rsidP="00C41039">
            <w:pPr>
              <w:pStyle w:val="Tabletext"/>
              <w:rPr>
                <w:rFonts w:cs="Tahoma"/>
              </w:rPr>
            </w:pPr>
            <w:r w:rsidRPr="00822C52">
              <w:rPr>
                <w:rFonts w:cs="Tahoma"/>
              </w:rPr>
              <w:t>PATENT-PLUS</w:t>
            </w:r>
            <w:r w:rsidR="001D34EE" w:rsidRPr="001A1C44">
              <w:rPr>
                <w:rFonts w:cs="Tahoma"/>
                <w:noProof/>
                <w:vertAlign w:val="superscript"/>
              </w:rPr>
              <w:t>44</w:t>
            </w:r>
          </w:p>
          <w:p w:rsidR="0075777C" w:rsidRPr="00822C52" w:rsidRDefault="00AA08D3" w:rsidP="00AA08D3">
            <w:pPr>
              <w:pStyle w:val="Tabletext"/>
              <w:rPr>
                <w:rFonts w:cs="Tahoma"/>
              </w:rPr>
            </w:pPr>
            <w:r w:rsidRPr="00AA08D3">
              <w:t>Riociguat</w:t>
            </w:r>
            <w:r>
              <w:rPr>
                <w:rFonts w:cs="Tahoma"/>
              </w:rPr>
              <w:t>/s</w:t>
            </w:r>
            <w:r w:rsidR="0075777C" w:rsidRPr="00822C52">
              <w:rPr>
                <w:rFonts w:cs="Tahoma"/>
              </w:rPr>
              <w:t>ildenafil</w:t>
            </w:r>
          </w:p>
        </w:tc>
        <w:tc>
          <w:tcPr>
            <w:tcW w:w="2268" w:type="dxa"/>
          </w:tcPr>
          <w:p w:rsidR="0075777C" w:rsidRDefault="0075777C" w:rsidP="00C41039">
            <w:pPr>
              <w:pStyle w:val="Tabletext"/>
              <w:rPr>
                <w:rFonts w:cs="Tahoma"/>
              </w:rPr>
            </w:pPr>
            <w:r>
              <w:rPr>
                <w:rFonts w:cs="Tahoma"/>
              </w:rPr>
              <w:t xml:space="preserve">Any </w:t>
            </w:r>
            <w:r w:rsidRPr="00822C52">
              <w:rPr>
                <w:rFonts w:cs="Tahoma"/>
              </w:rPr>
              <w:t>AE</w:t>
            </w:r>
          </w:p>
          <w:p w:rsidR="0075777C" w:rsidRPr="00822C52" w:rsidRDefault="0075777C" w:rsidP="00C41039">
            <w:pPr>
              <w:pStyle w:val="Tabletext"/>
              <w:rPr>
                <w:rFonts w:cs="Tahoma"/>
              </w:rPr>
            </w:pPr>
            <w:r>
              <w:rPr>
                <w:rFonts w:cs="Tahoma"/>
              </w:rPr>
              <w:t>Serious AEs</w:t>
            </w:r>
          </w:p>
          <w:p w:rsidR="0075777C" w:rsidRPr="00822C52" w:rsidRDefault="0075777C" w:rsidP="00C41039">
            <w:pPr>
              <w:pStyle w:val="Tabletext"/>
              <w:rPr>
                <w:rFonts w:cs="Tahoma"/>
              </w:rPr>
            </w:pPr>
            <w:r w:rsidRPr="00D46FAD">
              <w:rPr>
                <w:rFonts w:cs="Tahoma"/>
              </w:rPr>
              <w:t>AEs leading to discontinuation</w:t>
            </w:r>
          </w:p>
        </w:tc>
        <w:tc>
          <w:tcPr>
            <w:tcW w:w="2693" w:type="dxa"/>
            <w:shd w:val="clear" w:color="auto" w:fill="auto"/>
          </w:tcPr>
          <w:p w:rsidR="0075777C" w:rsidRPr="00822C52" w:rsidRDefault="0075777C" w:rsidP="00C41039">
            <w:pPr>
              <w:pStyle w:val="Tabletext"/>
              <w:jc w:val="center"/>
              <w:rPr>
                <w:rFonts w:cs="Tahoma"/>
              </w:rPr>
            </w:pPr>
            <w:r>
              <w:rPr>
                <w:rFonts w:cs="Tahoma"/>
              </w:rPr>
              <w:t>12/12</w:t>
            </w:r>
            <w:r w:rsidRPr="00822C52">
              <w:rPr>
                <w:rFonts w:cs="Tahoma"/>
              </w:rPr>
              <w:t xml:space="preserve"> (</w:t>
            </w:r>
            <w:r>
              <w:rPr>
                <w:rFonts w:cs="Tahoma"/>
              </w:rPr>
              <w:t>100</w:t>
            </w:r>
            <w:r w:rsidRPr="00822C52">
              <w:rPr>
                <w:rFonts w:cs="Tahoma"/>
              </w:rPr>
              <w:t>%)</w:t>
            </w:r>
          </w:p>
          <w:p w:rsidR="0075777C" w:rsidRDefault="0075777C" w:rsidP="00C41039">
            <w:pPr>
              <w:pStyle w:val="Tabletext"/>
              <w:jc w:val="center"/>
              <w:rPr>
                <w:rFonts w:cs="Tahoma"/>
              </w:rPr>
            </w:pPr>
            <w:r>
              <w:rPr>
                <w:rFonts w:cs="Tahoma"/>
              </w:rPr>
              <w:t>2</w:t>
            </w:r>
            <w:r w:rsidRPr="00822C52">
              <w:rPr>
                <w:rFonts w:cs="Tahoma"/>
              </w:rPr>
              <w:t>/1</w:t>
            </w:r>
            <w:r>
              <w:rPr>
                <w:rFonts w:cs="Tahoma"/>
              </w:rPr>
              <w:t>2</w:t>
            </w:r>
            <w:r w:rsidRPr="00822C52">
              <w:rPr>
                <w:rFonts w:cs="Tahoma"/>
              </w:rPr>
              <w:t xml:space="preserve"> (</w:t>
            </w:r>
            <w:r>
              <w:rPr>
                <w:rFonts w:cs="Tahoma"/>
              </w:rPr>
              <w:t>17</w:t>
            </w:r>
            <w:r w:rsidRPr="00822C52">
              <w:rPr>
                <w:rFonts w:cs="Tahoma"/>
              </w:rPr>
              <w:t>%)</w:t>
            </w:r>
          </w:p>
          <w:p w:rsidR="0075777C" w:rsidRPr="00822C52" w:rsidRDefault="0075777C" w:rsidP="00C41039">
            <w:pPr>
              <w:pStyle w:val="Tabletext"/>
              <w:jc w:val="center"/>
              <w:rPr>
                <w:rFonts w:cs="Tahoma"/>
              </w:rPr>
            </w:pPr>
            <w:r>
              <w:rPr>
                <w:rFonts w:cs="Tahoma"/>
              </w:rPr>
              <w:t>1/12 (8%)</w:t>
            </w:r>
          </w:p>
        </w:tc>
        <w:tc>
          <w:tcPr>
            <w:tcW w:w="1701" w:type="dxa"/>
            <w:shd w:val="clear" w:color="auto" w:fill="auto"/>
          </w:tcPr>
          <w:p w:rsidR="0075777C" w:rsidRPr="00822C52" w:rsidRDefault="0075777C" w:rsidP="00C41039">
            <w:pPr>
              <w:pStyle w:val="Tabletext"/>
              <w:jc w:val="center"/>
              <w:rPr>
                <w:rFonts w:cs="Tahoma"/>
              </w:rPr>
            </w:pPr>
            <w:r>
              <w:rPr>
                <w:rFonts w:cs="Tahoma"/>
              </w:rPr>
              <w:t>4</w:t>
            </w:r>
            <w:r w:rsidRPr="00822C52">
              <w:rPr>
                <w:rFonts w:cs="Tahoma"/>
              </w:rPr>
              <w:t>/</w:t>
            </w:r>
            <w:r>
              <w:rPr>
                <w:rFonts w:cs="Tahoma"/>
              </w:rPr>
              <w:t>6</w:t>
            </w:r>
            <w:r w:rsidRPr="00822C52">
              <w:rPr>
                <w:rFonts w:cs="Tahoma"/>
              </w:rPr>
              <w:t xml:space="preserve"> (</w:t>
            </w:r>
            <w:r>
              <w:rPr>
                <w:rFonts w:cs="Tahoma"/>
              </w:rPr>
              <w:t>67</w:t>
            </w:r>
            <w:r w:rsidRPr="00822C52">
              <w:rPr>
                <w:rFonts w:cs="Tahoma"/>
              </w:rPr>
              <w:t>%)</w:t>
            </w:r>
          </w:p>
          <w:p w:rsidR="0075777C" w:rsidRDefault="0075777C" w:rsidP="00C41039">
            <w:pPr>
              <w:pStyle w:val="Tabletext"/>
              <w:jc w:val="center"/>
              <w:rPr>
                <w:rFonts w:cs="Tahoma"/>
              </w:rPr>
            </w:pPr>
            <w:r w:rsidRPr="00822C52">
              <w:rPr>
                <w:rFonts w:cs="Tahoma"/>
              </w:rPr>
              <w:t>0/</w:t>
            </w:r>
            <w:r>
              <w:rPr>
                <w:rFonts w:cs="Tahoma"/>
              </w:rPr>
              <w:t>6</w:t>
            </w:r>
            <w:r w:rsidRPr="00822C52">
              <w:rPr>
                <w:rFonts w:cs="Tahoma"/>
              </w:rPr>
              <w:t xml:space="preserve"> (0%)</w:t>
            </w:r>
          </w:p>
          <w:p w:rsidR="0075777C" w:rsidRPr="00822C52" w:rsidRDefault="0075777C" w:rsidP="00C41039">
            <w:pPr>
              <w:pStyle w:val="Tabletext"/>
              <w:jc w:val="center"/>
              <w:rPr>
                <w:rFonts w:cs="Tahoma"/>
              </w:rPr>
            </w:pPr>
            <w:r>
              <w:rPr>
                <w:rFonts w:cs="Tahoma"/>
              </w:rPr>
              <w:t>0/6 (0%)</w:t>
            </w:r>
          </w:p>
        </w:tc>
        <w:tc>
          <w:tcPr>
            <w:tcW w:w="1417" w:type="dxa"/>
          </w:tcPr>
          <w:p w:rsidR="0075777C" w:rsidRDefault="0075777C" w:rsidP="00C41039">
            <w:pPr>
              <w:pStyle w:val="Tabletext"/>
              <w:rPr>
                <w:rFonts w:cs="Tahoma"/>
              </w:rPr>
            </w:pPr>
            <w:r>
              <w:rPr>
                <w:rFonts w:cs="Tahoma"/>
              </w:rPr>
              <w:t>1.50 (0.85, 2.64)</w:t>
            </w:r>
          </w:p>
          <w:p w:rsidR="0075777C" w:rsidRDefault="0075777C" w:rsidP="00C41039">
            <w:pPr>
              <w:pStyle w:val="Tabletext"/>
              <w:rPr>
                <w:rFonts w:cs="Tahoma"/>
              </w:rPr>
            </w:pPr>
            <w:r>
              <w:rPr>
                <w:rFonts w:cs="Tahoma"/>
              </w:rPr>
              <w:t>Not calculable</w:t>
            </w:r>
          </w:p>
          <w:p w:rsidR="0075777C" w:rsidRPr="00822C52" w:rsidRDefault="0075777C" w:rsidP="00C41039">
            <w:pPr>
              <w:pStyle w:val="Tabletext"/>
              <w:rPr>
                <w:rFonts w:cs="Tahoma"/>
              </w:rPr>
            </w:pPr>
            <w:r w:rsidRPr="00DD20F8">
              <w:rPr>
                <w:rFonts w:cs="Tahoma"/>
              </w:rPr>
              <w:t>Not calculable</w:t>
            </w:r>
          </w:p>
        </w:tc>
      </w:tr>
    </w:tbl>
    <w:p w:rsidR="008E565E" w:rsidRDefault="0075777C" w:rsidP="00C41039">
      <w:pPr>
        <w:pStyle w:val="Tablenote"/>
      </w:pPr>
      <w:r w:rsidRPr="00822C52">
        <w:t xml:space="preserve">AE = adverse event; CI = confidence interval; n = number of events; N = number of patients; PAH = pulmonary arterial hypertension; </w:t>
      </w:r>
      <w:r w:rsidR="008E565E" w:rsidRPr="00DC16A3">
        <w:t xml:space="preserve">PDE-5 = phosphodiesterase type-5; </w:t>
      </w:r>
      <w:r w:rsidRPr="00822C52">
        <w:t xml:space="preserve">RR = relative risk; </w:t>
      </w:r>
      <w:r w:rsidR="009B47AA" w:rsidRPr="009B47AA">
        <w:t>sGC = soluble guanylate</w:t>
      </w:r>
      <w:r w:rsidR="009B47AA">
        <w:t xml:space="preserve"> cyclase </w:t>
      </w:r>
    </w:p>
    <w:p w:rsidR="0075777C" w:rsidRPr="00822C52" w:rsidRDefault="00761752" w:rsidP="0075777C">
      <w:pPr>
        <w:pStyle w:val="Heading4"/>
      </w:pPr>
      <w:r>
        <w:t>4.4.3.</w:t>
      </w:r>
      <w:r w:rsidR="00441F08">
        <w:t>8</w:t>
      </w:r>
      <w:r>
        <w:tab/>
      </w:r>
      <w:proofErr w:type="gramStart"/>
      <w:r w:rsidR="0075777C">
        <w:t>sGC</w:t>
      </w:r>
      <w:proofErr w:type="gramEnd"/>
      <w:r w:rsidR="0075777C">
        <w:t xml:space="preserve"> stimulator</w:t>
      </w:r>
      <w:r w:rsidR="0075777C" w:rsidRPr="00822C52">
        <w:t xml:space="preserve"> in addition to prostanoid</w:t>
      </w:r>
    </w:p>
    <w:p w:rsidR="0075777C" w:rsidRDefault="0075777C" w:rsidP="0075777C">
      <w:r w:rsidRPr="00326FE2">
        <w:t>The PATENT-1</w:t>
      </w:r>
      <w:r w:rsidR="001D34EE" w:rsidRPr="001D34EE">
        <w:rPr>
          <w:noProof/>
          <w:vertAlign w:val="superscript"/>
        </w:rPr>
        <w:t>23</w:t>
      </w:r>
      <w:r w:rsidRPr="00326FE2">
        <w:t xml:space="preserve"> double-blind trial, with a low-to-moderate risk of bias, reported on the effectiveness of a sGC stimulator </w:t>
      </w:r>
      <w:r>
        <w:t xml:space="preserve">plus a </w:t>
      </w:r>
      <w:r w:rsidR="00761752">
        <w:t>prostanoid</w:t>
      </w:r>
      <w:r>
        <w:t xml:space="preserve"> </w:t>
      </w:r>
      <w:r w:rsidRPr="00326FE2">
        <w:t>in treating PAH compared with placebo</w:t>
      </w:r>
      <w:r>
        <w:t xml:space="preserve"> plus </w:t>
      </w:r>
      <w:r w:rsidR="00761752">
        <w:t>prostanoid</w:t>
      </w:r>
      <w:r w:rsidRPr="00326FE2">
        <w:t xml:space="preserve"> in patients with PAH. </w:t>
      </w:r>
      <w:proofErr w:type="gramStart"/>
      <w:r w:rsidRPr="00326FE2">
        <w:t>PAH</w:t>
      </w:r>
      <w:proofErr w:type="gramEnd"/>
      <w:r w:rsidRPr="00326FE2">
        <w:t xml:space="preserve"> patients of </w:t>
      </w:r>
      <w:r w:rsidRPr="00157F57">
        <w:t>any</w:t>
      </w:r>
      <w:r w:rsidRPr="00326FE2">
        <w:t xml:space="preserve"> WHO FC</w:t>
      </w:r>
      <w:r w:rsidRPr="00A31E5D">
        <w:t xml:space="preserve"> </w:t>
      </w:r>
      <w:r>
        <w:t xml:space="preserve">with or without background ERA </w:t>
      </w:r>
      <w:r w:rsidRPr="00326FE2">
        <w:t xml:space="preserve">or </w:t>
      </w:r>
      <w:r w:rsidR="00761752" w:rsidRPr="00326FE2">
        <w:t>prostanoid</w:t>
      </w:r>
      <w:r w:rsidRPr="00326FE2">
        <w:t xml:space="preserve"> </w:t>
      </w:r>
      <w:r>
        <w:t>therapy were</w:t>
      </w:r>
      <w:r w:rsidRPr="00326FE2">
        <w:t xml:space="preserve"> randomised to receive riociguat or placebo for 12 weeks. </w:t>
      </w:r>
      <w:r>
        <w:t>However, only</w:t>
      </w:r>
      <w:r w:rsidRPr="00326FE2">
        <w:t xml:space="preserve"> 6% </w:t>
      </w:r>
      <w:r>
        <w:t xml:space="preserve">of enrolled patients were receiving background </w:t>
      </w:r>
      <w:r w:rsidRPr="00326FE2">
        <w:t>prostanoid</w:t>
      </w:r>
      <w:r>
        <w:t xml:space="preserve"> therapy</w:t>
      </w:r>
      <w:r w:rsidRPr="00326FE2">
        <w:t xml:space="preserve"> (primarily inhaled iloprost) at baseline. </w:t>
      </w:r>
      <w:proofErr w:type="gramStart"/>
      <w:r>
        <w:t>Thus</w:t>
      </w:r>
      <w:proofErr w:type="gramEnd"/>
      <w:r>
        <w:t xml:space="preserve"> this subgroup was very small, involving only 27 patients. </w:t>
      </w:r>
      <w:r w:rsidRPr="00A31E5D">
        <w:t>The</w:t>
      </w:r>
      <w:r>
        <w:t>re were some</w:t>
      </w:r>
      <w:r w:rsidRPr="00A31E5D">
        <w:t xml:space="preserve"> imbalances </w:t>
      </w:r>
      <w:r>
        <w:t>in the baseline characteristics, which is</w:t>
      </w:r>
      <w:r w:rsidRPr="00A31E5D">
        <w:t xml:space="preserve"> not surprising considering the small sample size of the study.</w:t>
      </w:r>
      <w:r w:rsidRPr="00971AFC">
        <w:t xml:space="preserve"> </w:t>
      </w:r>
      <w:r w:rsidRPr="00A31E5D">
        <w:t xml:space="preserve">The combination therapy group had a greater proportion of </w:t>
      </w:r>
      <w:r>
        <w:t xml:space="preserve">female </w:t>
      </w:r>
      <w:r w:rsidRPr="00A31E5D">
        <w:t>patients (5/12, 42% v</w:t>
      </w:r>
      <w:r w:rsidR="0095089E">
        <w:t>ersu</w:t>
      </w:r>
      <w:r w:rsidRPr="00A31E5D">
        <w:t>s 1/6, 17%)</w:t>
      </w:r>
      <w:r>
        <w:t xml:space="preserve"> and </w:t>
      </w:r>
      <w:r w:rsidRPr="00A31E5D">
        <w:t>patients with WHO FC I (</w:t>
      </w:r>
      <w:r>
        <w:t>2</w:t>
      </w:r>
      <w:r w:rsidRPr="00A31E5D">
        <w:t xml:space="preserve">/20, </w:t>
      </w:r>
      <w:r>
        <w:t>10% v</w:t>
      </w:r>
      <w:r w:rsidR="0095089E">
        <w:t>ersu</w:t>
      </w:r>
      <w:r>
        <w:t>s 0</w:t>
      </w:r>
      <w:r w:rsidRPr="00A31E5D">
        <w:t xml:space="preserve">/7, </w:t>
      </w:r>
      <w:r>
        <w:t>0</w:t>
      </w:r>
      <w:r w:rsidRPr="00A31E5D">
        <w:t>%), and a smaller proportion of patients with WHO FC II</w:t>
      </w:r>
      <w:r>
        <w:t>I</w:t>
      </w:r>
      <w:r w:rsidRPr="00A31E5D">
        <w:t xml:space="preserve"> (</w:t>
      </w:r>
      <w:r>
        <w:t>12</w:t>
      </w:r>
      <w:r w:rsidRPr="00A31E5D">
        <w:t>/2</w:t>
      </w:r>
      <w:r>
        <w:t>0</w:t>
      </w:r>
      <w:r w:rsidRPr="00A31E5D">
        <w:t xml:space="preserve">, </w:t>
      </w:r>
      <w:r>
        <w:t>60</w:t>
      </w:r>
      <w:r w:rsidRPr="00A31E5D">
        <w:t>% v</w:t>
      </w:r>
      <w:r w:rsidR="0095089E">
        <w:t>ersu</w:t>
      </w:r>
      <w:r w:rsidRPr="00A31E5D">
        <w:t xml:space="preserve">s </w:t>
      </w:r>
      <w:r>
        <w:t>5</w:t>
      </w:r>
      <w:r w:rsidRPr="00A31E5D">
        <w:t>/</w:t>
      </w:r>
      <w:r>
        <w:t>7</w:t>
      </w:r>
      <w:r w:rsidRPr="00A31E5D">
        <w:t>, 7</w:t>
      </w:r>
      <w:r>
        <w:t>1</w:t>
      </w:r>
      <w:r w:rsidRPr="00A31E5D">
        <w:t xml:space="preserve">%). </w:t>
      </w:r>
      <w:r>
        <w:t>Outcome d</w:t>
      </w:r>
      <w:r w:rsidRPr="00A31E5D">
        <w:t xml:space="preserve">ata was reported for all PAH patients who had background </w:t>
      </w:r>
      <w:r>
        <w:t>prostanoid</w:t>
      </w:r>
      <w:r w:rsidRPr="00A31E5D">
        <w:t xml:space="preserve"> treatment in the CSR</w:t>
      </w:r>
      <w:r w:rsidRPr="00326FE2">
        <w:t xml:space="preserve"> (highlighted in green below).</w:t>
      </w:r>
    </w:p>
    <w:p w:rsidR="0075777C" w:rsidRDefault="002E4833" w:rsidP="0075777C">
      <w:pPr>
        <w:pStyle w:val="Heading5"/>
      </w:pPr>
      <w:r>
        <w:t>a.</w:t>
      </w:r>
      <w:r w:rsidR="00761752">
        <w:tab/>
      </w:r>
      <w:r w:rsidR="0075777C" w:rsidRPr="00822C52">
        <w:t>Study-defined clinical worsening</w:t>
      </w:r>
    </w:p>
    <w:p w:rsidR="0075777C" w:rsidRPr="00F34C0F" w:rsidRDefault="0075777C" w:rsidP="0075777C">
      <w:r>
        <w:t>In the PATENT-1 study, cl</w:t>
      </w:r>
      <w:r w:rsidRPr="00F34C0F">
        <w:t xml:space="preserve">inical worsening was defined as </w:t>
      </w:r>
      <w:r>
        <w:t xml:space="preserve">all-cause mortality, heart/lung transplantation, atrial septostomy, modification of a pre-existing PAH treatment (ERA, </w:t>
      </w:r>
      <w:r w:rsidR="00761752">
        <w:t>prostanoid</w:t>
      </w:r>
      <w:r>
        <w:t xml:space="preserve"> or PDE-5 inhibitor), or hospitali</w:t>
      </w:r>
      <w:r w:rsidR="00C87EC4">
        <w:t>s</w:t>
      </w:r>
      <w:r>
        <w:t>ation persistent decrease in 6MWD or persistent worsening of WHO FC due to worsening of PAH.</w:t>
      </w:r>
    </w:p>
    <w:p w:rsidR="0075777C" w:rsidRPr="00822C52" w:rsidRDefault="002E4833" w:rsidP="0077344D">
      <w:pPr>
        <w:pStyle w:val="Heading6"/>
      </w:pPr>
      <w:proofErr w:type="gramStart"/>
      <w:r>
        <w:t>a</w:t>
      </w:r>
      <w:r w:rsidR="0075777C" w:rsidRPr="00822C52">
        <w:t>.i</w:t>
      </w:r>
      <w:proofErr w:type="gramEnd"/>
      <w:r w:rsidR="0075777C" w:rsidRPr="00822C52">
        <w:tab/>
        <w:t>PAH patients, irrespective of disease severity or aetiology</w:t>
      </w:r>
    </w:p>
    <w:p w:rsidR="002301D9" w:rsidRPr="00F05153" w:rsidRDefault="002046A0" w:rsidP="0075777C">
      <w:r>
        <w:rPr>
          <w:noProof/>
          <w:color w:val="000000"/>
          <w:highlight w:val="black"/>
        </w:rPr>
        <w:t>''''''''' ''''''' '''''''''''''</w:t>
      </w:r>
      <w:r w:rsidR="0075777C" w:rsidRPr="00F05153">
        <w:t xml:space="preserve"> receiving </w:t>
      </w:r>
      <w:r w:rsidR="00761752" w:rsidRPr="00F05153">
        <w:t>prostanoid</w:t>
      </w:r>
      <w:r w:rsidR="0075777C" w:rsidRPr="00F05153">
        <w:t xml:space="preserve"> monotherapy experienced a clinical worsening event, </w:t>
      </w:r>
      <w:r>
        <w:rPr>
          <w:noProof/>
          <w:color w:val="000000"/>
          <w:highlight w:val="black"/>
        </w:rPr>
        <w:t>'''' ''''''</w:t>
      </w:r>
      <w:r w:rsidR="0075777C" w:rsidRPr="00F05153">
        <w:t xml:space="preserve"> </w:t>
      </w:r>
      <w:r>
        <w:rPr>
          <w:noProof/>
          <w:color w:val="000000"/>
          <w:highlight w:val="black"/>
        </w:rPr>
        <w:t>''''' '''''''''' ''''''' ''''' '''''''''''''''''</w:t>
      </w:r>
      <w:r w:rsidR="0075777C" w:rsidRPr="00F05153">
        <w:t xml:space="preserve"> (</w:t>
      </w:r>
      <w:r w:rsidR="003951FA" w:rsidRPr="00F05153">
        <w:t>Table 4.</w:t>
      </w:r>
      <w:r w:rsidR="003951FA">
        <w:t>104</w:t>
      </w:r>
      <w:r w:rsidR="0075777C" w:rsidRPr="00F05153">
        <w:t xml:space="preserve">; </w:t>
      </w:r>
      <w:r w:rsidR="00B21201" w:rsidRPr="00F05153">
        <w:t>ARD</w:t>
      </w:r>
      <w:r w:rsidR="00DB6ACB" w:rsidRPr="00F05153">
        <w:t> </w:t>
      </w:r>
      <w:r>
        <w:rPr>
          <w:noProof/>
          <w:color w:val="000000"/>
          <w:highlight w:val="black"/>
        </w:rPr>
        <w:t>'''''''''''''''''' '''''''' '''' '''''''''''' '''''''''' ''''''''''''''''''''</w:t>
      </w:r>
      <w:r w:rsidR="0075777C" w:rsidRPr="00F05153">
        <w:t xml:space="preserve"> The NNT (inverse of </w:t>
      </w:r>
      <w:r w:rsidR="00B21201" w:rsidRPr="00F05153">
        <w:t>ARD</w:t>
      </w:r>
      <w:r w:rsidR="0075777C" w:rsidRPr="00F05153">
        <w:t xml:space="preserve">) indicates that </w:t>
      </w:r>
      <w:r>
        <w:rPr>
          <w:noProof/>
          <w:color w:val="000000"/>
          <w:highlight w:val="black"/>
        </w:rPr>
        <w:t xml:space="preserve">'''''''''''' </w:t>
      </w:r>
      <w:r w:rsidR="0075777C" w:rsidRPr="00F05153">
        <w:t>patients need to be treated with sGC stimulator plus prostanoid combination therapy to prevent one additional patient experiencing clinical worsening compared with prostanoid monotherapy.</w:t>
      </w:r>
    </w:p>
    <w:p w:rsidR="0075777C" w:rsidRPr="00F05153" w:rsidRDefault="00272F8F" w:rsidP="00BC5A2B">
      <w:pPr>
        <w:pStyle w:val="Caption"/>
      </w:pPr>
      <w:bookmarkStart w:id="301" w:name="_Ref505082468"/>
      <w:bookmarkStart w:id="302" w:name="_Toc38360401"/>
      <w:r w:rsidRPr="00F05153">
        <w:t>Table 4.</w:t>
      </w:r>
      <w:r w:rsidR="003951FA">
        <w:rPr>
          <w:noProof/>
        </w:rPr>
        <w:t>104</w:t>
      </w:r>
      <w:bookmarkEnd w:id="301"/>
      <w:r w:rsidR="00C41039" w:rsidRPr="00F05153">
        <w:tab/>
      </w:r>
      <w:r w:rsidR="0075777C" w:rsidRPr="00F05153">
        <w:rPr>
          <w:noProof/>
        </w:rPr>
        <w:t xml:space="preserve">The effectiveness of </w:t>
      </w:r>
      <w:r w:rsidR="00AA08D3" w:rsidRPr="00F05153">
        <w:rPr>
          <w:noProof/>
        </w:rPr>
        <w:t xml:space="preserve">a sGC stimulator </w:t>
      </w:r>
      <w:r w:rsidR="007E59EC" w:rsidRPr="00F05153">
        <w:rPr>
          <w:noProof/>
        </w:rPr>
        <w:t xml:space="preserve">in addition to </w:t>
      </w:r>
      <w:r w:rsidR="00AA08D3" w:rsidRPr="00F05153">
        <w:rPr>
          <w:noProof/>
        </w:rPr>
        <w:t xml:space="preserve">a </w:t>
      </w:r>
      <w:r w:rsidR="0075777C" w:rsidRPr="00F05153">
        <w:rPr>
          <w:noProof/>
        </w:rPr>
        <w:t xml:space="preserve">prostanoid compared with prostanoid </w:t>
      </w:r>
      <w:r w:rsidR="007E59EC" w:rsidRPr="00F05153">
        <w:rPr>
          <w:noProof/>
        </w:rPr>
        <w:t xml:space="preserve">monotherapy </w:t>
      </w:r>
      <w:r w:rsidR="0075777C" w:rsidRPr="00F05153">
        <w:rPr>
          <w:noProof/>
        </w:rPr>
        <w:t>in preventing clinical worsening in all PAH patients</w:t>
      </w:r>
      <w:bookmarkEnd w:id="302"/>
    </w:p>
    <w:tbl>
      <w:tblPr>
        <w:tblStyle w:val="TableGrid7"/>
        <w:tblW w:w="9634" w:type="dxa"/>
        <w:tblLayout w:type="fixed"/>
        <w:tblLook w:val="04A0" w:firstRow="1" w:lastRow="0" w:firstColumn="1" w:lastColumn="0" w:noHBand="0" w:noVBand="1"/>
        <w:tblCaption w:val="The effectiveness of a sGC stimulator in addition to a prostanoid compared with prostanoid monotherapy in preventing clinical worsening in all PAH patients"/>
      </w:tblPr>
      <w:tblGrid>
        <w:gridCol w:w="1555"/>
        <w:gridCol w:w="1417"/>
        <w:gridCol w:w="2339"/>
        <w:gridCol w:w="2339"/>
        <w:gridCol w:w="1984"/>
      </w:tblGrid>
      <w:tr w:rsidR="0075777C" w:rsidRPr="00F05153" w:rsidTr="00AA08D3">
        <w:trPr>
          <w:trHeight w:val="228"/>
          <w:tblHeader/>
        </w:trPr>
        <w:tc>
          <w:tcPr>
            <w:tcW w:w="1555" w:type="dxa"/>
            <w:vMerge w:val="restart"/>
            <w:shd w:val="clear" w:color="auto" w:fill="BFBFBF" w:themeFill="background1" w:themeFillShade="BF"/>
          </w:tcPr>
          <w:p w:rsidR="0075777C" w:rsidRPr="00F05153" w:rsidRDefault="0075777C" w:rsidP="00C41039">
            <w:pPr>
              <w:pStyle w:val="Tabletext"/>
              <w:rPr>
                <w:b/>
              </w:rPr>
            </w:pPr>
            <w:r w:rsidRPr="00F05153">
              <w:rPr>
                <w:b/>
              </w:rPr>
              <w:t>Study ID</w:t>
            </w:r>
          </w:p>
          <w:p w:rsidR="00AA08D3" w:rsidRPr="00F05153" w:rsidRDefault="00AA08D3" w:rsidP="00AA08D3">
            <w:pPr>
              <w:pStyle w:val="Tabletext"/>
              <w:rPr>
                <w:b/>
              </w:rPr>
            </w:pPr>
            <w:r w:rsidRPr="00F05153">
              <w:rPr>
                <w:b/>
              </w:rPr>
              <w:t>sGC stimulator</w:t>
            </w:r>
          </w:p>
        </w:tc>
        <w:tc>
          <w:tcPr>
            <w:tcW w:w="1417" w:type="dxa"/>
            <w:vMerge w:val="restart"/>
            <w:shd w:val="clear" w:color="auto" w:fill="BFBFBF" w:themeFill="background1" w:themeFillShade="BF"/>
          </w:tcPr>
          <w:p w:rsidR="0075777C" w:rsidRPr="00F05153" w:rsidRDefault="0075777C" w:rsidP="00C41039">
            <w:pPr>
              <w:pStyle w:val="Tabletext"/>
              <w:rPr>
                <w:b/>
              </w:rPr>
            </w:pPr>
            <w:r w:rsidRPr="00F05153">
              <w:rPr>
                <w:b/>
              </w:rPr>
              <w:t>Study period</w:t>
            </w:r>
          </w:p>
        </w:tc>
        <w:tc>
          <w:tcPr>
            <w:tcW w:w="4678" w:type="dxa"/>
            <w:gridSpan w:val="2"/>
            <w:shd w:val="clear" w:color="auto" w:fill="BFBFBF" w:themeFill="background1" w:themeFillShade="BF"/>
          </w:tcPr>
          <w:p w:rsidR="0075777C" w:rsidRPr="00F05153" w:rsidRDefault="0075777C" w:rsidP="00C41039">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75777C" w:rsidRPr="00F05153" w:rsidRDefault="0075777C" w:rsidP="00C41039">
            <w:pPr>
              <w:pStyle w:val="Tabletext"/>
              <w:rPr>
                <w:b/>
              </w:rPr>
            </w:pPr>
            <w:r w:rsidRPr="00F05153">
              <w:rPr>
                <w:b/>
              </w:rPr>
              <w:t>RR (95% CI)</w:t>
            </w:r>
          </w:p>
        </w:tc>
      </w:tr>
      <w:tr w:rsidR="0075777C" w:rsidRPr="00F05153" w:rsidTr="00AA08D3">
        <w:trPr>
          <w:trHeight w:val="202"/>
          <w:tblHeader/>
        </w:trPr>
        <w:tc>
          <w:tcPr>
            <w:tcW w:w="1555" w:type="dxa"/>
            <w:vMerge/>
            <w:shd w:val="clear" w:color="auto" w:fill="BFBFBF" w:themeFill="background1" w:themeFillShade="BF"/>
          </w:tcPr>
          <w:p w:rsidR="0075777C" w:rsidRPr="00F05153" w:rsidRDefault="0075777C" w:rsidP="00C41039">
            <w:pPr>
              <w:pStyle w:val="Tabletext"/>
            </w:pPr>
          </w:p>
        </w:tc>
        <w:tc>
          <w:tcPr>
            <w:tcW w:w="1417" w:type="dxa"/>
            <w:vMerge/>
            <w:shd w:val="clear" w:color="auto" w:fill="BFBFBF" w:themeFill="background1" w:themeFillShade="BF"/>
          </w:tcPr>
          <w:p w:rsidR="0075777C" w:rsidRPr="00F05153" w:rsidRDefault="0075777C" w:rsidP="00C41039">
            <w:pPr>
              <w:pStyle w:val="Tabletext"/>
            </w:pPr>
          </w:p>
        </w:tc>
        <w:tc>
          <w:tcPr>
            <w:tcW w:w="2339" w:type="dxa"/>
            <w:shd w:val="clear" w:color="auto" w:fill="BFBFBF" w:themeFill="background1" w:themeFillShade="BF"/>
          </w:tcPr>
          <w:p w:rsidR="0075777C" w:rsidRPr="00F05153" w:rsidRDefault="00AA08D3" w:rsidP="00C41039">
            <w:pPr>
              <w:pStyle w:val="Tabletext"/>
              <w:jc w:val="center"/>
              <w:rPr>
                <w:b/>
              </w:rPr>
            </w:pPr>
            <w:r w:rsidRPr="00F05153">
              <w:rPr>
                <w:b/>
              </w:rPr>
              <w:t xml:space="preserve">sGC stimulator </w:t>
            </w:r>
            <w:r w:rsidR="0075777C" w:rsidRPr="00F05153">
              <w:rPr>
                <w:b/>
              </w:rPr>
              <w:t>+ prostanoid</w:t>
            </w:r>
          </w:p>
        </w:tc>
        <w:tc>
          <w:tcPr>
            <w:tcW w:w="2339" w:type="dxa"/>
            <w:shd w:val="clear" w:color="auto" w:fill="BFBFBF" w:themeFill="background1" w:themeFillShade="BF"/>
          </w:tcPr>
          <w:p w:rsidR="0075777C" w:rsidRPr="00F05153" w:rsidRDefault="00534ADA" w:rsidP="00534ADA">
            <w:pPr>
              <w:pStyle w:val="Tabletext"/>
              <w:jc w:val="center"/>
              <w:rPr>
                <w:b/>
              </w:rPr>
            </w:pPr>
            <w:r w:rsidRPr="00F05153">
              <w:rPr>
                <w:b/>
              </w:rPr>
              <w:t>P</w:t>
            </w:r>
            <w:r w:rsidR="0075777C" w:rsidRPr="00F05153">
              <w:rPr>
                <w:b/>
              </w:rPr>
              <w:t>rostanoid</w:t>
            </w:r>
          </w:p>
        </w:tc>
        <w:tc>
          <w:tcPr>
            <w:tcW w:w="1984" w:type="dxa"/>
            <w:vMerge/>
            <w:shd w:val="clear" w:color="auto" w:fill="BFBFBF" w:themeFill="background1" w:themeFillShade="BF"/>
          </w:tcPr>
          <w:p w:rsidR="0075777C" w:rsidRPr="00F05153" w:rsidRDefault="0075777C" w:rsidP="00C41039">
            <w:pPr>
              <w:pStyle w:val="Tabletext"/>
            </w:pPr>
          </w:p>
        </w:tc>
      </w:tr>
      <w:tr w:rsidR="0075777C" w:rsidRPr="00F05153" w:rsidTr="00AA08D3">
        <w:trPr>
          <w:trHeight w:val="70"/>
        </w:trPr>
        <w:tc>
          <w:tcPr>
            <w:tcW w:w="1555" w:type="dxa"/>
            <w:shd w:val="clear" w:color="auto" w:fill="auto"/>
          </w:tcPr>
          <w:p w:rsidR="0075777C" w:rsidRPr="00F05153" w:rsidRDefault="0075777C" w:rsidP="00C41039">
            <w:pPr>
              <w:pStyle w:val="Tabletext"/>
              <w:rPr>
                <w:rFonts w:cs="Tahoma"/>
              </w:rPr>
            </w:pPr>
            <w:r w:rsidRPr="00F05153">
              <w:rPr>
                <w:rFonts w:cs="Tahoma"/>
              </w:rPr>
              <w:t>PATENT-1 CSR</w:t>
            </w:r>
          </w:p>
          <w:p w:rsidR="00AA08D3" w:rsidRPr="00F05153" w:rsidRDefault="00AA08D3" w:rsidP="00C41039">
            <w:pPr>
              <w:pStyle w:val="Tabletext"/>
              <w:rPr>
                <w:rFonts w:cs="Tahoma"/>
              </w:rPr>
            </w:pPr>
            <w:r w:rsidRPr="00F05153">
              <w:t>Riociguat</w:t>
            </w:r>
          </w:p>
        </w:tc>
        <w:tc>
          <w:tcPr>
            <w:tcW w:w="1417" w:type="dxa"/>
            <w:shd w:val="clear" w:color="auto" w:fill="auto"/>
          </w:tcPr>
          <w:p w:rsidR="0075777C" w:rsidRPr="00F05153" w:rsidRDefault="0075777C" w:rsidP="00C41039">
            <w:pPr>
              <w:pStyle w:val="Tabletext"/>
              <w:rPr>
                <w:rFonts w:cs="Tahoma"/>
              </w:rPr>
            </w:pPr>
            <w:r w:rsidRPr="00F05153">
              <w:rPr>
                <w:rFonts w:cs="Tahoma"/>
              </w:rPr>
              <w:t>12 weeks</w:t>
            </w:r>
          </w:p>
        </w:tc>
        <w:tc>
          <w:tcPr>
            <w:tcW w:w="2339" w:type="dxa"/>
            <w:shd w:val="clear" w:color="auto" w:fill="auto"/>
          </w:tcPr>
          <w:p w:rsidR="0075777C" w:rsidRPr="002046A0" w:rsidRDefault="002046A0" w:rsidP="00C41039">
            <w:pPr>
              <w:pStyle w:val="Tabletext"/>
              <w:jc w:val="center"/>
              <w:rPr>
                <w:rFonts w:cs="Tahoma"/>
                <w:highlight w:val="black"/>
              </w:rPr>
            </w:pPr>
            <w:r>
              <w:rPr>
                <w:rFonts w:eastAsia="Times New Roman" w:cs="Tahoma"/>
                <w:noProof/>
                <w:color w:val="000000"/>
                <w:highlight w:val="black"/>
              </w:rPr>
              <w:t>''''''''' ''''''''''''</w:t>
            </w:r>
          </w:p>
        </w:tc>
        <w:tc>
          <w:tcPr>
            <w:tcW w:w="2339" w:type="dxa"/>
            <w:shd w:val="clear" w:color="auto" w:fill="auto"/>
          </w:tcPr>
          <w:p w:rsidR="0075777C" w:rsidRPr="002046A0" w:rsidRDefault="002046A0" w:rsidP="00C41039">
            <w:pPr>
              <w:pStyle w:val="Tabletext"/>
              <w:jc w:val="center"/>
              <w:rPr>
                <w:rFonts w:cs="Tahoma"/>
                <w:highlight w:val="black"/>
              </w:rPr>
            </w:pPr>
            <w:r>
              <w:rPr>
                <w:rFonts w:eastAsia="Times New Roman" w:cs="Tahoma"/>
                <w:noProof/>
                <w:color w:val="000000"/>
                <w:highlight w:val="black"/>
              </w:rPr>
              <w:t>'''''''' ''''''''''''''''</w:t>
            </w:r>
          </w:p>
        </w:tc>
        <w:tc>
          <w:tcPr>
            <w:tcW w:w="1984" w:type="dxa"/>
            <w:shd w:val="clear" w:color="auto" w:fill="auto"/>
          </w:tcPr>
          <w:p w:rsidR="0075777C" w:rsidRPr="00F05153" w:rsidRDefault="002046A0" w:rsidP="00C41039">
            <w:pPr>
              <w:pStyle w:val="Tabletext"/>
              <w:rPr>
                <w:rFonts w:cs="Tahoma"/>
              </w:rPr>
            </w:pPr>
            <w:r>
              <w:rPr>
                <w:rFonts w:cs="Tahoma"/>
                <w:noProof/>
                <w:color w:val="000000"/>
                <w:highlight w:val="black"/>
              </w:rPr>
              <w:t>'''' ''''''''' ''''''''''''''''''''''''''</w:t>
            </w:r>
            <w:r w:rsidR="0075777C" w:rsidRPr="00F05153">
              <w:rPr>
                <w:rFonts w:cs="Tahoma"/>
              </w:rPr>
              <w:t>)</w:t>
            </w:r>
          </w:p>
        </w:tc>
      </w:tr>
    </w:tbl>
    <w:p w:rsidR="0075777C" w:rsidRPr="00F05153" w:rsidRDefault="0075777C" w:rsidP="00C41039">
      <w:pPr>
        <w:pStyle w:val="Tablenote"/>
      </w:pPr>
      <w:r w:rsidRPr="00F05153">
        <w:t xml:space="preserve">CI = confidence interval; </w:t>
      </w:r>
      <w:r w:rsidR="008E565E" w:rsidRPr="00F05153">
        <w:t xml:space="preserve">CSR = clinical study report; </w:t>
      </w:r>
      <w:r w:rsidRPr="00F05153">
        <w:t xml:space="preserve">n = number of </w:t>
      </w:r>
      <w:r w:rsidR="008E565E" w:rsidRPr="00F05153">
        <w:t xml:space="preserve">patients with </w:t>
      </w:r>
      <w:r w:rsidRPr="00F05153">
        <w:t>events; N = number of patients; PAH = pulmonary arterial hypertension; RR = relative risk</w:t>
      </w:r>
      <w:r w:rsidR="009B47AA" w:rsidRPr="00F05153">
        <w:t>; sGC = solub</w:t>
      </w:r>
      <w:r w:rsidR="00074B5F" w:rsidRPr="00F05153">
        <w:t xml:space="preserve">le guanylate cyclase </w:t>
      </w:r>
    </w:p>
    <w:p w:rsidR="0075777C" w:rsidRPr="00F05153" w:rsidRDefault="002E4833" w:rsidP="0075777C">
      <w:pPr>
        <w:pStyle w:val="Heading5"/>
      </w:pPr>
      <w:r w:rsidRPr="00F05153">
        <w:t>b.</w:t>
      </w:r>
      <w:r w:rsidR="00761752" w:rsidRPr="00F05153">
        <w:tab/>
      </w:r>
      <w:r w:rsidR="00C828F9" w:rsidRPr="00F05153">
        <w:t>All-cause mortality</w:t>
      </w:r>
    </w:p>
    <w:p w:rsidR="0075777C" w:rsidRPr="00F05153" w:rsidRDefault="002E4833" w:rsidP="00A839C6">
      <w:pPr>
        <w:pStyle w:val="Heading6"/>
      </w:pPr>
      <w:proofErr w:type="gramStart"/>
      <w:r w:rsidRPr="00F05153">
        <w:t>b</w:t>
      </w:r>
      <w:r w:rsidR="0075777C" w:rsidRPr="00F05153">
        <w:t>.i</w:t>
      </w:r>
      <w:proofErr w:type="gramEnd"/>
      <w:r w:rsidR="0075777C" w:rsidRPr="00F05153">
        <w:tab/>
        <w:t>PAH patients, irrespective of disease severity or aetiology</w:t>
      </w:r>
    </w:p>
    <w:p w:rsidR="0075777C" w:rsidRPr="00F05153" w:rsidRDefault="002046A0" w:rsidP="00A839C6">
      <w:r>
        <w:rPr>
          <w:noProof/>
          <w:color w:val="000000"/>
          <w:highlight w:val="black"/>
        </w:rPr>
        <w:t>'''''''''' ''''''' ''''''''''''</w:t>
      </w:r>
      <w:r w:rsidR="0075777C" w:rsidRPr="00F05153">
        <w:t xml:space="preserve"> receiving </w:t>
      </w:r>
      <w:r w:rsidR="00761752" w:rsidRPr="00F05153">
        <w:t>prostanoid</w:t>
      </w:r>
      <w:r w:rsidR="0075777C" w:rsidRPr="00F05153">
        <w:t xml:space="preserve"> monotherapy died during the study period, </w:t>
      </w:r>
      <w:r>
        <w:rPr>
          <w:noProof/>
          <w:color w:val="000000"/>
          <w:highlight w:val="black"/>
        </w:rPr>
        <w:t>''''' '''''' '''''' '''''''''''</w:t>
      </w:r>
      <w:r w:rsidR="0075777C" w:rsidRPr="00F05153">
        <w:t xml:space="preserve"> </w:t>
      </w:r>
      <w:r>
        <w:rPr>
          <w:noProof/>
          <w:color w:val="000000"/>
          <w:highlight w:val="black"/>
        </w:rPr>
        <w:t>'''''' ''''' ''''''''''''''''''</w:t>
      </w:r>
      <w:r w:rsidR="0075777C" w:rsidRPr="00F05153">
        <w:t xml:space="preserve"> (</w:t>
      </w:r>
      <w:r w:rsidR="003951FA" w:rsidRPr="00F05153">
        <w:t>Table 4.</w:t>
      </w:r>
      <w:r w:rsidR="003951FA">
        <w:t>105</w:t>
      </w:r>
      <w:r w:rsidR="0075777C" w:rsidRPr="00F05153">
        <w:t xml:space="preserve">; </w:t>
      </w:r>
      <w:r w:rsidR="00B21201" w:rsidRPr="00F05153">
        <w:t>ARD</w:t>
      </w:r>
      <w:r w:rsidR="00DB6ACB" w:rsidRPr="00F05153">
        <w:t> </w:t>
      </w:r>
      <w:r>
        <w:rPr>
          <w:noProof/>
          <w:color w:val="000000"/>
          <w:highlight w:val="black"/>
        </w:rPr>
        <w:t>''''''''''''''''' '''''''' '''' ''''''''''''' '''''''''' ''''''''''''''''''''</w:t>
      </w:r>
      <w:r w:rsidR="0075777C" w:rsidRPr="00F05153">
        <w:t xml:space="preserve"> As for clinical worsening</w:t>
      </w:r>
      <w:r>
        <w:rPr>
          <w:noProof/>
          <w:color w:val="000000"/>
          <w:highlight w:val="black"/>
        </w:rPr>
        <w:t>'' ''''''''''''</w:t>
      </w:r>
      <w:r w:rsidR="00A839C6" w:rsidRPr="00F05153">
        <w:t xml:space="preserve"> </w:t>
      </w:r>
      <w:r w:rsidR="0075777C" w:rsidRPr="00F05153">
        <w:t>patients need to be treated with sGC stimulator plus prostanoid combination therapy to prevent one additional patient experiencing clinical worsening compared with prostanoid monotherapy.</w:t>
      </w:r>
    </w:p>
    <w:p w:rsidR="0075777C" w:rsidRPr="00F05153" w:rsidRDefault="00272F8F" w:rsidP="00BC5A2B">
      <w:pPr>
        <w:pStyle w:val="Caption"/>
      </w:pPr>
      <w:bookmarkStart w:id="303" w:name="_Ref505082674"/>
      <w:bookmarkStart w:id="304" w:name="_Toc38360402"/>
      <w:r w:rsidRPr="00F05153">
        <w:t>Table 4.</w:t>
      </w:r>
      <w:r w:rsidR="003951FA">
        <w:rPr>
          <w:noProof/>
        </w:rPr>
        <w:t>105</w:t>
      </w:r>
      <w:bookmarkEnd w:id="303"/>
      <w:r w:rsidR="00C41039" w:rsidRPr="00F05153">
        <w:tab/>
      </w:r>
      <w:r w:rsidR="0075777C" w:rsidRPr="00F05153">
        <w:t xml:space="preserve">Mortality rates for </w:t>
      </w:r>
      <w:r w:rsidR="00AA08D3" w:rsidRPr="00F05153">
        <w:t xml:space="preserve">a sGC stimulator </w:t>
      </w:r>
      <w:r w:rsidR="007E59EC" w:rsidRPr="00F05153">
        <w:rPr>
          <w:noProof/>
        </w:rPr>
        <w:t>in addition to a prostanoid compared with prostanoid monotherapy</w:t>
      </w:r>
      <w:r w:rsidR="0075777C" w:rsidRPr="00F05153">
        <w:t xml:space="preserve"> in all PAH patients</w:t>
      </w:r>
      <w:bookmarkEnd w:id="304"/>
    </w:p>
    <w:tbl>
      <w:tblPr>
        <w:tblStyle w:val="TableGrid7"/>
        <w:tblW w:w="9634" w:type="dxa"/>
        <w:tblLayout w:type="fixed"/>
        <w:tblLook w:val="04A0" w:firstRow="1" w:lastRow="0" w:firstColumn="1" w:lastColumn="0" w:noHBand="0" w:noVBand="1"/>
        <w:tblCaption w:val="Mortality rates for a sGC stimulator in addition to a prostanoid compared with prostanoid monotherapy in all PAH patients"/>
      </w:tblPr>
      <w:tblGrid>
        <w:gridCol w:w="1555"/>
        <w:gridCol w:w="1417"/>
        <w:gridCol w:w="2339"/>
        <w:gridCol w:w="2339"/>
        <w:gridCol w:w="1984"/>
      </w:tblGrid>
      <w:tr w:rsidR="0075777C" w:rsidRPr="00F05153" w:rsidTr="00AA08D3">
        <w:trPr>
          <w:trHeight w:val="266"/>
          <w:tblHeader/>
        </w:trPr>
        <w:tc>
          <w:tcPr>
            <w:tcW w:w="1555" w:type="dxa"/>
            <w:vMerge w:val="restart"/>
            <w:shd w:val="clear" w:color="auto" w:fill="BFBFBF" w:themeFill="background1" w:themeFillShade="BF"/>
          </w:tcPr>
          <w:p w:rsidR="0075777C" w:rsidRPr="00F05153" w:rsidRDefault="0075777C" w:rsidP="00C41039">
            <w:pPr>
              <w:pStyle w:val="Tabletext"/>
              <w:rPr>
                <w:b/>
              </w:rPr>
            </w:pPr>
            <w:r w:rsidRPr="00F05153">
              <w:rPr>
                <w:b/>
              </w:rPr>
              <w:t>Study ID</w:t>
            </w:r>
          </w:p>
          <w:p w:rsidR="0075777C" w:rsidRPr="00F05153" w:rsidRDefault="00AA08D3" w:rsidP="00C41039">
            <w:pPr>
              <w:pStyle w:val="Tabletext"/>
              <w:rPr>
                <w:b/>
              </w:rPr>
            </w:pPr>
            <w:r w:rsidRPr="00F05153">
              <w:rPr>
                <w:b/>
              </w:rPr>
              <w:t>sGC stimulator</w:t>
            </w:r>
          </w:p>
        </w:tc>
        <w:tc>
          <w:tcPr>
            <w:tcW w:w="1417" w:type="dxa"/>
            <w:vMerge w:val="restart"/>
            <w:shd w:val="clear" w:color="auto" w:fill="BFBFBF" w:themeFill="background1" w:themeFillShade="BF"/>
          </w:tcPr>
          <w:p w:rsidR="0075777C" w:rsidRPr="00F05153" w:rsidRDefault="0075777C" w:rsidP="00C41039">
            <w:pPr>
              <w:pStyle w:val="Tabletext"/>
              <w:rPr>
                <w:b/>
              </w:rPr>
            </w:pPr>
            <w:r w:rsidRPr="00F05153">
              <w:rPr>
                <w:b/>
              </w:rPr>
              <w:t>Study period</w:t>
            </w:r>
          </w:p>
        </w:tc>
        <w:tc>
          <w:tcPr>
            <w:tcW w:w="4678" w:type="dxa"/>
            <w:gridSpan w:val="2"/>
            <w:shd w:val="clear" w:color="auto" w:fill="BFBFBF" w:themeFill="background1" w:themeFillShade="BF"/>
          </w:tcPr>
          <w:p w:rsidR="0075777C" w:rsidRPr="00F05153" w:rsidRDefault="0075777C" w:rsidP="00C41039">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75777C" w:rsidRPr="00F05153" w:rsidRDefault="0075777C" w:rsidP="00C41039">
            <w:pPr>
              <w:pStyle w:val="Tabletext"/>
              <w:rPr>
                <w:b/>
              </w:rPr>
            </w:pPr>
            <w:r w:rsidRPr="00F05153">
              <w:rPr>
                <w:b/>
              </w:rPr>
              <w:t>RR (95% CI)</w:t>
            </w:r>
          </w:p>
        </w:tc>
      </w:tr>
      <w:tr w:rsidR="0075777C" w:rsidRPr="00F05153" w:rsidTr="00AA08D3">
        <w:trPr>
          <w:trHeight w:val="202"/>
          <w:tblHeader/>
        </w:trPr>
        <w:tc>
          <w:tcPr>
            <w:tcW w:w="1555" w:type="dxa"/>
            <w:vMerge/>
            <w:shd w:val="clear" w:color="auto" w:fill="BFBFBF" w:themeFill="background1" w:themeFillShade="BF"/>
          </w:tcPr>
          <w:p w:rsidR="0075777C" w:rsidRPr="00F05153" w:rsidRDefault="0075777C" w:rsidP="00C41039">
            <w:pPr>
              <w:pStyle w:val="Tabletext"/>
            </w:pPr>
          </w:p>
        </w:tc>
        <w:tc>
          <w:tcPr>
            <w:tcW w:w="1417" w:type="dxa"/>
            <w:vMerge/>
            <w:shd w:val="clear" w:color="auto" w:fill="BFBFBF" w:themeFill="background1" w:themeFillShade="BF"/>
          </w:tcPr>
          <w:p w:rsidR="0075777C" w:rsidRPr="00F05153" w:rsidRDefault="0075777C" w:rsidP="00C41039">
            <w:pPr>
              <w:pStyle w:val="Tabletext"/>
            </w:pPr>
          </w:p>
        </w:tc>
        <w:tc>
          <w:tcPr>
            <w:tcW w:w="2339" w:type="dxa"/>
            <w:shd w:val="clear" w:color="auto" w:fill="BFBFBF" w:themeFill="background1" w:themeFillShade="BF"/>
          </w:tcPr>
          <w:p w:rsidR="0075777C" w:rsidRPr="00F05153" w:rsidRDefault="00AA08D3" w:rsidP="00C41039">
            <w:pPr>
              <w:pStyle w:val="Tabletext"/>
              <w:jc w:val="center"/>
              <w:rPr>
                <w:b/>
              </w:rPr>
            </w:pPr>
            <w:r w:rsidRPr="00F05153">
              <w:rPr>
                <w:b/>
              </w:rPr>
              <w:t xml:space="preserve">sGC stimulator </w:t>
            </w:r>
            <w:r w:rsidR="0075777C" w:rsidRPr="00F05153">
              <w:rPr>
                <w:b/>
              </w:rPr>
              <w:t>+ prostanoid</w:t>
            </w:r>
          </w:p>
        </w:tc>
        <w:tc>
          <w:tcPr>
            <w:tcW w:w="2339" w:type="dxa"/>
            <w:shd w:val="clear" w:color="auto" w:fill="BFBFBF" w:themeFill="background1" w:themeFillShade="BF"/>
          </w:tcPr>
          <w:p w:rsidR="0075777C" w:rsidRPr="00F05153" w:rsidRDefault="0075777C" w:rsidP="00534ADA">
            <w:pPr>
              <w:pStyle w:val="Tabletext"/>
              <w:jc w:val="center"/>
              <w:rPr>
                <w:b/>
              </w:rPr>
            </w:pPr>
            <w:r w:rsidRPr="00F05153">
              <w:rPr>
                <w:b/>
              </w:rPr>
              <w:t>Prostanoid</w:t>
            </w:r>
          </w:p>
        </w:tc>
        <w:tc>
          <w:tcPr>
            <w:tcW w:w="1984" w:type="dxa"/>
            <w:vMerge/>
            <w:shd w:val="clear" w:color="auto" w:fill="BFBFBF" w:themeFill="background1" w:themeFillShade="BF"/>
          </w:tcPr>
          <w:p w:rsidR="0075777C" w:rsidRPr="00F05153" w:rsidRDefault="0075777C" w:rsidP="00C41039">
            <w:pPr>
              <w:pStyle w:val="Tabletext"/>
            </w:pPr>
          </w:p>
        </w:tc>
      </w:tr>
      <w:tr w:rsidR="0075777C" w:rsidRPr="00F05153" w:rsidTr="00AA08D3">
        <w:trPr>
          <w:trHeight w:val="70"/>
        </w:trPr>
        <w:tc>
          <w:tcPr>
            <w:tcW w:w="1555" w:type="dxa"/>
            <w:shd w:val="clear" w:color="auto" w:fill="auto"/>
          </w:tcPr>
          <w:p w:rsidR="0075777C" w:rsidRPr="00F05153" w:rsidRDefault="0075777C" w:rsidP="00C41039">
            <w:pPr>
              <w:pStyle w:val="Tabletext"/>
              <w:rPr>
                <w:rFonts w:cs="Tahoma"/>
              </w:rPr>
            </w:pPr>
            <w:r w:rsidRPr="00F05153">
              <w:rPr>
                <w:rFonts w:cs="Tahoma"/>
              </w:rPr>
              <w:t>PATENT-1 CSR</w:t>
            </w:r>
          </w:p>
          <w:p w:rsidR="00AA08D3" w:rsidRPr="00F05153" w:rsidRDefault="00AA08D3" w:rsidP="00C41039">
            <w:pPr>
              <w:pStyle w:val="Tabletext"/>
              <w:rPr>
                <w:rFonts w:cs="Tahoma"/>
              </w:rPr>
            </w:pPr>
            <w:r w:rsidRPr="00F05153">
              <w:t>Riociguat</w:t>
            </w:r>
          </w:p>
        </w:tc>
        <w:tc>
          <w:tcPr>
            <w:tcW w:w="1417" w:type="dxa"/>
            <w:shd w:val="clear" w:color="auto" w:fill="auto"/>
          </w:tcPr>
          <w:p w:rsidR="0075777C" w:rsidRPr="00F05153" w:rsidRDefault="0075777C" w:rsidP="00C41039">
            <w:pPr>
              <w:pStyle w:val="Tabletext"/>
              <w:rPr>
                <w:rFonts w:cs="Tahoma"/>
              </w:rPr>
            </w:pPr>
            <w:r w:rsidRPr="00F05153">
              <w:rPr>
                <w:rFonts w:cs="Tahoma"/>
              </w:rPr>
              <w:t>12 weeks</w:t>
            </w:r>
          </w:p>
        </w:tc>
        <w:tc>
          <w:tcPr>
            <w:tcW w:w="2339" w:type="dxa"/>
            <w:shd w:val="clear" w:color="auto" w:fill="auto"/>
          </w:tcPr>
          <w:p w:rsidR="0075777C" w:rsidRPr="002046A0" w:rsidRDefault="002046A0" w:rsidP="00C41039">
            <w:pPr>
              <w:pStyle w:val="Tabletext"/>
              <w:jc w:val="center"/>
              <w:rPr>
                <w:rFonts w:cs="Tahoma"/>
                <w:highlight w:val="black"/>
              </w:rPr>
            </w:pPr>
            <w:r>
              <w:rPr>
                <w:rFonts w:eastAsia="Times New Roman" w:cs="Tahoma"/>
                <w:noProof/>
                <w:color w:val="000000"/>
                <w:highlight w:val="black"/>
              </w:rPr>
              <w:t>''''''''''' '''''''''''</w:t>
            </w:r>
          </w:p>
        </w:tc>
        <w:tc>
          <w:tcPr>
            <w:tcW w:w="2339" w:type="dxa"/>
            <w:shd w:val="clear" w:color="auto" w:fill="auto"/>
          </w:tcPr>
          <w:p w:rsidR="0075777C" w:rsidRPr="002046A0" w:rsidRDefault="002046A0" w:rsidP="00C41039">
            <w:pPr>
              <w:pStyle w:val="Tabletext"/>
              <w:jc w:val="center"/>
              <w:rPr>
                <w:rFonts w:cs="Tahoma"/>
                <w:highlight w:val="black"/>
              </w:rPr>
            </w:pPr>
            <w:r>
              <w:rPr>
                <w:rFonts w:eastAsia="Times New Roman" w:cs="Tahoma"/>
                <w:noProof/>
                <w:color w:val="000000"/>
                <w:highlight w:val="black"/>
              </w:rPr>
              <w:t>''''''' '''''''''''''''</w:t>
            </w:r>
          </w:p>
        </w:tc>
        <w:tc>
          <w:tcPr>
            <w:tcW w:w="1984" w:type="dxa"/>
            <w:shd w:val="clear" w:color="auto" w:fill="auto"/>
          </w:tcPr>
          <w:p w:rsidR="0075777C" w:rsidRPr="00F05153" w:rsidRDefault="002046A0" w:rsidP="00C41039">
            <w:pPr>
              <w:pStyle w:val="Tabletext"/>
              <w:rPr>
                <w:rFonts w:cs="Tahoma"/>
              </w:rPr>
            </w:pPr>
            <w:r>
              <w:rPr>
                <w:rFonts w:cs="Tahoma"/>
                <w:noProof/>
                <w:color w:val="000000"/>
                <w:highlight w:val="black"/>
              </w:rPr>
              <w:t>''' ''''''''' '''''''''''''''''''''''''</w:t>
            </w:r>
            <w:r w:rsidR="0075777C" w:rsidRPr="00F05153">
              <w:rPr>
                <w:rFonts w:cs="Tahoma"/>
              </w:rPr>
              <w:t>)</w:t>
            </w:r>
          </w:p>
        </w:tc>
      </w:tr>
    </w:tbl>
    <w:p w:rsidR="0075777C" w:rsidRPr="00822C52" w:rsidRDefault="0075777C" w:rsidP="00C41039">
      <w:pPr>
        <w:pStyle w:val="Tablenote"/>
      </w:pPr>
      <w:r w:rsidRPr="00F05153">
        <w:t xml:space="preserve">CI = confidence interval; </w:t>
      </w:r>
      <w:r w:rsidR="008E565E" w:rsidRPr="00F05153">
        <w:t xml:space="preserve">CSR = clinical study report; </w:t>
      </w:r>
      <w:r w:rsidRPr="00F05153">
        <w:t xml:space="preserve">n = number of </w:t>
      </w:r>
      <w:r w:rsidR="008E565E" w:rsidRPr="00F05153">
        <w:t xml:space="preserve">patients with </w:t>
      </w:r>
      <w:r w:rsidRPr="00F05153">
        <w:t>events; N = number of patients; PAH = pulmonary arterial hypertension; RR = relative risk</w:t>
      </w:r>
      <w:r w:rsidR="009B47AA" w:rsidRPr="00F05153">
        <w:t>; sGC = soluble guanylate cyclase</w:t>
      </w:r>
      <w:r w:rsidR="009B47AA" w:rsidRPr="009B47AA">
        <w:t xml:space="preserve"> </w:t>
      </w:r>
    </w:p>
    <w:p w:rsidR="0075777C" w:rsidRPr="00822C52" w:rsidRDefault="002E4833" w:rsidP="0075777C">
      <w:pPr>
        <w:pStyle w:val="Heading5"/>
      </w:pPr>
      <w:r>
        <w:t>c.</w:t>
      </w:r>
      <w:r w:rsidR="00761752">
        <w:tab/>
      </w:r>
      <w:r w:rsidR="00C828F9" w:rsidRPr="006316DF">
        <w:t>Hospitalisation</w:t>
      </w:r>
      <w:r w:rsidR="00C828F9" w:rsidRPr="0046652B">
        <w:t xml:space="preserve"> due to worsening PAH</w:t>
      </w:r>
    </w:p>
    <w:p w:rsidR="0075777C" w:rsidRPr="00822C52" w:rsidRDefault="002E4833" w:rsidP="00A839C6">
      <w:pPr>
        <w:pStyle w:val="Heading6"/>
      </w:pPr>
      <w:proofErr w:type="gramStart"/>
      <w:r>
        <w:t>c</w:t>
      </w:r>
      <w:r w:rsidR="0075777C" w:rsidRPr="00822C52">
        <w:t>.i</w:t>
      </w:r>
      <w:proofErr w:type="gramEnd"/>
      <w:r w:rsidR="0075777C" w:rsidRPr="00822C52">
        <w:tab/>
        <w:t>PAH patients, irrespective of disease severity or aetiology</w:t>
      </w:r>
    </w:p>
    <w:p w:rsidR="0075777C" w:rsidRPr="00F05153" w:rsidRDefault="002046A0" w:rsidP="00A839C6">
      <w:r>
        <w:rPr>
          <w:noProof/>
          <w:color w:val="000000"/>
          <w:highlight w:val="black"/>
        </w:rPr>
        <w:t>''''' ''''''''''''''</w:t>
      </w:r>
      <w:r w:rsidR="0075777C" w:rsidRPr="00F05153">
        <w:t xml:space="preserve"> were hospitalised </w:t>
      </w:r>
      <w:r w:rsidR="00881371" w:rsidRPr="00F05153">
        <w:t xml:space="preserve">for worsening PAH </w:t>
      </w:r>
      <w:r w:rsidR="0075777C" w:rsidRPr="00F05153">
        <w:t>during the 12-week study period (</w:t>
      </w:r>
      <w:r w:rsidR="003951FA" w:rsidRPr="00F05153">
        <w:t>Table 4.</w:t>
      </w:r>
      <w:r w:rsidR="003951FA">
        <w:t>106</w:t>
      </w:r>
      <w:r w:rsidR="0075777C" w:rsidRPr="00F05153">
        <w:t xml:space="preserve">). Thus, the effect of a sGC stimulator in addition to a </w:t>
      </w:r>
      <w:r w:rsidR="00C41039" w:rsidRPr="00F05153">
        <w:t>prostanoid</w:t>
      </w:r>
      <w:r w:rsidR="0075777C" w:rsidRPr="00F05153">
        <w:t xml:space="preserve"> compared with </w:t>
      </w:r>
      <w:r w:rsidR="00C41039" w:rsidRPr="00F05153">
        <w:t>prostanoid</w:t>
      </w:r>
      <w:r w:rsidR="0075777C" w:rsidRPr="00F05153">
        <w:t xml:space="preserve"> monotherapy on mortality rates </w:t>
      </w:r>
      <w:r>
        <w:rPr>
          <w:noProof/>
          <w:color w:val="000000"/>
          <w:highlight w:val="black"/>
        </w:rPr>
        <w:t>'''''''''''' '''''''' ''''' ''''''''''''''''''''''</w:t>
      </w:r>
      <w:r w:rsidR="0075777C" w:rsidRPr="00F05153">
        <w:t>.</w:t>
      </w:r>
    </w:p>
    <w:p w:rsidR="0075777C" w:rsidRPr="00F05153" w:rsidRDefault="00272F8F" w:rsidP="00BC5A2B">
      <w:pPr>
        <w:pStyle w:val="Caption"/>
      </w:pPr>
      <w:bookmarkStart w:id="305" w:name="_Ref505082821"/>
      <w:bookmarkStart w:id="306" w:name="_Toc38360403"/>
      <w:r w:rsidRPr="00F05153">
        <w:t>Table 4.</w:t>
      </w:r>
      <w:r w:rsidR="003951FA">
        <w:rPr>
          <w:noProof/>
        </w:rPr>
        <w:t>106</w:t>
      </w:r>
      <w:bookmarkEnd w:id="305"/>
      <w:r w:rsidR="00C41039" w:rsidRPr="00F05153">
        <w:tab/>
      </w:r>
      <w:r w:rsidR="0075777C" w:rsidRPr="00F05153">
        <w:rPr>
          <w:noProof/>
        </w:rPr>
        <w:t xml:space="preserve">Hospitalisation </w:t>
      </w:r>
      <w:r w:rsidR="00881371" w:rsidRPr="00F05153">
        <w:rPr>
          <w:noProof/>
        </w:rPr>
        <w:t xml:space="preserve">due to PAH </w:t>
      </w:r>
      <w:r w:rsidR="0075777C" w:rsidRPr="00F05153">
        <w:rPr>
          <w:noProof/>
        </w:rPr>
        <w:t xml:space="preserve">for </w:t>
      </w:r>
      <w:r w:rsidR="00AA08D3" w:rsidRPr="00F05153">
        <w:rPr>
          <w:noProof/>
        </w:rPr>
        <w:t xml:space="preserve">a sGC stimulator </w:t>
      </w:r>
      <w:r w:rsidR="007E59EC" w:rsidRPr="00F05153">
        <w:rPr>
          <w:noProof/>
        </w:rPr>
        <w:t xml:space="preserve">in addition to a prostanoid compared with prostanoid monotherapy </w:t>
      </w:r>
      <w:r w:rsidR="0075777C" w:rsidRPr="00F05153">
        <w:t>in all PAH patients</w:t>
      </w:r>
      <w:bookmarkEnd w:id="306"/>
    </w:p>
    <w:tbl>
      <w:tblPr>
        <w:tblStyle w:val="TableGrid7"/>
        <w:tblW w:w="9634" w:type="dxa"/>
        <w:tblLayout w:type="fixed"/>
        <w:tblLook w:val="04A0" w:firstRow="1" w:lastRow="0" w:firstColumn="1" w:lastColumn="0" w:noHBand="0" w:noVBand="1"/>
        <w:tblCaption w:val="Hospitalisation due to PAH for a sGC stimulator in addition to a prostanoid compared with prostanoid monotherapy in all PAH patients"/>
      </w:tblPr>
      <w:tblGrid>
        <w:gridCol w:w="1555"/>
        <w:gridCol w:w="1275"/>
        <w:gridCol w:w="2410"/>
        <w:gridCol w:w="2410"/>
        <w:gridCol w:w="1984"/>
      </w:tblGrid>
      <w:tr w:rsidR="0075777C" w:rsidRPr="00F05153" w:rsidTr="00AA08D3">
        <w:trPr>
          <w:trHeight w:val="212"/>
          <w:tblHeader/>
        </w:trPr>
        <w:tc>
          <w:tcPr>
            <w:tcW w:w="1555" w:type="dxa"/>
            <w:vMerge w:val="restart"/>
            <w:shd w:val="clear" w:color="auto" w:fill="BFBFBF" w:themeFill="background1" w:themeFillShade="BF"/>
          </w:tcPr>
          <w:p w:rsidR="0075777C" w:rsidRPr="00F05153" w:rsidRDefault="0075777C" w:rsidP="00C41039">
            <w:pPr>
              <w:pStyle w:val="Tabletext"/>
              <w:rPr>
                <w:b/>
              </w:rPr>
            </w:pPr>
            <w:r w:rsidRPr="00F05153">
              <w:rPr>
                <w:b/>
              </w:rPr>
              <w:t>Study ID</w:t>
            </w:r>
          </w:p>
          <w:p w:rsidR="0075777C" w:rsidRPr="00F05153" w:rsidRDefault="00AA08D3" w:rsidP="00C41039">
            <w:pPr>
              <w:pStyle w:val="Tabletext"/>
              <w:rPr>
                <w:b/>
              </w:rPr>
            </w:pPr>
            <w:r w:rsidRPr="00F05153">
              <w:rPr>
                <w:b/>
              </w:rPr>
              <w:t>sGC stimulator</w:t>
            </w:r>
          </w:p>
        </w:tc>
        <w:tc>
          <w:tcPr>
            <w:tcW w:w="1275" w:type="dxa"/>
            <w:vMerge w:val="restart"/>
            <w:shd w:val="clear" w:color="auto" w:fill="BFBFBF" w:themeFill="background1" w:themeFillShade="BF"/>
          </w:tcPr>
          <w:p w:rsidR="0075777C" w:rsidRPr="00F05153" w:rsidRDefault="0075777C" w:rsidP="00C41039">
            <w:pPr>
              <w:pStyle w:val="Tabletext"/>
              <w:rPr>
                <w:b/>
              </w:rPr>
            </w:pPr>
            <w:r w:rsidRPr="00F05153">
              <w:rPr>
                <w:b/>
              </w:rPr>
              <w:t>Study period</w:t>
            </w:r>
          </w:p>
        </w:tc>
        <w:tc>
          <w:tcPr>
            <w:tcW w:w="4820" w:type="dxa"/>
            <w:gridSpan w:val="2"/>
            <w:shd w:val="clear" w:color="auto" w:fill="BFBFBF" w:themeFill="background1" w:themeFillShade="BF"/>
          </w:tcPr>
          <w:p w:rsidR="0075777C" w:rsidRPr="00F05153" w:rsidRDefault="0075777C" w:rsidP="00C41039">
            <w:pPr>
              <w:pStyle w:val="Tabletext"/>
              <w:jc w:val="center"/>
              <w:rPr>
                <w:b/>
              </w:rPr>
            </w:pPr>
            <w:proofErr w:type="gramStart"/>
            <w:r w:rsidRPr="00F05153">
              <w:rPr>
                <w:b/>
              </w:rPr>
              <w:t>n/N</w:t>
            </w:r>
            <w:proofErr w:type="gramEnd"/>
            <w:r w:rsidRPr="00F05153">
              <w:rPr>
                <w:b/>
              </w:rPr>
              <w:t xml:space="preserve"> (%)</w:t>
            </w:r>
          </w:p>
        </w:tc>
        <w:tc>
          <w:tcPr>
            <w:tcW w:w="1984" w:type="dxa"/>
            <w:vMerge w:val="restart"/>
            <w:shd w:val="clear" w:color="auto" w:fill="BFBFBF" w:themeFill="background1" w:themeFillShade="BF"/>
          </w:tcPr>
          <w:p w:rsidR="0075777C" w:rsidRPr="00F05153" w:rsidRDefault="0075777C" w:rsidP="00C41039">
            <w:pPr>
              <w:pStyle w:val="Tabletext"/>
              <w:rPr>
                <w:b/>
              </w:rPr>
            </w:pPr>
            <w:r w:rsidRPr="00F05153">
              <w:rPr>
                <w:b/>
              </w:rPr>
              <w:t>RR (95% CI)</w:t>
            </w:r>
          </w:p>
        </w:tc>
      </w:tr>
      <w:tr w:rsidR="0075777C" w:rsidRPr="00F05153" w:rsidTr="00AA08D3">
        <w:trPr>
          <w:trHeight w:val="202"/>
          <w:tblHeader/>
        </w:trPr>
        <w:tc>
          <w:tcPr>
            <w:tcW w:w="1555" w:type="dxa"/>
            <w:vMerge/>
            <w:shd w:val="clear" w:color="auto" w:fill="BFBFBF" w:themeFill="background1" w:themeFillShade="BF"/>
          </w:tcPr>
          <w:p w:rsidR="0075777C" w:rsidRPr="00F05153" w:rsidRDefault="0075777C" w:rsidP="00C41039">
            <w:pPr>
              <w:pStyle w:val="Tabletext"/>
            </w:pPr>
          </w:p>
        </w:tc>
        <w:tc>
          <w:tcPr>
            <w:tcW w:w="1275" w:type="dxa"/>
            <w:vMerge/>
            <w:shd w:val="clear" w:color="auto" w:fill="BFBFBF" w:themeFill="background1" w:themeFillShade="BF"/>
          </w:tcPr>
          <w:p w:rsidR="0075777C" w:rsidRPr="00F05153" w:rsidRDefault="0075777C" w:rsidP="00C41039">
            <w:pPr>
              <w:pStyle w:val="Tabletext"/>
            </w:pPr>
          </w:p>
        </w:tc>
        <w:tc>
          <w:tcPr>
            <w:tcW w:w="2410" w:type="dxa"/>
            <w:shd w:val="clear" w:color="auto" w:fill="BFBFBF" w:themeFill="background1" w:themeFillShade="BF"/>
          </w:tcPr>
          <w:p w:rsidR="0075777C" w:rsidRPr="00F05153" w:rsidRDefault="00AA08D3" w:rsidP="00C41039">
            <w:pPr>
              <w:pStyle w:val="Tabletext"/>
              <w:jc w:val="center"/>
              <w:rPr>
                <w:b/>
              </w:rPr>
            </w:pPr>
            <w:r w:rsidRPr="00F05153">
              <w:rPr>
                <w:b/>
              </w:rPr>
              <w:t xml:space="preserve">sGC stimulator </w:t>
            </w:r>
            <w:r w:rsidR="0075777C" w:rsidRPr="00F05153">
              <w:rPr>
                <w:b/>
              </w:rPr>
              <w:t>+ prostanoid</w:t>
            </w:r>
          </w:p>
        </w:tc>
        <w:tc>
          <w:tcPr>
            <w:tcW w:w="2410" w:type="dxa"/>
            <w:shd w:val="clear" w:color="auto" w:fill="BFBFBF" w:themeFill="background1" w:themeFillShade="BF"/>
          </w:tcPr>
          <w:p w:rsidR="0075777C" w:rsidRPr="00F05153" w:rsidRDefault="0075777C" w:rsidP="00534ADA">
            <w:pPr>
              <w:pStyle w:val="Tabletext"/>
              <w:jc w:val="center"/>
              <w:rPr>
                <w:b/>
              </w:rPr>
            </w:pPr>
            <w:r w:rsidRPr="00F05153">
              <w:rPr>
                <w:b/>
              </w:rPr>
              <w:t>Prostanoid</w:t>
            </w:r>
          </w:p>
        </w:tc>
        <w:tc>
          <w:tcPr>
            <w:tcW w:w="1984" w:type="dxa"/>
            <w:vMerge/>
            <w:shd w:val="clear" w:color="auto" w:fill="BFBFBF" w:themeFill="background1" w:themeFillShade="BF"/>
          </w:tcPr>
          <w:p w:rsidR="0075777C" w:rsidRPr="00F05153" w:rsidRDefault="0075777C" w:rsidP="00C41039">
            <w:pPr>
              <w:pStyle w:val="Tabletext"/>
            </w:pPr>
          </w:p>
        </w:tc>
      </w:tr>
      <w:tr w:rsidR="0075777C" w:rsidRPr="00F05153" w:rsidTr="00AA08D3">
        <w:trPr>
          <w:trHeight w:val="70"/>
        </w:trPr>
        <w:tc>
          <w:tcPr>
            <w:tcW w:w="1555" w:type="dxa"/>
          </w:tcPr>
          <w:p w:rsidR="0075777C" w:rsidRPr="00F05153" w:rsidRDefault="0075777C" w:rsidP="00C41039">
            <w:pPr>
              <w:pStyle w:val="Tabletext"/>
              <w:rPr>
                <w:rFonts w:cs="Tahoma"/>
              </w:rPr>
            </w:pPr>
            <w:r w:rsidRPr="00F05153">
              <w:rPr>
                <w:rFonts w:cs="Tahoma"/>
              </w:rPr>
              <w:t>PATENT-1 CSR</w:t>
            </w:r>
          </w:p>
          <w:p w:rsidR="00AA08D3" w:rsidRPr="00F05153" w:rsidRDefault="00AA08D3" w:rsidP="00C41039">
            <w:pPr>
              <w:pStyle w:val="Tabletext"/>
              <w:rPr>
                <w:rFonts w:cs="Tahoma"/>
              </w:rPr>
            </w:pPr>
            <w:r w:rsidRPr="00F05153">
              <w:t>Riociguat</w:t>
            </w:r>
          </w:p>
        </w:tc>
        <w:tc>
          <w:tcPr>
            <w:tcW w:w="1275" w:type="dxa"/>
          </w:tcPr>
          <w:p w:rsidR="0075777C" w:rsidRPr="00F05153" w:rsidRDefault="0075777C" w:rsidP="00C41039">
            <w:pPr>
              <w:pStyle w:val="Tabletext"/>
              <w:rPr>
                <w:rFonts w:cs="Tahoma"/>
              </w:rPr>
            </w:pPr>
            <w:r w:rsidRPr="00F05153">
              <w:rPr>
                <w:rFonts w:cs="Tahoma"/>
              </w:rPr>
              <w:t>12 weeks</w:t>
            </w:r>
          </w:p>
        </w:tc>
        <w:tc>
          <w:tcPr>
            <w:tcW w:w="2410" w:type="dxa"/>
            <w:shd w:val="clear" w:color="auto" w:fill="auto"/>
          </w:tcPr>
          <w:p w:rsidR="0075777C" w:rsidRPr="002046A0" w:rsidRDefault="002046A0" w:rsidP="00C41039">
            <w:pPr>
              <w:pStyle w:val="Tabletext"/>
              <w:jc w:val="center"/>
              <w:rPr>
                <w:rFonts w:cs="Tahoma"/>
                <w:highlight w:val="black"/>
              </w:rPr>
            </w:pPr>
            <w:r>
              <w:rPr>
                <w:rFonts w:eastAsia="Times New Roman" w:cs="Tahoma"/>
                <w:noProof/>
                <w:color w:val="000000"/>
                <w:highlight w:val="black"/>
              </w:rPr>
              <w:t>''''''''''' ''''''''''''</w:t>
            </w:r>
          </w:p>
        </w:tc>
        <w:tc>
          <w:tcPr>
            <w:tcW w:w="2410" w:type="dxa"/>
            <w:shd w:val="clear" w:color="auto" w:fill="auto"/>
          </w:tcPr>
          <w:p w:rsidR="0075777C" w:rsidRPr="002046A0" w:rsidRDefault="002046A0" w:rsidP="00C41039">
            <w:pPr>
              <w:pStyle w:val="Tabletext"/>
              <w:jc w:val="center"/>
              <w:rPr>
                <w:rFonts w:cs="Tahoma"/>
                <w:highlight w:val="black"/>
              </w:rPr>
            </w:pPr>
            <w:r>
              <w:rPr>
                <w:rFonts w:eastAsia="Times New Roman" w:cs="Tahoma"/>
                <w:noProof/>
                <w:color w:val="000000"/>
                <w:highlight w:val="black"/>
              </w:rPr>
              <w:t>''''''' ''''''''''''</w:t>
            </w:r>
          </w:p>
        </w:tc>
        <w:tc>
          <w:tcPr>
            <w:tcW w:w="1984" w:type="dxa"/>
            <w:shd w:val="clear" w:color="auto" w:fill="auto"/>
          </w:tcPr>
          <w:p w:rsidR="0075777C" w:rsidRPr="002046A0" w:rsidRDefault="002046A0" w:rsidP="00C41039">
            <w:pPr>
              <w:pStyle w:val="Tabletext"/>
              <w:rPr>
                <w:rFonts w:cs="Tahoma"/>
                <w:highlight w:val="black"/>
              </w:rPr>
            </w:pPr>
            <w:r>
              <w:rPr>
                <w:rFonts w:cs="Tahoma"/>
                <w:noProof/>
                <w:color w:val="000000"/>
                <w:highlight w:val="black"/>
              </w:rPr>
              <w:t>'''''''' '''''''''''''''''''''''</w:t>
            </w:r>
          </w:p>
        </w:tc>
      </w:tr>
    </w:tbl>
    <w:p w:rsidR="0075777C" w:rsidRPr="00F05153" w:rsidRDefault="0075777C" w:rsidP="00C41039">
      <w:pPr>
        <w:pStyle w:val="Tablenote"/>
      </w:pPr>
      <w:r w:rsidRPr="00F05153">
        <w:t xml:space="preserve">CI = confidence interval; </w:t>
      </w:r>
      <w:r w:rsidR="008E565E" w:rsidRPr="00F05153">
        <w:t xml:space="preserve">CSR = clinical study report; </w:t>
      </w:r>
      <w:r w:rsidRPr="00F05153">
        <w:t xml:space="preserve">n = number of </w:t>
      </w:r>
      <w:r w:rsidR="008E565E" w:rsidRPr="00F05153">
        <w:t xml:space="preserve">patients with </w:t>
      </w:r>
      <w:r w:rsidRPr="00F05153">
        <w:t>events; N = number of patients; PAH = pulmonary arterial hypertension; RR = relative risk</w:t>
      </w:r>
      <w:r w:rsidR="009B47AA" w:rsidRPr="00F05153">
        <w:t>; sGC = solub</w:t>
      </w:r>
      <w:r w:rsidR="00074B5F" w:rsidRPr="00F05153">
        <w:t xml:space="preserve">le guanylate cyclase </w:t>
      </w:r>
    </w:p>
    <w:p w:rsidR="0075777C" w:rsidRPr="00F05153" w:rsidRDefault="002E4833" w:rsidP="00761752">
      <w:pPr>
        <w:pStyle w:val="Heading5"/>
      </w:pPr>
      <w:r w:rsidRPr="00F05153">
        <w:t>d.</w:t>
      </w:r>
      <w:r w:rsidR="00761752" w:rsidRPr="00F05153">
        <w:tab/>
      </w:r>
      <w:r w:rsidR="0075777C" w:rsidRPr="00F05153">
        <w:t>Change in WHO FC</w:t>
      </w:r>
      <w:r w:rsidR="00761752" w:rsidRPr="00F05153">
        <w:t xml:space="preserve"> from baseline</w:t>
      </w:r>
    </w:p>
    <w:p w:rsidR="0075777C" w:rsidRPr="00F05153" w:rsidRDefault="002E4833" w:rsidP="0077344D">
      <w:pPr>
        <w:pStyle w:val="Heading6"/>
      </w:pPr>
      <w:proofErr w:type="gramStart"/>
      <w:r w:rsidRPr="00F05153">
        <w:t>d</w:t>
      </w:r>
      <w:r w:rsidR="0075777C" w:rsidRPr="00F05153">
        <w:t>.i</w:t>
      </w:r>
      <w:proofErr w:type="gramEnd"/>
      <w:r w:rsidR="0075777C" w:rsidRPr="00F05153">
        <w:tab/>
        <w:t>PAH patients, irrespective of disease severity or aetiology</w:t>
      </w:r>
    </w:p>
    <w:p w:rsidR="0075777C" w:rsidRPr="00822C52" w:rsidRDefault="0075777C" w:rsidP="0075777C">
      <w:r w:rsidRPr="00F05153">
        <w:t xml:space="preserve">Patients receiving sGC stimulator plus </w:t>
      </w:r>
      <w:r w:rsidR="00C41039" w:rsidRPr="00F05153">
        <w:t>prostanoid</w:t>
      </w:r>
      <w:r w:rsidRPr="00F05153">
        <w:t xml:space="preserve"> combination therapy were </w:t>
      </w:r>
      <w:r w:rsidR="002046A0">
        <w:rPr>
          <w:noProof/>
          <w:color w:val="000000"/>
          <w:highlight w:val="black"/>
        </w:rPr>
        <w:t xml:space="preserve">''''''''''' '''' '''''''''' '''' ''''''''''''''' ''''''''' '''''''''' '''' </w:t>
      </w:r>
      <w:r w:rsidRPr="00F05153">
        <w:t xml:space="preserve">than those receiving monotherapy, </w:t>
      </w:r>
      <w:r w:rsidR="002046A0">
        <w:rPr>
          <w:noProof/>
          <w:color w:val="000000"/>
          <w:highlight w:val="black"/>
        </w:rPr>
        <w:t>''''''' ''''''' '''''''''''''''''''' ''''''''''' ''''' '''''''''' '''''''''''''''' ''''''''''''''''''''</w:t>
      </w:r>
      <w:r w:rsidRPr="00F05153">
        <w:t xml:space="preserve"> (</w:t>
      </w:r>
      <w:r w:rsidR="00BE535A" w:rsidRPr="00F05153">
        <w:t>Table 4.107</w:t>
      </w:r>
      <w:r w:rsidRPr="00F05153">
        <w:t xml:space="preserve">; </w:t>
      </w:r>
      <w:r w:rsidR="00B21201" w:rsidRPr="00F05153">
        <w:t>ARD</w:t>
      </w:r>
      <w:r w:rsidR="00DB6ACB" w:rsidRPr="00F05153">
        <w:t> </w:t>
      </w:r>
      <w:r w:rsidRPr="00F05153">
        <w:t>=</w:t>
      </w:r>
      <w:r w:rsidR="00DB6ACB" w:rsidRPr="00F05153">
        <w:t> </w:t>
      </w:r>
      <w:r w:rsidR="002046A0">
        <w:rPr>
          <w:noProof/>
          <w:color w:val="000000"/>
          <w:highlight w:val="black"/>
        </w:rPr>
        <w:t>'''''''''''' '''''''' '''' ''''''''''''' ''''''''' ''''''''''''''''</w:t>
      </w:r>
      <w:r w:rsidRPr="00F05153">
        <w:t xml:space="preserve">. The inverse of the </w:t>
      </w:r>
      <w:r w:rsidR="00B21201" w:rsidRPr="00F05153">
        <w:t>ARD</w:t>
      </w:r>
      <w:r w:rsidRPr="00F05153">
        <w:t xml:space="preserve"> (NNT) indicated that </w:t>
      </w:r>
      <w:r w:rsidR="002046A0">
        <w:rPr>
          <w:noProof/>
          <w:color w:val="000000"/>
          <w:highlight w:val="black"/>
        </w:rPr>
        <w:t>''''''''''</w:t>
      </w:r>
      <w:r w:rsidRPr="00F05153">
        <w:t xml:space="preserve"> patients need to </w:t>
      </w:r>
      <w:proofErr w:type="gramStart"/>
      <w:r w:rsidRPr="00F05153">
        <w:t>be treated</w:t>
      </w:r>
      <w:proofErr w:type="gramEnd"/>
      <w:r w:rsidRPr="00F05153">
        <w:t xml:space="preserve"> with sGC stimulator plus prostanoid combination therapy for one additional patient to improve their WHO FC compared with prostanoid monotherapy. As </w:t>
      </w:r>
      <w:r w:rsidR="002046A0">
        <w:rPr>
          <w:noProof/>
          <w:color w:val="000000"/>
          <w:highlight w:val="black"/>
        </w:rPr>
        <w:t>''''' '''''''''''''''' ''''''''''''''''' ''''''''''''''''''''''' '''''''''''''''' '''''''' '''''''''''''''''' ''''' '''''''' ''''''''''' ''''' '''''' ''''' '''''''''' ''''''' '''''' ''''''''''''''''''' ''''''''''''''''''''''''''' ''''''''' '''' ''''''''''''' '''''''''' '''''''''''''''''' '''''''''''</w:t>
      </w:r>
      <w:r w:rsidRPr="00F05153">
        <w:t xml:space="preserve"> patients need to be treated with </w:t>
      </w:r>
      <w:r w:rsidR="002046A0">
        <w:rPr>
          <w:noProof/>
          <w:color w:val="000000"/>
          <w:highlight w:val="black"/>
        </w:rPr>
        <w:t>''''''''''''''''''''''' ''''''''''''''</w:t>
      </w:r>
      <w:r w:rsidRPr="00F05153">
        <w:t xml:space="preserve"> to prevent worsening of WHO FC in one additional patient compared with </w:t>
      </w:r>
      <w:r w:rsidR="002046A0">
        <w:rPr>
          <w:noProof/>
          <w:color w:val="000000"/>
          <w:highlight w:val="black"/>
        </w:rPr>
        <w:t>''''''''''''''''''''''''</w:t>
      </w:r>
      <w:r w:rsidRPr="00F05153">
        <w:t>.</w:t>
      </w:r>
    </w:p>
    <w:p w:rsidR="0075777C" w:rsidRPr="00F05153" w:rsidRDefault="00272F8F" w:rsidP="00BC5A2B">
      <w:pPr>
        <w:pStyle w:val="Caption"/>
      </w:pPr>
      <w:bookmarkStart w:id="307" w:name="_Ref505083451"/>
      <w:bookmarkStart w:id="308" w:name="_Toc38360404"/>
      <w:r>
        <w:t>Table 4.</w:t>
      </w:r>
      <w:r w:rsidR="003951FA">
        <w:rPr>
          <w:noProof/>
        </w:rPr>
        <w:t>107</w:t>
      </w:r>
      <w:bookmarkEnd w:id="307"/>
      <w:r w:rsidR="00C41039">
        <w:tab/>
      </w:r>
      <w:r w:rsidR="0075777C" w:rsidRPr="00DD7790">
        <w:t xml:space="preserve">The effectiveness of </w:t>
      </w:r>
      <w:r w:rsidR="00AA08D3">
        <w:t xml:space="preserve">a </w:t>
      </w:r>
      <w:r w:rsidR="00AA08D3" w:rsidRPr="00AA08D3">
        <w:t xml:space="preserve">sGC stimulator </w:t>
      </w:r>
      <w:r w:rsidR="007E59EC">
        <w:rPr>
          <w:noProof/>
        </w:rPr>
        <w:t xml:space="preserve">in addition to a </w:t>
      </w:r>
      <w:r w:rsidR="007E59EC" w:rsidRPr="009B4D64">
        <w:rPr>
          <w:noProof/>
        </w:rPr>
        <w:t xml:space="preserve">prostanoid compared with </w:t>
      </w:r>
      <w:r w:rsidR="007E59EC" w:rsidRPr="00F05153">
        <w:rPr>
          <w:noProof/>
        </w:rPr>
        <w:t>prostanoid monotherapy</w:t>
      </w:r>
      <w:r w:rsidR="0075777C" w:rsidRPr="00F05153">
        <w:t xml:space="preserve"> in improving WHO FC in all PAH patients</w:t>
      </w:r>
      <w:bookmarkEnd w:id="308"/>
    </w:p>
    <w:tbl>
      <w:tblPr>
        <w:tblStyle w:val="TableGrid7"/>
        <w:tblW w:w="9634" w:type="dxa"/>
        <w:tblLayout w:type="fixed"/>
        <w:tblLook w:val="04A0" w:firstRow="1" w:lastRow="0" w:firstColumn="1" w:lastColumn="0" w:noHBand="0" w:noVBand="1"/>
        <w:tblCaption w:val="The effectiveness of a sGC stimulator in addition to a prostanoid compared with prostanoid monotherapy in improving WHO FC in all PAH patients"/>
      </w:tblPr>
      <w:tblGrid>
        <w:gridCol w:w="1413"/>
        <w:gridCol w:w="1984"/>
        <w:gridCol w:w="2339"/>
        <w:gridCol w:w="2197"/>
        <w:gridCol w:w="1701"/>
      </w:tblGrid>
      <w:tr w:rsidR="0075777C" w:rsidRPr="00F05153" w:rsidTr="00AA08D3">
        <w:trPr>
          <w:trHeight w:val="212"/>
          <w:tblHeader/>
        </w:trPr>
        <w:tc>
          <w:tcPr>
            <w:tcW w:w="1413" w:type="dxa"/>
            <w:vMerge w:val="restart"/>
            <w:shd w:val="clear" w:color="auto" w:fill="BFBFBF" w:themeFill="background1" w:themeFillShade="BF"/>
          </w:tcPr>
          <w:p w:rsidR="0075777C" w:rsidRPr="00F05153" w:rsidRDefault="0075777C" w:rsidP="00C41039">
            <w:pPr>
              <w:pStyle w:val="Tabletext"/>
              <w:rPr>
                <w:b/>
              </w:rPr>
            </w:pPr>
            <w:r w:rsidRPr="00F05153">
              <w:rPr>
                <w:b/>
              </w:rPr>
              <w:t>Study ID</w:t>
            </w:r>
          </w:p>
          <w:p w:rsidR="00AA08D3" w:rsidRPr="00F05153" w:rsidRDefault="00AA08D3" w:rsidP="00C41039">
            <w:pPr>
              <w:pStyle w:val="Tabletext"/>
              <w:rPr>
                <w:b/>
              </w:rPr>
            </w:pPr>
            <w:r w:rsidRPr="00F05153">
              <w:rPr>
                <w:b/>
              </w:rPr>
              <w:t>sGC stimulator</w:t>
            </w:r>
          </w:p>
        </w:tc>
        <w:tc>
          <w:tcPr>
            <w:tcW w:w="1984" w:type="dxa"/>
            <w:vMerge w:val="restart"/>
            <w:shd w:val="clear" w:color="auto" w:fill="BFBFBF" w:themeFill="background1" w:themeFillShade="BF"/>
          </w:tcPr>
          <w:p w:rsidR="0075777C" w:rsidRPr="00F05153" w:rsidRDefault="0075777C" w:rsidP="00C41039">
            <w:pPr>
              <w:pStyle w:val="Tabletext"/>
              <w:rPr>
                <w:b/>
              </w:rPr>
            </w:pPr>
            <w:r w:rsidRPr="00F05153">
              <w:rPr>
                <w:b/>
              </w:rPr>
              <w:t>Change in WHO FC</w:t>
            </w:r>
          </w:p>
        </w:tc>
        <w:tc>
          <w:tcPr>
            <w:tcW w:w="4536" w:type="dxa"/>
            <w:gridSpan w:val="2"/>
            <w:shd w:val="clear" w:color="auto" w:fill="BFBFBF" w:themeFill="background1" w:themeFillShade="BF"/>
          </w:tcPr>
          <w:p w:rsidR="0075777C" w:rsidRPr="00F05153" w:rsidRDefault="0075777C" w:rsidP="00C41039">
            <w:pPr>
              <w:pStyle w:val="Tabletext"/>
              <w:jc w:val="center"/>
              <w:rPr>
                <w:b/>
              </w:rPr>
            </w:pPr>
            <w:proofErr w:type="gramStart"/>
            <w:r w:rsidRPr="00F05153">
              <w:rPr>
                <w:b/>
              </w:rPr>
              <w:t>n/N</w:t>
            </w:r>
            <w:proofErr w:type="gramEnd"/>
            <w:r w:rsidRPr="00F05153">
              <w:rPr>
                <w:b/>
              </w:rPr>
              <w:t xml:space="preserve"> (%)</w:t>
            </w:r>
          </w:p>
        </w:tc>
        <w:tc>
          <w:tcPr>
            <w:tcW w:w="1701" w:type="dxa"/>
            <w:vMerge w:val="restart"/>
            <w:shd w:val="clear" w:color="auto" w:fill="BFBFBF" w:themeFill="background1" w:themeFillShade="BF"/>
          </w:tcPr>
          <w:p w:rsidR="0075777C" w:rsidRPr="00F05153" w:rsidRDefault="0075777C" w:rsidP="00C41039">
            <w:pPr>
              <w:pStyle w:val="Tabletext"/>
              <w:rPr>
                <w:b/>
              </w:rPr>
            </w:pPr>
            <w:r w:rsidRPr="00F05153">
              <w:rPr>
                <w:b/>
              </w:rPr>
              <w:t>RR (95% CI)</w:t>
            </w:r>
          </w:p>
        </w:tc>
      </w:tr>
      <w:tr w:rsidR="0075777C" w:rsidRPr="00F05153" w:rsidTr="00AA08D3">
        <w:trPr>
          <w:trHeight w:val="202"/>
          <w:tblHeader/>
        </w:trPr>
        <w:tc>
          <w:tcPr>
            <w:tcW w:w="1413" w:type="dxa"/>
            <w:vMerge/>
            <w:shd w:val="clear" w:color="auto" w:fill="BFBFBF" w:themeFill="background1" w:themeFillShade="BF"/>
          </w:tcPr>
          <w:p w:rsidR="0075777C" w:rsidRPr="00F05153" w:rsidRDefault="0075777C" w:rsidP="00C41039">
            <w:pPr>
              <w:pStyle w:val="Tabletext"/>
            </w:pPr>
          </w:p>
        </w:tc>
        <w:tc>
          <w:tcPr>
            <w:tcW w:w="1984" w:type="dxa"/>
            <w:vMerge/>
            <w:shd w:val="clear" w:color="auto" w:fill="BFBFBF" w:themeFill="background1" w:themeFillShade="BF"/>
          </w:tcPr>
          <w:p w:rsidR="0075777C" w:rsidRPr="00F05153" w:rsidRDefault="0075777C" w:rsidP="00C41039">
            <w:pPr>
              <w:pStyle w:val="Tabletext"/>
            </w:pPr>
          </w:p>
        </w:tc>
        <w:tc>
          <w:tcPr>
            <w:tcW w:w="2339" w:type="dxa"/>
            <w:shd w:val="clear" w:color="auto" w:fill="BFBFBF" w:themeFill="background1" w:themeFillShade="BF"/>
          </w:tcPr>
          <w:p w:rsidR="0075777C" w:rsidRPr="00F05153" w:rsidRDefault="00AA08D3" w:rsidP="00C41039">
            <w:pPr>
              <w:pStyle w:val="Tabletext"/>
              <w:jc w:val="center"/>
              <w:rPr>
                <w:b/>
              </w:rPr>
            </w:pPr>
            <w:r w:rsidRPr="00F05153">
              <w:rPr>
                <w:b/>
              </w:rPr>
              <w:t xml:space="preserve">sGC stimulator </w:t>
            </w:r>
            <w:r w:rsidR="0075777C" w:rsidRPr="00F05153">
              <w:rPr>
                <w:b/>
              </w:rPr>
              <w:t>+ prostanoid</w:t>
            </w:r>
          </w:p>
        </w:tc>
        <w:tc>
          <w:tcPr>
            <w:tcW w:w="2197" w:type="dxa"/>
            <w:shd w:val="clear" w:color="auto" w:fill="BFBFBF" w:themeFill="background1" w:themeFillShade="BF"/>
          </w:tcPr>
          <w:p w:rsidR="0075777C" w:rsidRPr="00F05153" w:rsidRDefault="0075777C" w:rsidP="00534ADA">
            <w:pPr>
              <w:pStyle w:val="Tabletext"/>
              <w:jc w:val="center"/>
              <w:rPr>
                <w:b/>
              </w:rPr>
            </w:pPr>
            <w:r w:rsidRPr="00F05153">
              <w:rPr>
                <w:b/>
              </w:rPr>
              <w:t>Prostanoid</w:t>
            </w:r>
          </w:p>
        </w:tc>
        <w:tc>
          <w:tcPr>
            <w:tcW w:w="1701" w:type="dxa"/>
            <w:vMerge/>
            <w:shd w:val="clear" w:color="auto" w:fill="BFBFBF" w:themeFill="background1" w:themeFillShade="BF"/>
          </w:tcPr>
          <w:p w:rsidR="0075777C" w:rsidRPr="00F05153" w:rsidRDefault="0075777C" w:rsidP="00C41039">
            <w:pPr>
              <w:pStyle w:val="Tabletext"/>
            </w:pPr>
          </w:p>
        </w:tc>
      </w:tr>
      <w:tr w:rsidR="0075777C" w:rsidRPr="00F05153" w:rsidTr="00AA08D3">
        <w:trPr>
          <w:trHeight w:val="70"/>
        </w:trPr>
        <w:tc>
          <w:tcPr>
            <w:tcW w:w="1413" w:type="dxa"/>
            <w:vMerge w:val="restart"/>
          </w:tcPr>
          <w:p w:rsidR="00AA08D3" w:rsidRPr="00F05153" w:rsidRDefault="0075777C" w:rsidP="00C41039">
            <w:pPr>
              <w:pStyle w:val="Tabletext"/>
              <w:rPr>
                <w:rFonts w:cs="Tahoma"/>
              </w:rPr>
            </w:pPr>
            <w:r w:rsidRPr="00F05153">
              <w:rPr>
                <w:rFonts w:cs="Tahoma"/>
              </w:rPr>
              <w:t>PATENT-1 CSR</w:t>
            </w:r>
          </w:p>
          <w:p w:rsidR="0075777C" w:rsidRPr="00F05153" w:rsidRDefault="00AA08D3" w:rsidP="00C41039">
            <w:pPr>
              <w:pStyle w:val="Tabletext"/>
              <w:rPr>
                <w:rFonts w:cs="Tahoma"/>
              </w:rPr>
            </w:pPr>
            <w:r w:rsidRPr="00F05153">
              <w:t>Riociguat</w:t>
            </w:r>
          </w:p>
        </w:tc>
        <w:tc>
          <w:tcPr>
            <w:tcW w:w="1984" w:type="dxa"/>
          </w:tcPr>
          <w:p w:rsidR="0075777C" w:rsidRPr="00F05153" w:rsidRDefault="0075777C" w:rsidP="00C41039">
            <w:pPr>
              <w:pStyle w:val="Tabletext"/>
              <w:rPr>
                <w:rFonts w:cs="Tahoma"/>
              </w:rPr>
            </w:pPr>
            <w:r w:rsidRPr="00F05153">
              <w:rPr>
                <w:rFonts w:cs="Tahoma"/>
              </w:rPr>
              <w:t>Improved</w:t>
            </w:r>
          </w:p>
        </w:tc>
        <w:tc>
          <w:tcPr>
            <w:tcW w:w="2339" w:type="dxa"/>
            <w:shd w:val="clear" w:color="auto" w:fill="auto"/>
          </w:tcPr>
          <w:p w:rsidR="0075777C" w:rsidRPr="002046A0" w:rsidRDefault="002046A0" w:rsidP="00C41039">
            <w:pPr>
              <w:pStyle w:val="Tabletext"/>
              <w:jc w:val="center"/>
              <w:rPr>
                <w:rFonts w:cs="Tahoma"/>
                <w:highlight w:val="black"/>
              </w:rPr>
            </w:pPr>
            <w:r>
              <w:rPr>
                <w:rFonts w:cs="Tahoma"/>
                <w:noProof/>
                <w:color w:val="000000"/>
                <w:highlight w:val="black"/>
              </w:rPr>
              <w:t>'''''''''''' ''''''''''''''''</w:t>
            </w:r>
          </w:p>
        </w:tc>
        <w:tc>
          <w:tcPr>
            <w:tcW w:w="2197" w:type="dxa"/>
            <w:shd w:val="clear" w:color="auto" w:fill="auto"/>
          </w:tcPr>
          <w:p w:rsidR="0075777C" w:rsidRPr="002046A0" w:rsidRDefault="002046A0" w:rsidP="00C41039">
            <w:pPr>
              <w:pStyle w:val="Tabletext"/>
              <w:jc w:val="center"/>
              <w:rPr>
                <w:rFonts w:cs="Tahoma"/>
                <w:highlight w:val="black"/>
              </w:rPr>
            </w:pPr>
            <w:r>
              <w:rPr>
                <w:rFonts w:cs="Tahoma"/>
                <w:noProof/>
                <w:color w:val="000000"/>
                <w:highlight w:val="black"/>
              </w:rPr>
              <w:t>'''''''' ''''''''''''''''</w:t>
            </w:r>
          </w:p>
        </w:tc>
        <w:tc>
          <w:tcPr>
            <w:tcW w:w="1701" w:type="dxa"/>
            <w:shd w:val="clear" w:color="auto" w:fill="auto"/>
          </w:tcPr>
          <w:p w:rsidR="0075777C" w:rsidRPr="002046A0" w:rsidRDefault="002046A0" w:rsidP="00C41039">
            <w:pPr>
              <w:pStyle w:val="Tabletext"/>
              <w:rPr>
                <w:rFonts w:cs="Tahoma"/>
                <w:highlight w:val="black"/>
              </w:rPr>
            </w:pPr>
            <w:r>
              <w:rPr>
                <w:rFonts w:cs="Tahoma"/>
                <w:noProof/>
                <w:color w:val="000000"/>
                <w:highlight w:val="black"/>
              </w:rPr>
              <w:t>'''''''''' '''''''''''''' ''''''''''''''</w:t>
            </w:r>
          </w:p>
        </w:tc>
      </w:tr>
      <w:tr w:rsidR="0075777C" w:rsidRPr="00F05153" w:rsidTr="00AA08D3">
        <w:trPr>
          <w:trHeight w:val="70"/>
        </w:trPr>
        <w:tc>
          <w:tcPr>
            <w:tcW w:w="1413" w:type="dxa"/>
            <w:vMerge/>
          </w:tcPr>
          <w:p w:rsidR="0075777C" w:rsidRPr="00F05153" w:rsidRDefault="0075777C" w:rsidP="00C41039">
            <w:pPr>
              <w:pStyle w:val="Tabletext"/>
              <w:rPr>
                <w:rFonts w:cs="Tahoma"/>
              </w:rPr>
            </w:pPr>
          </w:p>
        </w:tc>
        <w:tc>
          <w:tcPr>
            <w:tcW w:w="1984" w:type="dxa"/>
          </w:tcPr>
          <w:p w:rsidR="0075777C" w:rsidRPr="00F05153" w:rsidRDefault="0075777C" w:rsidP="00C41039">
            <w:pPr>
              <w:pStyle w:val="Tabletext"/>
              <w:rPr>
                <w:rFonts w:cs="Tahoma"/>
              </w:rPr>
            </w:pPr>
            <w:r w:rsidRPr="00F05153">
              <w:rPr>
                <w:rFonts w:cs="Tahoma"/>
              </w:rPr>
              <w:t>Worsened</w:t>
            </w:r>
          </w:p>
        </w:tc>
        <w:tc>
          <w:tcPr>
            <w:tcW w:w="2339" w:type="dxa"/>
            <w:shd w:val="clear" w:color="auto" w:fill="auto"/>
          </w:tcPr>
          <w:p w:rsidR="0075777C" w:rsidRPr="002046A0" w:rsidRDefault="002046A0" w:rsidP="00C41039">
            <w:pPr>
              <w:pStyle w:val="Tabletext"/>
              <w:jc w:val="center"/>
              <w:rPr>
                <w:rFonts w:cs="Tahoma"/>
                <w:highlight w:val="black"/>
              </w:rPr>
            </w:pPr>
            <w:r>
              <w:rPr>
                <w:rFonts w:cs="Tahoma"/>
                <w:noProof/>
                <w:color w:val="000000"/>
                <w:highlight w:val="black"/>
              </w:rPr>
              <w:t>''''''''''' '''''''''''</w:t>
            </w:r>
          </w:p>
        </w:tc>
        <w:tc>
          <w:tcPr>
            <w:tcW w:w="2197" w:type="dxa"/>
            <w:shd w:val="clear" w:color="auto" w:fill="auto"/>
          </w:tcPr>
          <w:p w:rsidR="0075777C" w:rsidRPr="002046A0" w:rsidRDefault="002046A0" w:rsidP="00C41039">
            <w:pPr>
              <w:pStyle w:val="Tabletext"/>
              <w:jc w:val="center"/>
              <w:rPr>
                <w:rFonts w:cs="Tahoma"/>
                <w:highlight w:val="black"/>
              </w:rPr>
            </w:pPr>
            <w:r>
              <w:rPr>
                <w:rFonts w:cs="Tahoma"/>
                <w:noProof/>
                <w:color w:val="000000"/>
                <w:highlight w:val="black"/>
              </w:rPr>
              <w:t>'''''''' '''''''''''''</w:t>
            </w:r>
          </w:p>
        </w:tc>
        <w:tc>
          <w:tcPr>
            <w:tcW w:w="1701" w:type="dxa"/>
            <w:shd w:val="clear" w:color="auto" w:fill="auto"/>
          </w:tcPr>
          <w:p w:rsidR="0075777C" w:rsidRPr="002046A0" w:rsidRDefault="002046A0" w:rsidP="00C41039">
            <w:pPr>
              <w:pStyle w:val="Tabletext"/>
              <w:rPr>
                <w:rFonts w:cs="Tahoma"/>
                <w:highlight w:val="black"/>
              </w:rPr>
            </w:pPr>
            <w:r>
              <w:rPr>
                <w:rFonts w:cs="Tahoma"/>
                <w:noProof/>
                <w:color w:val="000000"/>
                <w:highlight w:val="black"/>
              </w:rPr>
              <w:t>''' ''''''''''' ''''''''''''''''''''''''</w:t>
            </w:r>
          </w:p>
        </w:tc>
      </w:tr>
    </w:tbl>
    <w:p w:rsidR="0075777C" w:rsidRPr="00F05153" w:rsidRDefault="0075777C" w:rsidP="00C41039">
      <w:pPr>
        <w:pStyle w:val="Tablenote"/>
      </w:pPr>
      <w:r w:rsidRPr="00F05153">
        <w:t xml:space="preserve">CI = confidence interval; </w:t>
      </w:r>
      <w:r w:rsidR="008E565E" w:rsidRPr="00F05153">
        <w:t xml:space="preserve">CSR = clinical study report; </w:t>
      </w:r>
      <w:r w:rsidRPr="00F05153">
        <w:t xml:space="preserve">FC = functional class; n = number of </w:t>
      </w:r>
      <w:r w:rsidR="008E565E" w:rsidRPr="00F05153">
        <w:t xml:space="preserve">patients with </w:t>
      </w:r>
      <w:r w:rsidRPr="00F05153">
        <w:t xml:space="preserve">events; N = number of patients; PAH = pulmonary arterial hypertension; RR = relative risk; </w:t>
      </w:r>
      <w:r w:rsidR="009B47AA" w:rsidRPr="00F05153">
        <w:t xml:space="preserve">sGC = soluble guanylate cyclase; </w:t>
      </w:r>
      <w:r w:rsidRPr="00F05153">
        <w:t>WHO = World Health Organization</w:t>
      </w:r>
    </w:p>
    <w:p w:rsidR="0075777C" w:rsidRPr="00F05153" w:rsidRDefault="00761752" w:rsidP="0075777C">
      <w:pPr>
        <w:pStyle w:val="Heading5"/>
      </w:pPr>
      <w:r w:rsidRPr="00F05153">
        <w:t>e</w:t>
      </w:r>
      <w:r w:rsidR="002E4833" w:rsidRPr="00F05153">
        <w:t>.</w:t>
      </w:r>
      <w:r w:rsidRPr="00F05153">
        <w:tab/>
      </w:r>
      <w:r w:rsidR="0075777C" w:rsidRPr="00F05153">
        <w:t xml:space="preserve">Change in 6MWD from baseline </w:t>
      </w:r>
    </w:p>
    <w:p w:rsidR="0075777C" w:rsidRPr="00F05153" w:rsidRDefault="00761752" w:rsidP="0077344D">
      <w:pPr>
        <w:pStyle w:val="Heading6"/>
      </w:pPr>
      <w:proofErr w:type="gramStart"/>
      <w:r w:rsidRPr="00F05153">
        <w:t>e</w:t>
      </w:r>
      <w:r w:rsidR="0075777C" w:rsidRPr="00F05153">
        <w:t>.i</w:t>
      </w:r>
      <w:proofErr w:type="gramEnd"/>
      <w:r w:rsidR="0075777C" w:rsidRPr="00F05153">
        <w:tab/>
        <w:t>PAH patients, irrespective of disease severity or aetiology</w:t>
      </w:r>
    </w:p>
    <w:p w:rsidR="0075777C" w:rsidRPr="002046A0" w:rsidRDefault="0075777C" w:rsidP="00FB0A80">
      <w:pPr>
        <w:spacing w:before="0" w:line="240" w:lineRule="auto"/>
      </w:pPr>
      <w:r w:rsidRPr="00F05153">
        <w:t xml:space="preserve">There was </w:t>
      </w:r>
      <w:r w:rsidR="002046A0">
        <w:rPr>
          <w:noProof/>
          <w:color w:val="000000"/>
          <w:highlight w:val="black"/>
        </w:rPr>
        <w:t xml:space="preserve">''' ''''''''''''''''' ''''''''''''''''''''' '''''''''''''' </w:t>
      </w:r>
      <w:r w:rsidRPr="00F05153">
        <w:t>in 6MWD for patients receiving combination therapy (</w:t>
      </w:r>
      <w:r w:rsidR="00FB0A80" w:rsidRPr="00F05153">
        <w:t>Table 4.108</w:t>
      </w:r>
      <w:r w:rsidRPr="00F05153">
        <w:t xml:space="preserve">). </w:t>
      </w:r>
      <w:r w:rsidR="002046A0">
        <w:rPr>
          <w:noProof/>
          <w:color w:val="000000"/>
          <w:highlight w:val="black"/>
        </w:rPr>
        <w:t>'''''''' ''''''''''''''''''' ''''''''' ''' ''''''''''''''' ''''''''''''''''''''' ''''''''''''''''''</w:t>
      </w:r>
      <w:r w:rsidRPr="00F05153">
        <w:t xml:space="preserve"> in 6MWD for the monotherapy group. The mean difference between the combination therapy and monotherapy groups was </w:t>
      </w:r>
      <w:r w:rsidR="002046A0">
        <w:rPr>
          <w:noProof/>
          <w:color w:val="000000"/>
          <w:highlight w:val="black"/>
        </w:rPr>
        <w:t>''''''' '''''''''''''' '''''''''''''''''''''' '''''''' ''''''' '''''''' '''''' ''''''' '''''''''''''' ''''''''' '''''''''''' '''''''' ''''''' ''''''' ''''''''''''''' '''''''''''''''''''</w:t>
      </w:r>
    </w:p>
    <w:p w:rsidR="0075777C" w:rsidRPr="00F05153" w:rsidRDefault="00272F8F" w:rsidP="00BC5A2B">
      <w:pPr>
        <w:pStyle w:val="Caption"/>
      </w:pPr>
      <w:bookmarkStart w:id="309" w:name="_Ref505254142"/>
      <w:bookmarkStart w:id="310" w:name="_Toc38360405"/>
      <w:r w:rsidRPr="00F05153">
        <w:t>Table 4.</w:t>
      </w:r>
      <w:r w:rsidR="003951FA">
        <w:rPr>
          <w:noProof/>
        </w:rPr>
        <w:t>108</w:t>
      </w:r>
      <w:bookmarkEnd w:id="309"/>
      <w:r w:rsidR="00C41039" w:rsidRPr="00F05153">
        <w:tab/>
      </w:r>
      <w:r w:rsidR="0075777C" w:rsidRPr="00F05153">
        <w:t xml:space="preserve">The effectiveness of </w:t>
      </w:r>
      <w:r w:rsidR="00AA08D3" w:rsidRPr="00F05153">
        <w:t xml:space="preserve">a sGC stimulator </w:t>
      </w:r>
      <w:r w:rsidR="007E59EC" w:rsidRPr="00F05153">
        <w:rPr>
          <w:noProof/>
        </w:rPr>
        <w:t xml:space="preserve">in addition to a prostanoid compared with prostanoid monotherapy </w:t>
      </w:r>
      <w:r w:rsidR="0075777C" w:rsidRPr="00F05153">
        <w:t>in improving 6MWD in all PAH patients</w:t>
      </w:r>
      <w:bookmarkEnd w:id="310"/>
    </w:p>
    <w:tbl>
      <w:tblPr>
        <w:tblStyle w:val="TableGrid"/>
        <w:tblW w:w="9634" w:type="dxa"/>
        <w:tblLook w:val="04A0" w:firstRow="1" w:lastRow="0" w:firstColumn="1" w:lastColumn="0" w:noHBand="0" w:noVBand="1"/>
        <w:tblCaption w:val="The effectiveness of a sGC stimulator in addition to a prostanoid compared with prostanoid monotherapy in improving 6MWD in all PAH patients"/>
      </w:tblPr>
      <w:tblGrid>
        <w:gridCol w:w="1271"/>
        <w:gridCol w:w="992"/>
        <w:gridCol w:w="1524"/>
        <w:gridCol w:w="1524"/>
        <w:gridCol w:w="1524"/>
        <w:gridCol w:w="1524"/>
        <w:gridCol w:w="1275"/>
      </w:tblGrid>
      <w:tr w:rsidR="0075777C" w:rsidRPr="00F05153" w:rsidTr="00AA08D3">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75777C" w:rsidRPr="00F05153" w:rsidRDefault="0075777C" w:rsidP="00C41039">
            <w:pPr>
              <w:pStyle w:val="Tabletext"/>
              <w:rPr>
                <w:b/>
              </w:rPr>
            </w:pPr>
            <w:r w:rsidRPr="00F05153">
              <w:rPr>
                <w:b/>
              </w:rPr>
              <w:t>Study ID</w:t>
            </w:r>
          </w:p>
          <w:p w:rsidR="00AA08D3" w:rsidRPr="00F05153" w:rsidRDefault="00AA08D3" w:rsidP="00C41039">
            <w:pPr>
              <w:pStyle w:val="Tabletext"/>
              <w:rPr>
                <w:b/>
              </w:rPr>
            </w:pPr>
            <w:r w:rsidRPr="00F05153">
              <w:rPr>
                <w:b/>
              </w:rPr>
              <w:t>sGC stimulator</w:t>
            </w:r>
          </w:p>
        </w:tc>
        <w:tc>
          <w:tcPr>
            <w:tcW w:w="992" w:type="dxa"/>
            <w:vMerge w:val="restart"/>
            <w:shd w:val="clear" w:color="auto" w:fill="BFBFBF" w:themeFill="background1" w:themeFillShade="BF"/>
          </w:tcPr>
          <w:p w:rsidR="0075777C" w:rsidRPr="00F05153" w:rsidRDefault="0075777C" w:rsidP="00C41039">
            <w:pPr>
              <w:pStyle w:val="Tabletext"/>
              <w:rPr>
                <w:b/>
              </w:rPr>
            </w:pPr>
            <w:r w:rsidRPr="00F05153">
              <w:rPr>
                <w:b/>
              </w:rPr>
              <w:t>N</w:t>
            </w:r>
          </w:p>
          <w:p w:rsidR="0075777C" w:rsidRPr="00F05153" w:rsidRDefault="0075777C" w:rsidP="00C41039">
            <w:pPr>
              <w:pStyle w:val="Tabletext"/>
              <w:rPr>
                <w:b/>
              </w:rPr>
            </w:pPr>
            <w:r w:rsidRPr="00F05153">
              <w:rPr>
                <w:b/>
              </w:rPr>
              <w:t>Time point</w:t>
            </w:r>
          </w:p>
        </w:tc>
        <w:tc>
          <w:tcPr>
            <w:tcW w:w="3048" w:type="dxa"/>
            <w:gridSpan w:val="2"/>
            <w:shd w:val="clear" w:color="auto" w:fill="BFBFBF" w:themeFill="background1" w:themeFillShade="BF"/>
          </w:tcPr>
          <w:p w:rsidR="0075777C" w:rsidRPr="00F05153" w:rsidRDefault="001A599C" w:rsidP="001A599C">
            <w:pPr>
              <w:pStyle w:val="Tabletext"/>
              <w:jc w:val="center"/>
              <w:rPr>
                <w:b/>
              </w:rPr>
            </w:pPr>
            <w:r w:rsidRPr="00F05153">
              <w:rPr>
                <w:b/>
              </w:rPr>
              <w:t>Mean ± SD b</w:t>
            </w:r>
            <w:r w:rsidR="0075777C" w:rsidRPr="00F05153">
              <w:rPr>
                <w:b/>
              </w:rPr>
              <w:t>aseline</w:t>
            </w:r>
            <w:r w:rsidRPr="00F05153">
              <w:rPr>
                <w:b/>
              </w:rPr>
              <w:t xml:space="preserve"> 6MWD</w:t>
            </w:r>
            <w:r w:rsidR="0075777C" w:rsidRPr="00F05153">
              <w:rPr>
                <w:b/>
              </w:rPr>
              <w:t xml:space="preserve">, </w:t>
            </w:r>
            <w:r w:rsidR="00503643">
              <w:rPr>
                <w:b/>
              </w:rPr>
              <w:t>metres</w:t>
            </w:r>
          </w:p>
        </w:tc>
        <w:tc>
          <w:tcPr>
            <w:tcW w:w="3048" w:type="dxa"/>
            <w:gridSpan w:val="2"/>
            <w:shd w:val="clear" w:color="auto" w:fill="BFBFBF" w:themeFill="background1" w:themeFillShade="BF"/>
          </w:tcPr>
          <w:p w:rsidR="0075777C" w:rsidRPr="00F05153" w:rsidRDefault="0075777C" w:rsidP="001A599C">
            <w:pPr>
              <w:pStyle w:val="Tabletext"/>
              <w:jc w:val="center"/>
              <w:rPr>
                <w:b/>
              </w:rPr>
            </w:pPr>
            <w:r w:rsidRPr="00F05153">
              <w:rPr>
                <w:b/>
              </w:rPr>
              <w:t xml:space="preserve">Mean </w:t>
            </w:r>
            <w:r w:rsidR="001A599C" w:rsidRPr="00F05153">
              <w:rPr>
                <w:b/>
              </w:rPr>
              <w:t xml:space="preserve">± SD </w:t>
            </w:r>
            <w:r w:rsidRPr="00F05153">
              <w:rPr>
                <w:b/>
              </w:rPr>
              <w:t xml:space="preserve">change from baseline, </w:t>
            </w:r>
            <w:r w:rsidR="00503643">
              <w:rPr>
                <w:b/>
              </w:rPr>
              <w:t>metres</w:t>
            </w:r>
          </w:p>
        </w:tc>
        <w:tc>
          <w:tcPr>
            <w:tcW w:w="1275" w:type="dxa"/>
            <w:vMerge w:val="restart"/>
            <w:shd w:val="clear" w:color="auto" w:fill="BFBFBF" w:themeFill="background1" w:themeFillShade="BF"/>
          </w:tcPr>
          <w:p w:rsidR="0075777C" w:rsidRPr="00F05153" w:rsidRDefault="0075777C" w:rsidP="001A599C">
            <w:pPr>
              <w:pStyle w:val="Tabletext"/>
              <w:rPr>
                <w:b/>
              </w:rPr>
            </w:pPr>
            <w:r w:rsidRPr="00F05153">
              <w:rPr>
                <w:b/>
              </w:rPr>
              <w:t xml:space="preserve">Mean difference (95% CI), </w:t>
            </w:r>
            <w:r w:rsidR="00503643">
              <w:rPr>
                <w:b/>
              </w:rPr>
              <w:t>metres</w:t>
            </w:r>
          </w:p>
        </w:tc>
      </w:tr>
      <w:tr w:rsidR="0075777C" w:rsidRPr="00F05153" w:rsidTr="00AA08D3">
        <w:tc>
          <w:tcPr>
            <w:tcW w:w="1271" w:type="dxa"/>
            <w:vMerge/>
          </w:tcPr>
          <w:p w:rsidR="0075777C" w:rsidRPr="00F05153" w:rsidRDefault="0075777C" w:rsidP="00C41039">
            <w:pPr>
              <w:pStyle w:val="Tabletext"/>
            </w:pPr>
          </w:p>
        </w:tc>
        <w:tc>
          <w:tcPr>
            <w:tcW w:w="992" w:type="dxa"/>
            <w:vMerge/>
          </w:tcPr>
          <w:p w:rsidR="0075777C" w:rsidRPr="00F05153" w:rsidRDefault="0075777C" w:rsidP="00C41039">
            <w:pPr>
              <w:pStyle w:val="Tabletext"/>
            </w:pPr>
          </w:p>
        </w:tc>
        <w:tc>
          <w:tcPr>
            <w:tcW w:w="1524" w:type="dxa"/>
            <w:shd w:val="clear" w:color="auto" w:fill="BFBFBF" w:themeFill="background1" w:themeFillShade="BF"/>
          </w:tcPr>
          <w:p w:rsidR="0075777C" w:rsidRPr="00503643" w:rsidRDefault="00AA08D3" w:rsidP="00C41039">
            <w:pPr>
              <w:pStyle w:val="Tabletext"/>
              <w:jc w:val="center"/>
              <w:rPr>
                <w:b/>
                <w:sz w:val="18"/>
                <w:szCs w:val="18"/>
              </w:rPr>
            </w:pPr>
            <w:r w:rsidRPr="00503643">
              <w:rPr>
                <w:b/>
                <w:sz w:val="18"/>
                <w:szCs w:val="18"/>
              </w:rPr>
              <w:t xml:space="preserve">sGC stimulator </w:t>
            </w:r>
            <w:r w:rsidR="0075777C" w:rsidRPr="00503643">
              <w:rPr>
                <w:b/>
                <w:sz w:val="18"/>
                <w:szCs w:val="18"/>
              </w:rPr>
              <w:t>+ prostanoid</w:t>
            </w:r>
          </w:p>
        </w:tc>
        <w:tc>
          <w:tcPr>
            <w:tcW w:w="1524" w:type="dxa"/>
            <w:shd w:val="clear" w:color="auto" w:fill="BFBFBF" w:themeFill="background1" w:themeFillShade="BF"/>
          </w:tcPr>
          <w:p w:rsidR="0075777C" w:rsidRPr="00503643" w:rsidRDefault="00534ADA" w:rsidP="00534ADA">
            <w:pPr>
              <w:pStyle w:val="Tabletext"/>
              <w:jc w:val="center"/>
              <w:rPr>
                <w:b/>
                <w:sz w:val="18"/>
                <w:szCs w:val="18"/>
              </w:rPr>
            </w:pPr>
            <w:r w:rsidRPr="00503643">
              <w:rPr>
                <w:b/>
                <w:sz w:val="18"/>
                <w:szCs w:val="18"/>
              </w:rPr>
              <w:t>P</w:t>
            </w:r>
            <w:r w:rsidR="0075777C" w:rsidRPr="00503643">
              <w:rPr>
                <w:b/>
                <w:sz w:val="18"/>
                <w:szCs w:val="18"/>
              </w:rPr>
              <w:t>rostanoid</w:t>
            </w:r>
          </w:p>
        </w:tc>
        <w:tc>
          <w:tcPr>
            <w:tcW w:w="1524" w:type="dxa"/>
            <w:shd w:val="clear" w:color="auto" w:fill="BFBFBF" w:themeFill="background1" w:themeFillShade="BF"/>
          </w:tcPr>
          <w:p w:rsidR="0075777C" w:rsidRPr="00503643" w:rsidRDefault="00AA08D3" w:rsidP="00C41039">
            <w:pPr>
              <w:pStyle w:val="Tabletext"/>
              <w:jc w:val="center"/>
              <w:rPr>
                <w:b/>
                <w:sz w:val="18"/>
                <w:szCs w:val="18"/>
              </w:rPr>
            </w:pPr>
            <w:r w:rsidRPr="00503643">
              <w:rPr>
                <w:b/>
                <w:sz w:val="18"/>
                <w:szCs w:val="18"/>
              </w:rPr>
              <w:t xml:space="preserve">sGC stimulator </w:t>
            </w:r>
            <w:r w:rsidR="0075777C" w:rsidRPr="00503643">
              <w:rPr>
                <w:b/>
                <w:sz w:val="18"/>
                <w:szCs w:val="18"/>
              </w:rPr>
              <w:t>+ prostanoid</w:t>
            </w:r>
          </w:p>
        </w:tc>
        <w:tc>
          <w:tcPr>
            <w:tcW w:w="1524" w:type="dxa"/>
            <w:shd w:val="clear" w:color="auto" w:fill="BFBFBF" w:themeFill="background1" w:themeFillShade="BF"/>
          </w:tcPr>
          <w:p w:rsidR="0075777C" w:rsidRPr="00503643" w:rsidRDefault="0075777C" w:rsidP="00534ADA">
            <w:pPr>
              <w:pStyle w:val="Tabletext"/>
              <w:jc w:val="center"/>
              <w:rPr>
                <w:b/>
                <w:sz w:val="18"/>
                <w:szCs w:val="18"/>
              </w:rPr>
            </w:pPr>
            <w:r w:rsidRPr="00503643">
              <w:rPr>
                <w:b/>
                <w:sz w:val="18"/>
                <w:szCs w:val="18"/>
              </w:rPr>
              <w:t>Prostanoid</w:t>
            </w:r>
          </w:p>
        </w:tc>
        <w:tc>
          <w:tcPr>
            <w:tcW w:w="1275" w:type="dxa"/>
            <w:vMerge/>
          </w:tcPr>
          <w:p w:rsidR="0075777C" w:rsidRPr="00F05153" w:rsidRDefault="0075777C" w:rsidP="00C41039">
            <w:pPr>
              <w:pStyle w:val="Tabletext"/>
            </w:pPr>
          </w:p>
        </w:tc>
      </w:tr>
      <w:tr w:rsidR="0075777C" w:rsidRPr="00F05153" w:rsidTr="00AA08D3">
        <w:tc>
          <w:tcPr>
            <w:tcW w:w="1271" w:type="dxa"/>
          </w:tcPr>
          <w:p w:rsidR="0075777C" w:rsidRPr="00F05153" w:rsidRDefault="0075777C" w:rsidP="00C41039">
            <w:pPr>
              <w:pStyle w:val="Tabletext"/>
              <w:rPr>
                <w:rFonts w:cs="Tahoma"/>
              </w:rPr>
            </w:pPr>
            <w:r w:rsidRPr="00F05153">
              <w:rPr>
                <w:rFonts w:cs="Tahoma"/>
              </w:rPr>
              <w:t>PATENT-1 CSR</w:t>
            </w:r>
          </w:p>
          <w:p w:rsidR="00AA08D3" w:rsidRPr="00F05153" w:rsidRDefault="00AA08D3" w:rsidP="00C41039">
            <w:pPr>
              <w:pStyle w:val="Tabletext"/>
            </w:pPr>
            <w:r w:rsidRPr="00F05153">
              <w:t>Riociguat</w:t>
            </w:r>
          </w:p>
        </w:tc>
        <w:tc>
          <w:tcPr>
            <w:tcW w:w="992" w:type="dxa"/>
          </w:tcPr>
          <w:p w:rsidR="0075777C" w:rsidRPr="00F05153" w:rsidRDefault="0075777C" w:rsidP="00C41039">
            <w:pPr>
              <w:pStyle w:val="Tabletext"/>
              <w:rPr>
                <w:rFonts w:cs="Tahoma"/>
              </w:rPr>
            </w:pPr>
            <w:r w:rsidRPr="00F05153">
              <w:rPr>
                <w:rFonts w:cs="Tahoma"/>
              </w:rPr>
              <w:t>N=167</w:t>
            </w:r>
          </w:p>
          <w:p w:rsidR="0075777C" w:rsidRPr="00F05153" w:rsidRDefault="0075777C" w:rsidP="00C41039">
            <w:pPr>
              <w:pStyle w:val="Tabletext"/>
            </w:pPr>
            <w:r w:rsidRPr="00F05153">
              <w:rPr>
                <w:rFonts w:cs="Tahoma"/>
              </w:rPr>
              <w:t>Week 12</w:t>
            </w:r>
          </w:p>
        </w:tc>
        <w:tc>
          <w:tcPr>
            <w:tcW w:w="1524" w:type="dxa"/>
          </w:tcPr>
          <w:p w:rsidR="0075777C" w:rsidRPr="002046A0" w:rsidRDefault="002046A0" w:rsidP="00C41039">
            <w:pPr>
              <w:pStyle w:val="Tabletext"/>
              <w:jc w:val="center"/>
              <w:rPr>
                <w:highlight w:val="black"/>
              </w:rPr>
            </w:pPr>
            <w:r>
              <w:rPr>
                <w:rFonts w:cs="Tahoma"/>
                <w:noProof/>
                <w:color w:val="000000"/>
                <w:highlight w:val="black"/>
              </w:rPr>
              <w:t>''''''''''''' '''' '''''''''''</w:t>
            </w:r>
          </w:p>
        </w:tc>
        <w:tc>
          <w:tcPr>
            <w:tcW w:w="1524" w:type="dxa"/>
          </w:tcPr>
          <w:p w:rsidR="0075777C" w:rsidRPr="002046A0" w:rsidRDefault="002046A0" w:rsidP="00C41039">
            <w:pPr>
              <w:pStyle w:val="Tabletext"/>
              <w:jc w:val="center"/>
              <w:rPr>
                <w:highlight w:val="black"/>
              </w:rPr>
            </w:pPr>
            <w:r>
              <w:rPr>
                <w:rFonts w:cs="Tahoma"/>
                <w:noProof/>
                <w:color w:val="000000"/>
                <w:highlight w:val="black"/>
              </w:rPr>
              <w:t>''''''''''''''' ''' '''''''''''</w:t>
            </w:r>
          </w:p>
        </w:tc>
        <w:tc>
          <w:tcPr>
            <w:tcW w:w="1524" w:type="dxa"/>
          </w:tcPr>
          <w:p w:rsidR="0075777C" w:rsidRPr="002046A0" w:rsidRDefault="002046A0" w:rsidP="00C41039">
            <w:pPr>
              <w:pStyle w:val="Tabletext"/>
              <w:jc w:val="center"/>
              <w:rPr>
                <w:highlight w:val="black"/>
              </w:rPr>
            </w:pPr>
            <w:r>
              <w:rPr>
                <w:rFonts w:cs="Tahoma"/>
                <w:noProof/>
                <w:color w:val="000000"/>
                <w:highlight w:val="black"/>
              </w:rPr>
              <w:t>''''''''''' ''' '''''''''''</w:t>
            </w:r>
          </w:p>
        </w:tc>
        <w:tc>
          <w:tcPr>
            <w:tcW w:w="1524" w:type="dxa"/>
          </w:tcPr>
          <w:p w:rsidR="0075777C" w:rsidRPr="002046A0" w:rsidRDefault="002046A0" w:rsidP="00C41039">
            <w:pPr>
              <w:pStyle w:val="Tabletext"/>
              <w:jc w:val="center"/>
              <w:rPr>
                <w:highlight w:val="black"/>
              </w:rPr>
            </w:pPr>
            <w:r>
              <w:rPr>
                <w:rFonts w:cs="Tahoma"/>
                <w:noProof/>
                <w:color w:val="000000"/>
                <w:highlight w:val="black"/>
              </w:rPr>
              <w:t>'''''''''''''' ''' '''''''''''</w:t>
            </w:r>
          </w:p>
        </w:tc>
        <w:tc>
          <w:tcPr>
            <w:tcW w:w="1275" w:type="dxa"/>
          </w:tcPr>
          <w:p w:rsidR="0075777C" w:rsidRPr="002046A0" w:rsidRDefault="002046A0" w:rsidP="00C41039">
            <w:pPr>
              <w:pStyle w:val="Tabletext"/>
              <w:rPr>
                <w:rFonts w:cs="Tahoma"/>
                <w:highlight w:val="black"/>
              </w:rPr>
            </w:pPr>
            <w:r>
              <w:rPr>
                <w:rFonts w:cs="Tahoma"/>
                <w:noProof/>
                <w:color w:val="000000"/>
                <w:highlight w:val="black"/>
              </w:rPr>
              <w:t>''''''''''''''</w:t>
            </w:r>
          </w:p>
          <w:p w:rsidR="0075777C" w:rsidRPr="002046A0" w:rsidRDefault="002046A0" w:rsidP="00C41039">
            <w:pPr>
              <w:pStyle w:val="Tabletext"/>
              <w:rPr>
                <w:highlight w:val="black"/>
              </w:rPr>
            </w:pPr>
            <w:r>
              <w:rPr>
                <w:rFonts w:cs="Tahoma"/>
                <w:noProof/>
                <w:color w:val="000000"/>
                <w:highlight w:val="black"/>
              </w:rPr>
              <w:t>'''''''''''''' '''''''''''''''</w:t>
            </w:r>
          </w:p>
        </w:tc>
      </w:tr>
    </w:tbl>
    <w:p w:rsidR="0075777C" w:rsidRPr="00F05153" w:rsidRDefault="0075777C" w:rsidP="00C41039">
      <w:pPr>
        <w:pStyle w:val="Tablenote"/>
      </w:pPr>
      <w:r w:rsidRPr="00F05153">
        <w:t xml:space="preserve">6MWD = 6-minute </w:t>
      </w:r>
      <w:r w:rsidR="0082368E" w:rsidRPr="00F05153">
        <w:t>walk distance</w:t>
      </w:r>
      <w:r w:rsidRPr="00F05153">
        <w:t xml:space="preserve">; CI = confidence interval; </w:t>
      </w:r>
      <w:r w:rsidR="008E565E" w:rsidRPr="00F05153">
        <w:t xml:space="preserve">CSR = clinical study report; </w:t>
      </w:r>
      <w:r w:rsidRPr="00F05153">
        <w:t>N = number of patients; PAH = pulmonary arterial hypertension; SD = standard deviation</w:t>
      </w:r>
      <w:r w:rsidR="009B47AA" w:rsidRPr="00F05153">
        <w:t>; sGC = solub</w:t>
      </w:r>
      <w:r w:rsidR="00074B5F" w:rsidRPr="00F05153">
        <w:t xml:space="preserve">le guanylate cyclase </w:t>
      </w:r>
    </w:p>
    <w:p w:rsidR="0075777C" w:rsidRPr="00F05153" w:rsidRDefault="00761752" w:rsidP="00761752">
      <w:pPr>
        <w:pStyle w:val="Heading5"/>
      </w:pPr>
      <w:r w:rsidRPr="00F05153">
        <w:t>f</w:t>
      </w:r>
      <w:r w:rsidR="002E4833" w:rsidRPr="00F05153">
        <w:t>.</w:t>
      </w:r>
      <w:r w:rsidRPr="00F05153">
        <w:tab/>
        <w:t>Change in QoL from baseline</w:t>
      </w:r>
    </w:p>
    <w:p w:rsidR="0075777C" w:rsidRPr="00F05153" w:rsidRDefault="00761752" w:rsidP="0077344D">
      <w:pPr>
        <w:pStyle w:val="Heading6"/>
      </w:pPr>
      <w:proofErr w:type="gramStart"/>
      <w:r w:rsidRPr="00F05153">
        <w:t>f</w:t>
      </w:r>
      <w:r w:rsidR="0075777C" w:rsidRPr="00F05153">
        <w:t>.i</w:t>
      </w:r>
      <w:proofErr w:type="gramEnd"/>
      <w:r w:rsidR="0075777C" w:rsidRPr="00F05153">
        <w:tab/>
        <w:t>PAH patients, irrespective of disease severity or aetiology</w:t>
      </w:r>
    </w:p>
    <w:p w:rsidR="0075777C" w:rsidRPr="002046A0" w:rsidRDefault="0075777C" w:rsidP="00AA722D">
      <w:pPr>
        <w:spacing w:before="0" w:line="240" w:lineRule="auto"/>
      </w:pPr>
      <w:r w:rsidRPr="00F05153">
        <w:t xml:space="preserve">The mean scores for the EQ-5D questionnaire indicated that QoL </w:t>
      </w:r>
      <w:r w:rsidR="002046A0">
        <w:rPr>
          <w:noProof/>
          <w:color w:val="000000"/>
          <w:highlight w:val="black"/>
        </w:rPr>
        <w:t>''''''''''''''''' ''''' '' ''''''''''''''''</w:t>
      </w:r>
      <w:r w:rsidRPr="00F05153">
        <w:t xml:space="preserve"> </w:t>
      </w:r>
      <w:r w:rsidR="002046A0">
        <w:rPr>
          <w:noProof/>
          <w:color w:val="000000"/>
          <w:highlight w:val="black"/>
        </w:rPr>
        <w:t>''''''''''''''''' ''''''''''''</w:t>
      </w:r>
      <w:r w:rsidRPr="00F05153">
        <w:t xml:space="preserve"> for patients receiving combination therapy and </w:t>
      </w:r>
      <w:r w:rsidR="002046A0">
        <w:rPr>
          <w:noProof/>
          <w:color w:val="000000"/>
          <w:highlight w:val="black"/>
        </w:rPr>
        <w:t>''''''''''''''''''''' ''''' ''' '''''''''''''''''</w:t>
      </w:r>
      <w:r w:rsidRPr="00F05153">
        <w:t xml:space="preserve"> </w:t>
      </w:r>
      <w:r w:rsidR="002046A0">
        <w:rPr>
          <w:noProof/>
          <w:color w:val="000000"/>
          <w:highlight w:val="black"/>
        </w:rPr>
        <w:t>''''''''''''''''''' '''''''''</w:t>
      </w:r>
      <w:r w:rsidRPr="00F05153">
        <w:t xml:space="preserve"> for patients receiving monotherapy </w:t>
      </w:r>
      <w:r w:rsidR="00AA722D" w:rsidRPr="00F05153">
        <w:t>(Table 4.109</w:t>
      </w:r>
      <w:r w:rsidRPr="00F05153">
        <w:t xml:space="preserve">). The mean difference </w:t>
      </w:r>
      <w:r w:rsidR="002046A0">
        <w:rPr>
          <w:noProof/>
          <w:color w:val="000000"/>
          <w:highlight w:val="black"/>
        </w:rPr>
        <w:t>''''' '''''''''''</w:t>
      </w:r>
      <w:r w:rsidRPr="00F05153">
        <w:t xml:space="preserve"> suggests that </w:t>
      </w:r>
      <w:r w:rsidR="002046A0">
        <w:rPr>
          <w:noProof/>
          <w:color w:val="000000"/>
          <w:highlight w:val="black"/>
        </w:rPr>
        <w:t>''''''''''' '''' ''' ''''''''''''''''' ''''''''''''''''''' ''''''''''''''''''''''''' '''' ''''''''</w:t>
      </w:r>
      <w:r w:rsidRPr="00F05153">
        <w:t xml:space="preserve"> for patients receiving </w:t>
      </w:r>
      <w:r w:rsidR="002046A0">
        <w:rPr>
          <w:noProof/>
          <w:color w:val="000000"/>
          <w:highlight w:val="black"/>
        </w:rPr>
        <w:t>''''''' '''''''''''''''''' ''''''' '''''''''''''''''''' '''''''''''''''''''''''' '''''''''''''''' ''''''''' '''''''''''''''''''' '''''''''''''''''''''''''</w:t>
      </w:r>
      <w:r w:rsidRPr="00F05153">
        <w:t xml:space="preserve">. According to the LPH scores, there was </w:t>
      </w:r>
      <w:r w:rsidR="002046A0">
        <w:rPr>
          <w:noProof/>
          <w:color w:val="000000"/>
          <w:highlight w:val="black"/>
        </w:rPr>
        <w:t>''' '''''''''''''''' '''''''''''''''''' '''''''''''''''''''''''''''</w:t>
      </w:r>
      <w:r w:rsidRPr="00F05153">
        <w:t xml:space="preserve"> in QoL for the combination therapy group, </w:t>
      </w:r>
      <w:r w:rsidR="002046A0">
        <w:rPr>
          <w:noProof/>
          <w:color w:val="000000"/>
          <w:highlight w:val="black"/>
        </w:rPr>
        <w:t>''''''' ''''''</w:t>
      </w:r>
      <w:r w:rsidRPr="00F05153">
        <w:t xml:space="preserve"> the monotherapy group and the difference between them </w:t>
      </w:r>
      <w:r w:rsidR="002046A0">
        <w:rPr>
          <w:noProof/>
          <w:color w:val="000000"/>
          <w:highlight w:val="black"/>
        </w:rPr>
        <w:t>'''''''' '''''' ''''''''''''''''' '''''''''''''''''''</w:t>
      </w:r>
    </w:p>
    <w:p w:rsidR="0075777C" w:rsidRPr="00F05153" w:rsidRDefault="00272F8F" w:rsidP="00BC5A2B">
      <w:pPr>
        <w:pStyle w:val="Caption"/>
      </w:pPr>
      <w:bookmarkStart w:id="311" w:name="_Ref505084382"/>
      <w:bookmarkStart w:id="312" w:name="_Toc38360406"/>
      <w:r w:rsidRPr="00F05153">
        <w:t>Table 4.</w:t>
      </w:r>
      <w:r w:rsidR="003951FA">
        <w:rPr>
          <w:noProof/>
        </w:rPr>
        <w:t>109</w:t>
      </w:r>
      <w:bookmarkEnd w:id="311"/>
      <w:r w:rsidR="00C41039" w:rsidRPr="00F05153">
        <w:tab/>
      </w:r>
      <w:r w:rsidR="0075777C" w:rsidRPr="00F05153">
        <w:t xml:space="preserve">The effectiveness of </w:t>
      </w:r>
      <w:r w:rsidR="001A599C" w:rsidRPr="00F05153">
        <w:t xml:space="preserve">a sGC stimulator </w:t>
      </w:r>
      <w:r w:rsidR="007E59EC" w:rsidRPr="00F05153">
        <w:rPr>
          <w:noProof/>
        </w:rPr>
        <w:t>in addition to a prostanoid compared with prostanoid monotherapy</w:t>
      </w:r>
      <w:r w:rsidR="0075777C" w:rsidRPr="00F05153">
        <w:t xml:space="preserve"> in improving QoL in all PAH patients</w:t>
      </w:r>
      <w:bookmarkEnd w:id="312"/>
    </w:p>
    <w:tbl>
      <w:tblPr>
        <w:tblStyle w:val="TableGrid"/>
        <w:tblW w:w="9634" w:type="dxa"/>
        <w:tblLook w:val="04A0" w:firstRow="1" w:lastRow="0" w:firstColumn="1" w:lastColumn="0" w:noHBand="0" w:noVBand="1"/>
        <w:tblCaption w:val="The effectiveness of a sGC stimulator in addition to a prostanoid compared with prostanoid monotherapy in improving QoL in all PAH patients"/>
      </w:tblPr>
      <w:tblGrid>
        <w:gridCol w:w="1081"/>
        <w:gridCol w:w="751"/>
        <w:gridCol w:w="1906"/>
        <w:gridCol w:w="1406"/>
        <w:gridCol w:w="1814"/>
        <w:gridCol w:w="1407"/>
        <w:gridCol w:w="1269"/>
      </w:tblGrid>
      <w:tr w:rsidR="0075777C" w:rsidRPr="00F05153" w:rsidTr="00C41039">
        <w:trPr>
          <w:cnfStyle w:val="100000000000" w:firstRow="1" w:lastRow="0" w:firstColumn="0" w:lastColumn="0" w:oddVBand="0" w:evenVBand="0" w:oddHBand="0" w:evenHBand="0" w:firstRowFirstColumn="0" w:firstRowLastColumn="0" w:lastRowFirstColumn="0" w:lastRowLastColumn="0"/>
        </w:trPr>
        <w:tc>
          <w:tcPr>
            <w:tcW w:w="988" w:type="dxa"/>
            <w:vMerge w:val="restart"/>
            <w:shd w:val="clear" w:color="auto" w:fill="BFBFBF" w:themeFill="background1" w:themeFillShade="BF"/>
          </w:tcPr>
          <w:p w:rsidR="0075777C" w:rsidRPr="00F05153" w:rsidRDefault="0075777C" w:rsidP="00C41039">
            <w:pPr>
              <w:pStyle w:val="Tabletext"/>
              <w:rPr>
                <w:b/>
              </w:rPr>
            </w:pPr>
            <w:r w:rsidRPr="00F05153">
              <w:rPr>
                <w:b/>
              </w:rPr>
              <w:t>Study ID</w:t>
            </w:r>
          </w:p>
          <w:p w:rsidR="001A599C" w:rsidRPr="00F05153" w:rsidRDefault="001A599C" w:rsidP="00C41039">
            <w:pPr>
              <w:pStyle w:val="Tabletext"/>
              <w:rPr>
                <w:b/>
              </w:rPr>
            </w:pPr>
            <w:r w:rsidRPr="00F05153">
              <w:rPr>
                <w:b/>
              </w:rPr>
              <w:t>sGC stimulator</w:t>
            </w:r>
          </w:p>
        </w:tc>
        <w:tc>
          <w:tcPr>
            <w:tcW w:w="754" w:type="dxa"/>
            <w:vMerge w:val="restart"/>
            <w:shd w:val="clear" w:color="auto" w:fill="BFBFBF" w:themeFill="background1" w:themeFillShade="BF"/>
          </w:tcPr>
          <w:p w:rsidR="0075777C" w:rsidRPr="00F05153" w:rsidRDefault="0075777C" w:rsidP="00C41039">
            <w:pPr>
              <w:pStyle w:val="Tabletext"/>
              <w:rPr>
                <w:b/>
              </w:rPr>
            </w:pPr>
            <w:r w:rsidRPr="00F05153">
              <w:rPr>
                <w:b/>
              </w:rPr>
              <w:t>N</w:t>
            </w:r>
          </w:p>
          <w:p w:rsidR="0075777C" w:rsidRPr="00F05153" w:rsidRDefault="0075777C" w:rsidP="00C41039">
            <w:pPr>
              <w:pStyle w:val="Tabletext"/>
              <w:rPr>
                <w:b/>
              </w:rPr>
            </w:pPr>
            <w:r w:rsidRPr="00F05153">
              <w:rPr>
                <w:b/>
              </w:rPr>
              <w:t>Time point</w:t>
            </w:r>
          </w:p>
        </w:tc>
        <w:tc>
          <w:tcPr>
            <w:tcW w:w="3356" w:type="dxa"/>
            <w:gridSpan w:val="2"/>
            <w:shd w:val="clear" w:color="auto" w:fill="BFBFBF" w:themeFill="background1" w:themeFillShade="BF"/>
          </w:tcPr>
          <w:p w:rsidR="0075777C" w:rsidRPr="00F05153" w:rsidRDefault="001A599C" w:rsidP="001A599C">
            <w:pPr>
              <w:pStyle w:val="Tabletext"/>
              <w:jc w:val="center"/>
              <w:rPr>
                <w:b/>
              </w:rPr>
            </w:pPr>
            <w:r w:rsidRPr="00F05153">
              <w:rPr>
                <w:b/>
              </w:rPr>
              <w:t>Mean ± SD b</w:t>
            </w:r>
            <w:r w:rsidR="0075777C" w:rsidRPr="00F05153">
              <w:rPr>
                <w:b/>
              </w:rPr>
              <w:t>aseline QoL</w:t>
            </w:r>
          </w:p>
        </w:tc>
        <w:tc>
          <w:tcPr>
            <w:tcW w:w="3261" w:type="dxa"/>
            <w:gridSpan w:val="2"/>
            <w:shd w:val="clear" w:color="auto" w:fill="BFBFBF" w:themeFill="background1" w:themeFillShade="BF"/>
          </w:tcPr>
          <w:p w:rsidR="0075777C" w:rsidRPr="00F05153" w:rsidRDefault="0075777C" w:rsidP="001A599C">
            <w:pPr>
              <w:pStyle w:val="Tabletext"/>
              <w:jc w:val="center"/>
              <w:rPr>
                <w:b/>
              </w:rPr>
            </w:pPr>
            <w:r w:rsidRPr="00F05153">
              <w:rPr>
                <w:b/>
              </w:rPr>
              <w:t>Mean</w:t>
            </w:r>
            <w:r w:rsidR="001A599C" w:rsidRPr="00F05153">
              <w:rPr>
                <w:b/>
              </w:rPr>
              <w:t xml:space="preserve"> ± SD</w:t>
            </w:r>
            <w:r w:rsidRPr="00F05153">
              <w:rPr>
                <w:b/>
              </w:rPr>
              <w:t xml:space="preserve"> change from baseline </w:t>
            </w:r>
          </w:p>
        </w:tc>
        <w:tc>
          <w:tcPr>
            <w:tcW w:w="1275" w:type="dxa"/>
            <w:vMerge w:val="restart"/>
            <w:shd w:val="clear" w:color="auto" w:fill="BFBFBF" w:themeFill="background1" w:themeFillShade="BF"/>
          </w:tcPr>
          <w:p w:rsidR="0075777C" w:rsidRPr="00F05153" w:rsidRDefault="0075777C" w:rsidP="00C41039">
            <w:pPr>
              <w:pStyle w:val="Tabletext"/>
              <w:rPr>
                <w:b/>
              </w:rPr>
            </w:pPr>
            <w:r w:rsidRPr="00F05153">
              <w:rPr>
                <w:b/>
              </w:rPr>
              <w:t>Mean difference</w:t>
            </w:r>
            <w:r w:rsidR="001A599C" w:rsidRPr="00F05153">
              <w:rPr>
                <w:b/>
              </w:rPr>
              <w:t>, points</w:t>
            </w:r>
            <w:r w:rsidRPr="00F05153">
              <w:rPr>
                <w:b/>
              </w:rPr>
              <w:t xml:space="preserve"> (95% CI)</w:t>
            </w:r>
          </w:p>
        </w:tc>
      </w:tr>
      <w:tr w:rsidR="0075777C" w:rsidRPr="00F05153" w:rsidTr="00C41039">
        <w:tc>
          <w:tcPr>
            <w:tcW w:w="988" w:type="dxa"/>
            <w:vMerge/>
          </w:tcPr>
          <w:p w:rsidR="0075777C" w:rsidRPr="00F05153" w:rsidRDefault="0075777C" w:rsidP="00C41039">
            <w:pPr>
              <w:pStyle w:val="Tabletext"/>
            </w:pPr>
          </w:p>
        </w:tc>
        <w:tc>
          <w:tcPr>
            <w:tcW w:w="754" w:type="dxa"/>
            <w:vMerge/>
          </w:tcPr>
          <w:p w:rsidR="0075777C" w:rsidRPr="00F05153" w:rsidRDefault="0075777C" w:rsidP="00C41039">
            <w:pPr>
              <w:pStyle w:val="Tabletext"/>
            </w:pPr>
          </w:p>
        </w:tc>
        <w:tc>
          <w:tcPr>
            <w:tcW w:w="1939" w:type="dxa"/>
            <w:shd w:val="clear" w:color="auto" w:fill="BFBFBF" w:themeFill="background1" w:themeFillShade="BF"/>
          </w:tcPr>
          <w:p w:rsidR="0075777C" w:rsidRPr="00F05153" w:rsidRDefault="001A599C" w:rsidP="001A599C">
            <w:pPr>
              <w:pStyle w:val="Tabletext"/>
              <w:jc w:val="center"/>
              <w:rPr>
                <w:b/>
              </w:rPr>
            </w:pPr>
            <w:r w:rsidRPr="00F05153">
              <w:rPr>
                <w:b/>
              </w:rPr>
              <w:t xml:space="preserve">sGC stimulator </w:t>
            </w:r>
            <w:r w:rsidR="0075777C" w:rsidRPr="00F05153">
              <w:rPr>
                <w:b/>
              </w:rPr>
              <w:t>+ prostanoid</w:t>
            </w:r>
          </w:p>
        </w:tc>
        <w:tc>
          <w:tcPr>
            <w:tcW w:w="1417" w:type="dxa"/>
            <w:shd w:val="clear" w:color="auto" w:fill="BFBFBF" w:themeFill="background1" w:themeFillShade="BF"/>
          </w:tcPr>
          <w:p w:rsidR="0075777C" w:rsidRPr="00F05153" w:rsidRDefault="0075777C" w:rsidP="00534ADA">
            <w:pPr>
              <w:pStyle w:val="Tabletext"/>
              <w:jc w:val="center"/>
              <w:rPr>
                <w:b/>
              </w:rPr>
            </w:pPr>
            <w:r w:rsidRPr="00F05153">
              <w:rPr>
                <w:b/>
              </w:rPr>
              <w:t>Prostanoid</w:t>
            </w:r>
          </w:p>
        </w:tc>
        <w:tc>
          <w:tcPr>
            <w:tcW w:w="1843" w:type="dxa"/>
            <w:shd w:val="clear" w:color="auto" w:fill="BFBFBF" w:themeFill="background1" w:themeFillShade="BF"/>
          </w:tcPr>
          <w:p w:rsidR="0075777C" w:rsidRPr="00F05153" w:rsidRDefault="001A599C" w:rsidP="001A599C">
            <w:pPr>
              <w:pStyle w:val="Tabletext"/>
              <w:jc w:val="center"/>
              <w:rPr>
                <w:b/>
              </w:rPr>
            </w:pPr>
            <w:r w:rsidRPr="00F05153">
              <w:rPr>
                <w:b/>
              </w:rPr>
              <w:t xml:space="preserve">sGC stimulator + </w:t>
            </w:r>
            <w:r w:rsidR="0075777C" w:rsidRPr="00F05153">
              <w:rPr>
                <w:b/>
              </w:rPr>
              <w:t>prostanoid</w:t>
            </w:r>
          </w:p>
        </w:tc>
        <w:tc>
          <w:tcPr>
            <w:tcW w:w="1418" w:type="dxa"/>
            <w:shd w:val="clear" w:color="auto" w:fill="BFBFBF" w:themeFill="background1" w:themeFillShade="BF"/>
          </w:tcPr>
          <w:p w:rsidR="0075777C" w:rsidRPr="00F05153" w:rsidRDefault="001A599C" w:rsidP="00534ADA">
            <w:pPr>
              <w:pStyle w:val="Tabletext"/>
              <w:jc w:val="center"/>
              <w:rPr>
                <w:b/>
              </w:rPr>
            </w:pPr>
            <w:r w:rsidRPr="00F05153">
              <w:rPr>
                <w:b/>
              </w:rPr>
              <w:t>P</w:t>
            </w:r>
            <w:r w:rsidR="0075777C" w:rsidRPr="00F05153">
              <w:rPr>
                <w:b/>
              </w:rPr>
              <w:t>rostanoid</w:t>
            </w:r>
          </w:p>
        </w:tc>
        <w:tc>
          <w:tcPr>
            <w:tcW w:w="1275" w:type="dxa"/>
            <w:vMerge/>
          </w:tcPr>
          <w:p w:rsidR="0075777C" w:rsidRPr="00F05153" w:rsidRDefault="0075777C" w:rsidP="00C41039">
            <w:pPr>
              <w:pStyle w:val="Tabletext"/>
            </w:pPr>
          </w:p>
        </w:tc>
      </w:tr>
      <w:tr w:rsidR="0075777C" w:rsidRPr="00F05153" w:rsidTr="00C41039">
        <w:tc>
          <w:tcPr>
            <w:tcW w:w="988" w:type="dxa"/>
          </w:tcPr>
          <w:p w:rsidR="0075777C" w:rsidRPr="00F05153" w:rsidRDefault="0075777C" w:rsidP="00C41039">
            <w:pPr>
              <w:pStyle w:val="Tabletext"/>
              <w:rPr>
                <w:rFonts w:cs="Tahoma"/>
              </w:rPr>
            </w:pPr>
            <w:r w:rsidRPr="00F05153">
              <w:rPr>
                <w:rFonts w:cs="Tahoma"/>
              </w:rPr>
              <w:t>PATENT-1 CSR</w:t>
            </w:r>
          </w:p>
          <w:p w:rsidR="001A599C" w:rsidRPr="00F05153" w:rsidRDefault="001A599C" w:rsidP="00C41039">
            <w:pPr>
              <w:pStyle w:val="Tabletext"/>
            </w:pPr>
            <w:r w:rsidRPr="00F05153">
              <w:t>Riociguat</w:t>
            </w:r>
          </w:p>
        </w:tc>
        <w:tc>
          <w:tcPr>
            <w:tcW w:w="754" w:type="dxa"/>
          </w:tcPr>
          <w:p w:rsidR="0075777C" w:rsidRPr="00F05153" w:rsidRDefault="0075777C" w:rsidP="00C41039">
            <w:pPr>
              <w:pStyle w:val="Tabletext"/>
              <w:rPr>
                <w:rFonts w:cs="Tahoma"/>
              </w:rPr>
            </w:pPr>
            <w:r w:rsidRPr="00F05153">
              <w:rPr>
                <w:rFonts w:cs="Tahoma"/>
              </w:rPr>
              <w:t>N=167</w:t>
            </w:r>
          </w:p>
          <w:p w:rsidR="0075777C" w:rsidRPr="00F05153" w:rsidRDefault="0075777C" w:rsidP="00C41039">
            <w:pPr>
              <w:pStyle w:val="Tabletext"/>
            </w:pPr>
            <w:r w:rsidRPr="00F05153">
              <w:rPr>
                <w:rFonts w:cs="Tahoma"/>
              </w:rPr>
              <w:t>Week 12</w:t>
            </w:r>
          </w:p>
        </w:tc>
        <w:tc>
          <w:tcPr>
            <w:tcW w:w="1939" w:type="dxa"/>
          </w:tcPr>
          <w:p w:rsidR="0075777C" w:rsidRPr="002046A0" w:rsidRDefault="002046A0" w:rsidP="00C41039">
            <w:pPr>
              <w:pStyle w:val="Tabletext"/>
              <w:rPr>
                <w:highlight w:val="black"/>
              </w:rPr>
            </w:pPr>
            <w:r>
              <w:rPr>
                <w:noProof/>
                <w:color w:val="000000"/>
                <w:highlight w:val="black"/>
              </w:rPr>
              <w:t>''''''''''''''''''''' '''''''''''' ''' ''''''''''''''</w:t>
            </w:r>
          </w:p>
          <w:p w:rsidR="0075777C" w:rsidRPr="002046A0" w:rsidRDefault="002046A0" w:rsidP="00C41039">
            <w:pPr>
              <w:pStyle w:val="Tabletext"/>
              <w:rPr>
                <w:highlight w:val="black"/>
              </w:rPr>
            </w:pPr>
            <w:r>
              <w:rPr>
                <w:noProof/>
                <w:color w:val="000000"/>
                <w:highlight w:val="black"/>
              </w:rPr>
              <w:t>''''''''''''' '''''''''' ''' ''''''''''''</w:t>
            </w:r>
          </w:p>
        </w:tc>
        <w:tc>
          <w:tcPr>
            <w:tcW w:w="1417" w:type="dxa"/>
          </w:tcPr>
          <w:p w:rsidR="0075777C" w:rsidRPr="002046A0" w:rsidRDefault="002046A0" w:rsidP="00C41039">
            <w:pPr>
              <w:pStyle w:val="Tabletext"/>
              <w:rPr>
                <w:highlight w:val="black"/>
              </w:rPr>
            </w:pPr>
            <w:r>
              <w:rPr>
                <w:noProof/>
                <w:color w:val="000000"/>
                <w:highlight w:val="black"/>
              </w:rPr>
              <w:t>''''''''''''' ''' ''''''''''''''</w:t>
            </w:r>
          </w:p>
          <w:p w:rsidR="0075777C" w:rsidRPr="002046A0" w:rsidRDefault="002046A0" w:rsidP="00C41039">
            <w:pPr>
              <w:pStyle w:val="Tabletext"/>
              <w:rPr>
                <w:highlight w:val="black"/>
              </w:rPr>
            </w:pPr>
            <w:r>
              <w:rPr>
                <w:noProof/>
                <w:color w:val="000000"/>
                <w:highlight w:val="black"/>
              </w:rPr>
              <w:t>''''''''' '''' ''''''''''</w:t>
            </w:r>
          </w:p>
        </w:tc>
        <w:tc>
          <w:tcPr>
            <w:tcW w:w="1843" w:type="dxa"/>
          </w:tcPr>
          <w:p w:rsidR="0075777C" w:rsidRPr="002046A0" w:rsidRDefault="002046A0" w:rsidP="00C41039">
            <w:pPr>
              <w:pStyle w:val="Tabletext"/>
              <w:rPr>
                <w:highlight w:val="black"/>
              </w:rPr>
            </w:pPr>
            <w:r>
              <w:rPr>
                <w:noProof/>
                <w:color w:val="000000"/>
                <w:highlight w:val="black"/>
              </w:rPr>
              <w:t>''''''''''''''''''' ''''''''''''' ''' ''''''''''''</w:t>
            </w:r>
          </w:p>
          <w:p w:rsidR="0075777C" w:rsidRPr="002046A0" w:rsidRDefault="002046A0" w:rsidP="00C41039">
            <w:pPr>
              <w:pStyle w:val="Tabletext"/>
              <w:rPr>
                <w:highlight w:val="black"/>
              </w:rPr>
            </w:pPr>
            <w:r>
              <w:rPr>
                <w:noProof/>
                <w:color w:val="000000"/>
                <w:highlight w:val="black"/>
              </w:rPr>
              <w:t>'''''''''''' ''''''''' ''' '''''''''''</w:t>
            </w:r>
          </w:p>
        </w:tc>
        <w:tc>
          <w:tcPr>
            <w:tcW w:w="1418" w:type="dxa"/>
          </w:tcPr>
          <w:p w:rsidR="0075777C" w:rsidRPr="002046A0" w:rsidRDefault="0075777C" w:rsidP="00C41039">
            <w:pPr>
              <w:pStyle w:val="Tabletext"/>
            </w:pPr>
            <w:r w:rsidRPr="00F05153">
              <w:t>–</w:t>
            </w:r>
            <w:r w:rsidR="002046A0">
              <w:rPr>
                <w:noProof/>
                <w:color w:val="000000"/>
                <w:highlight w:val="black"/>
              </w:rPr>
              <w:t>''''''''''''' ''' ''''''''''''''</w:t>
            </w:r>
          </w:p>
          <w:p w:rsidR="0075777C" w:rsidRPr="002046A0" w:rsidRDefault="002046A0" w:rsidP="00C41039">
            <w:pPr>
              <w:pStyle w:val="Tabletext"/>
              <w:rPr>
                <w:highlight w:val="black"/>
              </w:rPr>
            </w:pPr>
            <w:r>
              <w:rPr>
                <w:noProof/>
                <w:color w:val="000000"/>
                <w:highlight w:val="black"/>
              </w:rPr>
              <w:t>'''''''''' ''' ''''''''''</w:t>
            </w:r>
          </w:p>
        </w:tc>
        <w:tc>
          <w:tcPr>
            <w:tcW w:w="1275" w:type="dxa"/>
          </w:tcPr>
          <w:p w:rsidR="0075777C" w:rsidRPr="002046A0" w:rsidRDefault="002046A0" w:rsidP="00C41039">
            <w:pPr>
              <w:pStyle w:val="Tabletext"/>
              <w:rPr>
                <w:highlight w:val="black"/>
              </w:rPr>
            </w:pPr>
            <w:r>
              <w:rPr>
                <w:noProof/>
                <w:color w:val="000000"/>
                <w:highlight w:val="black"/>
              </w:rPr>
              <w:t>''''''''''''''''' ''''''''''''</w:t>
            </w:r>
          </w:p>
          <w:p w:rsidR="0075777C" w:rsidRPr="002046A0" w:rsidRDefault="002046A0" w:rsidP="00B64E57">
            <w:pPr>
              <w:pStyle w:val="Tabletext"/>
              <w:rPr>
                <w:highlight w:val="black"/>
              </w:rPr>
            </w:pPr>
            <w:r>
              <w:rPr>
                <w:noProof/>
                <w:color w:val="000000"/>
                <w:highlight w:val="black"/>
              </w:rPr>
              <w:t>''''''''''' ''''''''''</w:t>
            </w:r>
          </w:p>
        </w:tc>
      </w:tr>
    </w:tbl>
    <w:p w:rsidR="0017449B" w:rsidRPr="00F05153" w:rsidRDefault="0017449B" w:rsidP="0017449B">
      <w:pPr>
        <w:pStyle w:val="Tablenote"/>
      </w:pPr>
      <w:proofErr w:type="gramStart"/>
      <w:r w:rsidRPr="00F05153">
        <w:rPr>
          <w:vertAlign w:val="superscript"/>
        </w:rPr>
        <w:t>a</w:t>
      </w:r>
      <w:proofErr w:type="gramEnd"/>
      <w:r w:rsidRPr="00F05153">
        <w:rPr>
          <w:vertAlign w:val="superscript"/>
        </w:rPr>
        <w:t xml:space="preserve"> </w:t>
      </w:r>
      <w:r w:rsidRPr="00F05153">
        <w:t>EQ-5D utility scores range from −0.59 to 1.00. A higher score represents better QoL.</w:t>
      </w:r>
    </w:p>
    <w:p w:rsidR="0017449B" w:rsidRPr="00F05153" w:rsidRDefault="0017449B" w:rsidP="0017449B">
      <w:pPr>
        <w:pStyle w:val="Tablenote"/>
      </w:pPr>
      <w:proofErr w:type="gramStart"/>
      <w:r w:rsidRPr="00F05153">
        <w:rPr>
          <w:vertAlign w:val="superscript"/>
        </w:rPr>
        <w:t>b</w:t>
      </w:r>
      <w:proofErr w:type="gramEnd"/>
      <w:r w:rsidRPr="00F05153">
        <w:rPr>
          <w:vertAlign w:val="superscript"/>
        </w:rPr>
        <w:t xml:space="preserve"> </w:t>
      </w:r>
      <w:r w:rsidRPr="00F05153">
        <w:t>LPH total scores range from 0 to 105. A higher score indicates poorer QoL.</w:t>
      </w:r>
    </w:p>
    <w:p w:rsidR="0075777C" w:rsidRPr="00F05153" w:rsidRDefault="0075777C" w:rsidP="00C41039">
      <w:pPr>
        <w:pStyle w:val="Tablenote"/>
      </w:pPr>
      <w:r w:rsidRPr="00F05153">
        <w:t xml:space="preserve">CI = confidence interval; </w:t>
      </w:r>
      <w:r w:rsidR="00121EF0" w:rsidRPr="00F05153">
        <w:t xml:space="preserve">CSR = clinical study report; </w:t>
      </w:r>
      <w:r w:rsidR="00572AE9" w:rsidRPr="00F05153">
        <w:t xml:space="preserve">EQ-5D = EuroQol 5 </w:t>
      </w:r>
      <w:r w:rsidRPr="00F05153">
        <w:t>dimension; LPH = living with pulmonary hypertension; N = number of patients; PAH = pulmonary arterial hypertension; QoL = quality of Life; SD = standard deviation</w:t>
      </w:r>
      <w:r w:rsidR="009B47AA" w:rsidRPr="00F05153">
        <w:t>; sGC = solub</w:t>
      </w:r>
      <w:r w:rsidR="00074B5F" w:rsidRPr="00F05153">
        <w:t xml:space="preserve">le guanylate cyclase </w:t>
      </w:r>
    </w:p>
    <w:p w:rsidR="00761752" w:rsidRPr="00F05153" w:rsidRDefault="00761752" w:rsidP="00761752">
      <w:pPr>
        <w:pStyle w:val="Heading5"/>
      </w:pPr>
      <w:r w:rsidRPr="00F05153">
        <w:t>g.</w:t>
      </w:r>
      <w:r w:rsidRPr="00F05153">
        <w:tab/>
        <w:t>Change in haemodynamic parameters from baseline</w:t>
      </w:r>
    </w:p>
    <w:p w:rsidR="00761752" w:rsidRPr="00F05153" w:rsidRDefault="00761752" w:rsidP="00761752">
      <w:pPr>
        <w:pStyle w:val="Heading6"/>
      </w:pPr>
      <w:proofErr w:type="gramStart"/>
      <w:r w:rsidRPr="00F05153">
        <w:t>g.i</w:t>
      </w:r>
      <w:proofErr w:type="gramEnd"/>
      <w:r w:rsidRPr="00F05153">
        <w:tab/>
        <w:t>PAH patients, irrespective of disease severity or aetiology</w:t>
      </w:r>
    </w:p>
    <w:p w:rsidR="00761752" w:rsidRPr="00F05153" w:rsidRDefault="00761752" w:rsidP="00761752">
      <w:r w:rsidRPr="00F05153">
        <w:t xml:space="preserve">In the PATENT-1 trial, patients who were receiving background therapy with a </w:t>
      </w:r>
      <w:r w:rsidR="0017012F" w:rsidRPr="00F05153">
        <w:t>prostanoid</w:t>
      </w:r>
      <w:r w:rsidRPr="00F05153">
        <w:t xml:space="preserve"> and were randomised to riociguat treatment </w:t>
      </w:r>
      <w:r w:rsidR="002046A0">
        <w:rPr>
          <w:noProof/>
          <w:color w:val="000000"/>
          <w:highlight w:val="black"/>
        </w:rPr>
        <w:t>''''''' '''''''''''' '''''''''''</w:t>
      </w:r>
      <w:r w:rsidRPr="00F05153">
        <w:t xml:space="preserve"> baseline PVR compared with than those who were randomised to placebo, </w:t>
      </w:r>
      <w:r w:rsidR="002046A0">
        <w:rPr>
          <w:noProof/>
          <w:color w:val="000000"/>
          <w:highlight w:val="black"/>
        </w:rPr>
        <w:t>'''''''' ''''''''' '''''''''''' '''''' '''''''' ''''''''''''' ''''''</w:t>
      </w:r>
      <w:r w:rsidRPr="00F05153">
        <w:t xml:space="preserve"> normal laboratory PVR in adults of &lt;250 dyn</w:t>
      </w:r>
      <w:r w:rsidR="004776AC" w:rsidRPr="00F05153">
        <w:t>*</w:t>
      </w:r>
      <w:r w:rsidRPr="00F05153">
        <w:t>sec</w:t>
      </w:r>
      <w:r w:rsidR="004776AC" w:rsidRPr="00F05153">
        <w:t>*</w:t>
      </w:r>
      <w:r w:rsidRPr="00F05153">
        <w:t>cm</w:t>
      </w:r>
      <w:r w:rsidR="004776AC" w:rsidRPr="00F05153">
        <w:rPr>
          <w:vertAlign w:val="superscript"/>
        </w:rPr>
        <w:t>-</w:t>
      </w:r>
      <w:r w:rsidRPr="00F05153">
        <w:rPr>
          <w:vertAlign w:val="superscript"/>
        </w:rPr>
        <w:t>5</w:t>
      </w:r>
      <w:r w:rsidRPr="00F05153">
        <w:t xml:space="preserve">. The treatment-naïve patients with WHO FC I/II PAH had a mean placebo-adjusted </w:t>
      </w:r>
      <w:r w:rsidR="002046A0">
        <w:rPr>
          <w:noProof/>
          <w:color w:val="000000"/>
          <w:highlight w:val="black"/>
        </w:rPr>
        <w:t>'''''''''''''''' ''</w:t>
      </w:r>
      <w:r w:rsidRPr="00F05153">
        <w:t xml:space="preserve">n PVR of </w:t>
      </w:r>
      <w:r w:rsidR="002046A0">
        <w:rPr>
          <w:noProof/>
          <w:color w:val="000000"/>
          <w:highlight w:val="black"/>
        </w:rPr>
        <w:t>'''''''''</w:t>
      </w:r>
      <w:r w:rsidRPr="00F05153">
        <w:t xml:space="preserve"> after 12 weeks of riociguat treatment (</w:t>
      </w:r>
      <w:r w:rsidR="003951FA" w:rsidRPr="00F05153">
        <w:t>Table 4.</w:t>
      </w:r>
      <w:r w:rsidR="003951FA">
        <w:t>110</w:t>
      </w:r>
      <w:r w:rsidRPr="00F05153">
        <w:t xml:space="preserve">). This difference is </w:t>
      </w:r>
      <w:r w:rsidR="002046A0">
        <w:rPr>
          <w:noProof/>
          <w:color w:val="000000"/>
          <w:highlight w:val="black"/>
        </w:rPr>
        <w:t>'''''''''' '''' ''''' ''''' '''''''''''' ''''''''''''''''''''</w:t>
      </w:r>
      <w:r w:rsidRPr="00F05153">
        <w:t>.</w:t>
      </w:r>
    </w:p>
    <w:p w:rsidR="00761752" w:rsidRPr="00F05153" w:rsidRDefault="00761752" w:rsidP="00761752">
      <w:pPr>
        <w:pStyle w:val="Caption"/>
      </w:pPr>
      <w:bookmarkStart w:id="313" w:name="_Ref505343165"/>
      <w:bookmarkStart w:id="314" w:name="_Toc38360407"/>
      <w:r w:rsidRPr="00F05153">
        <w:t>Table 4.</w:t>
      </w:r>
      <w:r w:rsidR="003951FA">
        <w:rPr>
          <w:noProof/>
        </w:rPr>
        <w:t>110</w:t>
      </w:r>
      <w:bookmarkEnd w:id="313"/>
      <w:r w:rsidRPr="00F05153">
        <w:tab/>
        <w:t xml:space="preserve">The effectiveness of </w:t>
      </w:r>
      <w:r w:rsidR="001A599C" w:rsidRPr="00F05153">
        <w:t xml:space="preserve">a sGC stimulator </w:t>
      </w:r>
      <w:r w:rsidR="007E59EC" w:rsidRPr="00F05153">
        <w:rPr>
          <w:noProof/>
        </w:rPr>
        <w:t xml:space="preserve">in addition to a prostanoid compared with prostanoid monotherapy </w:t>
      </w:r>
      <w:r w:rsidRPr="00F05153">
        <w:t>in improving PVR in all PAH patients</w:t>
      </w:r>
      <w:bookmarkEnd w:id="314"/>
    </w:p>
    <w:tbl>
      <w:tblPr>
        <w:tblStyle w:val="TableGrid"/>
        <w:tblW w:w="9634" w:type="dxa"/>
        <w:tblLayout w:type="fixed"/>
        <w:tblLook w:val="04A0" w:firstRow="1" w:lastRow="0" w:firstColumn="1" w:lastColumn="0" w:noHBand="0" w:noVBand="1"/>
        <w:tblCaption w:val="The effectiveness of a sGC stimulator in addition to a prostanoid compared with prostanoid monotherapy in improving PVR in all PAH patients"/>
      </w:tblPr>
      <w:tblGrid>
        <w:gridCol w:w="1271"/>
        <w:gridCol w:w="992"/>
        <w:gridCol w:w="1524"/>
        <w:gridCol w:w="1524"/>
        <w:gridCol w:w="1524"/>
        <w:gridCol w:w="1524"/>
        <w:gridCol w:w="1275"/>
      </w:tblGrid>
      <w:tr w:rsidR="00761752" w:rsidRPr="00F05153" w:rsidTr="001A599C">
        <w:trPr>
          <w:cnfStyle w:val="100000000000" w:firstRow="1" w:lastRow="0" w:firstColumn="0" w:lastColumn="0" w:oddVBand="0" w:evenVBand="0" w:oddHBand="0" w:evenHBand="0" w:firstRowFirstColumn="0" w:firstRowLastColumn="0" w:lastRowFirstColumn="0" w:lastRowLastColumn="0"/>
        </w:trPr>
        <w:tc>
          <w:tcPr>
            <w:tcW w:w="1271" w:type="dxa"/>
            <w:vMerge w:val="restart"/>
            <w:shd w:val="clear" w:color="auto" w:fill="BFBFBF" w:themeFill="background1" w:themeFillShade="BF"/>
          </w:tcPr>
          <w:p w:rsidR="00761752" w:rsidRPr="00F05153" w:rsidRDefault="00761752" w:rsidP="00973227">
            <w:pPr>
              <w:pStyle w:val="Tabletext"/>
              <w:rPr>
                <w:b/>
              </w:rPr>
            </w:pPr>
            <w:r w:rsidRPr="00F05153">
              <w:rPr>
                <w:b/>
              </w:rPr>
              <w:t>Study ID</w:t>
            </w:r>
          </w:p>
          <w:p w:rsidR="001A599C" w:rsidRPr="00F05153" w:rsidRDefault="001A599C" w:rsidP="00973227">
            <w:pPr>
              <w:pStyle w:val="Tabletext"/>
              <w:rPr>
                <w:b/>
              </w:rPr>
            </w:pPr>
            <w:r w:rsidRPr="00F05153">
              <w:rPr>
                <w:b/>
              </w:rPr>
              <w:t>sGC stimulator</w:t>
            </w:r>
          </w:p>
        </w:tc>
        <w:tc>
          <w:tcPr>
            <w:tcW w:w="992" w:type="dxa"/>
            <w:vMerge w:val="restart"/>
            <w:shd w:val="clear" w:color="auto" w:fill="BFBFBF" w:themeFill="background1" w:themeFillShade="BF"/>
          </w:tcPr>
          <w:p w:rsidR="00761752" w:rsidRPr="00F05153" w:rsidRDefault="00761752" w:rsidP="00973227">
            <w:pPr>
              <w:pStyle w:val="Tabletext"/>
              <w:rPr>
                <w:b/>
              </w:rPr>
            </w:pPr>
            <w:r w:rsidRPr="00F05153">
              <w:rPr>
                <w:b/>
              </w:rPr>
              <w:t>N</w:t>
            </w:r>
          </w:p>
          <w:p w:rsidR="00761752" w:rsidRPr="00F05153" w:rsidRDefault="00761752" w:rsidP="00973227">
            <w:pPr>
              <w:pStyle w:val="Tabletext"/>
              <w:rPr>
                <w:b/>
              </w:rPr>
            </w:pPr>
            <w:r w:rsidRPr="00F05153">
              <w:rPr>
                <w:b/>
              </w:rPr>
              <w:t>Follow-up period</w:t>
            </w:r>
          </w:p>
        </w:tc>
        <w:tc>
          <w:tcPr>
            <w:tcW w:w="3048" w:type="dxa"/>
            <w:gridSpan w:val="2"/>
            <w:shd w:val="clear" w:color="auto" w:fill="BFBFBF" w:themeFill="background1" w:themeFillShade="BF"/>
          </w:tcPr>
          <w:p w:rsidR="00761752" w:rsidRPr="00F05153" w:rsidRDefault="00761752" w:rsidP="00973227">
            <w:pPr>
              <w:pStyle w:val="Tabletext"/>
              <w:jc w:val="center"/>
              <w:rPr>
                <w:b/>
              </w:rPr>
            </w:pPr>
            <w:r w:rsidRPr="00F05153">
              <w:rPr>
                <w:b/>
              </w:rPr>
              <w:t>Mean ± SD baseline PVR</w:t>
            </w:r>
            <w:r w:rsidR="00F720FC" w:rsidRPr="00F05153">
              <w:rPr>
                <w:b/>
                <w:vertAlign w:val="superscript"/>
              </w:rPr>
              <w:t>a</w:t>
            </w:r>
            <w:r w:rsidRPr="00F05153">
              <w:rPr>
                <w:b/>
              </w:rPr>
              <w:t xml:space="preserve">, </w:t>
            </w:r>
            <w:r w:rsidR="00747709" w:rsidRPr="00F05153">
              <w:rPr>
                <w:b/>
              </w:rPr>
              <w:t>dyn*sec*cm</w:t>
            </w:r>
            <w:r w:rsidR="00747709" w:rsidRPr="00F05153">
              <w:rPr>
                <w:b/>
                <w:vertAlign w:val="superscript"/>
              </w:rPr>
              <w:t>-5</w:t>
            </w:r>
          </w:p>
        </w:tc>
        <w:tc>
          <w:tcPr>
            <w:tcW w:w="3048" w:type="dxa"/>
            <w:gridSpan w:val="2"/>
            <w:shd w:val="clear" w:color="auto" w:fill="BFBFBF" w:themeFill="background1" w:themeFillShade="BF"/>
          </w:tcPr>
          <w:p w:rsidR="00503643" w:rsidRDefault="00761752" w:rsidP="001A599C">
            <w:pPr>
              <w:pStyle w:val="Tabletext"/>
              <w:jc w:val="center"/>
              <w:rPr>
                <w:b/>
                <w:vertAlign w:val="superscript"/>
              </w:rPr>
            </w:pPr>
            <w:r w:rsidRPr="00F05153">
              <w:rPr>
                <w:b/>
              </w:rPr>
              <w:t xml:space="preserve">Mean </w:t>
            </w:r>
            <w:r w:rsidR="001A599C" w:rsidRPr="00F05153">
              <w:rPr>
                <w:b/>
              </w:rPr>
              <w:t xml:space="preserve">± SD </w:t>
            </w:r>
            <w:r w:rsidRPr="00F05153">
              <w:rPr>
                <w:b/>
              </w:rPr>
              <w:t>c</w:t>
            </w:r>
            <w:r w:rsidRPr="00F05153">
              <w:rPr>
                <w:rFonts w:asciiTheme="minorHAnsi" w:hAnsiTheme="minorHAnsi"/>
                <w:b/>
              </w:rPr>
              <w:t>hange from baseline</w:t>
            </w:r>
            <w:r w:rsidRPr="00F05153">
              <w:rPr>
                <w:b/>
              </w:rPr>
              <w:t xml:space="preserve">, </w:t>
            </w:r>
            <w:r w:rsidR="00747709" w:rsidRPr="00F05153">
              <w:rPr>
                <w:b/>
              </w:rPr>
              <w:t>dyn*sec*cm</w:t>
            </w:r>
            <w:r w:rsidR="00747709" w:rsidRPr="00F05153">
              <w:rPr>
                <w:b/>
                <w:vertAlign w:val="superscript"/>
              </w:rPr>
              <w:t>-5</w:t>
            </w:r>
          </w:p>
          <w:p w:rsidR="00761752" w:rsidRPr="00F05153" w:rsidRDefault="00E6350D" w:rsidP="001A599C">
            <w:pPr>
              <w:pStyle w:val="Tabletext"/>
              <w:jc w:val="center"/>
              <w:rPr>
                <w:b/>
              </w:rPr>
            </w:pPr>
            <w:r w:rsidRPr="00F05153">
              <w:rPr>
                <w:b/>
              </w:rPr>
              <w:t>(% change from baseline)</w:t>
            </w:r>
          </w:p>
        </w:tc>
        <w:tc>
          <w:tcPr>
            <w:tcW w:w="1275" w:type="dxa"/>
            <w:vMerge w:val="restart"/>
            <w:shd w:val="clear" w:color="auto" w:fill="BFBFBF" w:themeFill="background1" w:themeFillShade="BF"/>
          </w:tcPr>
          <w:p w:rsidR="00761752" w:rsidRPr="00F05153" w:rsidRDefault="00761752" w:rsidP="001A599C">
            <w:pPr>
              <w:pStyle w:val="Tabletext"/>
              <w:rPr>
                <w:b/>
              </w:rPr>
            </w:pPr>
            <w:r w:rsidRPr="00F05153">
              <w:rPr>
                <w:b/>
              </w:rPr>
              <w:t>Mean d</w:t>
            </w:r>
            <w:r w:rsidR="001A599C" w:rsidRPr="00F05153">
              <w:rPr>
                <w:rFonts w:asciiTheme="minorHAnsi" w:hAnsiTheme="minorHAnsi"/>
                <w:b/>
              </w:rPr>
              <w:t>ifference</w:t>
            </w:r>
            <w:r w:rsidRPr="00F05153">
              <w:rPr>
                <w:b/>
              </w:rPr>
              <w:t xml:space="preserve">, </w:t>
            </w:r>
            <w:r w:rsidR="00747709" w:rsidRPr="00F05153">
              <w:rPr>
                <w:b/>
              </w:rPr>
              <w:t>dyn*sec*cm</w:t>
            </w:r>
            <w:r w:rsidR="00747709" w:rsidRPr="00F05153">
              <w:rPr>
                <w:b/>
                <w:vertAlign w:val="superscript"/>
              </w:rPr>
              <w:t>-5</w:t>
            </w:r>
            <w:r w:rsidR="00E6350D" w:rsidRPr="00F05153">
              <w:rPr>
                <w:b/>
              </w:rPr>
              <w:br/>
              <w:t>(% change)</w:t>
            </w:r>
          </w:p>
        </w:tc>
      </w:tr>
      <w:tr w:rsidR="00761752" w:rsidRPr="00F05153" w:rsidTr="001A599C">
        <w:tc>
          <w:tcPr>
            <w:tcW w:w="1271" w:type="dxa"/>
            <w:vMerge/>
          </w:tcPr>
          <w:p w:rsidR="00761752" w:rsidRPr="00F05153" w:rsidRDefault="00761752" w:rsidP="00973227">
            <w:pPr>
              <w:pStyle w:val="Tabletext"/>
            </w:pPr>
          </w:p>
        </w:tc>
        <w:tc>
          <w:tcPr>
            <w:tcW w:w="992" w:type="dxa"/>
            <w:vMerge/>
          </w:tcPr>
          <w:p w:rsidR="00761752" w:rsidRPr="00F05153" w:rsidRDefault="00761752" w:rsidP="00973227">
            <w:pPr>
              <w:pStyle w:val="Tabletext"/>
            </w:pPr>
          </w:p>
        </w:tc>
        <w:tc>
          <w:tcPr>
            <w:tcW w:w="1524" w:type="dxa"/>
            <w:shd w:val="clear" w:color="auto" w:fill="BFBFBF" w:themeFill="background1" w:themeFillShade="BF"/>
          </w:tcPr>
          <w:p w:rsidR="00761752" w:rsidRPr="00F05153" w:rsidRDefault="001A599C" w:rsidP="00973227">
            <w:pPr>
              <w:pStyle w:val="Tabletext"/>
              <w:jc w:val="center"/>
              <w:rPr>
                <w:b/>
              </w:rPr>
            </w:pPr>
            <w:r w:rsidRPr="00F05153">
              <w:rPr>
                <w:b/>
              </w:rPr>
              <w:t xml:space="preserve">sGC stimulator </w:t>
            </w:r>
            <w:r w:rsidR="00761752" w:rsidRPr="00F05153">
              <w:rPr>
                <w:b/>
              </w:rPr>
              <w:t>+ prostanoid</w:t>
            </w:r>
          </w:p>
        </w:tc>
        <w:tc>
          <w:tcPr>
            <w:tcW w:w="1524" w:type="dxa"/>
            <w:shd w:val="clear" w:color="auto" w:fill="BFBFBF" w:themeFill="background1" w:themeFillShade="BF"/>
          </w:tcPr>
          <w:p w:rsidR="00761752" w:rsidRPr="00F05153" w:rsidRDefault="00761752" w:rsidP="00534ADA">
            <w:pPr>
              <w:pStyle w:val="Tabletext"/>
              <w:jc w:val="center"/>
              <w:rPr>
                <w:b/>
              </w:rPr>
            </w:pPr>
            <w:r w:rsidRPr="00F05153">
              <w:rPr>
                <w:b/>
              </w:rPr>
              <w:t>Prostanoid</w:t>
            </w:r>
          </w:p>
        </w:tc>
        <w:tc>
          <w:tcPr>
            <w:tcW w:w="1524" w:type="dxa"/>
            <w:shd w:val="clear" w:color="auto" w:fill="BFBFBF" w:themeFill="background1" w:themeFillShade="BF"/>
          </w:tcPr>
          <w:p w:rsidR="00761752" w:rsidRPr="00F05153" w:rsidRDefault="001A599C" w:rsidP="00973227">
            <w:pPr>
              <w:pStyle w:val="Tabletext"/>
              <w:jc w:val="center"/>
              <w:rPr>
                <w:b/>
              </w:rPr>
            </w:pPr>
            <w:r w:rsidRPr="00F05153">
              <w:rPr>
                <w:b/>
              </w:rPr>
              <w:t xml:space="preserve">sGC stimulator </w:t>
            </w:r>
            <w:r w:rsidR="00761752" w:rsidRPr="00F05153">
              <w:rPr>
                <w:b/>
              </w:rPr>
              <w:t>+ prostanoid</w:t>
            </w:r>
          </w:p>
        </w:tc>
        <w:tc>
          <w:tcPr>
            <w:tcW w:w="1524" w:type="dxa"/>
            <w:shd w:val="clear" w:color="auto" w:fill="BFBFBF" w:themeFill="background1" w:themeFillShade="BF"/>
          </w:tcPr>
          <w:p w:rsidR="00761752" w:rsidRPr="00F05153" w:rsidRDefault="00761752" w:rsidP="00534ADA">
            <w:pPr>
              <w:pStyle w:val="Tabletext"/>
              <w:jc w:val="center"/>
              <w:rPr>
                <w:b/>
              </w:rPr>
            </w:pPr>
            <w:r w:rsidRPr="00F05153">
              <w:rPr>
                <w:b/>
              </w:rPr>
              <w:t>Prostanoid</w:t>
            </w:r>
          </w:p>
        </w:tc>
        <w:tc>
          <w:tcPr>
            <w:tcW w:w="1275" w:type="dxa"/>
            <w:vMerge/>
          </w:tcPr>
          <w:p w:rsidR="00761752" w:rsidRPr="00F05153" w:rsidRDefault="00761752" w:rsidP="00973227">
            <w:pPr>
              <w:pStyle w:val="Tabletext"/>
            </w:pPr>
          </w:p>
        </w:tc>
      </w:tr>
      <w:tr w:rsidR="00761752" w:rsidRPr="00F05153" w:rsidTr="001A599C">
        <w:tc>
          <w:tcPr>
            <w:tcW w:w="1271" w:type="dxa"/>
          </w:tcPr>
          <w:p w:rsidR="001A599C" w:rsidRPr="00F05153" w:rsidRDefault="00761752" w:rsidP="00973227">
            <w:pPr>
              <w:pStyle w:val="Tabletext"/>
              <w:rPr>
                <w:rFonts w:asciiTheme="minorHAnsi" w:hAnsiTheme="minorHAnsi" w:cs="Tahoma"/>
              </w:rPr>
            </w:pPr>
            <w:r w:rsidRPr="00F05153">
              <w:rPr>
                <w:rFonts w:asciiTheme="minorHAnsi" w:hAnsiTheme="minorHAnsi" w:cs="Tahoma"/>
              </w:rPr>
              <w:t>PATENT-1 CSR</w:t>
            </w:r>
          </w:p>
          <w:p w:rsidR="00761752" w:rsidRPr="00F05153" w:rsidRDefault="001A599C" w:rsidP="00973227">
            <w:pPr>
              <w:pStyle w:val="Tabletext"/>
            </w:pPr>
            <w:r w:rsidRPr="00F05153">
              <w:t>Riociguat</w:t>
            </w:r>
          </w:p>
        </w:tc>
        <w:tc>
          <w:tcPr>
            <w:tcW w:w="992" w:type="dxa"/>
          </w:tcPr>
          <w:p w:rsidR="00761752" w:rsidRPr="00F05153" w:rsidRDefault="00761752" w:rsidP="00973227">
            <w:pPr>
              <w:pStyle w:val="Tabletext"/>
              <w:rPr>
                <w:rFonts w:cs="Tahoma"/>
              </w:rPr>
            </w:pPr>
            <w:r w:rsidRPr="00F05153">
              <w:rPr>
                <w:rFonts w:cs="Tahoma"/>
              </w:rPr>
              <w:t>N=24</w:t>
            </w:r>
          </w:p>
          <w:p w:rsidR="00761752" w:rsidRPr="00F05153" w:rsidRDefault="00761752" w:rsidP="00973227">
            <w:pPr>
              <w:pStyle w:val="Tabletext"/>
            </w:pPr>
            <w:r w:rsidRPr="00F05153">
              <w:rPr>
                <w:rFonts w:cs="Tahoma"/>
              </w:rPr>
              <w:t>12 weeks</w:t>
            </w:r>
          </w:p>
        </w:tc>
        <w:tc>
          <w:tcPr>
            <w:tcW w:w="1524" w:type="dxa"/>
          </w:tcPr>
          <w:p w:rsidR="00761752" w:rsidRPr="002046A0" w:rsidRDefault="002046A0" w:rsidP="00973227">
            <w:pPr>
              <w:pStyle w:val="Tabletext"/>
              <w:jc w:val="center"/>
              <w:rPr>
                <w:highlight w:val="black"/>
              </w:rPr>
            </w:pPr>
            <w:r>
              <w:rPr>
                <w:rFonts w:cs="Tahoma"/>
                <w:noProof/>
                <w:color w:val="000000"/>
                <w:highlight w:val="black"/>
              </w:rPr>
              <w:t>''''''''' ''' '''''''''</w:t>
            </w:r>
          </w:p>
        </w:tc>
        <w:tc>
          <w:tcPr>
            <w:tcW w:w="1524" w:type="dxa"/>
          </w:tcPr>
          <w:p w:rsidR="00761752" w:rsidRPr="002046A0" w:rsidRDefault="002046A0" w:rsidP="00973227">
            <w:pPr>
              <w:pStyle w:val="Tabletext"/>
              <w:jc w:val="center"/>
              <w:rPr>
                <w:highlight w:val="black"/>
              </w:rPr>
            </w:pPr>
            <w:r>
              <w:rPr>
                <w:rFonts w:cs="Tahoma"/>
                <w:noProof/>
                <w:color w:val="000000"/>
                <w:highlight w:val="black"/>
              </w:rPr>
              <w:t>''''''''' ''' '''''''''</w:t>
            </w:r>
          </w:p>
        </w:tc>
        <w:tc>
          <w:tcPr>
            <w:tcW w:w="1524" w:type="dxa"/>
          </w:tcPr>
          <w:p w:rsidR="00761752" w:rsidRPr="002046A0" w:rsidRDefault="002046A0" w:rsidP="00973227">
            <w:pPr>
              <w:pStyle w:val="Tabletext"/>
              <w:jc w:val="center"/>
              <w:rPr>
                <w:rFonts w:cs="Tahoma"/>
                <w:highlight w:val="black"/>
              </w:rPr>
            </w:pPr>
            <w:r>
              <w:rPr>
                <w:rFonts w:cs="Tahoma"/>
                <w:noProof/>
                <w:color w:val="000000"/>
                <w:highlight w:val="black"/>
              </w:rPr>
              <w:t>''''''''''' ''' ''''''''</w:t>
            </w:r>
          </w:p>
          <w:p w:rsidR="00761752" w:rsidRPr="002046A0" w:rsidRDefault="002046A0" w:rsidP="00B64E57">
            <w:pPr>
              <w:pStyle w:val="Tabletext"/>
              <w:jc w:val="center"/>
              <w:rPr>
                <w:highlight w:val="black"/>
              </w:rPr>
            </w:pPr>
            <w:r>
              <w:rPr>
                <w:rFonts w:cs="Tahoma"/>
                <w:noProof/>
                <w:color w:val="000000"/>
                <w:highlight w:val="black"/>
              </w:rPr>
              <w:t>''''''''''''''' ''''''''''''''''''''''</w:t>
            </w:r>
          </w:p>
        </w:tc>
        <w:tc>
          <w:tcPr>
            <w:tcW w:w="1524" w:type="dxa"/>
          </w:tcPr>
          <w:p w:rsidR="00761752" w:rsidRPr="002046A0" w:rsidRDefault="002046A0" w:rsidP="00973227">
            <w:pPr>
              <w:pStyle w:val="Tabletext"/>
              <w:jc w:val="center"/>
              <w:rPr>
                <w:rFonts w:cs="Tahoma"/>
                <w:highlight w:val="black"/>
              </w:rPr>
            </w:pPr>
            <w:r>
              <w:rPr>
                <w:rFonts w:cs="Tahoma"/>
                <w:noProof/>
                <w:color w:val="000000"/>
                <w:highlight w:val="black"/>
              </w:rPr>
              <w:t>'''''' ''' ''''''''</w:t>
            </w:r>
          </w:p>
          <w:p w:rsidR="00761752" w:rsidRPr="002046A0" w:rsidRDefault="002046A0" w:rsidP="00E6350D">
            <w:pPr>
              <w:pStyle w:val="Tabletext"/>
              <w:jc w:val="center"/>
              <w:rPr>
                <w:highlight w:val="black"/>
              </w:rPr>
            </w:pPr>
            <w:r>
              <w:rPr>
                <w:rFonts w:cs="Tahoma"/>
                <w:noProof/>
                <w:color w:val="000000"/>
                <w:highlight w:val="black"/>
              </w:rPr>
              <w:t>'''''''''''''' '''''''''''''''''''''</w:t>
            </w:r>
          </w:p>
        </w:tc>
        <w:tc>
          <w:tcPr>
            <w:tcW w:w="1275" w:type="dxa"/>
          </w:tcPr>
          <w:p w:rsidR="00761752" w:rsidRPr="002046A0" w:rsidRDefault="002046A0" w:rsidP="00973227">
            <w:pPr>
              <w:pStyle w:val="Tabletext"/>
              <w:rPr>
                <w:rFonts w:cs="Tahoma"/>
                <w:highlight w:val="black"/>
              </w:rPr>
            </w:pPr>
            <w:r>
              <w:rPr>
                <w:rFonts w:cs="Tahoma"/>
                <w:noProof/>
                <w:color w:val="000000"/>
                <w:highlight w:val="black"/>
              </w:rPr>
              <w:t>'''''''''''</w:t>
            </w:r>
          </w:p>
          <w:p w:rsidR="00761752" w:rsidRPr="002046A0" w:rsidRDefault="002046A0" w:rsidP="00E6350D">
            <w:pPr>
              <w:pStyle w:val="Tabletext"/>
              <w:rPr>
                <w:highlight w:val="black"/>
              </w:rPr>
            </w:pPr>
            <w:r>
              <w:rPr>
                <w:rFonts w:cs="Tahoma"/>
                <w:noProof/>
                <w:color w:val="000000"/>
                <w:highlight w:val="black"/>
              </w:rPr>
              <w:t>'''''''''''''''''''</w:t>
            </w:r>
          </w:p>
        </w:tc>
      </w:tr>
    </w:tbl>
    <w:p w:rsidR="00F720FC" w:rsidRPr="00F05153" w:rsidRDefault="00F720FC" w:rsidP="00F720FC">
      <w:pPr>
        <w:pStyle w:val="Tablenote"/>
      </w:pPr>
      <w:proofErr w:type="gramStart"/>
      <w:r w:rsidRPr="00F05153">
        <w:rPr>
          <w:vertAlign w:val="superscript"/>
        </w:rPr>
        <w:t>a</w:t>
      </w:r>
      <w:proofErr w:type="gramEnd"/>
      <w:r w:rsidRPr="00F05153">
        <w:t xml:space="preserve"> A decrease in PVR indicates improvement in </w:t>
      </w:r>
      <w:r w:rsidR="007E658F" w:rsidRPr="00F05153">
        <w:t>haemodynamic parameters</w:t>
      </w:r>
      <w:r w:rsidRPr="00F05153">
        <w:t xml:space="preserve">. </w:t>
      </w:r>
    </w:p>
    <w:p w:rsidR="00761752" w:rsidRPr="00F05153" w:rsidRDefault="00761752" w:rsidP="00761752">
      <w:pPr>
        <w:pStyle w:val="Tablenote"/>
      </w:pPr>
      <w:r w:rsidRPr="00F05153">
        <w:t>CSR = clinical study report; N = number of patients; PVR = pulmonary vascular resistance; SD = standard deviation</w:t>
      </w:r>
      <w:r w:rsidR="009B47AA" w:rsidRPr="00F05153">
        <w:t>; sGC = solub</w:t>
      </w:r>
      <w:r w:rsidR="00074B5F" w:rsidRPr="00F05153">
        <w:t xml:space="preserve">le guanylate cyclase </w:t>
      </w:r>
    </w:p>
    <w:p w:rsidR="0075777C" w:rsidRPr="00F05153" w:rsidRDefault="002E4833" w:rsidP="0075777C">
      <w:pPr>
        <w:pStyle w:val="Heading5"/>
      </w:pPr>
      <w:r w:rsidRPr="00F05153">
        <w:t xml:space="preserve">h. </w:t>
      </w:r>
      <w:r w:rsidR="0075777C" w:rsidRPr="00F05153">
        <w:t>Comparative safety</w:t>
      </w:r>
    </w:p>
    <w:p w:rsidR="006E1D91" w:rsidRDefault="0075777C" w:rsidP="0075777C">
      <w:r>
        <w:t>The PATENT-1 trial did not</w:t>
      </w:r>
      <w:r w:rsidRPr="006316DF">
        <w:t xml:space="preserve"> report on the comparative safety </w:t>
      </w:r>
      <w:r>
        <w:t xml:space="preserve">of the subgroup of patients </w:t>
      </w:r>
      <w:r w:rsidRPr="006316DF">
        <w:t>with PAH</w:t>
      </w:r>
      <w:r>
        <w:t xml:space="preserve"> receiving background therapy with a </w:t>
      </w:r>
      <w:r w:rsidR="00C41039">
        <w:t>prostanoid</w:t>
      </w:r>
      <w:r>
        <w:t xml:space="preserve"> in addition to the sGC stimulator compared with a placebo plus</w:t>
      </w:r>
      <w:r w:rsidRPr="006316DF">
        <w:t xml:space="preserve"> </w:t>
      </w:r>
      <w:r w:rsidR="00C41039" w:rsidRPr="006316DF">
        <w:t>p</w:t>
      </w:r>
      <w:r w:rsidR="00C41039">
        <w:t>rostanoid</w:t>
      </w:r>
      <w:r>
        <w:t xml:space="preserve"> in the</w:t>
      </w:r>
      <w:r w:rsidRPr="006316DF">
        <w:t xml:space="preserve"> </w:t>
      </w:r>
      <w:r>
        <w:t>treatment.</w:t>
      </w:r>
    </w:p>
    <w:p w:rsidR="008060FB" w:rsidRDefault="008060FB" w:rsidP="00395F6E">
      <w:pPr>
        <w:pStyle w:val="Heading3"/>
      </w:pPr>
      <w:bookmarkStart w:id="315" w:name="_Toc38360284"/>
      <w:r w:rsidRPr="00EB1471">
        <w:t xml:space="preserve">Research question </w:t>
      </w:r>
      <w:r w:rsidR="00395F6E" w:rsidRPr="00EB1471">
        <w:t>4</w:t>
      </w:r>
      <w:bookmarkEnd w:id="315"/>
    </w:p>
    <w:p w:rsidR="0075777C" w:rsidRPr="00BB76F5" w:rsidRDefault="0075777C" w:rsidP="0075777C">
      <w:pPr>
        <w:rPr>
          <w:i/>
        </w:rPr>
      </w:pPr>
      <w:r w:rsidRPr="00BB76F5">
        <w:rPr>
          <w:i/>
        </w:rPr>
        <w:t xml:space="preserve">What is the effectiveness and safety of triple combination therapy involving any combination of an ERA, a </w:t>
      </w:r>
      <w:r>
        <w:rPr>
          <w:i/>
        </w:rPr>
        <w:t>PDE-5 inhibitor</w:t>
      </w:r>
      <w:r w:rsidRPr="00BB76F5">
        <w:rPr>
          <w:i/>
        </w:rPr>
        <w:t xml:space="preserve">, a prostanoid, or a </w:t>
      </w:r>
      <w:r>
        <w:rPr>
          <w:i/>
        </w:rPr>
        <w:t>sGC stimulator</w:t>
      </w:r>
      <w:r w:rsidRPr="00BB76F5">
        <w:rPr>
          <w:i/>
        </w:rPr>
        <w:t>, compared to dual combination therapy, in: i) PAH patients, irrespective of disease severity or aetiology; ii) PAH patients with FC III or IV; and iii) PAH patients with different disease aetiologies?</w:t>
      </w:r>
    </w:p>
    <w:p w:rsidR="005A20F4" w:rsidRPr="005A20F4" w:rsidRDefault="0075777C" w:rsidP="0075777C">
      <w:r w:rsidRPr="006316DF">
        <w:t xml:space="preserve">There was no evidence concerning the effectiveness and safety of </w:t>
      </w:r>
      <w:r w:rsidRPr="00C64992">
        <w:t xml:space="preserve">triple combination therapy </w:t>
      </w:r>
      <w:r w:rsidRPr="006316DF">
        <w:t xml:space="preserve">with </w:t>
      </w:r>
      <w:r w:rsidR="00C655EC">
        <w:t xml:space="preserve">PBS-listed </w:t>
      </w:r>
      <w:r w:rsidRPr="006316DF">
        <w:t>PAH medicine</w:t>
      </w:r>
      <w:r>
        <w:t>s</w:t>
      </w:r>
      <w:r w:rsidRPr="006316DF">
        <w:t xml:space="preserve">, compared to </w:t>
      </w:r>
      <w:r w:rsidRPr="00C64992">
        <w:t>dual combination therapy</w:t>
      </w:r>
      <w:r w:rsidRPr="006316DF">
        <w:t xml:space="preserve">, in </w:t>
      </w:r>
      <w:r>
        <w:t xml:space="preserve">any </w:t>
      </w:r>
      <w:r w:rsidRPr="006316DF">
        <w:t>patients with PAH.</w:t>
      </w:r>
    </w:p>
    <w:p w:rsidR="006966DC" w:rsidRDefault="006966DC" w:rsidP="006966DC">
      <w:pPr>
        <w:pStyle w:val="Heading3"/>
      </w:pPr>
      <w:bookmarkStart w:id="316" w:name="_Toc38360285"/>
      <w:bookmarkEnd w:id="145"/>
      <w:bookmarkEnd w:id="146"/>
      <w:bookmarkEnd w:id="147"/>
      <w:r>
        <w:t xml:space="preserve">Extended assessment of safety of PAH </w:t>
      </w:r>
      <w:r w:rsidR="00701049">
        <w:t>medicine</w:t>
      </w:r>
      <w:r>
        <w:t>s</w:t>
      </w:r>
      <w:bookmarkEnd w:id="316"/>
    </w:p>
    <w:p w:rsidR="008060FB" w:rsidRPr="00EB1471" w:rsidRDefault="00395F6E" w:rsidP="00395F6E">
      <w:pPr>
        <w:pStyle w:val="Heading4"/>
      </w:pPr>
      <w:r w:rsidRPr="00EB1471">
        <w:t>4.4.5.1</w:t>
      </w:r>
      <w:r w:rsidRPr="00EB1471">
        <w:tab/>
      </w:r>
      <w:r w:rsidR="00484F80">
        <w:tab/>
      </w:r>
      <w:r w:rsidR="008060FB" w:rsidRPr="00EB1471">
        <w:t xml:space="preserve">Results from clinical evidence included for extended safety assessment </w:t>
      </w:r>
    </w:p>
    <w:p w:rsidR="001D0FDA" w:rsidRPr="00EB1471" w:rsidRDefault="001D0FDA" w:rsidP="001D0FDA">
      <w:bookmarkStart w:id="317" w:name="_Ref467768016"/>
      <w:bookmarkStart w:id="318" w:name="_Ref467928105"/>
      <w:bookmarkStart w:id="319" w:name="_Ref467938119"/>
      <w:r w:rsidRPr="00EB1471">
        <w:t xml:space="preserve">No studies </w:t>
      </w:r>
      <w:proofErr w:type="gramStart"/>
      <w:r w:rsidRPr="00EB1471">
        <w:t>have been identified</w:t>
      </w:r>
      <w:proofErr w:type="gramEnd"/>
      <w:r w:rsidRPr="00EB1471">
        <w:t xml:space="preserve"> to be included in this section for extended assessment of safety concerning macitentan and iloprost. Safety results from clinical studies for other PAH </w:t>
      </w:r>
      <w:r w:rsidR="00D60D8E">
        <w:t xml:space="preserve">medicines </w:t>
      </w:r>
      <w:proofErr w:type="gramStart"/>
      <w:r w:rsidR="00D60D8E">
        <w:t>are summarised</w:t>
      </w:r>
      <w:proofErr w:type="gramEnd"/>
      <w:r w:rsidR="00D60D8E">
        <w:t xml:space="preserve"> below.</w:t>
      </w:r>
    </w:p>
    <w:p w:rsidR="001D0FDA" w:rsidRPr="00EB1471" w:rsidRDefault="001D0FDA" w:rsidP="00480FDF">
      <w:pPr>
        <w:pStyle w:val="Heading5"/>
        <w:numPr>
          <w:ilvl w:val="4"/>
          <w:numId w:val="45"/>
        </w:numPr>
      </w:pPr>
      <w:r w:rsidRPr="00EB1471">
        <w:t>ERA</w:t>
      </w:r>
    </w:p>
    <w:p w:rsidR="001D0FDA" w:rsidRPr="00EB1471" w:rsidRDefault="001D0FDA" w:rsidP="00480FDF">
      <w:pPr>
        <w:pStyle w:val="Heading6"/>
        <w:numPr>
          <w:ilvl w:val="5"/>
          <w:numId w:val="45"/>
        </w:numPr>
      </w:pPr>
      <w:r w:rsidRPr="00EB1471">
        <w:t>Bosentan</w:t>
      </w:r>
    </w:p>
    <w:p w:rsidR="001D0FDA" w:rsidRPr="00EB1471" w:rsidRDefault="001D0FDA" w:rsidP="001D0FDA">
      <w:proofErr w:type="gramStart"/>
      <w:r w:rsidRPr="00EB1471">
        <w:t>A total of five</w:t>
      </w:r>
      <w:proofErr w:type="gramEnd"/>
      <w:r w:rsidRPr="00EB1471">
        <w:t xml:space="preserve"> single-arm observational studies were identified for extended safety assessment of bosentan. The follow-up period varied between 2 years to 4.3 years across studies. Among the included studies, Keogh 2011 was the largest study (N=528) which was a prospective, multicentre, Australian registry funded by the sponsor of bosentan (Actelion Pharmaceuticals). The registry </w:t>
      </w:r>
      <w:proofErr w:type="gramStart"/>
      <w:r w:rsidRPr="00EB1471">
        <w:t>was established</w:t>
      </w:r>
      <w:proofErr w:type="gramEnd"/>
      <w:r w:rsidRPr="00EB1471">
        <w:t xml:space="preserve"> subsequent to the listing of bosentan on the PBS, as pa</w:t>
      </w:r>
      <w:r w:rsidR="002A66C2">
        <w:t>rt of a risk-sharing agreement.</w:t>
      </w:r>
    </w:p>
    <w:p w:rsidR="001D0FDA" w:rsidRPr="00EB1471" w:rsidRDefault="001D0FDA" w:rsidP="001D0FDA">
      <w:proofErr w:type="gramStart"/>
      <w:r w:rsidRPr="00EB1471">
        <w:t>Limited safety data were provided by published papers on the five included studies (</w:t>
      </w:r>
      <w:r w:rsidR="003951FA">
        <w:t>Table 4.</w:t>
      </w:r>
      <w:r w:rsidR="003951FA">
        <w:rPr>
          <w:noProof/>
        </w:rPr>
        <w:t>111</w:t>
      </w:r>
      <w:r w:rsidRPr="00EB1471">
        <w:t>)</w:t>
      </w:r>
      <w:proofErr w:type="gramEnd"/>
      <w:r w:rsidRPr="00EB1471">
        <w:t>. The safety profile of bosentan reported in the paediatric PAH patients in Study Hislop 2011</w:t>
      </w:r>
      <w:r w:rsidR="001D34EE" w:rsidRPr="001A1C44">
        <w:rPr>
          <w:noProof/>
          <w:vertAlign w:val="superscript"/>
        </w:rPr>
        <w:t>58</w:t>
      </w:r>
      <w:r w:rsidRPr="00EB1471">
        <w:t xml:space="preserve"> appeared comparable to that in the other </w:t>
      </w:r>
      <w:proofErr w:type="gramStart"/>
      <w:r w:rsidRPr="00EB1471">
        <w:t>four</w:t>
      </w:r>
      <w:proofErr w:type="gramEnd"/>
      <w:r w:rsidRPr="00EB1471">
        <w:t xml:space="preserve"> studies whose subjects were all or predominantly adults </w:t>
      </w:r>
      <w:r w:rsidR="001D34EE" w:rsidRPr="001A1C44">
        <w:rPr>
          <w:noProof/>
          <w:vertAlign w:val="superscript"/>
        </w:rPr>
        <w:t>57</w:t>
      </w:r>
      <w:r w:rsidR="001A1C44" w:rsidRPr="001A1C44">
        <w:rPr>
          <w:noProof/>
          <w:vertAlign w:val="superscript"/>
        </w:rPr>
        <w:t xml:space="preserve">, </w:t>
      </w:r>
      <w:r w:rsidR="001D34EE" w:rsidRPr="001A1C44">
        <w:rPr>
          <w:noProof/>
          <w:vertAlign w:val="superscript"/>
        </w:rPr>
        <w:t>60</w:t>
      </w:r>
      <w:r w:rsidR="001A1C44" w:rsidRPr="001A1C44">
        <w:rPr>
          <w:noProof/>
          <w:vertAlign w:val="superscript"/>
        </w:rPr>
        <w:t xml:space="preserve">, </w:t>
      </w:r>
      <w:r w:rsidR="001D34EE" w:rsidRPr="001A1C44">
        <w:rPr>
          <w:noProof/>
          <w:vertAlign w:val="superscript"/>
        </w:rPr>
        <w:t>66</w:t>
      </w:r>
      <w:r w:rsidR="001A1C44" w:rsidRPr="001A1C44">
        <w:rPr>
          <w:noProof/>
          <w:vertAlign w:val="superscript"/>
        </w:rPr>
        <w:t xml:space="preserve">, </w:t>
      </w:r>
      <w:r w:rsidR="001D34EE" w:rsidRPr="001A1C44">
        <w:rPr>
          <w:noProof/>
          <w:vertAlign w:val="superscript"/>
        </w:rPr>
        <w:t>72</w:t>
      </w:r>
      <w:r w:rsidRPr="00EB1471">
        <w:t xml:space="preserve">. None of the studies reported the incidence of any </w:t>
      </w:r>
      <w:r w:rsidR="006B2A7D">
        <w:t>AE</w:t>
      </w:r>
      <w:r w:rsidRPr="00EB1471">
        <w:t xml:space="preserve">s during the study period. Serious </w:t>
      </w:r>
      <w:r w:rsidR="006B2A7D">
        <w:t>AE</w:t>
      </w:r>
      <w:r w:rsidRPr="00EB1471">
        <w:t xml:space="preserve">s </w:t>
      </w:r>
      <w:proofErr w:type="gramStart"/>
      <w:r w:rsidRPr="00EB1471">
        <w:t>were either not observed (in Hislop 2011) or not reported (in the other four studies)</w:t>
      </w:r>
      <w:proofErr w:type="gramEnd"/>
      <w:r w:rsidRPr="00EB1471">
        <w:t xml:space="preserve">. Deaths </w:t>
      </w:r>
      <w:proofErr w:type="gramStart"/>
      <w:r w:rsidRPr="00EB1471">
        <w:t>judged to be related</w:t>
      </w:r>
      <w:proofErr w:type="gramEnd"/>
      <w:r w:rsidRPr="00EB1471">
        <w:t xml:space="preserve"> to bosentan were reported in two (1%) patients in the EARLY extension study: convulsion/vasculitis/worsening PAH in one patient and antiphospholipid syndrome/sudden death/systemic lupus erythematosus in the other patient</w:t>
      </w:r>
      <w:r w:rsidR="001D34EE" w:rsidRPr="001A1C44">
        <w:rPr>
          <w:noProof/>
          <w:vertAlign w:val="superscript"/>
        </w:rPr>
        <w:t>57</w:t>
      </w:r>
      <w:r w:rsidRPr="00EB1471">
        <w:t xml:space="preserve">. </w:t>
      </w:r>
      <w:r w:rsidR="006B2A7D">
        <w:t>AE</w:t>
      </w:r>
      <w:r w:rsidRPr="00EB1471">
        <w:t>s leading to treatment withdrawal occurred in a higher proportion of patients in the EARLY extension study than in the other four studies (20% vs 0%-</w:t>
      </w:r>
      <w:proofErr w:type="gramStart"/>
      <w:r w:rsidRPr="00EB1471">
        <w:t>6%</w:t>
      </w:r>
      <w:proofErr w:type="gramEnd"/>
      <w:r w:rsidRPr="00EB1471">
        <w:t xml:space="preserve">). Similar trend </w:t>
      </w:r>
      <w:proofErr w:type="gramStart"/>
      <w:r w:rsidRPr="00EB1471">
        <w:t>was observed</w:t>
      </w:r>
      <w:proofErr w:type="gramEnd"/>
      <w:r w:rsidRPr="00EB1471">
        <w:t xml:space="preserve"> for </w:t>
      </w:r>
      <w:r w:rsidR="006B2A7D">
        <w:t>AE</w:t>
      </w:r>
      <w:r w:rsidRPr="00EB1471">
        <w:t xml:space="preserve"> of abnormal liver function (17% vs 2%-4%). In the EARLY extension study, a haemoglobin concentration of ≤100 g/L was found in 26 (15%) patients, only one of whom had a pre-treatment baseline value of ≤100 g/L. Peripheral oedema was reported to occur in the EARLY extension study, but the incidence rate was not provided. Information on the occurrence of anaemia and fluid retenti</w:t>
      </w:r>
      <w:r w:rsidR="002A66C2">
        <w:t>on in other studies is lacking.</w:t>
      </w:r>
    </w:p>
    <w:p w:rsidR="001D0FDA" w:rsidRPr="00EB1471" w:rsidRDefault="001D0FDA" w:rsidP="001D0FDA">
      <w:pPr>
        <w:pStyle w:val="Caption"/>
      </w:pPr>
      <w:bookmarkStart w:id="320" w:name="_Ref505949179"/>
      <w:bookmarkStart w:id="321" w:name="_Toc38360408"/>
      <w:r>
        <w:t>Table 4.</w:t>
      </w:r>
      <w:r w:rsidR="003951FA">
        <w:rPr>
          <w:noProof/>
        </w:rPr>
        <w:t>111</w:t>
      </w:r>
      <w:bookmarkEnd w:id="320"/>
      <w:r>
        <w:tab/>
      </w:r>
      <w:r w:rsidRPr="00EB1471">
        <w:t>AEs reported in bosentan studies included for extended assessment of safety</w:t>
      </w:r>
      <w:bookmarkEnd w:id="321"/>
    </w:p>
    <w:tbl>
      <w:tblPr>
        <w:tblStyle w:val="TableGrid"/>
        <w:tblW w:w="9776" w:type="dxa"/>
        <w:tblLayout w:type="fixed"/>
        <w:tblLook w:val="04A0" w:firstRow="1" w:lastRow="0" w:firstColumn="1" w:lastColumn="0" w:noHBand="0" w:noVBand="1"/>
        <w:tblCaption w:val="AEs reported in bosentan studies included for extended assessment of safety"/>
      </w:tblPr>
      <w:tblGrid>
        <w:gridCol w:w="2122"/>
        <w:gridCol w:w="1559"/>
        <w:gridCol w:w="1418"/>
        <w:gridCol w:w="1559"/>
        <w:gridCol w:w="1559"/>
        <w:gridCol w:w="1559"/>
      </w:tblGrid>
      <w:tr w:rsidR="001D0FDA" w:rsidRPr="00EB1471" w:rsidTr="001D0FDA">
        <w:trPr>
          <w:cnfStyle w:val="100000000000" w:firstRow="1" w:lastRow="0" w:firstColumn="0" w:lastColumn="0" w:oddVBand="0" w:evenVBand="0" w:oddHBand="0" w:evenHBand="0" w:firstRowFirstColumn="0" w:firstRowLastColumn="0" w:lastRowFirstColumn="0" w:lastRowLastColumn="0"/>
        </w:trPr>
        <w:tc>
          <w:tcPr>
            <w:tcW w:w="2122" w:type="dxa"/>
            <w:shd w:val="clear" w:color="auto" w:fill="BFBFBF" w:themeFill="background1" w:themeFillShade="BF"/>
          </w:tcPr>
          <w:p w:rsidR="001D0FDA" w:rsidRPr="00FD0BAE" w:rsidRDefault="00FD0BAE" w:rsidP="001D0FDA">
            <w:pPr>
              <w:pStyle w:val="Tabletext"/>
              <w:rPr>
                <w:b/>
              </w:rPr>
            </w:pPr>
            <w:r w:rsidRPr="00FD0BAE">
              <w:rPr>
                <w:b/>
              </w:rPr>
              <w:t>AEs</w:t>
            </w:r>
          </w:p>
        </w:tc>
        <w:tc>
          <w:tcPr>
            <w:tcW w:w="1559" w:type="dxa"/>
            <w:shd w:val="clear" w:color="auto" w:fill="BFBFBF" w:themeFill="background1" w:themeFillShade="BF"/>
          </w:tcPr>
          <w:p w:rsidR="001D0FDA" w:rsidRPr="00EB1471" w:rsidRDefault="001D0FDA" w:rsidP="001D0FDA">
            <w:pPr>
              <w:pStyle w:val="Tabletext"/>
              <w:jc w:val="center"/>
              <w:rPr>
                <w:rFonts w:cs="Tahoma"/>
                <w:b/>
              </w:rPr>
            </w:pPr>
            <w:r w:rsidRPr="00EB1471">
              <w:rPr>
                <w:rFonts w:cs="Tahoma"/>
                <w:b/>
              </w:rPr>
              <w:t>EARLY extension study</w:t>
            </w:r>
          </w:p>
          <w:p w:rsidR="001D0FDA" w:rsidRPr="00EB1471" w:rsidRDefault="001D0FDA" w:rsidP="001D0FDA">
            <w:pPr>
              <w:pStyle w:val="Tabletext"/>
              <w:jc w:val="center"/>
              <w:rPr>
                <w:rFonts w:cs="Tahoma"/>
                <w:b/>
              </w:rPr>
            </w:pPr>
            <w:r w:rsidRPr="00EB1471">
              <w:rPr>
                <w:rFonts w:cs="Tahoma"/>
                <w:b/>
              </w:rPr>
              <w:t>(N=173)</w:t>
            </w:r>
          </w:p>
        </w:tc>
        <w:tc>
          <w:tcPr>
            <w:tcW w:w="1418" w:type="dxa"/>
            <w:shd w:val="clear" w:color="auto" w:fill="BFBFBF" w:themeFill="background1" w:themeFillShade="BF"/>
          </w:tcPr>
          <w:p w:rsidR="001D0FDA" w:rsidRPr="00EB1471" w:rsidRDefault="001D0FDA" w:rsidP="001D0FDA">
            <w:pPr>
              <w:pStyle w:val="Tabletext"/>
              <w:jc w:val="center"/>
              <w:rPr>
                <w:rFonts w:cs="Tahoma"/>
                <w:b/>
              </w:rPr>
            </w:pPr>
            <w:r w:rsidRPr="00EB1471">
              <w:rPr>
                <w:rFonts w:cs="Tahoma"/>
                <w:b/>
              </w:rPr>
              <w:t>Hislop 2011</w:t>
            </w:r>
          </w:p>
          <w:p w:rsidR="001D0FDA" w:rsidRPr="00EB1471" w:rsidRDefault="001D0FDA" w:rsidP="001D0FDA">
            <w:pPr>
              <w:pStyle w:val="Tabletext"/>
              <w:jc w:val="center"/>
              <w:rPr>
                <w:rFonts w:cs="Tahoma"/>
                <w:b/>
              </w:rPr>
            </w:pPr>
            <w:r w:rsidRPr="00EB1471">
              <w:rPr>
                <w:rFonts w:cs="Tahoma"/>
                <w:b/>
              </w:rPr>
              <w:t>(N=101)</w:t>
            </w:r>
          </w:p>
        </w:tc>
        <w:tc>
          <w:tcPr>
            <w:tcW w:w="1559" w:type="dxa"/>
            <w:shd w:val="clear" w:color="auto" w:fill="BFBFBF" w:themeFill="background1" w:themeFillShade="BF"/>
          </w:tcPr>
          <w:p w:rsidR="001D0FDA" w:rsidRPr="00EB1471" w:rsidRDefault="001D0FDA" w:rsidP="001D0FDA">
            <w:pPr>
              <w:pStyle w:val="Tabletext"/>
              <w:jc w:val="center"/>
              <w:rPr>
                <w:b/>
              </w:rPr>
            </w:pPr>
            <w:r w:rsidRPr="00EB1471">
              <w:rPr>
                <w:b/>
              </w:rPr>
              <w:t>Keogh 2011</w:t>
            </w:r>
          </w:p>
          <w:p w:rsidR="001D0FDA" w:rsidRPr="00EB1471" w:rsidRDefault="001D0FDA" w:rsidP="001D0FDA">
            <w:pPr>
              <w:pStyle w:val="Tabletext"/>
              <w:jc w:val="center"/>
              <w:rPr>
                <w:rFonts w:cs="Tahoma"/>
                <w:b/>
              </w:rPr>
            </w:pPr>
            <w:r w:rsidRPr="00EB1471">
              <w:rPr>
                <w:b/>
              </w:rPr>
              <w:t>(N=528)</w:t>
            </w:r>
          </w:p>
        </w:tc>
        <w:tc>
          <w:tcPr>
            <w:tcW w:w="1559" w:type="dxa"/>
            <w:shd w:val="clear" w:color="auto" w:fill="BFBFBF" w:themeFill="background1" w:themeFillShade="BF"/>
          </w:tcPr>
          <w:p w:rsidR="001D0FDA" w:rsidRPr="00EB1471" w:rsidRDefault="001D0FDA" w:rsidP="001D0FDA">
            <w:pPr>
              <w:pStyle w:val="Tabletext"/>
              <w:jc w:val="center"/>
              <w:rPr>
                <w:rFonts w:cs="Tahoma"/>
                <w:b/>
              </w:rPr>
            </w:pPr>
            <w:r w:rsidRPr="00EB1471">
              <w:rPr>
                <w:rFonts w:cs="Tahoma"/>
                <w:b/>
              </w:rPr>
              <w:t>Provencher 2006</w:t>
            </w:r>
          </w:p>
          <w:p w:rsidR="001D0FDA" w:rsidRPr="00EB1471" w:rsidRDefault="001D0FDA" w:rsidP="001D0FDA">
            <w:pPr>
              <w:pStyle w:val="Tabletext"/>
              <w:jc w:val="center"/>
              <w:rPr>
                <w:rFonts w:cs="Tahoma"/>
                <w:b/>
              </w:rPr>
            </w:pPr>
            <w:r w:rsidRPr="00EB1471">
              <w:rPr>
                <w:rFonts w:cs="Tahoma"/>
                <w:b/>
              </w:rPr>
              <w:t>(N=103)</w:t>
            </w:r>
          </w:p>
        </w:tc>
        <w:tc>
          <w:tcPr>
            <w:tcW w:w="1559" w:type="dxa"/>
            <w:shd w:val="clear" w:color="auto" w:fill="BFBFBF" w:themeFill="background1" w:themeFillShade="BF"/>
          </w:tcPr>
          <w:p w:rsidR="001D0FDA" w:rsidRPr="00EB1471" w:rsidRDefault="001D0FDA" w:rsidP="001D0FDA">
            <w:pPr>
              <w:pStyle w:val="Tabletext"/>
              <w:jc w:val="center"/>
              <w:rPr>
                <w:rFonts w:cs="Tahoma"/>
                <w:b/>
              </w:rPr>
            </w:pPr>
            <w:r w:rsidRPr="00EB1471">
              <w:rPr>
                <w:rFonts w:cs="Tahoma"/>
                <w:b/>
              </w:rPr>
              <w:t>Vis 2013</w:t>
            </w:r>
          </w:p>
          <w:p w:rsidR="001D0FDA" w:rsidRPr="00EB1471" w:rsidRDefault="001D0FDA" w:rsidP="001D0FDA">
            <w:pPr>
              <w:pStyle w:val="Tabletext"/>
              <w:jc w:val="center"/>
              <w:rPr>
                <w:rFonts w:cs="Tahoma"/>
                <w:b/>
              </w:rPr>
            </w:pPr>
            <w:r w:rsidRPr="00EB1471">
              <w:rPr>
                <w:rFonts w:cs="Tahoma"/>
                <w:b/>
              </w:rPr>
              <w:t>(N=64)</w:t>
            </w:r>
          </w:p>
        </w:tc>
      </w:tr>
      <w:tr w:rsidR="001D0FDA" w:rsidRPr="00EB1471" w:rsidTr="001D0FDA">
        <w:trPr>
          <w:trHeight w:val="190"/>
        </w:trPr>
        <w:tc>
          <w:tcPr>
            <w:tcW w:w="2122" w:type="dxa"/>
          </w:tcPr>
          <w:p w:rsidR="001D0FDA" w:rsidRPr="00EB1471" w:rsidRDefault="001D0FDA" w:rsidP="001D0FDA">
            <w:pPr>
              <w:pStyle w:val="Tabletext"/>
            </w:pPr>
            <w:r w:rsidRPr="00EB1471">
              <w:t>Serious AEs</w:t>
            </w:r>
          </w:p>
        </w:tc>
        <w:tc>
          <w:tcPr>
            <w:tcW w:w="1559" w:type="dxa"/>
          </w:tcPr>
          <w:p w:rsidR="001D0FDA" w:rsidRPr="00EB1471" w:rsidRDefault="001D0FDA" w:rsidP="001D0FDA">
            <w:pPr>
              <w:pStyle w:val="Tabletext"/>
              <w:jc w:val="center"/>
            </w:pPr>
            <w:r w:rsidRPr="00EB1471">
              <w:t>NR</w:t>
            </w:r>
          </w:p>
        </w:tc>
        <w:tc>
          <w:tcPr>
            <w:tcW w:w="1418" w:type="dxa"/>
          </w:tcPr>
          <w:p w:rsidR="001D0FDA" w:rsidRPr="00EB1471" w:rsidRDefault="001D0FDA" w:rsidP="001D0FDA">
            <w:pPr>
              <w:pStyle w:val="Tabletext"/>
              <w:jc w:val="center"/>
            </w:pPr>
            <w:r w:rsidRPr="00EB1471">
              <w:t>0 (0%)</w:t>
            </w:r>
          </w:p>
        </w:tc>
        <w:tc>
          <w:tcPr>
            <w:tcW w:w="1559" w:type="dxa"/>
          </w:tcPr>
          <w:p w:rsidR="001D0FDA" w:rsidRPr="00EB1471" w:rsidRDefault="001D0FDA" w:rsidP="001D0FDA">
            <w:pPr>
              <w:pStyle w:val="Tabletext"/>
              <w:jc w:val="center"/>
            </w:pPr>
            <w:r w:rsidRPr="00EB1471">
              <w:t>NR</w:t>
            </w:r>
          </w:p>
        </w:tc>
        <w:tc>
          <w:tcPr>
            <w:tcW w:w="1559" w:type="dxa"/>
          </w:tcPr>
          <w:p w:rsidR="001D0FDA" w:rsidRPr="00EB1471" w:rsidRDefault="001D0FDA" w:rsidP="001D0FDA">
            <w:pPr>
              <w:pStyle w:val="Tabletext"/>
              <w:jc w:val="center"/>
            </w:pPr>
            <w:r w:rsidRPr="00EB1471">
              <w:t>NR</w:t>
            </w:r>
          </w:p>
        </w:tc>
        <w:tc>
          <w:tcPr>
            <w:tcW w:w="1559" w:type="dxa"/>
          </w:tcPr>
          <w:p w:rsidR="001D0FDA" w:rsidRPr="00EB1471" w:rsidRDefault="001D0FDA" w:rsidP="001D0FDA">
            <w:pPr>
              <w:pStyle w:val="Tabletext"/>
              <w:jc w:val="center"/>
            </w:pPr>
            <w:r w:rsidRPr="00EB1471">
              <w:t>NR</w:t>
            </w:r>
          </w:p>
        </w:tc>
      </w:tr>
      <w:tr w:rsidR="001D0FDA" w:rsidRPr="00EB1471" w:rsidTr="001D0FDA">
        <w:trPr>
          <w:trHeight w:val="293"/>
        </w:trPr>
        <w:tc>
          <w:tcPr>
            <w:tcW w:w="2122" w:type="dxa"/>
          </w:tcPr>
          <w:p w:rsidR="001D0FDA" w:rsidRPr="00EB1471" w:rsidRDefault="001D0FDA" w:rsidP="001D0FDA">
            <w:pPr>
              <w:pStyle w:val="Tabletext"/>
            </w:pPr>
            <w:r w:rsidRPr="00EB1471">
              <w:t>AEs leading to treatment withdrawal</w:t>
            </w:r>
          </w:p>
        </w:tc>
        <w:tc>
          <w:tcPr>
            <w:tcW w:w="1559" w:type="dxa"/>
            <w:vAlign w:val="center"/>
          </w:tcPr>
          <w:p w:rsidR="001D0FDA" w:rsidRPr="00EB1471" w:rsidRDefault="001D0FDA" w:rsidP="001D0FDA">
            <w:pPr>
              <w:pStyle w:val="Tabletext"/>
              <w:jc w:val="center"/>
            </w:pPr>
            <w:r w:rsidRPr="00EB1471">
              <w:t>35 (20%)</w:t>
            </w:r>
          </w:p>
        </w:tc>
        <w:tc>
          <w:tcPr>
            <w:tcW w:w="1418" w:type="dxa"/>
            <w:vAlign w:val="center"/>
          </w:tcPr>
          <w:p w:rsidR="001D0FDA" w:rsidRPr="00EB1471" w:rsidRDefault="001D0FDA" w:rsidP="001D0FDA">
            <w:pPr>
              <w:pStyle w:val="Tabletext"/>
              <w:jc w:val="center"/>
            </w:pPr>
            <w:r w:rsidRPr="00EB1471">
              <w:t>2 (2%)</w:t>
            </w:r>
          </w:p>
        </w:tc>
        <w:tc>
          <w:tcPr>
            <w:tcW w:w="1559" w:type="dxa"/>
            <w:vAlign w:val="center"/>
          </w:tcPr>
          <w:p w:rsidR="001D0FDA" w:rsidRPr="00EB1471" w:rsidRDefault="001D0FDA" w:rsidP="001D0FDA">
            <w:pPr>
              <w:pStyle w:val="Tabletext"/>
              <w:jc w:val="center"/>
            </w:pPr>
            <w:r w:rsidRPr="00EB1471">
              <w:t>31 (6%)</w:t>
            </w:r>
          </w:p>
        </w:tc>
        <w:tc>
          <w:tcPr>
            <w:tcW w:w="1559" w:type="dxa"/>
            <w:vAlign w:val="center"/>
          </w:tcPr>
          <w:p w:rsidR="001D0FDA" w:rsidRPr="00EB1471" w:rsidRDefault="001D0FDA" w:rsidP="001D0FDA">
            <w:pPr>
              <w:pStyle w:val="Tabletext"/>
              <w:jc w:val="center"/>
            </w:pPr>
            <w:r w:rsidRPr="00EB1471">
              <w:t>3</w:t>
            </w:r>
            <w:r w:rsidRPr="00EB1471">
              <w:rPr>
                <w:vertAlign w:val="superscript"/>
              </w:rPr>
              <w:t>a</w:t>
            </w:r>
            <w:r w:rsidRPr="00EB1471">
              <w:t xml:space="preserve"> (3%)</w:t>
            </w:r>
          </w:p>
        </w:tc>
        <w:tc>
          <w:tcPr>
            <w:tcW w:w="1559" w:type="dxa"/>
            <w:vAlign w:val="center"/>
          </w:tcPr>
          <w:p w:rsidR="001D0FDA" w:rsidRPr="00EB1471" w:rsidRDefault="001D0FDA" w:rsidP="001D0FDA">
            <w:pPr>
              <w:pStyle w:val="Tabletext"/>
              <w:jc w:val="center"/>
            </w:pPr>
            <w:r w:rsidRPr="00EB1471">
              <w:t>0 (0%)</w:t>
            </w:r>
          </w:p>
        </w:tc>
      </w:tr>
      <w:tr w:rsidR="001D0FDA" w:rsidRPr="00EB1471" w:rsidTr="001D0FDA">
        <w:tc>
          <w:tcPr>
            <w:tcW w:w="2122" w:type="dxa"/>
            <w:tcBorders>
              <w:bottom w:val="single" w:sz="4" w:space="0" w:color="auto"/>
            </w:tcBorders>
          </w:tcPr>
          <w:p w:rsidR="001D0FDA" w:rsidRPr="00EB1471" w:rsidRDefault="001D0FDA" w:rsidP="001D0FDA">
            <w:pPr>
              <w:pStyle w:val="Tabletext"/>
            </w:pPr>
            <w:r w:rsidRPr="00EB1471">
              <w:t>Death due to study drug</w:t>
            </w:r>
          </w:p>
        </w:tc>
        <w:tc>
          <w:tcPr>
            <w:tcW w:w="1559" w:type="dxa"/>
            <w:tcBorders>
              <w:bottom w:val="single" w:sz="4" w:space="0" w:color="auto"/>
            </w:tcBorders>
          </w:tcPr>
          <w:p w:rsidR="001D0FDA" w:rsidRPr="00EB1471" w:rsidRDefault="001D0FDA" w:rsidP="001D0FDA">
            <w:pPr>
              <w:pStyle w:val="Tabletext"/>
              <w:jc w:val="center"/>
            </w:pPr>
            <w:r w:rsidRPr="00EB1471">
              <w:t>2 (1%)</w:t>
            </w:r>
          </w:p>
        </w:tc>
        <w:tc>
          <w:tcPr>
            <w:tcW w:w="1418" w:type="dxa"/>
            <w:tcBorders>
              <w:bottom w:val="single" w:sz="4" w:space="0" w:color="auto"/>
            </w:tcBorders>
          </w:tcPr>
          <w:p w:rsidR="001D0FDA" w:rsidRPr="00EB1471" w:rsidRDefault="001D0FDA" w:rsidP="001D0FDA">
            <w:pPr>
              <w:pStyle w:val="Tabletext"/>
              <w:jc w:val="center"/>
            </w:pPr>
            <w:r w:rsidRPr="00EB1471">
              <w:t>NR</w:t>
            </w:r>
          </w:p>
        </w:tc>
        <w:tc>
          <w:tcPr>
            <w:tcW w:w="1559" w:type="dxa"/>
            <w:tcBorders>
              <w:bottom w:val="single" w:sz="4" w:space="0" w:color="auto"/>
            </w:tcBorders>
          </w:tcPr>
          <w:p w:rsidR="001D0FDA" w:rsidRPr="00EB1471" w:rsidRDefault="001D0FDA" w:rsidP="001D0FDA">
            <w:pPr>
              <w:pStyle w:val="Tabletext"/>
              <w:jc w:val="center"/>
            </w:pPr>
            <w:r w:rsidRPr="00EB1471">
              <w:t>NR</w:t>
            </w:r>
          </w:p>
        </w:tc>
        <w:tc>
          <w:tcPr>
            <w:tcW w:w="1559" w:type="dxa"/>
            <w:tcBorders>
              <w:bottom w:val="single" w:sz="4" w:space="0" w:color="auto"/>
            </w:tcBorders>
          </w:tcPr>
          <w:p w:rsidR="001D0FDA" w:rsidRPr="00EB1471" w:rsidRDefault="001D0FDA" w:rsidP="001D0FDA">
            <w:pPr>
              <w:pStyle w:val="Tabletext"/>
              <w:jc w:val="center"/>
            </w:pPr>
            <w:r w:rsidRPr="00EB1471">
              <w:t>NR</w:t>
            </w:r>
          </w:p>
        </w:tc>
        <w:tc>
          <w:tcPr>
            <w:tcW w:w="1559" w:type="dxa"/>
            <w:tcBorders>
              <w:bottom w:val="single" w:sz="4" w:space="0" w:color="auto"/>
            </w:tcBorders>
          </w:tcPr>
          <w:p w:rsidR="001D0FDA" w:rsidRPr="00EB1471" w:rsidRDefault="001D0FDA" w:rsidP="001D0FDA">
            <w:pPr>
              <w:pStyle w:val="Tabletext"/>
              <w:jc w:val="center"/>
            </w:pPr>
            <w:r w:rsidRPr="00EB1471">
              <w:t>NR</w:t>
            </w:r>
          </w:p>
        </w:tc>
      </w:tr>
      <w:tr w:rsidR="001D0FDA" w:rsidRPr="00EB1471" w:rsidTr="001D0FDA">
        <w:tc>
          <w:tcPr>
            <w:tcW w:w="2122" w:type="dxa"/>
            <w:tcBorders>
              <w:bottom w:val="nil"/>
            </w:tcBorders>
          </w:tcPr>
          <w:p w:rsidR="001D0FDA" w:rsidRPr="00EB1471" w:rsidRDefault="001D0FDA" w:rsidP="001D0FDA">
            <w:pPr>
              <w:pStyle w:val="Tabletext"/>
            </w:pPr>
            <w:r w:rsidRPr="00EB1471">
              <w:t>AEs of interest</w:t>
            </w:r>
          </w:p>
        </w:tc>
        <w:tc>
          <w:tcPr>
            <w:tcW w:w="1559" w:type="dxa"/>
            <w:tcBorders>
              <w:bottom w:val="nil"/>
            </w:tcBorders>
          </w:tcPr>
          <w:p w:rsidR="001D0FDA" w:rsidRPr="00EB1471" w:rsidRDefault="001D0FDA" w:rsidP="001D0FDA">
            <w:pPr>
              <w:pStyle w:val="Tabletext"/>
              <w:jc w:val="center"/>
            </w:pPr>
          </w:p>
        </w:tc>
        <w:tc>
          <w:tcPr>
            <w:tcW w:w="1418" w:type="dxa"/>
            <w:tcBorders>
              <w:bottom w:val="nil"/>
            </w:tcBorders>
          </w:tcPr>
          <w:p w:rsidR="001D0FDA" w:rsidRPr="00EB1471" w:rsidRDefault="001D0FDA" w:rsidP="001D0FDA">
            <w:pPr>
              <w:pStyle w:val="Tabletext"/>
              <w:jc w:val="center"/>
            </w:pPr>
          </w:p>
        </w:tc>
        <w:tc>
          <w:tcPr>
            <w:tcW w:w="1559" w:type="dxa"/>
            <w:tcBorders>
              <w:bottom w:val="nil"/>
            </w:tcBorders>
          </w:tcPr>
          <w:p w:rsidR="001D0FDA" w:rsidRPr="00EB1471" w:rsidRDefault="001D0FDA" w:rsidP="001D0FDA">
            <w:pPr>
              <w:pStyle w:val="Tabletext"/>
              <w:jc w:val="center"/>
            </w:pPr>
          </w:p>
        </w:tc>
        <w:tc>
          <w:tcPr>
            <w:tcW w:w="1559" w:type="dxa"/>
            <w:tcBorders>
              <w:bottom w:val="nil"/>
            </w:tcBorders>
          </w:tcPr>
          <w:p w:rsidR="001D0FDA" w:rsidRPr="00EB1471" w:rsidRDefault="001D0FDA" w:rsidP="001D0FDA">
            <w:pPr>
              <w:pStyle w:val="Tabletext"/>
              <w:jc w:val="center"/>
            </w:pPr>
          </w:p>
        </w:tc>
        <w:tc>
          <w:tcPr>
            <w:tcW w:w="1559" w:type="dxa"/>
            <w:tcBorders>
              <w:bottom w:val="nil"/>
            </w:tcBorders>
          </w:tcPr>
          <w:p w:rsidR="001D0FDA" w:rsidRPr="00EB1471" w:rsidRDefault="001D0FDA" w:rsidP="001D0FDA">
            <w:pPr>
              <w:pStyle w:val="Tabletext"/>
              <w:jc w:val="center"/>
            </w:pPr>
          </w:p>
        </w:tc>
      </w:tr>
      <w:tr w:rsidR="001D0FDA" w:rsidRPr="00EB1471" w:rsidTr="001D0FDA">
        <w:tc>
          <w:tcPr>
            <w:tcW w:w="2122" w:type="dxa"/>
            <w:tcBorders>
              <w:top w:val="nil"/>
              <w:bottom w:val="nil"/>
            </w:tcBorders>
          </w:tcPr>
          <w:p w:rsidR="001D0FDA" w:rsidRPr="00EB1471" w:rsidRDefault="001D0FDA" w:rsidP="001D0FDA">
            <w:pPr>
              <w:pStyle w:val="Tabletext"/>
              <w:ind w:left="222"/>
            </w:pPr>
            <w:r w:rsidRPr="00EB1471">
              <w:t>Hepatic enzyme elevation</w:t>
            </w:r>
            <w:r w:rsidRPr="00EB1471">
              <w:rPr>
                <w:vertAlign w:val="superscript"/>
              </w:rPr>
              <w:t>b</w:t>
            </w:r>
          </w:p>
        </w:tc>
        <w:tc>
          <w:tcPr>
            <w:tcW w:w="1559" w:type="dxa"/>
            <w:tcBorders>
              <w:top w:val="nil"/>
              <w:bottom w:val="nil"/>
            </w:tcBorders>
          </w:tcPr>
          <w:p w:rsidR="001D0FDA" w:rsidRPr="00EB1471" w:rsidRDefault="001D0FDA" w:rsidP="001D0FDA">
            <w:pPr>
              <w:pStyle w:val="Tabletext"/>
              <w:jc w:val="center"/>
            </w:pPr>
            <w:r w:rsidRPr="00EB1471">
              <w:t>29 (17%)</w:t>
            </w:r>
          </w:p>
        </w:tc>
        <w:tc>
          <w:tcPr>
            <w:tcW w:w="1418" w:type="dxa"/>
            <w:tcBorders>
              <w:top w:val="nil"/>
              <w:bottom w:val="nil"/>
            </w:tcBorders>
          </w:tcPr>
          <w:p w:rsidR="001D0FDA" w:rsidRPr="00EB1471" w:rsidRDefault="001D0FDA" w:rsidP="001D0FDA">
            <w:pPr>
              <w:pStyle w:val="Tabletext"/>
              <w:jc w:val="center"/>
            </w:pPr>
            <w:r w:rsidRPr="00EB1471">
              <w:t>3 (3%)</w:t>
            </w:r>
          </w:p>
        </w:tc>
        <w:tc>
          <w:tcPr>
            <w:tcW w:w="1559" w:type="dxa"/>
            <w:tcBorders>
              <w:top w:val="nil"/>
              <w:bottom w:val="nil"/>
            </w:tcBorders>
          </w:tcPr>
          <w:p w:rsidR="001D0FDA" w:rsidRPr="00EB1471" w:rsidRDefault="001D0FDA" w:rsidP="001D0FDA">
            <w:pPr>
              <w:pStyle w:val="Tabletext"/>
              <w:jc w:val="center"/>
            </w:pPr>
            <w:r w:rsidRPr="00EB1471">
              <w:t>NR</w:t>
            </w:r>
          </w:p>
        </w:tc>
        <w:tc>
          <w:tcPr>
            <w:tcW w:w="1559" w:type="dxa"/>
            <w:tcBorders>
              <w:top w:val="nil"/>
              <w:bottom w:val="nil"/>
            </w:tcBorders>
          </w:tcPr>
          <w:p w:rsidR="001D0FDA" w:rsidRPr="00EB1471" w:rsidRDefault="001D0FDA" w:rsidP="001D0FDA">
            <w:pPr>
              <w:pStyle w:val="Tabletext"/>
              <w:jc w:val="center"/>
            </w:pPr>
            <w:r w:rsidRPr="00EB1471">
              <w:t>4 (4%)</w:t>
            </w:r>
          </w:p>
        </w:tc>
        <w:tc>
          <w:tcPr>
            <w:tcW w:w="1559" w:type="dxa"/>
            <w:tcBorders>
              <w:top w:val="nil"/>
              <w:bottom w:val="nil"/>
            </w:tcBorders>
          </w:tcPr>
          <w:p w:rsidR="001D0FDA" w:rsidRPr="00EB1471" w:rsidRDefault="001D0FDA" w:rsidP="001D0FDA">
            <w:pPr>
              <w:pStyle w:val="Tabletext"/>
              <w:jc w:val="center"/>
            </w:pPr>
            <w:r w:rsidRPr="00EB1471">
              <w:t>1 (2%)</w:t>
            </w:r>
          </w:p>
        </w:tc>
      </w:tr>
      <w:tr w:rsidR="001D0FDA" w:rsidRPr="00EB1471" w:rsidTr="001D0FDA">
        <w:tc>
          <w:tcPr>
            <w:tcW w:w="2122" w:type="dxa"/>
            <w:tcBorders>
              <w:top w:val="nil"/>
            </w:tcBorders>
          </w:tcPr>
          <w:p w:rsidR="001D0FDA" w:rsidRPr="00EB1471" w:rsidRDefault="001D0FDA" w:rsidP="001D0FDA">
            <w:pPr>
              <w:pStyle w:val="Tabletext"/>
              <w:ind w:left="222"/>
            </w:pPr>
            <w:r w:rsidRPr="00EB1471">
              <w:t>Decreased haemoglobin</w:t>
            </w:r>
            <w:r w:rsidRPr="00EB1471">
              <w:rPr>
                <w:vertAlign w:val="superscript"/>
              </w:rPr>
              <w:t>c</w:t>
            </w:r>
          </w:p>
        </w:tc>
        <w:tc>
          <w:tcPr>
            <w:tcW w:w="1559" w:type="dxa"/>
            <w:tcBorders>
              <w:top w:val="nil"/>
            </w:tcBorders>
          </w:tcPr>
          <w:p w:rsidR="001D0FDA" w:rsidRPr="00EB1471" w:rsidRDefault="001D0FDA" w:rsidP="001D0FDA">
            <w:pPr>
              <w:pStyle w:val="Tabletext"/>
              <w:jc w:val="center"/>
            </w:pPr>
            <w:r w:rsidRPr="00EB1471">
              <w:t>26 (15%)</w:t>
            </w:r>
          </w:p>
        </w:tc>
        <w:tc>
          <w:tcPr>
            <w:tcW w:w="1418" w:type="dxa"/>
            <w:tcBorders>
              <w:top w:val="nil"/>
            </w:tcBorders>
          </w:tcPr>
          <w:p w:rsidR="001D0FDA" w:rsidRPr="00EB1471" w:rsidRDefault="001D0FDA" w:rsidP="001D0FDA">
            <w:pPr>
              <w:pStyle w:val="Tabletext"/>
              <w:jc w:val="center"/>
            </w:pPr>
            <w:r w:rsidRPr="00EB1471">
              <w:t>NR</w:t>
            </w:r>
          </w:p>
        </w:tc>
        <w:tc>
          <w:tcPr>
            <w:tcW w:w="1559" w:type="dxa"/>
            <w:tcBorders>
              <w:top w:val="nil"/>
            </w:tcBorders>
          </w:tcPr>
          <w:p w:rsidR="001D0FDA" w:rsidRPr="00EB1471" w:rsidRDefault="001D0FDA" w:rsidP="001D0FDA">
            <w:pPr>
              <w:pStyle w:val="Tabletext"/>
              <w:jc w:val="center"/>
            </w:pPr>
            <w:r w:rsidRPr="00EB1471">
              <w:t>NR</w:t>
            </w:r>
          </w:p>
        </w:tc>
        <w:tc>
          <w:tcPr>
            <w:tcW w:w="1559" w:type="dxa"/>
            <w:tcBorders>
              <w:top w:val="nil"/>
            </w:tcBorders>
          </w:tcPr>
          <w:p w:rsidR="001D0FDA" w:rsidRPr="00EB1471" w:rsidRDefault="001D0FDA" w:rsidP="001D0FDA">
            <w:pPr>
              <w:pStyle w:val="Tabletext"/>
              <w:jc w:val="center"/>
            </w:pPr>
            <w:r w:rsidRPr="00EB1471">
              <w:t>NR</w:t>
            </w:r>
          </w:p>
        </w:tc>
        <w:tc>
          <w:tcPr>
            <w:tcW w:w="1559" w:type="dxa"/>
            <w:tcBorders>
              <w:top w:val="nil"/>
            </w:tcBorders>
          </w:tcPr>
          <w:p w:rsidR="001D0FDA" w:rsidRPr="00EB1471" w:rsidRDefault="001D0FDA" w:rsidP="001D0FDA">
            <w:pPr>
              <w:pStyle w:val="Tabletext"/>
              <w:jc w:val="center"/>
            </w:pPr>
            <w:r w:rsidRPr="00EB1471">
              <w:t>NR</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3 patients permanently stopped bosentan therapy due to elevated liver enzymes. It is unclear whether there were more patients withdrew due to other </w:t>
      </w:r>
      <w:r w:rsidR="006B2A7D">
        <w:t>AE</w:t>
      </w:r>
      <w:r w:rsidRPr="00EB1471">
        <w:t>s</w:t>
      </w:r>
    </w:p>
    <w:p w:rsidR="006D01E8" w:rsidRPr="00EB1471" w:rsidRDefault="006D01E8" w:rsidP="006D01E8">
      <w:pPr>
        <w:pStyle w:val="Tablenote"/>
      </w:pPr>
      <w:proofErr w:type="gramStart"/>
      <w:r w:rsidRPr="00EB1471">
        <w:rPr>
          <w:vertAlign w:val="superscript"/>
        </w:rPr>
        <w:t>b</w:t>
      </w:r>
      <w:proofErr w:type="gramEnd"/>
      <w:r w:rsidRPr="00EB1471">
        <w:t xml:space="preserve"> Defined as alanine aminotransferase or aspartate aminotransferase concentrations &gt;3 x the upper limit of normal</w:t>
      </w:r>
    </w:p>
    <w:p w:rsidR="006D01E8" w:rsidRPr="00EB1471" w:rsidRDefault="006D01E8" w:rsidP="006D01E8">
      <w:pPr>
        <w:pStyle w:val="Tablenote"/>
      </w:pPr>
      <w:proofErr w:type="gramStart"/>
      <w:r w:rsidRPr="00EB1471">
        <w:rPr>
          <w:vertAlign w:val="superscript"/>
        </w:rPr>
        <w:t>c</w:t>
      </w:r>
      <w:proofErr w:type="gramEnd"/>
      <w:r w:rsidRPr="00EB1471">
        <w:t xml:space="preserve"> Defined as haemoglobin ≤100g/L</w:t>
      </w:r>
    </w:p>
    <w:p w:rsidR="001D0FDA" w:rsidRPr="00EB1471" w:rsidRDefault="001D0FDA" w:rsidP="001D0FDA">
      <w:pPr>
        <w:pStyle w:val="Tablenote"/>
      </w:pPr>
      <w:r w:rsidRPr="00EB1471">
        <w:t>AE = adverse event</w:t>
      </w:r>
      <w:r w:rsidR="00121EF0">
        <w:t>, N = number of patients</w:t>
      </w:r>
    </w:p>
    <w:p w:rsidR="001D0FDA" w:rsidRPr="00EB1471" w:rsidRDefault="001D0FDA" w:rsidP="001D0FDA">
      <w:pPr>
        <w:pStyle w:val="Tablenote"/>
      </w:pPr>
      <w:r w:rsidRPr="00EB1471">
        <w:t>Source: Simonneau et al 2014</w:t>
      </w:r>
      <w:r w:rsidR="001D34EE" w:rsidRPr="001A1C44">
        <w:rPr>
          <w:noProof/>
          <w:vertAlign w:val="superscript"/>
        </w:rPr>
        <w:t>57</w:t>
      </w:r>
      <w:r w:rsidRPr="00EB1471">
        <w:t>; Hislop et al 2011</w:t>
      </w:r>
      <w:r w:rsidR="001D34EE" w:rsidRPr="001A1C44">
        <w:rPr>
          <w:noProof/>
          <w:vertAlign w:val="superscript"/>
        </w:rPr>
        <w:t>58</w:t>
      </w:r>
      <w:r w:rsidRPr="00EB1471">
        <w:t>; Keogh 2011</w:t>
      </w:r>
      <w:r w:rsidR="001D34EE" w:rsidRPr="001A1C44">
        <w:rPr>
          <w:noProof/>
          <w:vertAlign w:val="superscript"/>
        </w:rPr>
        <w:t>60</w:t>
      </w:r>
      <w:r w:rsidRPr="00EB1471">
        <w:t>; Provencher et al 2006</w:t>
      </w:r>
      <w:r w:rsidR="001D34EE" w:rsidRPr="001A1C44">
        <w:rPr>
          <w:noProof/>
          <w:vertAlign w:val="superscript"/>
        </w:rPr>
        <w:t>66</w:t>
      </w:r>
      <w:r w:rsidRPr="00EB1471">
        <w:t>; Vis et al 2013</w:t>
      </w:r>
      <w:r w:rsidR="001D34EE" w:rsidRPr="001A1C44">
        <w:rPr>
          <w:noProof/>
          <w:vertAlign w:val="superscript"/>
        </w:rPr>
        <w:t>72</w:t>
      </w:r>
    </w:p>
    <w:p w:rsidR="001D0FDA" w:rsidRPr="00EB1471" w:rsidRDefault="001D0FDA" w:rsidP="001D0FDA">
      <w:r w:rsidRPr="00EB1471">
        <w:t xml:space="preserve">Overall, no clear safety signals </w:t>
      </w:r>
      <w:proofErr w:type="gramStart"/>
      <w:r w:rsidRPr="00EB1471">
        <w:t>were detected</w:t>
      </w:r>
      <w:proofErr w:type="gramEnd"/>
      <w:r w:rsidRPr="00EB1471">
        <w:t xml:space="preserve"> by the five included observational studies. Abnormal liver function, haemoglobin decrease and peripheral oedema are three well-recognised </w:t>
      </w:r>
      <w:r w:rsidR="006B2A7D">
        <w:t>AE</w:t>
      </w:r>
      <w:r w:rsidRPr="00EB1471">
        <w:t xml:space="preserve">s associated with ERAs. No conclusion </w:t>
      </w:r>
      <w:proofErr w:type="gramStart"/>
      <w:r w:rsidRPr="00EB1471">
        <w:t>can be drawn</w:t>
      </w:r>
      <w:proofErr w:type="gramEnd"/>
      <w:r w:rsidRPr="00EB1471">
        <w:t xml:space="preserve"> from the two so-called bosentan-related deaths reported in the EARLY extension study, given the absence of detailed information on these cases and the lack of a placebo-control arm. Some of the fatal </w:t>
      </w:r>
      <w:r w:rsidR="006B2A7D">
        <w:t>AE</w:t>
      </w:r>
      <w:r w:rsidRPr="00EB1471">
        <w:t>s reported in the EARLY extension study can either be the primary condition of PAH (eg systemic lupus erythematosus), co-exist with or implicated in development of PAH or its primary conditions (eg vasculitis and antiphospholipid syndrome hypertension)</w:t>
      </w:r>
      <w:r w:rsidR="001D34EE" w:rsidRPr="001A1C44">
        <w:rPr>
          <w:noProof/>
          <w:vertAlign w:val="superscript"/>
        </w:rPr>
        <w:t>87-89</w:t>
      </w:r>
      <w:r w:rsidR="002A66C2">
        <w:t>.</w:t>
      </w:r>
    </w:p>
    <w:p w:rsidR="001D0FDA" w:rsidRPr="00EB1471" w:rsidRDefault="001D0FDA" w:rsidP="00480FDF">
      <w:pPr>
        <w:pStyle w:val="Heading6"/>
        <w:numPr>
          <w:ilvl w:val="5"/>
          <w:numId w:val="45"/>
        </w:numPr>
      </w:pPr>
      <w:r w:rsidRPr="00EB1471">
        <w:t>Ambrisentan</w:t>
      </w:r>
    </w:p>
    <w:p w:rsidR="001D0FDA" w:rsidRPr="00EB1471" w:rsidRDefault="001D0FDA" w:rsidP="001D0FDA">
      <w:r w:rsidRPr="00EB1471">
        <w:t xml:space="preserve">Two observational studies (Vachiéry 2017 and ARIES extension study) were included for extended assessment of safety of ambrisentan. Results from these two studies are summarised in </w:t>
      </w:r>
      <w:r w:rsidR="003951FA">
        <w:t>Table 4.</w:t>
      </w:r>
      <w:r w:rsidR="003951FA">
        <w:rPr>
          <w:noProof/>
        </w:rPr>
        <w:t>112</w:t>
      </w:r>
      <w:r w:rsidRPr="00EB1471">
        <w:t xml:space="preserve">. Of note, the safety outcomes reported in the two studies slightly differed: treatment-emergent </w:t>
      </w:r>
      <w:r w:rsidR="006B2A7D">
        <w:t>AE</w:t>
      </w:r>
      <w:r w:rsidRPr="00EB1471">
        <w:t xml:space="preserve">s (defined as undesirable events not present prior to medical treatment or an already present event that worsens either in intensity or frequency following the treatment) in Vachiéry 2017 and any </w:t>
      </w:r>
      <w:r w:rsidR="006B2A7D">
        <w:t>AE</w:t>
      </w:r>
      <w:r w:rsidR="002A66C2">
        <w:t>s in ARIES extension study.</w:t>
      </w:r>
    </w:p>
    <w:p w:rsidR="001D0FDA" w:rsidRPr="00EB1471" w:rsidRDefault="001D0FDA" w:rsidP="001D0FDA">
      <w:r w:rsidRPr="00EB1471">
        <w:t xml:space="preserve">Vachiéry </w:t>
      </w:r>
      <w:proofErr w:type="gramStart"/>
      <w:r w:rsidRPr="00EB1471">
        <w:t>et</w:t>
      </w:r>
      <w:proofErr w:type="gramEnd"/>
      <w:r w:rsidRPr="00EB1471">
        <w:t xml:space="preserve"> al</w:t>
      </w:r>
      <w:r w:rsidR="001D34EE" w:rsidRPr="001A1C44">
        <w:rPr>
          <w:noProof/>
          <w:vertAlign w:val="superscript"/>
        </w:rPr>
        <w:t>70</w:t>
      </w:r>
      <w:r w:rsidRPr="00EB1471">
        <w:t xml:space="preserve"> analysed data from a large post-marketing registry program which enrolled 999 patients from 15 countries who were prescribed ambrisentan for the treatment of PAH. The mean exposure to ambrisentan for the safety population </w:t>
      </w:r>
      <w:r>
        <w:t xml:space="preserve">(N=998, excluding patient who did not receive ambrisentan) </w:t>
      </w:r>
      <w:r w:rsidRPr="00EB1471">
        <w:t xml:space="preserve">was 2.2 years. At baseline, 322 (32%) patients </w:t>
      </w:r>
      <w:proofErr w:type="gramStart"/>
      <w:r w:rsidRPr="00EB1471">
        <w:t>were treated</w:t>
      </w:r>
      <w:proofErr w:type="gramEnd"/>
      <w:r w:rsidRPr="00EB1471">
        <w:t xml:space="preserve"> with other PAH-specific therapies in addition to ambrisentan. In total, 83% (n=827) of patients reported ≥1 treatment-emergent </w:t>
      </w:r>
      <w:r w:rsidR="006B2A7D">
        <w:t>AE</w:t>
      </w:r>
      <w:r w:rsidRPr="00EB1471">
        <w:t xml:space="preserve">s during the study period, which were considered by the investigator to be mild to moderate (43%) or severe (38%). The most common </w:t>
      </w:r>
      <w:r w:rsidR="006B2A7D">
        <w:t>AE</w:t>
      </w:r>
      <w:r w:rsidRPr="00EB1471">
        <w:t xml:space="preserve">s were peripheral oedema (23%), dyspnoea (15%), anaemia (14%) and heart failure (13%). Adverse events leading to discontinuation of ambrisentan occurred in 167 (17%) patients. </w:t>
      </w:r>
      <w:proofErr w:type="gramStart"/>
      <w:r w:rsidRPr="00EB1471">
        <w:t>A total of 514</w:t>
      </w:r>
      <w:proofErr w:type="gramEnd"/>
      <w:r w:rsidRPr="00EB1471">
        <w:t xml:space="preserve"> (51%) experienced treatment-emergent </w:t>
      </w:r>
      <w:r w:rsidR="006B2A7D">
        <w:t>AE</w:t>
      </w:r>
      <w:r w:rsidRPr="00EB1471">
        <w:t xml:space="preserve">s of interest. Treatment-emergent non-fatal serious </w:t>
      </w:r>
      <w:r w:rsidR="006B2A7D">
        <w:t>AE</w:t>
      </w:r>
      <w:r w:rsidRPr="00EB1471">
        <w:t xml:space="preserve">s </w:t>
      </w:r>
      <w:proofErr w:type="gramStart"/>
      <w:r w:rsidRPr="00EB1471">
        <w:t xml:space="preserve">were </w:t>
      </w:r>
      <w:r w:rsidR="002A66C2">
        <w:t>observed</w:t>
      </w:r>
      <w:proofErr w:type="gramEnd"/>
      <w:r w:rsidR="002A66C2">
        <w:t xml:space="preserve"> in 395 (40%) patients.</w:t>
      </w:r>
    </w:p>
    <w:p w:rsidR="001D0FDA" w:rsidRPr="00EB1471" w:rsidRDefault="001D0FDA" w:rsidP="001D0FDA">
      <w:r w:rsidRPr="00EB1471">
        <w:t xml:space="preserve">In the ARIES extension study, patients who completed Trials ARIES-1 and ARIES-2 were treated with ambrisentan 2.5 mg, 5 mg or 10 mg </w:t>
      </w:r>
      <w:proofErr w:type="gramStart"/>
      <w:r w:rsidRPr="00EB1471">
        <w:t>od</w:t>
      </w:r>
      <w:proofErr w:type="gramEnd"/>
      <w:r w:rsidRPr="00EB1471">
        <w:t>, with dose adjustments permitted per investigator discretion after the first 24 weeks of the extension study</w:t>
      </w:r>
      <w:r w:rsidR="001D34EE" w:rsidRPr="001A1C44">
        <w:rPr>
          <w:noProof/>
          <w:vertAlign w:val="superscript"/>
        </w:rPr>
        <w:t>55</w:t>
      </w:r>
      <w:r w:rsidRPr="00EB1471">
        <w:t xml:space="preserve">. The ambrisentan PI recommended a dose regimen of 5 mg </w:t>
      </w:r>
      <w:proofErr w:type="gramStart"/>
      <w:r w:rsidRPr="00EB1471">
        <w:t>od</w:t>
      </w:r>
      <w:proofErr w:type="gramEnd"/>
      <w:r w:rsidRPr="00EB1471">
        <w:t xml:space="preserve"> and stated that additional benefit may be obtained by increasing the dose to 10 mg. The most common </w:t>
      </w:r>
      <w:r w:rsidR="006B2A7D">
        <w:t>AE</w:t>
      </w:r>
      <w:r w:rsidRPr="00EB1471">
        <w:t xml:space="preserve">s during the 2-year treatment period included peripheral oedema (38%), headache, upper respiratory tract infection, and dizziness. </w:t>
      </w:r>
      <w:proofErr w:type="gramStart"/>
      <w:r w:rsidRPr="00EB1471">
        <w:t>A total of 22</w:t>
      </w:r>
      <w:proofErr w:type="gramEnd"/>
      <w:r w:rsidRPr="00EB1471">
        <w:t xml:space="preserve"> (6%) patients discontinued study due to </w:t>
      </w:r>
      <w:r w:rsidR="006B2A7D">
        <w:t>AE</w:t>
      </w:r>
      <w:r w:rsidRPr="00EB1471">
        <w:t xml:space="preserve">s. The most common </w:t>
      </w:r>
      <w:r w:rsidR="006B2A7D">
        <w:t>AE</w:t>
      </w:r>
      <w:r w:rsidRPr="00EB1471">
        <w:t>s that led to ambrisentan withdrawal or death during the study were right ventricular failure and pu</w:t>
      </w:r>
      <w:r w:rsidR="002A66C2">
        <w:t>lmonary hypertension (both 4%).</w:t>
      </w:r>
    </w:p>
    <w:p w:rsidR="001D0FDA" w:rsidRPr="00EB1471" w:rsidRDefault="001D0FDA" w:rsidP="001D0FDA">
      <w:pPr>
        <w:pStyle w:val="Caption"/>
      </w:pPr>
      <w:bookmarkStart w:id="322" w:name="_Ref505949286"/>
      <w:bookmarkStart w:id="323" w:name="_Toc38360409"/>
      <w:r>
        <w:t>Table 4.</w:t>
      </w:r>
      <w:r w:rsidR="003951FA">
        <w:rPr>
          <w:noProof/>
        </w:rPr>
        <w:t>112</w:t>
      </w:r>
      <w:bookmarkEnd w:id="322"/>
      <w:r>
        <w:tab/>
      </w:r>
      <w:r w:rsidRPr="00EB1471">
        <w:t>AEs reported in Vachiéry 2017 and ARIES extension study</w:t>
      </w:r>
      <w:bookmarkEnd w:id="323"/>
    </w:p>
    <w:tbl>
      <w:tblPr>
        <w:tblStyle w:val="TableGrid"/>
        <w:tblW w:w="9635" w:type="dxa"/>
        <w:tblLayout w:type="fixed"/>
        <w:tblLook w:val="04A0" w:firstRow="1" w:lastRow="0" w:firstColumn="1" w:lastColumn="0" w:noHBand="0" w:noVBand="1"/>
        <w:tblCaption w:val="AEs reported in Vachiéry 2017 and ARIES extension study"/>
      </w:tblPr>
      <w:tblGrid>
        <w:gridCol w:w="3256"/>
        <w:gridCol w:w="3260"/>
        <w:gridCol w:w="3119"/>
      </w:tblGrid>
      <w:tr w:rsidR="001D0FDA" w:rsidRPr="00EB1471" w:rsidTr="001D0FDA">
        <w:trPr>
          <w:cnfStyle w:val="100000000000" w:firstRow="1" w:lastRow="0" w:firstColumn="0" w:lastColumn="0" w:oddVBand="0" w:evenVBand="0" w:oddHBand="0" w:evenHBand="0" w:firstRowFirstColumn="0" w:firstRowLastColumn="0" w:lastRowFirstColumn="0" w:lastRowLastColumn="0"/>
        </w:trPr>
        <w:tc>
          <w:tcPr>
            <w:tcW w:w="3256" w:type="dxa"/>
            <w:shd w:val="clear" w:color="auto" w:fill="BFBFBF" w:themeFill="background1" w:themeFillShade="BF"/>
          </w:tcPr>
          <w:p w:rsidR="001D0FDA" w:rsidRPr="00EB1471" w:rsidRDefault="00FD0BAE" w:rsidP="001D0FDA">
            <w:pPr>
              <w:pStyle w:val="Tabletext"/>
            </w:pPr>
            <w:r w:rsidRPr="00FD0BAE">
              <w:rPr>
                <w:b/>
              </w:rPr>
              <w:t>AEs</w:t>
            </w:r>
          </w:p>
        </w:tc>
        <w:tc>
          <w:tcPr>
            <w:tcW w:w="3260" w:type="dxa"/>
            <w:shd w:val="clear" w:color="auto" w:fill="BFBFBF" w:themeFill="background1" w:themeFillShade="BF"/>
          </w:tcPr>
          <w:p w:rsidR="001D0FDA" w:rsidRPr="00EB1471" w:rsidRDefault="001D0FDA" w:rsidP="001D0FDA">
            <w:pPr>
              <w:pStyle w:val="Tabletext"/>
              <w:jc w:val="center"/>
              <w:rPr>
                <w:b/>
              </w:rPr>
            </w:pPr>
            <w:r w:rsidRPr="00EB1471">
              <w:rPr>
                <w:b/>
              </w:rPr>
              <w:t>Vachiéry 2017</w:t>
            </w:r>
          </w:p>
          <w:p w:rsidR="001D0FDA" w:rsidRPr="00EB1471" w:rsidRDefault="001D0FDA" w:rsidP="001D0FDA">
            <w:pPr>
              <w:pStyle w:val="Tabletext"/>
              <w:jc w:val="center"/>
              <w:rPr>
                <w:b/>
              </w:rPr>
            </w:pPr>
            <w:r w:rsidRPr="00EB1471">
              <w:rPr>
                <w:b/>
              </w:rPr>
              <w:t>(N=999)</w:t>
            </w:r>
          </w:p>
        </w:tc>
        <w:tc>
          <w:tcPr>
            <w:tcW w:w="3119" w:type="dxa"/>
            <w:shd w:val="clear" w:color="auto" w:fill="BFBFBF" w:themeFill="background1" w:themeFillShade="BF"/>
          </w:tcPr>
          <w:p w:rsidR="001D0FDA" w:rsidRPr="00EB1471" w:rsidRDefault="001D0FDA" w:rsidP="001D0FDA">
            <w:pPr>
              <w:pStyle w:val="Tabletext"/>
              <w:jc w:val="center"/>
              <w:rPr>
                <w:b/>
              </w:rPr>
            </w:pPr>
            <w:r w:rsidRPr="00EB1471">
              <w:rPr>
                <w:b/>
              </w:rPr>
              <w:t>ARIES extension study</w:t>
            </w:r>
          </w:p>
          <w:p w:rsidR="001D0FDA" w:rsidRPr="00EB1471" w:rsidRDefault="001D0FDA" w:rsidP="001D0FDA">
            <w:pPr>
              <w:pStyle w:val="Tabletext"/>
              <w:jc w:val="center"/>
              <w:rPr>
                <w:b/>
              </w:rPr>
            </w:pPr>
            <w:r w:rsidRPr="00EB1471">
              <w:rPr>
                <w:b/>
              </w:rPr>
              <w:t>(N=383)</w:t>
            </w:r>
          </w:p>
        </w:tc>
      </w:tr>
      <w:tr w:rsidR="001D0FDA" w:rsidRPr="00EB1471" w:rsidTr="001D0FDA">
        <w:tc>
          <w:tcPr>
            <w:tcW w:w="3256" w:type="dxa"/>
          </w:tcPr>
          <w:p w:rsidR="001D0FDA" w:rsidRPr="00EB1471" w:rsidRDefault="001D0FDA" w:rsidP="001D0FDA">
            <w:pPr>
              <w:pStyle w:val="Tabletext"/>
            </w:pPr>
            <w:r w:rsidRPr="00EB1471">
              <w:t>Any AEs</w:t>
            </w:r>
            <w:r w:rsidRPr="00EB1471">
              <w:rPr>
                <w:vertAlign w:val="superscript"/>
              </w:rPr>
              <w:t>a</w:t>
            </w:r>
          </w:p>
        </w:tc>
        <w:tc>
          <w:tcPr>
            <w:tcW w:w="3260" w:type="dxa"/>
          </w:tcPr>
          <w:p w:rsidR="001D0FDA" w:rsidRPr="00EB1471" w:rsidRDefault="001D0FDA" w:rsidP="001D0FDA">
            <w:pPr>
              <w:pStyle w:val="Tabletext"/>
              <w:jc w:val="center"/>
            </w:pPr>
            <w:r w:rsidRPr="00EB1471">
              <w:t>827 (83%)</w:t>
            </w:r>
          </w:p>
        </w:tc>
        <w:tc>
          <w:tcPr>
            <w:tcW w:w="3119" w:type="dxa"/>
          </w:tcPr>
          <w:p w:rsidR="001D0FDA" w:rsidRPr="00EB1471" w:rsidRDefault="001D0FDA" w:rsidP="001D0FDA">
            <w:pPr>
              <w:pStyle w:val="Tabletext"/>
              <w:jc w:val="center"/>
            </w:pPr>
            <w:r w:rsidRPr="00EB1471">
              <w:t>NR</w:t>
            </w:r>
          </w:p>
        </w:tc>
      </w:tr>
      <w:tr w:rsidR="001D0FDA" w:rsidRPr="00EB1471" w:rsidTr="001D0FDA">
        <w:tc>
          <w:tcPr>
            <w:tcW w:w="3256" w:type="dxa"/>
          </w:tcPr>
          <w:p w:rsidR="001D0FDA" w:rsidRPr="00EB1471" w:rsidRDefault="001D0FDA" w:rsidP="001D0FDA">
            <w:pPr>
              <w:pStyle w:val="Tabletext"/>
            </w:pPr>
            <w:r w:rsidRPr="00EB1471">
              <w:t>Severe AEs</w:t>
            </w:r>
            <w:r w:rsidRPr="00EB1471">
              <w:rPr>
                <w:vertAlign w:val="superscript"/>
              </w:rPr>
              <w:t>a</w:t>
            </w:r>
          </w:p>
        </w:tc>
        <w:tc>
          <w:tcPr>
            <w:tcW w:w="3260" w:type="dxa"/>
          </w:tcPr>
          <w:p w:rsidR="001D0FDA" w:rsidRPr="00EB1471" w:rsidRDefault="001D0FDA" w:rsidP="001D0FDA">
            <w:pPr>
              <w:pStyle w:val="Tabletext"/>
              <w:jc w:val="center"/>
            </w:pPr>
            <w:r w:rsidRPr="00EB1471">
              <w:t>429 (43%)</w:t>
            </w:r>
          </w:p>
        </w:tc>
        <w:tc>
          <w:tcPr>
            <w:tcW w:w="3119" w:type="dxa"/>
          </w:tcPr>
          <w:p w:rsidR="001D0FDA" w:rsidRPr="00EB1471" w:rsidRDefault="001D0FDA" w:rsidP="001D0FDA">
            <w:pPr>
              <w:pStyle w:val="Tabletext"/>
              <w:jc w:val="center"/>
            </w:pPr>
            <w:r w:rsidRPr="00EB1471">
              <w:t>NR</w:t>
            </w:r>
          </w:p>
        </w:tc>
      </w:tr>
      <w:tr w:rsidR="001D0FDA" w:rsidRPr="00EB1471" w:rsidTr="001D0FDA">
        <w:tc>
          <w:tcPr>
            <w:tcW w:w="3256" w:type="dxa"/>
          </w:tcPr>
          <w:p w:rsidR="001D0FDA" w:rsidRPr="00EB1471" w:rsidRDefault="001D0FDA" w:rsidP="001D0FDA">
            <w:pPr>
              <w:pStyle w:val="Tabletext"/>
            </w:pPr>
            <w:r w:rsidRPr="00EB1471">
              <w:t>Non-fatal serious AEs</w:t>
            </w:r>
            <w:r w:rsidRPr="00EB1471">
              <w:rPr>
                <w:vertAlign w:val="superscript"/>
              </w:rPr>
              <w:t>a</w:t>
            </w:r>
          </w:p>
        </w:tc>
        <w:tc>
          <w:tcPr>
            <w:tcW w:w="3260" w:type="dxa"/>
          </w:tcPr>
          <w:p w:rsidR="001D0FDA" w:rsidRPr="00EB1471" w:rsidRDefault="001D0FDA" w:rsidP="001D0FDA">
            <w:pPr>
              <w:pStyle w:val="Tabletext"/>
              <w:jc w:val="center"/>
            </w:pPr>
            <w:r w:rsidRPr="00EB1471">
              <w:t>395 (40%)</w:t>
            </w:r>
          </w:p>
        </w:tc>
        <w:tc>
          <w:tcPr>
            <w:tcW w:w="3119" w:type="dxa"/>
          </w:tcPr>
          <w:p w:rsidR="001D0FDA" w:rsidRPr="00EB1471" w:rsidRDefault="001D0FDA" w:rsidP="001D0FDA">
            <w:pPr>
              <w:pStyle w:val="Tabletext"/>
              <w:jc w:val="center"/>
            </w:pPr>
            <w:r w:rsidRPr="00EB1471">
              <w:t>NR</w:t>
            </w:r>
          </w:p>
        </w:tc>
      </w:tr>
      <w:tr w:rsidR="001D0FDA" w:rsidRPr="00EB1471" w:rsidTr="001D0FDA">
        <w:tc>
          <w:tcPr>
            <w:tcW w:w="3256" w:type="dxa"/>
            <w:tcBorders>
              <w:bottom w:val="single" w:sz="4" w:space="0" w:color="auto"/>
            </w:tcBorders>
          </w:tcPr>
          <w:p w:rsidR="001D0FDA" w:rsidRPr="00EB1471" w:rsidRDefault="001D0FDA" w:rsidP="001D0FDA">
            <w:pPr>
              <w:pStyle w:val="Tabletext"/>
            </w:pPr>
            <w:r w:rsidRPr="00EB1471">
              <w:t>AEs leading discontinuation of ambrisentan</w:t>
            </w:r>
            <w:r w:rsidRPr="00EB1471">
              <w:rPr>
                <w:vertAlign w:val="superscript"/>
              </w:rPr>
              <w:t>a</w:t>
            </w:r>
          </w:p>
        </w:tc>
        <w:tc>
          <w:tcPr>
            <w:tcW w:w="3260" w:type="dxa"/>
            <w:tcBorders>
              <w:bottom w:val="single" w:sz="4" w:space="0" w:color="auto"/>
            </w:tcBorders>
          </w:tcPr>
          <w:p w:rsidR="001D0FDA" w:rsidRPr="00EB1471" w:rsidRDefault="001D0FDA" w:rsidP="001D0FDA">
            <w:pPr>
              <w:pStyle w:val="Tabletext"/>
              <w:jc w:val="center"/>
            </w:pPr>
            <w:r w:rsidRPr="00EB1471">
              <w:t>176 (17%)</w:t>
            </w:r>
          </w:p>
        </w:tc>
        <w:tc>
          <w:tcPr>
            <w:tcW w:w="3119" w:type="dxa"/>
            <w:tcBorders>
              <w:bottom w:val="single" w:sz="4" w:space="0" w:color="auto"/>
            </w:tcBorders>
          </w:tcPr>
          <w:p w:rsidR="001D0FDA" w:rsidRPr="00EB1471" w:rsidRDefault="001D0FDA" w:rsidP="001D0FDA">
            <w:pPr>
              <w:pStyle w:val="Tabletext"/>
              <w:jc w:val="center"/>
            </w:pPr>
            <w:r w:rsidRPr="00EB1471">
              <w:t>22 (6%)</w:t>
            </w:r>
          </w:p>
        </w:tc>
      </w:tr>
      <w:tr w:rsidR="001D0FDA" w:rsidRPr="00EB1471" w:rsidTr="001D0FDA">
        <w:tc>
          <w:tcPr>
            <w:tcW w:w="3256" w:type="dxa"/>
            <w:tcBorders>
              <w:bottom w:val="nil"/>
            </w:tcBorders>
          </w:tcPr>
          <w:p w:rsidR="001D0FDA" w:rsidRPr="00EB1471" w:rsidRDefault="001D0FDA" w:rsidP="001D0FDA">
            <w:pPr>
              <w:pStyle w:val="Tabletext"/>
            </w:pPr>
            <w:r w:rsidRPr="00EB1471">
              <w:t>AEs of special interest</w:t>
            </w:r>
            <w:r w:rsidRPr="00EB1471">
              <w:rPr>
                <w:vertAlign w:val="superscript"/>
              </w:rPr>
              <w:t>a, b</w:t>
            </w:r>
          </w:p>
        </w:tc>
        <w:tc>
          <w:tcPr>
            <w:tcW w:w="3260" w:type="dxa"/>
            <w:tcBorders>
              <w:bottom w:val="nil"/>
            </w:tcBorders>
          </w:tcPr>
          <w:p w:rsidR="001D0FDA" w:rsidRPr="00EB1471" w:rsidRDefault="001D0FDA" w:rsidP="001D0FDA">
            <w:pPr>
              <w:pStyle w:val="Tabletext"/>
              <w:jc w:val="center"/>
            </w:pPr>
            <w:r w:rsidRPr="00EB1471">
              <w:t>514 (52%)</w:t>
            </w:r>
          </w:p>
        </w:tc>
        <w:tc>
          <w:tcPr>
            <w:tcW w:w="3119" w:type="dxa"/>
            <w:tcBorders>
              <w:bottom w:val="nil"/>
            </w:tcBorders>
          </w:tcPr>
          <w:p w:rsidR="001D0FDA" w:rsidRPr="00EB1471" w:rsidRDefault="001D0FDA" w:rsidP="001D0FDA">
            <w:pPr>
              <w:pStyle w:val="Tabletext"/>
              <w:jc w:val="center"/>
            </w:pPr>
            <w:r w:rsidRPr="00EB1471">
              <w:t>NR</w:t>
            </w:r>
          </w:p>
        </w:tc>
      </w:tr>
      <w:tr w:rsidR="001D0FDA" w:rsidRPr="00EB1471" w:rsidTr="001D0FDA">
        <w:tc>
          <w:tcPr>
            <w:tcW w:w="3256" w:type="dxa"/>
            <w:tcBorders>
              <w:top w:val="nil"/>
              <w:bottom w:val="nil"/>
            </w:tcBorders>
          </w:tcPr>
          <w:p w:rsidR="001D0FDA" w:rsidRPr="00EB1471" w:rsidRDefault="001D0FDA" w:rsidP="001D0FDA">
            <w:pPr>
              <w:pStyle w:val="Tabletext"/>
              <w:ind w:left="364"/>
            </w:pPr>
            <w:r w:rsidRPr="00EB1471">
              <w:t xml:space="preserve">Oedema/fluid retention </w:t>
            </w:r>
          </w:p>
        </w:tc>
        <w:tc>
          <w:tcPr>
            <w:tcW w:w="3260" w:type="dxa"/>
            <w:tcBorders>
              <w:top w:val="nil"/>
              <w:bottom w:val="nil"/>
            </w:tcBorders>
          </w:tcPr>
          <w:p w:rsidR="001D0FDA" w:rsidRPr="00EB1471" w:rsidRDefault="001D0FDA" w:rsidP="001D0FDA">
            <w:pPr>
              <w:pStyle w:val="Tabletext"/>
              <w:jc w:val="center"/>
            </w:pPr>
            <w:r w:rsidRPr="00EB1471">
              <w:t>249 (25%)</w:t>
            </w:r>
          </w:p>
        </w:tc>
        <w:tc>
          <w:tcPr>
            <w:tcW w:w="3119" w:type="dxa"/>
            <w:tcBorders>
              <w:top w:val="nil"/>
              <w:bottom w:val="nil"/>
            </w:tcBorders>
          </w:tcPr>
          <w:p w:rsidR="001D0FDA" w:rsidRPr="00EB1471" w:rsidRDefault="001D0FDA" w:rsidP="001D0FDA">
            <w:pPr>
              <w:pStyle w:val="Tabletext"/>
              <w:jc w:val="center"/>
            </w:pPr>
            <w:r w:rsidRPr="00EB1471">
              <w:t>NR (38%)</w:t>
            </w:r>
          </w:p>
        </w:tc>
      </w:tr>
      <w:tr w:rsidR="001D0FDA" w:rsidRPr="00EB1471" w:rsidTr="001D0FDA">
        <w:tc>
          <w:tcPr>
            <w:tcW w:w="3256" w:type="dxa"/>
            <w:tcBorders>
              <w:top w:val="nil"/>
              <w:bottom w:val="nil"/>
            </w:tcBorders>
          </w:tcPr>
          <w:p w:rsidR="001D0FDA" w:rsidRPr="00EB1471" w:rsidRDefault="001D0FDA" w:rsidP="001D0FDA">
            <w:pPr>
              <w:pStyle w:val="Tabletext"/>
              <w:ind w:left="364"/>
            </w:pPr>
            <w:r w:rsidRPr="00EB1471">
              <w:t>Hepatic enzyme elevation</w:t>
            </w:r>
            <w:r w:rsidRPr="00EB1471">
              <w:rPr>
                <w:vertAlign w:val="superscript"/>
              </w:rPr>
              <w:t>c</w:t>
            </w:r>
          </w:p>
        </w:tc>
        <w:tc>
          <w:tcPr>
            <w:tcW w:w="3260" w:type="dxa"/>
            <w:tcBorders>
              <w:top w:val="nil"/>
              <w:bottom w:val="nil"/>
            </w:tcBorders>
          </w:tcPr>
          <w:p w:rsidR="001D0FDA" w:rsidRPr="00EB1471" w:rsidRDefault="001D0FDA" w:rsidP="001D0FDA">
            <w:pPr>
              <w:pStyle w:val="Tabletext"/>
              <w:jc w:val="center"/>
            </w:pPr>
            <w:r w:rsidRPr="00EB1471">
              <w:t>61 (6%)</w:t>
            </w:r>
          </w:p>
        </w:tc>
        <w:tc>
          <w:tcPr>
            <w:tcW w:w="3119" w:type="dxa"/>
            <w:tcBorders>
              <w:top w:val="nil"/>
              <w:bottom w:val="nil"/>
            </w:tcBorders>
          </w:tcPr>
          <w:p w:rsidR="001D0FDA" w:rsidRPr="00EB1471" w:rsidRDefault="001D0FDA" w:rsidP="001D0FDA">
            <w:pPr>
              <w:pStyle w:val="Tabletext"/>
              <w:jc w:val="center"/>
            </w:pPr>
            <w:r w:rsidRPr="00EB1471">
              <w:t>12 (3%)</w:t>
            </w:r>
          </w:p>
        </w:tc>
      </w:tr>
      <w:tr w:rsidR="001D0FDA" w:rsidRPr="00EB1471" w:rsidTr="001D0FDA">
        <w:tc>
          <w:tcPr>
            <w:tcW w:w="3256" w:type="dxa"/>
            <w:tcBorders>
              <w:top w:val="nil"/>
              <w:bottom w:val="nil"/>
            </w:tcBorders>
          </w:tcPr>
          <w:p w:rsidR="001D0FDA" w:rsidRPr="00EB1471" w:rsidRDefault="001D0FDA" w:rsidP="001D0FDA">
            <w:pPr>
              <w:pStyle w:val="Tabletext"/>
              <w:ind w:left="364"/>
            </w:pPr>
            <w:r w:rsidRPr="00EB1471">
              <w:t xml:space="preserve">Anaemia </w:t>
            </w:r>
          </w:p>
        </w:tc>
        <w:tc>
          <w:tcPr>
            <w:tcW w:w="3260" w:type="dxa"/>
            <w:tcBorders>
              <w:top w:val="nil"/>
              <w:bottom w:val="nil"/>
            </w:tcBorders>
          </w:tcPr>
          <w:p w:rsidR="001D0FDA" w:rsidRPr="00EB1471" w:rsidRDefault="001D0FDA" w:rsidP="001D0FDA">
            <w:pPr>
              <w:pStyle w:val="Tabletext"/>
              <w:jc w:val="center"/>
            </w:pPr>
            <w:r w:rsidRPr="00EB1471">
              <w:t>143 (14%)</w:t>
            </w:r>
          </w:p>
        </w:tc>
        <w:tc>
          <w:tcPr>
            <w:tcW w:w="3119" w:type="dxa"/>
            <w:tcBorders>
              <w:top w:val="nil"/>
              <w:bottom w:val="nil"/>
            </w:tcBorders>
          </w:tcPr>
          <w:p w:rsidR="001D0FDA" w:rsidRPr="00EB1471" w:rsidRDefault="001D0FDA" w:rsidP="001D0FDA">
            <w:pPr>
              <w:pStyle w:val="Tabletext"/>
              <w:jc w:val="center"/>
            </w:pPr>
            <w:r w:rsidRPr="00EB1471">
              <w:t>NR</w:t>
            </w:r>
          </w:p>
        </w:tc>
      </w:tr>
      <w:tr w:rsidR="001D0FDA" w:rsidRPr="00EB1471" w:rsidTr="001D0FDA">
        <w:tc>
          <w:tcPr>
            <w:tcW w:w="3256" w:type="dxa"/>
            <w:tcBorders>
              <w:top w:val="nil"/>
              <w:bottom w:val="nil"/>
            </w:tcBorders>
          </w:tcPr>
          <w:p w:rsidR="001D0FDA" w:rsidRPr="00EB1471" w:rsidRDefault="001D0FDA" w:rsidP="001D0FDA">
            <w:pPr>
              <w:pStyle w:val="Tabletext"/>
              <w:ind w:left="364"/>
            </w:pPr>
            <w:r w:rsidRPr="00EB1471">
              <w:t>Heart failure</w:t>
            </w:r>
          </w:p>
        </w:tc>
        <w:tc>
          <w:tcPr>
            <w:tcW w:w="3260" w:type="dxa"/>
            <w:tcBorders>
              <w:top w:val="nil"/>
              <w:bottom w:val="nil"/>
            </w:tcBorders>
          </w:tcPr>
          <w:p w:rsidR="001D0FDA" w:rsidRPr="00EB1471" w:rsidRDefault="001D0FDA" w:rsidP="001D0FDA">
            <w:pPr>
              <w:pStyle w:val="Tabletext"/>
              <w:jc w:val="center"/>
            </w:pPr>
            <w:r w:rsidRPr="00EB1471">
              <w:t>127 (13%)</w:t>
            </w:r>
          </w:p>
        </w:tc>
        <w:tc>
          <w:tcPr>
            <w:tcW w:w="3119" w:type="dxa"/>
            <w:tcBorders>
              <w:top w:val="nil"/>
              <w:bottom w:val="nil"/>
            </w:tcBorders>
          </w:tcPr>
          <w:p w:rsidR="001D0FDA" w:rsidRPr="00EB1471" w:rsidRDefault="001D0FDA" w:rsidP="001D0FDA">
            <w:pPr>
              <w:pStyle w:val="Tabletext"/>
              <w:jc w:val="center"/>
            </w:pPr>
            <w:r w:rsidRPr="00EB1471">
              <w:t>NR</w:t>
            </w:r>
          </w:p>
        </w:tc>
      </w:tr>
      <w:tr w:rsidR="001D0FDA" w:rsidRPr="00EB1471" w:rsidTr="001D0FDA">
        <w:tc>
          <w:tcPr>
            <w:tcW w:w="3256" w:type="dxa"/>
            <w:tcBorders>
              <w:top w:val="nil"/>
              <w:bottom w:val="nil"/>
            </w:tcBorders>
          </w:tcPr>
          <w:p w:rsidR="001D0FDA" w:rsidRPr="00EB1471" w:rsidRDefault="001D0FDA" w:rsidP="001D0FDA">
            <w:pPr>
              <w:pStyle w:val="Tabletext"/>
              <w:ind w:left="364"/>
            </w:pPr>
            <w:r w:rsidRPr="00EB1471">
              <w:t>Hypersensitivity</w:t>
            </w:r>
          </w:p>
        </w:tc>
        <w:tc>
          <w:tcPr>
            <w:tcW w:w="3260" w:type="dxa"/>
            <w:tcBorders>
              <w:top w:val="nil"/>
              <w:bottom w:val="nil"/>
            </w:tcBorders>
          </w:tcPr>
          <w:p w:rsidR="001D0FDA" w:rsidRPr="00EB1471" w:rsidRDefault="001D0FDA" w:rsidP="001D0FDA">
            <w:pPr>
              <w:pStyle w:val="Tabletext"/>
              <w:jc w:val="center"/>
            </w:pPr>
            <w:r w:rsidRPr="00EB1471">
              <w:t>77 (8%)</w:t>
            </w:r>
          </w:p>
        </w:tc>
        <w:tc>
          <w:tcPr>
            <w:tcW w:w="3119" w:type="dxa"/>
            <w:tcBorders>
              <w:top w:val="nil"/>
              <w:bottom w:val="nil"/>
            </w:tcBorders>
          </w:tcPr>
          <w:p w:rsidR="001D0FDA" w:rsidRPr="00EB1471" w:rsidRDefault="001D0FDA" w:rsidP="001D0FDA">
            <w:pPr>
              <w:pStyle w:val="Tabletext"/>
              <w:jc w:val="center"/>
            </w:pPr>
            <w:r w:rsidRPr="00EB1471">
              <w:t>NR</w:t>
            </w:r>
          </w:p>
        </w:tc>
      </w:tr>
      <w:tr w:rsidR="001D0FDA" w:rsidRPr="00EB1471" w:rsidTr="001D0FDA">
        <w:tc>
          <w:tcPr>
            <w:tcW w:w="3256" w:type="dxa"/>
            <w:tcBorders>
              <w:top w:val="nil"/>
              <w:bottom w:val="nil"/>
            </w:tcBorders>
          </w:tcPr>
          <w:p w:rsidR="001D0FDA" w:rsidRPr="00EB1471" w:rsidRDefault="001D0FDA" w:rsidP="001D0FDA">
            <w:pPr>
              <w:pStyle w:val="Tabletext"/>
              <w:ind w:left="364"/>
            </w:pPr>
            <w:r w:rsidRPr="00EB1471">
              <w:t xml:space="preserve">Hypotension </w:t>
            </w:r>
          </w:p>
        </w:tc>
        <w:tc>
          <w:tcPr>
            <w:tcW w:w="3260" w:type="dxa"/>
            <w:tcBorders>
              <w:top w:val="nil"/>
              <w:bottom w:val="nil"/>
            </w:tcBorders>
          </w:tcPr>
          <w:p w:rsidR="001D0FDA" w:rsidRPr="00EB1471" w:rsidRDefault="001D0FDA" w:rsidP="001D0FDA">
            <w:pPr>
              <w:pStyle w:val="Tabletext"/>
              <w:jc w:val="center"/>
            </w:pPr>
            <w:r w:rsidRPr="00EB1471">
              <w:t>67 (7%)</w:t>
            </w:r>
          </w:p>
        </w:tc>
        <w:tc>
          <w:tcPr>
            <w:tcW w:w="3119" w:type="dxa"/>
            <w:tcBorders>
              <w:top w:val="nil"/>
              <w:bottom w:val="nil"/>
            </w:tcBorders>
          </w:tcPr>
          <w:p w:rsidR="001D0FDA" w:rsidRPr="00EB1471" w:rsidRDefault="001D0FDA" w:rsidP="001D0FDA">
            <w:pPr>
              <w:pStyle w:val="Tabletext"/>
              <w:jc w:val="center"/>
            </w:pPr>
            <w:r w:rsidRPr="00EB1471">
              <w:t>NR</w:t>
            </w:r>
          </w:p>
        </w:tc>
      </w:tr>
      <w:tr w:rsidR="001D0FDA" w:rsidRPr="00EB1471" w:rsidTr="001D0FDA">
        <w:tc>
          <w:tcPr>
            <w:tcW w:w="3256" w:type="dxa"/>
            <w:tcBorders>
              <w:top w:val="nil"/>
            </w:tcBorders>
          </w:tcPr>
          <w:p w:rsidR="001D0FDA" w:rsidRPr="00EB1471" w:rsidRDefault="001D0FDA" w:rsidP="001D0FDA">
            <w:pPr>
              <w:pStyle w:val="Tabletext"/>
              <w:ind w:left="364"/>
            </w:pPr>
            <w:r w:rsidRPr="00EB1471">
              <w:t>Renal disorders</w:t>
            </w:r>
          </w:p>
        </w:tc>
        <w:tc>
          <w:tcPr>
            <w:tcW w:w="3260" w:type="dxa"/>
            <w:tcBorders>
              <w:top w:val="nil"/>
            </w:tcBorders>
          </w:tcPr>
          <w:p w:rsidR="001D0FDA" w:rsidRPr="00EB1471" w:rsidRDefault="001D0FDA" w:rsidP="001D0FDA">
            <w:pPr>
              <w:pStyle w:val="Tabletext"/>
              <w:jc w:val="center"/>
            </w:pPr>
            <w:r w:rsidRPr="00EB1471">
              <w:t>56 (6%)</w:t>
            </w:r>
          </w:p>
        </w:tc>
        <w:tc>
          <w:tcPr>
            <w:tcW w:w="3119" w:type="dxa"/>
            <w:tcBorders>
              <w:top w:val="nil"/>
            </w:tcBorders>
          </w:tcPr>
          <w:p w:rsidR="001D0FDA" w:rsidRPr="00EB1471" w:rsidRDefault="001D0FDA" w:rsidP="001D0FDA">
            <w:pPr>
              <w:pStyle w:val="Tabletext"/>
              <w:jc w:val="center"/>
            </w:pPr>
            <w:r w:rsidRPr="00EB1471">
              <w:t>NR</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Adverse drug reactions reported in Vachiéry 2017 were treatment-emergent adverse events, not any adverse events. </w:t>
      </w:r>
    </w:p>
    <w:p w:rsidR="006D01E8" w:rsidRPr="00EB1471" w:rsidRDefault="006D01E8" w:rsidP="006D01E8">
      <w:pPr>
        <w:pStyle w:val="Tablenote"/>
      </w:pPr>
      <w:proofErr w:type="gramStart"/>
      <w:r w:rsidRPr="00EB1471">
        <w:rPr>
          <w:vertAlign w:val="superscript"/>
        </w:rPr>
        <w:t>b</w:t>
      </w:r>
      <w:proofErr w:type="gramEnd"/>
      <w:r w:rsidRPr="00EB1471">
        <w:t xml:space="preserve"> Specified in Study Vachiéry 2017</w:t>
      </w:r>
    </w:p>
    <w:p w:rsidR="006D01E8" w:rsidRPr="00EB1471" w:rsidRDefault="006D01E8" w:rsidP="006D01E8">
      <w:pPr>
        <w:pStyle w:val="Tablenote"/>
      </w:pPr>
      <w:proofErr w:type="gramStart"/>
      <w:r w:rsidRPr="00EB1471">
        <w:rPr>
          <w:vertAlign w:val="superscript"/>
        </w:rPr>
        <w:t>c</w:t>
      </w:r>
      <w:proofErr w:type="gramEnd"/>
      <w:r w:rsidRPr="00EB1471">
        <w:t xml:space="preserve"> Defined as alanine aminotransferase or aspartate aminotransferase concentrations &gt;3 x the upper limit of normal.</w:t>
      </w:r>
    </w:p>
    <w:p w:rsidR="001D0FDA" w:rsidRPr="00EB1471" w:rsidRDefault="001D0FDA" w:rsidP="001D0FDA">
      <w:pPr>
        <w:pStyle w:val="Tablenote"/>
      </w:pPr>
      <w:r w:rsidRPr="00EB1471">
        <w:t xml:space="preserve">AE = adverse events; </w:t>
      </w:r>
      <w:r w:rsidR="00121EF0">
        <w:t xml:space="preserve">N = number of patients; </w:t>
      </w:r>
      <w:r w:rsidRPr="00EB1471">
        <w:t>NR = not reported</w:t>
      </w:r>
    </w:p>
    <w:p w:rsidR="001D0FDA" w:rsidRPr="00EB1471" w:rsidRDefault="001D0FDA" w:rsidP="001D0FDA">
      <w:pPr>
        <w:pStyle w:val="Tablenote"/>
      </w:pPr>
      <w:r w:rsidRPr="00EB1471">
        <w:t>Source: Vachiéry et al 2017</w:t>
      </w:r>
      <w:r w:rsidR="001D34EE" w:rsidRPr="001A1C44">
        <w:rPr>
          <w:noProof/>
          <w:vertAlign w:val="superscript"/>
        </w:rPr>
        <w:t>70</w:t>
      </w:r>
      <w:r w:rsidRPr="00EB1471">
        <w:t xml:space="preserve"> and Qudiz et al 2009</w:t>
      </w:r>
      <w:r w:rsidR="001D34EE" w:rsidRPr="001A1C44">
        <w:rPr>
          <w:noProof/>
          <w:vertAlign w:val="superscript"/>
        </w:rPr>
        <w:t>55</w:t>
      </w:r>
    </w:p>
    <w:p w:rsidR="001D0FDA" w:rsidRPr="00EB1471" w:rsidRDefault="001D0FDA" w:rsidP="001D0FDA">
      <w:r w:rsidRPr="00EB1471">
        <w:t xml:space="preserve">The safety results reported in Vachiéry 2017 and the ARIES extension study were generally in line with the known safety profile of ambrisentan. The </w:t>
      </w:r>
      <w:r w:rsidR="006B2A7D">
        <w:t>AE</w:t>
      </w:r>
      <w:r w:rsidRPr="00EB1471">
        <w:t xml:space="preserve">s observed in these two single-arm studies were also reported in shorter-term RCTs and noted by the TAG-approved PI, except for renal </w:t>
      </w:r>
      <w:proofErr w:type="gramStart"/>
      <w:r w:rsidRPr="00EB1471">
        <w:t>disorders which</w:t>
      </w:r>
      <w:proofErr w:type="gramEnd"/>
      <w:r w:rsidRPr="00EB1471">
        <w:t xml:space="preserve"> occurred in 56 (6%) patients in Study Vachiéry 2017. The ambrisentan PI stated that the magnitude of the decrease in oral clearance is modest and unlikely to be of any clinical relevance in patients with moderate renal impairment. However, caution </w:t>
      </w:r>
      <w:proofErr w:type="gramStart"/>
      <w:r w:rsidRPr="00EB1471">
        <w:t>should be used</w:t>
      </w:r>
      <w:proofErr w:type="gramEnd"/>
      <w:r w:rsidRPr="00EB1471">
        <w:t xml:space="preserve"> in patients with severe renal impairment. Renal disorders are not included as </w:t>
      </w:r>
      <w:r w:rsidR="006B2A7D">
        <w:t>AE</w:t>
      </w:r>
      <w:r w:rsidRPr="00EB1471">
        <w:t>s in the ambrisentan PI, n</w:t>
      </w:r>
      <w:r>
        <w:t xml:space="preserve">either </w:t>
      </w:r>
      <w:r w:rsidRPr="00EB1471">
        <w:t>in the other ERA PI documents. Nickel et al (2017)</w:t>
      </w:r>
      <w:r w:rsidR="001D34EE" w:rsidRPr="001A1C44">
        <w:rPr>
          <w:noProof/>
          <w:vertAlign w:val="superscript"/>
        </w:rPr>
        <w:t>90</w:t>
      </w:r>
      <w:r w:rsidRPr="00EB1471">
        <w:t xml:space="preserve"> indicated that kidney dysfunction is a frequent co-morbidity in PAH. Potential mechanisms of PAH affecting the kidneys include increased venous congestion, decreased cardiac output, and neurohormonal activation. On a molecular level, increased transforming growth factor-β signalling and increased levels of circulating cytokines could have the potential to worsen kidney function. As vasoactive substances, most PAH-targeted therapy </w:t>
      </w:r>
      <w:proofErr w:type="gramStart"/>
      <w:r w:rsidRPr="00EB1471">
        <w:t>was shown</w:t>
      </w:r>
      <w:proofErr w:type="gramEnd"/>
      <w:r w:rsidRPr="00EB1471">
        <w:t xml:space="preserve"> to have nephroprotective potential in a pre-clinical or clinical setting</w:t>
      </w:r>
      <w:r w:rsidR="001D34EE" w:rsidRPr="001A1C44">
        <w:rPr>
          <w:noProof/>
          <w:vertAlign w:val="superscript"/>
        </w:rPr>
        <w:t>90</w:t>
      </w:r>
      <w:r w:rsidRPr="00EB1471">
        <w:t xml:space="preserve">. Large, long-term, placebo-controlled trials </w:t>
      </w:r>
      <w:proofErr w:type="gramStart"/>
      <w:r w:rsidRPr="00EB1471">
        <w:t>are warranted</w:t>
      </w:r>
      <w:proofErr w:type="gramEnd"/>
      <w:r w:rsidRPr="00EB1471">
        <w:t xml:space="preserve"> to investigate the impact of PAH-targeted therapy, including a</w:t>
      </w:r>
      <w:r w:rsidR="002A66C2">
        <w:t>mbrisentan, on kidney function.</w:t>
      </w:r>
    </w:p>
    <w:p w:rsidR="001D0FDA" w:rsidRPr="00EB1471" w:rsidRDefault="001D0FDA" w:rsidP="00480FDF">
      <w:pPr>
        <w:pStyle w:val="Heading5"/>
        <w:numPr>
          <w:ilvl w:val="4"/>
          <w:numId w:val="45"/>
        </w:numPr>
      </w:pPr>
      <w:r w:rsidRPr="00EB1471">
        <w:t>PDE-5 inhibitor</w:t>
      </w:r>
    </w:p>
    <w:p w:rsidR="001D0FDA" w:rsidRPr="00EB1471" w:rsidRDefault="001D0FDA" w:rsidP="00480FDF">
      <w:pPr>
        <w:pStyle w:val="Heading6"/>
        <w:numPr>
          <w:ilvl w:val="5"/>
          <w:numId w:val="45"/>
        </w:numPr>
      </w:pPr>
      <w:r w:rsidRPr="00EB1471">
        <w:t>Sildenafil</w:t>
      </w:r>
    </w:p>
    <w:p w:rsidR="001D0FDA" w:rsidRPr="00EB1471" w:rsidRDefault="001D0FDA" w:rsidP="001D0FDA">
      <w:r w:rsidRPr="00EB1471">
        <w:t>A total two RCTs (SUPER-1 and STARTS-1) and two observational studies (Sastry 2017 and STARTS extension study) were included for extended s</w:t>
      </w:r>
      <w:r w:rsidR="009800DB">
        <w:t>afety assessment of sildenafil.</w:t>
      </w:r>
    </w:p>
    <w:p w:rsidR="001D0FDA" w:rsidRPr="00EB1471" w:rsidRDefault="001D0FDA" w:rsidP="001D0FDA">
      <w:r w:rsidRPr="00EB1471">
        <w:t xml:space="preserve">When the PBAC recommended the listing of sildenafil at the November 2006 meeting, the safety results from the key trial SUPER-1 </w:t>
      </w:r>
      <w:proofErr w:type="gramStart"/>
      <w:r w:rsidRPr="00EB1471">
        <w:t>were reviewed</w:t>
      </w:r>
      <w:proofErr w:type="gramEnd"/>
      <w:r w:rsidRPr="00EB1471">
        <w:t xml:space="preserve">. There was one article by Wirostko et al (2012) </w:t>
      </w:r>
      <w:r w:rsidR="001D34EE" w:rsidRPr="001A1C44">
        <w:rPr>
          <w:noProof/>
          <w:vertAlign w:val="superscript"/>
        </w:rPr>
        <w:t>53</w:t>
      </w:r>
      <w:r w:rsidRPr="00EB1471">
        <w:t xml:space="preserve"> published after the listing of sildenafil which reported the ocular safety of sildenafil in SUPER-1. In SUPER-1, patients </w:t>
      </w:r>
      <w:proofErr w:type="gramStart"/>
      <w:r w:rsidRPr="00EB1471">
        <w:t>were randomised</w:t>
      </w:r>
      <w:proofErr w:type="gramEnd"/>
      <w:r w:rsidRPr="00EB1471">
        <w:t xml:space="preserve"> to receive sildenafil 20 mg, 40 mg, or 80 mg or placebo tid. Among the different sildenafil doses, only 20 mg tid is the dosage regimen recommended by the PI</w:t>
      </w:r>
      <w:r>
        <w:t xml:space="preserve"> for the treatment of PAH</w:t>
      </w:r>
      <w:r w:rsidRPr="00EB1471">
        <w:t xml:space="preserve">. During the 12-week trial, daily dosing up to 80 mg tid in the trial population was not associated with visual change and had no detrimental effect on </w:t>
      </w:r>
      <w:proofErr w:type="gramStart"/>
      <w:r w:rsidRPr="00EB1471">
        <w:t>best corrected</w:t>
      </w:r>
      <w:proofErr w:type="gramEnd"/>
      <w:r w:rsidRPr="00EB1471">
        <w:t xml:space="preserve"> visual acuity, contrast sensitivity, colour vision, or visual field, or on slit lamp examinations, funduscopy, or intraocular pressure. The incidence of observed and reported ocular </w:t>
      </w:r>
      <w:r w:rsidR="006B2A7D">
        <w:t>AE</w:t>
      </w:r>
      <w:r w:rsidRPr="00EB1471">
        <w:t xml:space="preserve">s was low </w:t>
      </w:r>
      <w:r>
        <w:t xml:space="preserve">and comparable between placebo and sildenafil 20 mg groups. A modest, </w:t>
      </w:r>
      <w:r w:rsidRPr="00EB1471">
        <w:t>dose-related increase in the incidence of chromatopsia, cyanopsia, photophobia, visual brightness, and visual disturbance</w:t>
      </w:r>
      <w:r>
        <w:t xml:space="preserve"> was observed</w:t>
      </w:r>
      <w:r w:rsidRPr="00EB1471">
        <w:t xml:space="preserve">, with the incidence of each of these effects being ≤7% with sildenafil 80 mg, &lt;5% with sildenafil 40 mg and &lt;2% for sildenafil 20 mg and placebo groups. Four cases of retinal haemorrhage were observed in participants receiving warfarin, one each in the sildenafil 20 mg and 80 mg groups (incidence rate of 1%), two in the sildenafil 40 mg group (incidence rate of 3%) and none in the placebo arm. </w:t>
      </w:r>
      <w:proofErr w:type="gramStart"/>
      <w:r w:rsidRPr="00EB1471">
        <w:t>Although Wirostko et al</w:t>
      </w:r>
      <w:r w:rsidR="001D34EE" w:rsidRPr="001A1C44">
        <w:rPr>
          <w:noProof/>
          <w:vertAlign w:val="superscript"/>
        </w:rPr>
        <w:t>53</w:t>
      </w:r>
      <w:r w:rsidRPr="00EB1471">
        <w:t xml:space="preserve"> also reported ocular safety in the SUPER extension study in the same paper, these data were not included in the literature review for assessment of the safety profile of sildenafil, given that a vast majority (&gt;90%) of patients titrated up to 80 mg tid during the extension study, with only ≤3% of patients remaining or titrated down to the PI</w:t>
      </w:r>
      <w:r w:rsidR="009800DB">
        <w:t>-recommended dose of 20 mg tid.</w:t>
      </w:r>
      <w:proofErr w:type="gramEnd"/>
    </w:p>
    <w:p w:rsidR="006E1D91" w:rsidRDefault="006E1D91">
      <w:pPr>
        <w:spacing w:before="0" w:line="240" w:lineRule="auto"/>
        <w:rPr>
          <w:b/>
          <w:iCs/>
          <w:szCs w:val="18"/>
        </w:rPr>
      </w:pPr>
      <w:r>
        <w:br w:type="page"/>
      </w:r>
    </w:p>
    <w:p w:rsidR="001D0FDA" w:rsidRPr="00EB1471" w:rsidRDefault="001D0FDA" w:rsidP="001D0FDA">
      <w:pPr>
        <w:pStyle w:val="Caption"/>
      </w:pPr>
      <w:bookmarkStart w:id="324" w:name="_Toc38360410"/>
      <w:r>
        <w:t>Table 4.</w:t>
      </w:r>
      <w:r w:rsidR="003951FA">
        <w:rPr>
          <w:noProof/>
        </w:rPr>
        <w:t>113</w:t>
      </w:r>
      <w:r>
        <w:tab/>
      </w:r>
      <w:r w:rsidRPr="00EB1471">
        <w:t>E</w:t>
      </w:r>
      <w:r w:rsidRPr="00EB1471">
        <w:rPr>
          <w:rFonts w:eastAsia="Arial"/>
        </w:rPr>
        <w:t xml:space="preserve">ye disorder </w:t>
      </w:r>
      <w:r w:rsidR="00121EF0">
        <w:rPr>
          <w:rFonts w:eastAsia="Arial"/>
        </w:rPr>
        <w:t>AE</w:t>
      </w:r>
      <w:r w:rsidRPr="00EB1471">
        <w:rPr>
          <w:rFonts w:eastAsia="Arial"/>
        </w:rPr>
        <w:t>s</w:t>
      </w:r>
      <w:r w:rsidRPr="00EB1471">
        <w:rPr>
          <w:rFonts w:eastAsia="Arial"/>
          <w:vertAlign w:val="superscript"/>
        </w:rPr>
        <w:t>a</w:t>
      </w:r>
      <w:r w:rsidRPr="00EB1471">
        <w:rPr>
          <w:rFonts w:eastAsia="Arial"/>
        </w:rPr>
        <w:t xml:space="preserve"> reported in SUPER-1</w:t>
      </w:r>
      <w:bookmarkEnd w:id="32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Eye disorder AEs reported in SUPER-1"/>
      </w:tblPr>
      <w:tblGrid>
        <w:gridCol w:w="2689"/>
        <w:gridCol w:w="2126"/>
        <w:gridCol w:w="1701"/>
        <w:gridCol w:w="1559"/>
        <w:gridCol w:w="1559"/>
      </w:tblGrid>
      <w:tr w:rsidR="001D0FDA" w:rsidRPr="00EB1471" w:rsidTr="00FD0BAE">
        <w:trPr>
          <w:tblHeader/>
        </w:trPr>
        <w:tc>
          <w:tcPr>
            <w:tcW w:w="2689" w:type="dxa"/>
            <w:vMerge w:val="restart"/>
            <w:shd w:val="clear" w:color="auto" w:fill="BFBFBF" w:themeFill="background1" w:themeFillShade="BF"/>
          </w:tcPr>
          <w:p w:rsidR="001D0FDA" w:rsidRPr="00EB1471" w:rsidRDefault="00121EF0" w:rsidP="00121EF0">
            <w:pPr>
              <w:pStyle w:val="Tabletext"/>
              <w:keepNext/>
              <w:autoSpaceDE/>
              <w:autoSpaceDN/>
              <w:adjustRightInd/>
              <w:rPr>
                <w:rFonts w:eastAsia="Arial"/>
                <w:b/>
              </w:rPr>
            </w:pPr>
            <w:r>
              <w:rPr>
                <w:rFonts w:eastAsia="Arial"/>
                <w:b/>
              </w:rPr>
              <w:t>AE</w:t>
            </w:r>
            <w:r w:rsidR="001D0FDA" w:rsidRPr="00EB1471">
              <w:rPr>
                <w:rFonts w:eastAsia="Arial"/>
                <w:b/>
              </w:rPr>
              <w:t xml:space="preserve"> </w:t>
            </w:r>
            <w:r w:rsidR="001D0FDA" w:rsidRPr="00EB1471">
              <w:rPr>
                <w:rFonts w:eastAsia="Arial"/>
                <w:b/>
              </w:rPr>
              <w:br/>
              <w:t>(MedDRA preferred term)</w:t>
            </w:r>
          </w:p>
        </w:tc>
        <w:tc>
          <w:tcPr>
            <w:tcW w:w="2126" w:type="dxa"/>
            <w:vMerge w:val="restart"/>
            <w:shd w:val="clear" w:color="auto" w:fill="BFBFBF" w:themeFill="background1" w:themeFillShade="BF"/>
          </w:tcPr>
          <w:p w:rsidR="001D0FDA" w:rsidRPr="00EB1471" w:rsidRDefault="001D0FDA" w:rsidP="00121EF0">
            <w:pPr>
              <w:pStyle w:val="Tabletext"/>
              <w:keepNext/>
              <w:autoSpaceDE/>
              <w:autoSpaceDN/>
              <w:adjustRightInd/>
              <w:jc w:val="center"/>
              <w:rPr>
                <w:rFonts w:eastAsia="Arial"/>
                <w:b/>
              </w:rPr>
            </w:pPr>
            <w:r w:rsidRPr="00EB1471">
              <w:rPr>
                <w:rFonts w:eastAsia="Arial"/>
                <w:b/>
              </w:rPr>
              <w:t xml:space="preserve">Placebo </w:t>
            </w:r>
            <w:r w:rsidRPr="00EB1471">
              <w:rPr>
                <w:rFonts w:eastAsia="Arial"/>
                <w:b/>
              </w:rPr>
              <w:br/>
              <w:t>(n=70)</w:t>
            </w:r>
          </w:p>
        </w:tc>
        <w:tc>
          <w:tcPr>
            <w:tcW w:w="4819" w:type="dxa"/>
            <w:gridSpan w:val="3"/>
            <w:shd w:val="clear" w:color="auto" w:fill="BFBFBF" w:themeFill="background1" w:themeFillShade="BF"/>
          </w:tcPr>
          <w:p w:rsidR="001D0FDA" w:rsidRPr="00EB1471" w:rsidRDefault="001D0FDA" w:rsidP="00121EF0">
            <w:pPr>
              <w:pStyle w:val="Tabletext"/>
              <w:keepNext/>
              <w:autoSpaceDE/>
              <w:autoSpaceDN/>
              <w:adjustRightInd/>
              <w:jc w:val="center"/>
              <w:rPr>
                <w:rFonts w:eastAsia="Arial"/>
                <w:b/>
              </w:rPr>
            </w:pPr>
            <w:r w:rsidRPr="00EB1471">
              <w:rPr>
                <w:rFonts w:eastAsia="Arial"/>
                <w:b/>
              </w:rPr>
              <w:t>Sildenafil</w:t>
            </w:r>
          </w:p>
        </w:tc>
      </w:tr>
      <w:tr w:rsidR="001D0FDA" w:rsidRPr="00EB1471" w:rsidTr="00FD0BAE">
        <w:trPr>
          <w:tblHeader/>
        </w:trPr>
        <w:tc>
          <w:tcPr>
            <w:tcW w:w="2689" w:type="dxa"/>
            <w:vMerge/>
            <w:shd w:val="clear" w:color="auto" w:fill="BFBFBF" w:themeFill="background1" w:themeFillShade="BF"/>
          </w:tcPr>
          <w:p w:rsidR="001D0FDA" w:rsidRPr="00EB1471" w:rsidRDefault="001D0FDA" w:rsidP="001D0FDA">
            <w:pPr>
              <w:pStyle w:val="Tabletext"/>
              <w:autoSpaceDE/>
              <w:autoSpaceDN/>
              <w:adjustRightInd/>
              <w:jc w:val="center"/>
              <w:rPr>
                <w:b/>
              </w:rPr>
            </w:pPr>
          </w:p>
        </w:tc>
        <w:tc>
          <w:tcPr>
            <w:tcW w:w="2126" w:type="dxa"/>
            <w:vMerge/>
            <w:shd w:val="clear" w:color="auto" w:fill="BFBFBF" w:themeFill="background1" w:themeFillShade="BF"/>
          </w:tcPr>
          <w:p w:rsidR="001D0FDA" w:rsidRPr="00EB1471" w:rsidRDefault="001D0FDA" w:rsidP="001D0FDA">
            <w:pPr>
              <w:pStyle w:val="Tabletext"/>
              <w:autoSpaceDE/>
              <w:autoSpaceDN/>
              <w:adjustRightInd/>
              <w:jc w:val="center"/>
              <w:rPr>
                <w:b/>
              </w:rPr>
            </w:pPr>
          </w:p>
        </w:tc>
        <w:tc>
          <w:tcPr>
            <w:tcW w:w="1701" w:type="dxa"/>
            <w:shd w:val="clear" w:color="auto" w:fill="BFBFBF" w:themeFill="background1" w:themeFillShade="BF"/>
          </w:tcPr>
          <w:p w:rsidR="001D0FDA" w:rsidRPr="00EB1471" w:rsidRDefault="001D0FDA" w:rsidP="00121EF0">
            <w:pPr>
              <w:pStyle w:val="Tabletext"/>
              <w:autoSpaceDE/>
              <w:autoSpaceDN/>
              <w:adjustRightInd/>
              <w:jc w:val="center"/>
              <w:rPr>
                <w:rFonts w:eastAsia="Arial"/>
                <w:b/>
              </w:rPr>
            </w:pPr>
            <w:r w:rsidRPr="00EB1471">
              <w:rPr>
                <w:rFonts w:eastAsia="Arial"/>
                <w:b/>
              </w:rPr>
              <w:t>20 mg (n=69)</w:t>
            </w:r>
          </w:p>
        </w:tc>
        <w:tc>
          <w:tcPr>
            <w:tcW w:w="1559" w:type="dxa"/>
            <w:shd w:val="clear" w:color="auto" w:fill="BFBFBF" w:themeFill="background1" w:themeFillShade="BF"/>
          </w:tcPr>
          <w:p w:rsidR="001D0FDA" w:rsidRPr="00EB1471" w:rsidRDefault="001D0FDA" w:rsidP="00121EF0">
            <w:pPr>
              <w:pStyle w:val="Tabletext"/>
              <w:autoSpaceDE/>
              <w:autoSpaceDN/>
              <w:adjustRightInd/>
              <w:jc w:val="center"/>
              <w:rPr>
                <w:rFonts w:eastAsia="Arial"/>
                <w:b/>
              </w:rPr>
            </w:pPr>
            <w:r w:rsidRPr="00EB1471">
              <w:rPr>
                <w:rFonts w:eastAsia="Arial"/>
                <w:b/>
              </w:rPr>
              <w:t>40 mg (n=67)</w:t>
            </w:r>
          </w:p>
        </w:tc>
        <w:tc>
          <w:tcPr>
            <w:tcW w:w="1559" w:type="dxa"/>
            <w:shd w:val="clear" w:color="auto" w:fill="BFBFBF" w:themeFill="background1" w:themeFillShade="BF"/>
          </w:tcPr>
          <w:p w:rsidR="001D0FDA" w:rsidRPr="00EB1471" w:rsidRDefault="001D0FDA" w:rsidP="00121EF0">
            <w:pPr>
              <w:pStyle w:val="Tabletext"/>
              <w:autoSpaceDE/>
              <w:autoSpaceDN/>
              <w:adjustRightInd/>
              <w:jc w:val="center"/>
              <w:rPr>
                <w:rFonts w:eastAsia="Arial"/>
                <w:b/>
              </w:rPr>
            </w:pPr>
            <w:r w:rsidRPr="00EB1471">
              <w:rPr>
                <w:rFonts w:eastAsia="Arial"/>
                <w:b/>
              </w:rPr>
              <w:t>80 mg (n=71)</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Abnormal sensation in eye</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2 (2.9%)</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1 (1.5%)</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Chromatopsia</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1 (1.5%)</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3 (4.2%)</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Cyanopsia</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1 (1.5%)</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3 (4.2%)</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Eye haemorrhage NOS</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1 (1.5%)</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Eye irritation</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2 (2.9%)</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2 (2.8%)</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Eye pain</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3 (4.2%)</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Halo vision</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2 (2.8%)</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Photophobia</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4 (5.6%)</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Photophobia</w:t>
            </w:r>
            <w:r w:rsidR="002449DC">
              <w:rPr>
                <w:rFonts w:eastAsia="Arial"/>
              </w:rPr>
              <w:t xml:space="preserve"> </w:t>
            </w:r>
            <w:r w:rsidRPr="00EB1471">
              <w:rPr>
                <w:rFonts w:eastAsia="Arial"/>
              </w:rPr>
              <w:t>aggravated</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Retinal haemorrhage</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2 (3.0%)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Vision blurred</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4 (5.7%)</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3 (4.3%)</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2 (3.0%)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4 (5.6%)</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Visual acuity reduced</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2 (3.0%)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1 (1.4%)</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Visual brightness</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2 (2.8%)</w:t>
            </w:r>
          </w:p>
        </w:tc>
      </w:tr>
      <w:tr w:rsidR="001D0FDA" w:rsidRPr="00EB1471" w:rsidTr="001D0FDA">
        <w:tc>
          <w:tcPr>
            <w:tcW w:w="2689" w:type="dxa"/>
          </w:tcPr>
          <w:p w:rsidR="001D0FDA" w:rsidRPr="00EB1471" w:rsidRDefault="001D0FDA" w:rsidP="001D0FDA">
            <w:pPr>
              <w:pStyle w:val="Tabletext"/>
              <w:autoSpaceDE/>
              <w:autoSpaceDN/>
              <w:adjustRightInd/>
              <w:rPr>
                <w:rFonts w:eastAsia="Arial"/>
              </w:rPr>
            </w:pPr>
            <w:r w:rsidRPr="00EB1471">
              <w:rPr>
                <w:rFonts w:eastAsia="Arial"/>
              </w:rPr>
              <w:t>Visual disturbance NOS</w:t>
            </w:r>
          </w:p>
        </w:tc>
        <w:tc>
          <w:tcPr>
            <w:tcW w:w="2126"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701" w:type="dxa"/>
          </w:tcPr>
          <w:p w:rsidR="001D0FDA" w:rsidRPr="00EB1471" w:rsidRDefault="001D0FDA" w:rsidP="001D0FDA">
            <w:pPr>
              <w:pStyle w:val="Tabletext"/>
              <w:autoSpaceDE/>
              <w:autoSpaceDN/>
              <w:adjustRightInd/>
              <w:jc w:val="center"/>
              <w:rPr>
                <w:rFonts w:eastAsia="Arial"/>
              </w:rPr>
            </w:pPr>
            <w:r w:rsidRPr="00EB1471">
              <w:rPr>
                <w:rFonts w:eastAsia="Arial"/>
              </w:rPr>
              <w:t>0 (0%)</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3 (4.5%)</w:t>
            </w:r>
          </w:p>
        </w:tc>
        <w:tc>
          <w:tcPr>
            <w:tcW w:w="1559" w:type="dxa"/>
          </w:tcPr>
          <w:p w:rsidR="001D0FDA" w:rsidRPr="00EB1471" w:rsidRDefault="001D0FDA" w:rsidP="001D0FDA">
            <w:pPr>
              <w:pStyle w:val="Tabletext"/>
              <w:autoSpaceDE/>
              <w:autoSpaceDN/>
              <w:adjustRightInd/>
              <w:jc w:val="center"/>
              <w:rPr>
                <w:rFonts w:eastAsia="Arial"/>
              </w:rPr>
            </w:pPr>
            <w:r w:rsidRPr="00EB1471">
              <w:rPr>
                <w:rFonts w:eastAsia="Arial"/>
              </w:rPr>
              <w:t>5 (7.0%)</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With incidence rate of ≥2% in any of the sildenafil arm</w:t>
      </w:r>
    </w:p>
    <w:p w:rsidR="001D0FDA" w:rsidRPr="00EB1471" w:rsidRDefault="00121EF0" w:rsidP="001D0FDA">
      <w:pPr>
        <w:pStyle w:val="Tablenote"/>
      </w:pPr>
      <w:r>
        <w:t xml:space="preserve">AE = adverse event; </w:t>
      </w:r>
      <w:r w:rsidR="00D2075A">
        <w:t>n</w:t>
      </w:r>
      <w:r>
        <w:t xml:space="preserve"> = number of patients; </w:t>
      </w:r>
      <w:r w:rsidR="001D0FDA" w:rsidRPr="00EB1471">
        <w:t>NOS = not otherwise specified</w:t>
      </w:r>
    </w:p>
    <w:p w:rsidR="001D0FDA" w:rsidRPr="00EB1471" w:rsidRDefault="001D0FDA" w:rsidP="001D0FDA">
      <w:pPr>
        <w:pStyle w:val="Tablenote"/>
      </w:pPr>
      <w:r w:rsidRPr="00EB1471">
        <w:t>Source: Wirostko et al 2012</w:t>
      </w:r>
      <w:r w:rsidR="001D34EE" w:rsidRPr="001A1C44">
        <w:rPr>
          <w:noProof/>
          <w:vertAlign w:val="superscript"/>
        </w:rPr>
        <w:t>53</w:t>
      </w:r>
    </w:p>
    <w:p w:rsidR="001D0FDA" w:rsidRPr="00EB1471" w:rsidRDefault="001D0FDA" w:rsidP="001D0FDA">
      <w:r w:rsidRPr="00EB1471">
        <w:t>In Study Sastry 2007</w:t>
      </w:r>
      <w:r w:rsidR="001D34EE" w:rsidRPr="001A1C44">
        <w:rPr>
          <w:noProof/>
          <w:vertAlign w:val="superscript"/>
        </w:rPr>
        <w:t>52</w:t>
      </w:r>
      <w:r w:rsidRPr="00EB1471">
        <w:t xml:space="preserve">, </w:t>
      </w:r>
      <w:proofErr w:type="gramStart"/>
      <w:r w:rsidRPr="00EB1471">
        <w:t>a total of 139</w:t>
      </w:r>
      <w:proofErr w:type="gramEnd"/>
      <w:r w:rsidRPr="00EB1471">
        <w:t xml:space="preserve"> patients receiving sildenafil for treatment of IPAH were followed up to 5 years. The authors reported that all patients tolerated sildenafil well without any major </w:t>
      </w:r>
      <w:r w:rsidR="006B2A7D">
        <w:t>AE</w:t>
      </w:r>
      <w:r w:rsidRPr="00EB1471">
        <w:t xml:space="preserve">s or treatment discontinuation due to intolerance or adverse. Adverse events observed in this study included dyspepsia, headache and rash. None of the patients </w:t>
      </w:r>
      <w:r w:rsidR="009800DB">
        <w:t>reported any visual problems.</w:t>
      </w:r>
    </w:p>
    <w:p w:rsidR="001D0FDA" w:rsidRPr="00EB1471" w:rsidRDefault="001D0FDA" w:rsidP="001D0FDA">
      <w:r w:rsidRPr="00EB1471">
        <w:t xml:space="preserve">The safety of sildenafil treatment in paediatric patients </w:t>
      </w:r>
      <w:proofErr w:type="gramStart"/>
      <w:r w:rsidRPr="00EB1471">
        <w:t>were investigated</w:t>
      </w:r>
      <w:proofErr w:type="gramEnd"/>
      <w:r w:rsidRPr="00EB1471">
        <w:t xml:space="preserve"> in Trial STARTS-1 and its extension study. </w:t>
      </w:r>
      <w:proofErr w:type="gramStart"/>
      <w:r w:rsidRPr="00EB1471">
        <w:t>In STARTS-1, children (aged 1-17 years) weighing ≥8 kg with IPAH, HPAH, PAH-CTD or PAH-CHD were randomised to low- (10 mg in patients &gt;20 kg; no patients ≤ 20 kg received the low dose), medium- (10 mg in patients 8-20 kg; 20 mg in patients 20-45 kg; 40 mg in patients &gt;45 kg) or high- (20 mg in patients 8-20 kg; 40 mg in patients 20-45 kg; 80 mg in patients &gt;45 kg) dose sildenafil or placebo for 16 weeks.</w:t>
      </w:r>
      <w:proofErr w:type="gramEnd"/>
      <w:r w:rsidRPr="00EB1471">
        <w:t xml:space="preserve"> A summary of </w:t>
      </w:r>
      <w:r w:rsidR="006B2A7D">
        <w:t>AE</w:t>
      </w:r>
      <w:r w:rsidRPr="00EB1471">
        <w:t xml:space="preserve">s reported in STARTS-1 </w:t>
      </w:r>
      <w:proofErr w:type="gramStart"/>
      <w:r w:rsidRPr="00EB1471">
        <w:t>is presented</w:t>
      </w:r>
      <w:proofErr w:type="gramEnd"/>
      <w:r w:rsidRPr="00EB1471">
        <w:t xml:space="preserve"> in </w:t>
      </w:r>
      <w:r w:rsidR="003951FA">
        <w:t>Table 4.114</w:t>
      </w:r>
      <w:r w:rsidRPr="00EB1471">
        <w:t xml:space="preserve">. The majority of </w:t>
      </w:r>
      <w:r w:rsidR="006B2A7D">
        <w:t>AE</w:t>
      </w:r>
      <w:r w:rsidRPr="00EB1471">
        <w:t xml:space="preserve">s were of mild or moderate intensity. Four (2%) patients in the sildenafil arms discontinued the study, two of which withdrew </w:t>
      </w:r>
      <w:proofErr w:type="gramStart"/>
      <w:r w:rsidRPr="00EB1471">
        <w:t>as a result</w:t>
      </w:r>
      <w:proofErr w:type="gramEnd"/>
      <w:r w:rsidRPr="00EB1471">
        <w:t xml:space="preserve"> of </w:t>
      </w:r>
      <w:r w:rsidR="006B2A7D">
        <w:t>AE</w:t>
      </w:r>
      <w:r w:rsidRPr="00EB1471">
        <w:t xml:space="preserve">s; meanwhile, </w:t>
      </w:r>
      <w:r w:rsidR="006B2A7D">
        <w:t>AE</w:t>
      </w:r>
      <w:r w:rsidRPr="00EB1471">
        <w:t xml:space="preserve">s leading to study discontinuation did not occur in placebo-treated patients. </w:t>
      </w:r>
      <w:proofErr w:type="gramStart"/>
      <w:r w:rsidRPr="00EB1471">
        <w:t>A total of 11</w:t>
      </w:r>
      <w:proofErr w:type="gramEnd"/>
      <w:r w:rsidRPr="00EB1471">
        <w:t xml:space="preserve"> patients reported serious </w:t>
      </w:r>
      <w:r w:rsidR="006B2A7D">
        <w:t>AE</w:t>
      </w:r>
      <w:r w:rsidRPr="00EB1471">
        <w:t xml:space="preserve">s, with two considered treatment related (both in the high-dose sildenafil group): stridor and arrhythmia in one patient each. Two patients died before randomisation (1 during and 1 before cardiac catheterisation); no additional deaths occurred during STARTS-1 treatment. Among </w:t>
      </w:r>
      <w:r w:rsidR="006B2A7D">
        <w:t>AE</w:t>
      </w:r>
      <w:r w:rsidRPr="00EB1471">
        <w:t>s reported in this trial, pyrexia, increased erection, and upper respiratory tract infection occurred in &gt;5% more patients in the sildenafil combined group versus placebo. Pyrexia, vomiting, and nausea appeared to be dose-related</w:t>
      </w:r>
      <w:r w:rsidR="001D34EE" w:rsidRPr="001A1C44">
        <w:rPr>
          <w:noProof/>
          <w:vertAlign w:val="superscript"/>
        </w:rPr>
        <w:t>54</w:t>
      </w:r>
      <w:r w:rsidR="009800DB">
        <w:t>.</w:t>
      </w:r>
    </w:p>
    <w:p w:rsidR="00A73209" w:rsidRDefault="00A73209">
      <w:pPr>
        <w:spacing w:before="0" w:line="240" w:lineRule="auto"/>
        <w:rPr>
          <w:b/>
          <w:iCs/>
          <w:szCs w:val="18"/>
        </w:rPr>
      </w:pPr>
      <w:bookmarkStart w:id="325" w:name="_Ref505077278"/>
      <w:bookmarkStart w:id="326" w:name="_Toc38360411"/>
      <w:r>
        <w:br w:type="page"/>
      </w:r>
    </w:p>
    <w:p w:rsidR="001D0FDA" w:rsidRPr="00EB1471" w:rsidRDefault="001D0FDA" w:rsidP="001D0FDA">
      <w:pPr>
        <w:pStyle w:val="Caption"/>
        <w:rPr>
          <w:rFonts w:eastAsia="Arial"/>
        </w:rPr>
      </w:pPr>
      <w:r>
        <w:t>Table 4.</w:t>
      </w:r>
      <w:r w:rsidR="003951FA">
        <w:rPr>
          <w:noProof/>
        </w:rPr>
        <w:t>114</w:t>
      </w:r>
      <w:bookmarkEnd w:id="325"/>
      <w:r>
        <w:tab/>
      </w:r>
      <w:r w:rsidRPr="00EB1471">
        <w:t>AEs reported in STARTS-1</w:t>
      </w:r>
      <w:bookmarkEnd w:id="326"/>
      <w:r w:rsidRPr="00EB1471">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AEs reported in STARTS-1"/>
      </w:tblPr>
      <w:tblGrid>
        <w:gridCol w:w="3397"/>
        <w:gridCol w:w="1276"/>
        <w:gridCol w:w="1276"/>
        <w:gridCol w:w="1185"/>
        <w:gridCol w:w="1366"/>
        <w:gridCol w:w="1276"/>
      </w:tblGrid>
      <w:tr w:rsidR="001D0FDA" w:rsidRPr="00EB1471" w:rsidTr="00D2075A">
        <w:trPr>
          <w:tblHeader/>
        </w:trPr>
        <w:tc>
          <w:tcPr>
            <w:tcW w:w="3397" w:type="dxa"/>
            <w:vMerge w:val="restart"/>
            <w:shd w:val="clear" w:color="auto" w:fill="BFBFBF" w:themeFill="background1" w:themeFillShade="BF"/>
          </w:tcPr>
          <w:p w:rsidR="001D0FDA" w:rsidRPr="00503643" w:rsidRDefault="00FD0BAE" w:rsidP="001D0FDA">
            <w:pPr>
              <w:pStyle w:val="TableText0"/>
              <w:rPr>
                <w:rFonts w:ascii="Arial" w:hAnsi="Arial"/>
              </w:rPr>
            </w:pPr>
            <w:r w:rsidRPr="00503643">
              <w:rPr>
                <w:rFonts w:ascii="Arial" w:hAnsi="Arial"/>
                <w:b/>
              </w:rPr>
              <w:t>AEs</w:t>
            </w:r>
          </w:p>
        </w:tc>
        <w:tc>
          <w:tcPr>
            <w:tcW w:w="1276" w:type="dxa"/>
            <w:vMerge w:val="restart"/>
            <w:shd w:val="clear" w:color="auto" w:fill="BFBFBF" w:themeFill="background1" w:themeFillShade="BF"/>
          </w:tcPr>
          <w:p w:rsidR="001D0FDA" w:rsidRPr="00503643" w:rsidRDefault="001D0FDA" w:rsidP="00121EF0">
            <w:pPr>
              <w:pStyle w:val="TableText0"/>
              <w:jc w:val="center"/>
              <w:rPr>
                <w:rFonts w:ascii="Arial" w:hAnsi="Arial"/>
                <w:b/>
              </w:rPr>
            </w:pPr>
            <w:r w:rsidRPr="00503643">
              <w:rPr>
                <w:rFonts w:ascii="Arial" w:eastAsia="Arial" w:hAnsi="Arial"/>
                <w:b/>
              </w:rPr>
              <w:t xml:space="preserve">Placebo </w:t>
            </w:r>
            <w:r w:rsidRPr="00503643">
              <w:rPr>
                <w:rFonts w:ascii="Arial" w:eastAsia="Arial" w:hAnsi="Arial"/>
                <w:b/>
              </w:rPr>
              <w:br/>
              <w:t>(n=60)</w:t>
            </w:r>
          </w:p>
        </w:tc>
        <w:tc>
          <w:tcPr>
            <w:tcW w:w="5103" w:type="dxa"/>
            <w:gridSpan w:val="4"/>
            <w:shd w:val="clear" w:color="auto" w:fill="BFBFBF" w:themeFill="background1" w:themeFillShade="BF"/>
          </w:tcPr>
          <w:p w:rsidR="001D0FDA" w:rsidRPr="00503643" w:rsidRDefault="001D0FDA" w:rsidP="001D0FDA">
            <w:pPr>
              <w:pStyle w:val="TableText0"/>
              <w:jc w:val="center"/>
              <w:rPr>
                <w:rFonts w:ascii="Arial" w:hAnsi="Arial"/>
                <w:b/>
              </w:rPr>
            </w:pPr>
            <w:r w:rsidRPr="00503643">
              <w:rPr>
                <w:rFonts w:ascii="Arial" w:hAnsi="Arial"/>
                <w:b/>
              </w:rPr>
              <w:t>Sildenafil</w:t>
            </w:r>
          </w:p>
        </w:tc>
      </w:tr>
      <w:tr w:rsidR="001D0FDA" w:rsidRPr="00EB1471" w:rsidTr="00D2075A">
        <w:trPr>
          <w:tblHeader/>
        </w:trPr>
        <w:tc>
          <w:tcPr>
            <w:tcW w:w="3397" w:type="dxa"/>
            <w:vMerge/>
            <w:shd w:val="clear" w:color="auto" w:fill="BFBFBF" w:themeFill="background1" w:themeFillShade="BF"/>
          </w:tcPr>
          <w:p w:rsidR="001D0FDA" w:rsidRPr="00503643" w:rsidRDefault="001D0FDA" w:rsidP="001D0FDA">
            <w:pPr>
              <w:pStyle w:val="TableText0"/>
              <w:rPr>
                <w:rFonts w:ascii="Arial" w:hAnsi="Arial"/>
              </w:rPr>
            </w:pPr>
          </w:p>
        </w:tc>
        <w:tc>
          <w:tcPr>
            <w:tcW w:w="1276" w:type="dxa"/>
            <w:vMerge/>
            <w:shd w:val="clear" w:color="auto" w:fill="BFBFBF" w:themeFill="background1" w:themeFillShade="BF"/>
          </w:tcPr>
          <w:p w:rsidR="001D0FDA" w:rsidRPr="00503643" w:rsidRDefault="001D0FDA" w:rsidP="001D0FDA">
            <w:pPr>
              <w:pStyle w:val="TableText0"/>
              <w:jc w:val="center"/>
              <w:rPr>
                <w:rFonts w:ascii="Arial" w:eastAsia="Arial" w:hAnsi="Arial"/>
                <w:b/>
              </w:rPr>
            </w:pPr>
          </w:p>
        </w:tc>
        <w:tc>
          <w:tcPr>
            <w:tcW w:w="1276" w:type="dxa"/>
            <w:shd w:val="clear" w:color="auto" w:fill="BFBFBF" w:themeFill="background1" w:themeFillShade="BF"/>
          </w:tcPr>
          <w:p w:rsidR="001D0FDA" w:rsidRPr="00503643" w:rsidRDefault="001D0FDA" w:rsidP="00121EF0">
            <w:pPr>
              <w:pStyle w:val="TableText0"/>
              <w:jc w:val="center"/>
              <w:rPr>
                <w:rFonts w:ascii="Arial" w:eastAsia="Arial" w:hAnsi="Arial"/>
                <w:b/>
              </w:rPr>
            </w:pPr>
            <w:r w:rsidRPr="00503643">
              <w:rPr>
                <w:rFonts w:ascii="Arial" w:eastAsia="Arial" w:hAnsi="Arial"/>
                <w:b/>
              </w:rPr>
              <w:t>Low dose</w:t>
            </w:r>
            <w:r w:rsidRPr="00503643">
              <w:rPr>
                <w:rFonts w:ascii="Arial" w:eastAsia="Arial" w:hAnsi="Arial"/>
                <w:b/>
              </w:rPr>
              <w:br/>
              <w:t>(n=42)</w:t>
            </w:r>
          </w:p>
        </w:tc>
        <w:tc>
          <w:tcPr>
            <w:tcW w:w="1185" w:type="dxa"/>
            <w:shd w:val="clear" w:color="auto" w:fill="BFBFBF" w:themeFill="background1" w:themeFillShade="BF"/>
          </w:tcPr>
          <w:p w:rsidR="001D0FDA" w:rsidRPr="00503643" w:rsidRDefault="001D0FDA" w:rsidP="00121EF0">
            <w:pPr>
              <w:pStyle w:val="TableText0"/>
              <w:jc w:val="center"/>
              <w:rPr>
                <w:rFonts w:ascii="Arial" w:eastAsia="Arial" w:hAnsi="Arial"/>
                <w:b/>
              </w:rPr>
            </w:pPr>
            <w:r w:rsidRPr="00503643">
              <w:rPr>
                <w:rFonts w:ascii="Arial" w:eastAsia="Arial" w:hAnsi="Arial"/>
                <w:b/>
              </w:rPr>
              <w:t>Medium dose (n=55)</w:t>
            </w:r>
          </w:p>
        </w:tc>
        <w:tc>
          <w:tcPr>
            <w:tcW w:w="1366" w:type="dxa"/>
            <w:shd w:val="clear" w:color="auto" w:fill="BFBFBF" w:themeFill="background1" w:themeFillShade="BF"/>
          </w:tcPr>
          <w:p w:rsidR="001D0FDA" w:rsidRPr="00503643" w:rsidRDefault="001D0FDA" w:rsidP="00121EF0">
            <w:pPr>
              <w:pStyle w:val="TableText0"/>
              <w:jc w:val="center"/>
              <w:rPr>
                <w:rFonts w:ascii="Arial" w:eastAsia="Arial" w:hAnsi="Arial"/>
                <w:b/>
              </w:rPr>
            </w:pPr>
            <w:r w:rsidRPr="00503643">
              <w:rPr>
                <w:rFonts w:ascii="Arial" w:eastAsia="Arial" w:hAnsi="Arial"/>
                <w:b/>
              </w:rPr>
              <w:t>High dose</w:t>
            </w:r>
            <w:r w:rsidRPr="00503643">
              <w:rPr>
                <w:rFonts w:ascii="Arial" w:eastAsia="Arial" w:hAnsi="Arial"/>
                <w:b/>
              </w:rPr>
              <w:br/>
              <w:t>(n=77)</w:t>
            </w:r>
          </w:p>
        </w:tc>
        <w:tc>
          <w:tcPr>
            <w:tcW w:w="1276" w:type="dxa"/>
            <w:shd w:val="clear" w:color="auto" w:fill="BFBFBF" w:themeFill="background1" w:themeFillShade="BF"/>
          </w:tcPr>
          <w:p w:rsidR="001D0FDA" w:rsidRPr="00503643" w:rsidRDefault="001D0FDA" w:rsidP="00121EF0">
            <w:pPr>
              <w:pStyle w:val="TableText0"/>
              <w:jc w:val="center"/>
              <w:rPr>
                <w:rFonts w:ascii="Arial" w:eastAsia="Arial" w:hAnsi="Arial"/>
                <w:b/>
              </w:rPr>
            </w:pPr>
            <w:r w:rsidRPr="00503643">
              <w:rPr>
                <w:rFonts w:ascii="Arial" w:eastAsia="Arial" w:hAnsi="Arial"/>
                <w:b/>
              </w:rPr>
              <w:t>Combined (n=174)</w:t>
            </w:r>
          </w:p>
        </w:tc>
      </w:tr>
      <w:tr w:rsidR="001D0FDA" w:rsidRPr="00EB1471" w:rsidTr="001D0FDA">
        <w:tc>
          <w:tcPr>
            <w:tcW w:w="3397" w:type="dxa"/>
          </w:tcPr>
          <w:p w:rsidR="001D0FDA" w:rsidRPr="00503643" w:rsidRDefault="001D0FDA" w:rsidP="001D0FDA">
            <w:pPr>
              <w:pStyle w:val="TableText0"/>
              <w:spacing w:before="20" w:after="20"/>
              <w:rPr>
                <w:rFonts w:ascii="Arial" w:eastAsia="Arial" w:hAnsi="Arial"/>
              </w:rPr>
            </w:pPr>
            <w:r w:rsidRPr="00503643">
              <w:rPr>
                <w:rFonts w:ascii="Arial" w:eastAsia="Arial" w:hAnsi="Arial"/>
              </w:rPr>
              <w:t>AEs leading to treatment discontinuation</w:t>
            </w:r>
          </w:p>
        </w:tc>
        <w:tc>
          <w:tcPr>
            <w:tcW w:w="1276"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276"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N</w:t>
            </w:r>
          </w:p>
        </w:tc>
        <w:tc>
          <w:tcPr>
            <w:tcW w:w="1185"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NR</w:t>
            </w:r>
          </w:p>
        </w:tc>
        <w:tc>
          <w:tcPr>
            <w:tcW w:w="1366"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NR</w:t>
            </w:r>
          </w:p>
        </w:tc>
        <w:tc>
          <w:tcPr>
            <w:tcW w:w="1276"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 (1%)</w:t>
            </w:r>
          </w:p>
        </w:tc>
      </w:tr>
      <w:tr w:rsidR="001D0FDA" w:rsidRPr="00EB1471" w:rsidTr="001D0FDA">
        <w:tc>
          <w:tcPr>
            <w:tcW w:w="3397" w:type="dxa"/>
          </w:tcPr>
          <w:p w:rsidR="001D0FDA" w:rsidRPr="00503643" w:rsidRDefault="001D0FDA" w:rsidP="001D0FDA">
            <w:pPr>
              <w:pStyle w:val="TableText0"/>
              <w:spacing w:before="20" w:after="20"/>
              <w:rPr>
                <w:rFonts w:ascii="Arial" w:eastAsia="Arial" w:hAnsi="Arial"/>
              </w:rPr>
            </w:pPr>
            <w:r w:rsidRPr="00503643">
              <w:rPr>
                <w:rFonts w:ascii="Arial" w:eastAsia="Arial" w:hAnsi="Arial"/>
              </w:rPr>
              <w:t>Treatment-related serious AEs</w:t>
            </w:r>
          </w:p>
        </w:tc>
        <w:tc>
          <w:tcPr>
            <w:tcW w:w="1276"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276"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185"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366"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 (3%)</w:t>
            </w:r>
          </w:p>
        </w:tc>
        <w:tc>
          <w:tcPr>
            <w:tcW w:w="1276" w:type="dxa"/>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 (1%)</w:t>
            </w:r>
          </w:p>
        </w:tc>
      </w:tr>
      <w:tr w:rsidR="001D0FDA" w:rsidRPr="00EB1471" w:rsidTr="001D0FDA">
        <w:tc>
          <w:tcPr>
            <w:tcW w:w="3397" w:type="dxa"/>
            <w:tcBorders>
              <w:bottom w:val="single" w:sz="4" w:space="0" w:color="auto"/>
            </w:tcBorders>
          </w:tcPr>
          <w:p w:rsidR="001D0FDA" w:rsidRPr="00503643" w:rsidRDefault="001D0FDA" w:rsidP="001D0FDA">
            <w:pPr>
              <w:pStyle w:val="TableText0"/>
              <w:spacing w:before="20" w:after="20"/>
              <w:rPr>
                <w:rFonts w:ascii="Arial" w:eastAsia="Arial" w:hAnsi="Arial"/>
              </w:rPr>
            </w:pPr>
            <w:r w:rsidRPr="00503643">
              <w:rPr>
                <w:rFonts w:ascii="Arial" w:eastAsia="Arial" w:hAnsi="Arial"/>
              </w:rPr>
              <w:t xml:space="preserve">Fatal AEs </w:t>
            </w:r>
          </w:p>
        </w:tc>
        <w:tc>
          <w:tcPr>
            <w:tcW w:w="1276" w:type="dxa"/>
            <w:tcBorders>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276" w:type="dxa"/>
            <w:tcBorders>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185" w:type="dxa"/>
            <w:tcBorders>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366" w:type="dxa"/>
            <w:tcBorders>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276" w:type="dxa"/>
            <w:tcBorders>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r>
      <w:tr w:rsidR="001D0FDA" w:rsidRPr="00EB1471" w:rsidTr="001D0FDA">
        <w:tc>
          <w:tcPr>
            <w:tcW w:w="3397" w:type="dxa"/>
            <w:tcBorders>
              <w:bottom w:val="nil"/>
            </w:tcBorders>
          </w:tcPr>
          <w:p w:rsidR="001D0FDA" w:rsidRPr="00503643" w:rsidRDefault="001D0FDA" w:rsidP="001D0FDA">
            <w:pPr>
              <w:pStyle w:val="TableText0"/>
              <w:spacing w:before="20" w:after="20"/>
              <w:rPr>
                <w:rFonts w:ascii="Arial" w:eastAsia="Arial" w:hAnsi="Arial"/>
              </w:rPr>
            </w:pPr>
            <w:r w:rsidRPr="00503643">
              <w:rPr>
                <w:rFonts w:ascii="Arial" w:eastAsia="Arial" w:hAnsi="Arial"/>
              </w:rPr>
              <w:t>AEs occurred in ≥5% of patients in the sildenafil combined group</w:t>
            </w:r>
          </w:p>
        </w:tc>
        <w:tc>
          <w:tcPr>
            <w:tcW w:w="1276" w:type="dxa"/>
            <w:tcBorders>
              <w:bottom w:val="nil"/>
            </w:tcBorders>
          </w:tcPr>
          <w:p w:rsidR="001D0FDA" w:rsidRPr="00503643" w:rsidRDefault="001D0FDA" w:rsidP="001D0FDA">
            <w:pPr>
              <w:pStyle w:val="TableText0"/>
              <w:spacing w:before="20" w:after="20"/>
              <w:jc w:val="center"/>
              <w:rPr>
                <w:rFonts w:ascii="Arial" w:eastAsia="Arial" w:hAnsi="Arial"/>
              </w:rPr>
            </w:pPr>
          </w:p>
        </w:tc>
        <w:tc>
          <w:tcPr>
            <w:tcW w:w="1276" w:type="dxa"/>
            <w:tcBorders>
              <w:bottom w:val="nil"/>
            </w:tcBorders>
          </w:tcPr>
          <w:p w:rsidR="001D0FDA" w:rsidRPr="00503643" w:rsidRDefault="001D0FDA" w:rsidP="001D0FDA">
            <w:pPr>
              <w:pStyle w:val="TableText0"/>
              <w:spacing w:before="20" w:after="20"/>
              <w:jc w:val="center"/>
              <w:rPr>
                <w:rFonts w:ascii="Arial" w:eastAsia="Arial" w:hAnsi="Arial"/>
              </w:rPr>
            </w:pPr>
          </w:p>
        </w:tc>
        <w:tc>
          <w:tcPr>
            <w:tcW w:w="1185" w:type="dxa"/>
            <w:tcBorders>
              <w:bottom w:val="nil"/>
            </w:tcBorders>
          </w:tcPr>
          <w:p w:rsidR="001D0FDA" w:rsidRPr="00503643" w:rsidRDefault="001D0FDA" w:rsidP="001D0FDA">
            <w:pPr>
              <w:pStyle w:val="TableText0"/>
              <w:spacing w:before="20" w:after="20"/>
              <w:jc w:val="center"/>
              <w:rPr>
                <w:rFonts w:ascii="Arial" w:eastAsia="Arial" w:hAnsi="Arial"/>
              </w:rPr>
            </w:pPr>
          </w:p>
        </w:tc>
        <w:tc>
          <w:tcPr>
            <w:tcW w:w="1366" w:type="dxa"/>
            <w:tcBorders>
              <w:bottom w:val="nil"/>
            </w:tcBorders>
          </w:tcPr>
          <w:p w:rsidR="001D0FDA" w:rsidRPr="00503643" w:rsidRDefault="001D0FDA" w:rsidP="001D0FDA">
            <w:pPr>
              <w:pStyle w:val="TableText0"/>
              <w:spacing w:before="20" w:after="20"/>
              <w:jc w:val="center"/>
              <w:rPr>
                <w:rFonts w:ascii="Arial" w:eastAsia="Arial" w:hAnsi="Arial"/>
              </w:rPr>
            </w:pPr>
          </w:p>
        </w:tc>
        <w:tc>
          <w:tcPr>
            <w:tcW w:w="1276" w:type="dxa"/>
            <w:tcBorders>
              <w:bottom w:val="nil"/>
            </w:tcBorders>
          </w:tcPr>
          <w:p w:rsidR="001D0FDA" w:rsidRPr="00503643" w:rsidRDefault="001D0FDA" w:rsidP="001D0FDA">
            <w:pPr>
              <w:pStyle w:val="TableText0"/>
              <w:spacing w:before="20" w:after="20"/>
              <w:jc w:val="center"/>
              <w:rPr>
                <w:rFonts w:ascii="Arial" w:eastAsia="Arial" w:hAnsi="Arial"/>
              </w:rPr>
            </w:pP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Headache</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8 (13%)</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5 (12%)</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6 (11%)</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12 (16%)</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23 (13%)</w:t>
            </w: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Pyrexia</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1 (2%)</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(7%)</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8 (15%)</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9 (12%)</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20 (12%)</w:t>
            </w: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Upper respiratory tract infection</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4 (7%)</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5 (12%)</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9 (16%)</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7 (9%)</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21 (12%)</w:t>
            </w: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Vomiting</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4 (7%)</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(7%)</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5 (9%)</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11 (14%)</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19 (11%)</w:t>
            </w: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vertAlign w:val="superscript"/>
              </w:rPr>
            </w:pPr>
            <w:r w:rsidRPr="00503643">
              <w:rPr>
                <w:rFonts w:ascii="Arial" w:eastAsia="Arial" w:hAnsi="Arial"/>
              </w:rPr>
              <w:t>Erection increased</w:t>
            </w:r>
            <w:r w:rsidRPr="00503643">
              <w:rPr>
                <w:rFonts w:ascii="Arial" w:eastAsia="Arial" w:hAnsi="Arial"/>
                <w:vertAlign w:val="superscript"/>
              </w:rPr>
              <w:t>a</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(13)</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(12)</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6 (9%)</w:t>
            </w: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Diarrhoea</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5 (8%)</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 (5%)</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(6%)</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7 (9%)</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12 (7%)</w:t>
            </w: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Bronchitis</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1 (2%)</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 (5%)</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5 (9%)</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(4%)</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10 (6%)</w:t>
            </w: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Cough</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(5%)</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 (5%)</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4 (7%)</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 (3%)</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8 (5%)</w:t>
            </w:r>
          </w:p>
        </w:tc>
      </w:tr>
      <w:tr w:rsidR="001D0FDA" w:rsidRPr="00EB1471" w:rsidTr="001D0FDA">
        <w:tc>
          <w:tcPr>
            <w:tcW w:w="3397" w:type="dxa"/>
            <w:tcBorders>
              <w:top w:val="nil"/>
              <w:bottom w:val="nil"/>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Nasopharyngitis</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4 (7%)</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(7%)</w:t>
            </w:r>
          </w:p>
        </w:tc>
        <w:tc>
          <w:tcPr>
            <w:tcW w:w="1185"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3 (6%)</w:t>
            </w:r>
          </w:p>
        </w:tc>
        <w:tc>
          <w:tcPr>
            <w:tcW w:w="136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2 (3%)</w:t>
            </w:r>
          </w:p>
        </w:tc>
        <w:tc>
          <w:tcPr>
            <w:tcW w:w="1276" w:type="dxa"/>
            <w:tcBorders>
              <w:top w:val="nil"/>
              <w:bottom w:val="nil"/>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8 (5%)</w:t>
            </w:r>
          </w:p>
        </w:tc>
      </w:tr>
      <w:tr w:rsidR="001D0FDA" w:rsidRPr="00EB1471" w:rsidTr="001D0FDA">
        <w:tc>
          <w:tcPr>
            <w:tcW w:w="3397" w:type="dxa"/>
            <w:tcBorders>
              <w:top w:val="nil"/>
              <w:bottom w:val="single" w:sz="4" w:space="0" w:color="auto"/>
            </w:tcBorders>
          </w:tcPr>
          <w:p w:rsidR="001D0FDA" w:rsidRPr="00503643" w:rsidRDefault="001D0FDA" w:rsidP="001D0FDA">
            <w:pPr>
              <w:pStyle w:val="TableText0"/>
              <w:spacing w:before="20" w:after="20"/>
              <w:ind w:left="279"/>
              <w:rPr>
                <w:rFonts w:ascii="Arial" w:eastAsia="Arial" w:hAnsi="Arial"/>
              </w:rPr>
            </w:pPr>
            <w:r w:rsidRPr="00503643">
              <w:rPr>
                <w:rFonts w:ascii="Arial" w:eastAsia="Arial" w:hAnsi="Arial"/>
              </w:rPr>
              <w:t>Nausea</w:t>
            </w:r>
          </w:p>
        </w:tc>
        <w:tc>
          <w:tcPr>
            <w:tcW w:w="1276" w:type="dxa"/>
            <w:tcBorders>
              <w:top w:val="nil"/>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276" w:type="dxa"/>
            <w:tcBorders>
              <w:top w:val="nil"/>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0 (0%)</w:t>
            </w:r>
          </w:p>
        </w:tc>
        <w:tc>
          <w:tcPr>
            <w:tcW w:w="1185" w:type="dxa"/>
            <w:tcBorders>
              <w:top w:val="nil"/>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4 (7%)</w:t>
            </w:r>
          </w:p>
        </w:tc>
        <w:tc>
          <w:tcPr>
            <w:tcW w:w="1366" w:type="dxa"/>
            <w:tcBorders>
              <w:top w:val="nil"/>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4 (5%)</w:t>
            </w:r>
          </w:p>
        </w:tc>
        <w:tc>
          <w:tcPr>
            <w:tcW w:w="1276" w:type="dxa"/>
            <w:tcBorders>
              <w:top w:val="nil"/>
              <w:bottom w:val="single" w:sz="4" w:space="0" w:color="auto"/>
            </w:tcBorders>
          </w:tcPr>
          <w:p w:rsidR="001D0FDA" w:rsidRPr="00503643" w:rsidRDefault="001D0FDA" w:rsidP="001D0FDA">
            <w:pPr>
              <w:pStyle w:val="TableText0"/>
              <w:spacing w:before="20" w:after="20"/>
              <w:jc w:val="center"/>
              <w:rPr>
                <w:rFonts w:ascii="Arial" w:eastAsia="Arial" w:hAnsi="Arial"/>
              </w:rPr>
            </w:pPr>
            <w:r w:rsidRPr="00503643">
              <w:rPr>
                <w:rFonts w:ascii="Arial" w:eastAsia="Arial" w:hAnsi="Arial"/>
              </w:rPr>
              <w:t>8 (5%)</w:t>
            </w:r>
          </w:p>
        </w:tc>
      </w:tr>
    </w:tbl>
    <w:p w:rsidR="006D01E8" w:rsidRPr="00EB1471" w:rsidRDefault="006D01E8" w:rsidP="006D01E8">
      <w:pPr>
        <w:pStyle w:val="Tablenote"/>
      </w:pPr>
      <w:proofErr w:type="gramStart"/>
      <w:r w:rsidRPr="00EB1471">
        <w:rPr>
          <w:vertAlign w:val="superscript"/>
        </w:rPr>
        <w:t>a</w:t>
      </w:r>
      <w:proofErr w:type="gramEnd"/>
      <w:r w:rsidRPr="00EB1471">
        <w:rPr>
          <w:vertAlign w:val="superscript"/>
        </w:rPr>
        <w:t xml:space="preserve"> </w:t>
      </w:r>
      <w:r w:rsidRPr="00EB1471">
        <w:t>Also included the term spontaneous penile erection. Percentage shown is for boys only: n=22, 17, 24, and 26 for placebo, sildenafil low-, medium-, and high-dose groups, respectively.</w:t>
      </w:r>
    </w:p>
    <w:p w:rsidR="001D0FDA" w:rsidRPr="00EB1471" w:rsidRDefault="001D0FDA" w:rsidP="001D0FDA">
      <w:pPr>
        <w:pStyle w:val="Tablenote"/>
      </w:pPr>
      <w:r w:rsidRPr="00EB1471">
        <w:t xml:space="preserve">AE = adverse event; </w:t>
      </w:r>
      <w:r w:rsidR="00D2075A">
        <w:t>n</w:t>
      </w:r>
      <w:r w:rsidR="00121EF0">
        <w:t xml:space="preserve"> = number of patients; </w:t>
      </w:r>
      <w:r w:rsidRPr="00EB1471">
        <w:t>NR = not reported</w:t>
      </w:r>
    </w:p>
    <w:p w:rsidR="001D0FDA" w:rsidRPr="00EB1471" w:rsidRDefault="001D0FDA" w:rsidP="001D0FDA">
      <w:pPr>
        <w:pStyle w:val="Tablenote"/>
      </w:pPr>
      <w:r w:rsidRPr="00EB1471">
        <w:t>Source: Barst et al 2012</w:t>
      </w:r>
      <w:r w:rsidR="001D34EE" w:rsidRPr="001A1C44">
        <w:rPr>
          <w:noProof/>
          <w:vertAlign w:val="superscript"/>
        </w:rPr>
        <w:t>54</w:t>
      </w:r>
    </w:p>
    <w:p w:rsidR="001D0FDA" w:rsidRPr="00EB1471" w:rsidRDefault="001D0FDA" w:rsidP="001D0FDA">
      <w:r w:rsidRPr="00EB1471">
        <w:t xml:space="preserve">Following completion of the 16-week Trial STARTS-1, subjects entered a long-term extension study. Patients who received sildenafil in STARTS-1 </w:t>
      </w:r>
      <w:proofErr w:type="gramStart"/>
      <w:r w:rsidRPr="00EB1471">
        <w:t>were maintained</w:t>
      </w:r>
      <w:proofErr w:type="gramEnd"/>
      <w:r w:rsidRPr="00EB1471">
        <w:t xml:space="preserve"> on the same sildenafil dose; whereas placebo-treated patients were randomised to receive low-, medium-, or high-dose sildenafil. Throughout the STARTS extension study, dose adjustment according to disease progression and tolerability </w:t>
      </w:r>
      <w:proofErr w:type="gramStart"/>
      <w:r w:rsidRPr="00EB1471">
        <w:t>was permitted</w:t>
      </w:r>
      <w:proofErr w:type="gramEnd"/>
      <w:r w:rsidRPr="00EB1471">
        <w:t xml:space="preserve">. Over a median treatment exposure of 4.1 years, most (96%) patients reported ≥1 </w:t>
      </w:r>
      <w:r w:rsidR="006B2A7D">
        <w:t>AE</w:t>
      </w:r>
      <w:r w:rsidRPr="00EB1471">
        <w:t xml:space="preserve">, with the majority of mild or moderate intensity. The most common treatment-related </w:t>
      </w:r>
      <w:r w:rsidR="006B2A7D">
        <w:t>AE</w:t>
      </w:r>
      <w:r w:rsidRPr="00EB1471">
        <w:t xml:space="preserve">s were headache (15%) and vomiting (6%). Serious </w:t>
      </w:r>
      <w:r w:rsidR="006B2A7D">
        <w:t>AE</w:t>
      </w:r>
      <w:r w:rsidRPr="00EB1471">
        <w:t xml:space="preserve">s were reported for 41% of patients (n=97), most commonly infections (28%, including pneumonia (7%) and upper respiratory tract infection (3%)), respiratory disorders (14%, including worsening of PH (5%) and worsening of PAH (3%)), and cardiac disorders (11%, most commonly cardiac failure (5%)). Five (2%) patients had serious </w:t>
      </w:r>
      <w:r w:rsidR="006B2A7D">
        <w:t>AE</w:t>
      </w:r>
      <w:r w:rsidRPr="00EB1471">
        <w:t xml:space="preserve">s that </w:t>
      </w:r>
      <w:proofErr w:type="gramStart"/>
      <w:r w:rsidRPr="00EB1471">
        <w:t>were assessed</w:t>
      </w:r>
      <w:proofErr w:type="gramEnd"/>
      <w:r w:rsidRPr="00EB1471">
        <w:t xml:space="preserve"> as treatment-related, including enterocolitis, convulsion, hypoxia, hypersensitivity and stridor, and ventricular arrhythmia. Seventeen (7%) patients permanently discontinued because of </w:t>
      </w:r>
      <w:r w:rsidR="006B2A7D">
        <w:t>AE</w:t>
      </w:r>
      <w:r w:rsidRPr="00EB1471">
        <w:t xml:space="preserve">s; most </w:t>
      </w:r>
      <w:proofErr w:type="gramStart"/>
      <w:r w:rsidRPr="00EB1471">
        <w:t>were considered to be related</w:t>
      </w:r>
      <w:proofErr w:type="gramEnd"/>
      <w:r w:rsidRPr="00EB1471">
        <w:t xml:space="preserve"> to the disease under study. The five (2%) discontinuations attributable to </w:t>
      </w:r>
      <w:r w:rsidR="006B2A7D">
        <w:t>AE</w:t>
      </w:r>
      <w:r w:rsidRPr="00EB1471">
        <w:t xml:space="preserve">s that </w:t>
      </w:r>
      <w:proofErr w:type="gramStart"/>
      <w:r w:rsidRPr="00EB1471">
        <w:t>were assessed</w:t>
      </w:r>
      <w:proofErr w:type="gramEnd"/>
      <w:r w:rsidRPr="00EB1471">
        <w:t xml:space="preserve"> as treatment-related were decreased weight, convulsion, stridor, dyspnoe</w:t>
      </w:r>
      <w:r w:rsidR="00D60D8E">
        <w:t>a and hypoxia, and macular rash</w:t>
      </w:r>
      <w:r w:rsidR="001D34EE" w:rsidRPr="001A1C44">
        <w:rPr>
          <w:noProof/>
          <w:vertAlign w:val="superscript"/>
        </w:rPr>
        <w:t>69</w:t>
      </w:r>
      <w:r w:rsidRPr="00EB1471">
        <w:t>.</w:t>
      </w:r>
    </w:p>
    <w:p w:rsidR="001D0FDA" w:rsidRPr="00EB1471" w:rsidRDefault="001D0FDA" w:rsidP="001D0FDA">
      <w:r>
        <w:t xml:space="preserve">Eye disorders </w:t>
      </w:r>
      <w:proofErr w:type="gramStart"/>
      <w:r>
        <w:t>have been observed</w:t>
      </w:r>
      <w:proofErr w:type="gramEnd"/>
      <w:r>
        <w:t xml:space="preserve"> in temporal association with sildenafil for treatment of PAH and male erectile dysfunction. Results from SUPER-1 showed low (0%-</w:t>
      </w:r>
      <w:proofErr w:type="gramStart"/>
      <w:r>
        <w:t>4.3%</w:t>
      </w:r>
      <w:proofErr w:type="gramEnd"/>
      <w:r>
        <w:t xml:space="preserve">) incidence of ocular </w:t>
      </w:r>
      <w:r w:rsidR="006B2A7D">
        <w:t>AE</w:t>
      </w:r>
      <w:r>
        <w:t xml:space="preserve">s in patients receiving the recommended dose of 20 mg tid. Some eye disorders </w:t>
      </w:r>
      <w:proofErr w:type="gramStart"/>
      <w:r>
        <w:t>were reported</w:t>
      </w:r>
      <w:proofErr w:type="gramEnd"/>
      <w:r>
        <w:t xml:space="preserve"> to occur in sildenafil-treated patients but not in the placebo arm, eg retinal haemorrhage,</w:t>
      </w:r>
      <w:r w:rsidRPr="00E57D5C">
        <w:t xml:space="preserve"> abnormal sensation in eye and eye irritation</w:t>
      </w:r>
      <w:r>
        <w:t xml:space="preserve">. </w:t>
      </w:r>
      <w:proofErr w:type="gramStart"/>
      <w:r>
        <w:t>No n</w:t>
      </w:r>
      <w:r w:rsidRPr="00EB1471">
        <w:t>ew safety signal were identified by the clinical evidence included in the literature review</w:t>
      </w:r>
      <w:proofErr w:type="gramEnd"/>
      <w:r w:rsidRPr="00EB1471">
        <w:t>. The safety profile seen in the paediatric studies, i</w:t>
      </w:r>
      <w:r w:rsidR="007E4C7F">
        <w:t>.</w:t>
      </w:r>
      <w:r w:rsidRPr="00EB1471">
        <w:t>e</w:t>
      </w:r>
      <w:r w:rsidR="007E4C7F">
        <w:t>.</w:t>
      </w:r>
      <w:r w:rsidRPr="00EB1471">
        <w:t xml:space="preserve"> STARTS-1 and its extension </w:t>
      </w:r>
      <w:proofErr w:type="gramStart"/>
      <w:r w:rsidRPr="00EB1471">
        <w:t>study,</w:t>
      </w:r>
      <w:proofErr w:type="gramEnd"/>
      <w:r w:rsidRPr="00EB1471">
        <w:t xml:space="preserve"> was generally consistent with that in adults.</w:t>
      </w:r>
    </w:p>
    <w:p w:rsidR="001D0FDA" w:rsidRPr="00EB1471" w:rsidRDefault="001D0FDA" w:rsidP="00480FDF">
      <w:pPr>
        <w:pStyle w:val="Heading6"/>
        <w:numPr>
          <w:ilvl w:val="5"/>
          <w:numId w:val="45"/>
        </w:numPr>
      </w:pPr>
      <w:r w:rsidRPr="00EB1471">
        <w:t>Tadalafil</w:t>
      </w:r>
    </w:p>
    <w:p w:rsidR="001D0FDA" w:rsidRPr="00EB1471" w:rsidRDefault="001D0FDA" w:rsidP="001D0FDA">
      <w:r w:rsidRPr="00EB1471">
        <w:t xml:space="preserve">The safety of tadalafil as monotherapy in treating PAH patients, regardless of WHO FC, </w:t>
      </w:r>
      <w:proofErr w:type="gramStart"/>
      <w:r w:rsidRPr="00EB1471">
        <w:t>were reported</w:t>
      </w:r>
      <w:proofErr w:type="gramEnd"/>
      <w:r w:rsidRPr="00EB1471">
        <w:t xml:space="preserve"> by two short-term RCTs: Mukhopadhyay 2011 and PHIRST. In the double-blind </w:t>
      </w:r>
      <w:proofErr w:type="gramStart"/>
      <w:r w:rsidRPr="00EB1471">
        <w:t>crossover</w:t>
      </w:r>
      <w:proofErr w:type="gramEnd"/>
      <w:r w:rsidRPr="00EB1471">
        <w:t xml:space="preserve"> trial by Mukhopadhyay et al (2011)</w:t>
      </w:r>
      <w:r w:rsidR="001D34EE" w:rsidRPr="001A1C44">
        <w:rPr>
          <w:noProof/>
          <w:vertAlign w:val="superscript"/>
        </w:rPr>
        <w:t>40</w:t>
      </w:r>
      <w:r w:rsidRPr="00EB1471">
        <w:t xml:space="preserve">, tadalafil was well tolerated by all patients during a treatment period of 6 weeks, with no treatment withdrawal due to major adverse effects. Two (7.1%) patients complained of nasal stuffiness and two (7.1%) of headache while on tadalafil therapy. Two (7.1%) placebo-treated patients experienced fatigue and lethargy. No other information on the safety outcomes </w:t>
      </w:r>
      <w:proofErr w:type="gramStart"/>
      <w:r w:rsidRPr="00EB1471">
        <w:t>was provided</w:t>
      </w:r>
      <w:proofErr w:type="gramEnd"/>
      <w:r w:rsidRPr="00EB1471">
        <w:t>.</w:t>
      </w:r>
    </w:p>
    <w:p w:rsidR="001D0FDA" w:rsidRDefault="001D0FDA" w:rsidP="001D0FDA">
      <w:r>
        <w:t xml:space="preserve">When the PBAC recommended the listing of tadalafil at the November 2011 meeting, the comparative safety of tadalafil versus placebo </w:t>
      </w:r>
      <w:proofErr w:type="gramStart"/>
      <w:r>
        <w:t>was assessed</w:t>
      </w:r>
      <w:proofErr w:type="gramEnd"/>
      <w:r>
        <w:t xml:space="preserve"> in a mixed population of patients with or without bosentan background therapy in PHIRST. </w:t>
      </w:r>
      <w:proofErr w:type="gramStart"/>
      <w:r>
        <w:t xml:space="preserve">The published paper by </w:t>
      </w:r>
      <w:r w:rsidRPr="00430F39">
        <w:t>Barst et al (2011)</w:t>
      </w:r>
      <w:r w:rsidR="001D34EE" w:rsidRPr="001A1C44">
        <w:rPr>
          <w:noProof/>
          <w:vertAlign w:val="superscript"/>
        </w:rPr>
        <w:t>45</w:t>
      </w:r>
      <w:r>
        <w:t xml:space="preserve"> which reported safety results according to background therapy has not been reviewed by the PBAC and, therefore, was included in the literature review: the safety results of the subgroup of with background therapy were presented in Section 4.4.3 (research question 3: dual therapy versus monotherapy); whereas the safety results of patients with no background therapy, regardless of PAH FC, were not applicable to either research question 1 (monotherapy in WHO FC I-II PAH) or research question 2 (monotherapy in WHO FC III-IV PAH) and, therefore, were presented below for</w:t>
      </w:r>
      <w:r w:rsidR="00D60D8E">
        <w:t xml:space="preserve"> extended assessment of safety.</w:t>
      </w:r>
      <w:proofErr w:type="gramEnd"/>
    </w:p>
    <w:p w:rsidR="001D0FDA" w:rsidRPr="00EB1471" w:rsidRDefault="001D0FDA" w:rsidP="00D60D8E">
      <w:r w:rsidRPr="00EB1471">
        <w:t xml:space="preserve">In PHIRST, </w:t>
      </w:r>
      <w:proofErr w:type="gramStart"/>
      <w:r w:rsidRPr="00EB1471">
        <w:t>PAH</w:t>
      </w:r>
      <w:proofErr w:type="gramEnd"/>
      <w:r w:rsidRPr="00EB1471">
        <w:t xml:space="preserve"> patients were randomised to receive placebo or tadalafil 2.5 mg, 10 mg, 20 mg or 40 mg od, with or without bosentan as background therapy, for 16 weeks. The TGA-recommended dose for tadalafil is 40 mg </w:t>
      </w:r>
      <w:proofErr w:type="gramStart"/>
      <w:r w:rsidRPr="00EB1471">
        <w:t>od</w:t>
      </w:r>
      <w:proofErr w:type="gramEnd"/>
      <w:r w:rsidRPr="00EB1471">
        <w:t xml:space="preserve">. Results of </w:t>
      </w:r>
      <w:r w:rsidR="006B2A7D">
        <w:t>AE</w:t>
      </w:r>
      <w:r w:rsidRPr="00EB1471">
        <w:t xml:space="preserve">s in the subgroup of treatment-naïve patients </w:t>
      </w:r>
      <w:r>
        <w:t>(i</w:t>
      </w:r>
      <w:r w:rsidR="007E4C7F">
        <w:t>.</w:t>
      </w:r>
      <w:r>
        <w:t>e</w:t>
      </w:r>
      <w:r w:rsidR="007E4C7F">
        <w:t>.</w:t>
      </w:r>
      <w:r>
        <w:t xml:space="preserve"> without background therapy</w:t>
      </w:r>
      <w:proofErr w:type="gramStart"/>
      <w:r>
        <w:t>)</w:t>
      </w:r>
      <w:r w:rsidR="001D34EE" w:rsidRPr="00D60D8E">
        <w:rPr>
          <w:vertAlign w:val="superscript"/>
        </w:rPr>
        <w:t>45</w:t>
      </w:r>
      <w:proofErr w:type="gramEnd"/>
      <w:r w:rsidRPr="00EB1471">
        <w:t xml:space="preserve"> are presented in </w:t>
      </w:r>
      <w:r w:rsidR="00E80101">
        <w:t>Table 4.115</w:t>
      </w:r>
      <w:r w:rsidRPr="00EB1471">
        <w:t xml:space="preserve">. Overall, higher proportion of patients receiving tadalafil 40 mg experienced treatment-emergent </w:t>
      </w:r>
      <w:r w:rsidR="006B2A7D">
        <w:t>AE</w:t>
      </w:r>
      <w:r w:rsidRPr="00EB1471">
        <w:t xml:space="preserve">s than in the placebo group (97% vs 73%; risk difference: 24% (95% CI: 9%, 40%)). Headache was the most common </w:t>
      </w:r>
      <w:r w:rsidR="006B2A7D">
        <w:t>AE</w:t>
      </w:r>
      <w:r w:rsidRPr="00EB1471">
        <w:t xml:space="preserve">, occurring in &gt;30% of patients receiving tadalafil monotherapy compared with 8% in the placebo-treated patients. Other </w:t>
      </w:r>
      <w:r w:rsidR="006B2A7D">
        <w:t>AE</w:t>
      </w:r>
      <w:r w:rsidRPr="00EB1471">
        <w:t xml:space="preserve">s with a notable higher incidence (difference of &gt;5%) in the tadalafil 40 mg group included diarrhoea, nausea, nasopharyngitis, upper respiratory tract infection, myalgia, flushing, dyspepsia and pain </w:t>
      </w:r>
      <w:r w:rsidR="00DB4D9C" w:rsidRPr="00DB4D9C">
        <w:t>in the extremities</w:t>
      </w:r>
      <w:r w:rsidRPr="00EB1471">
        <w:t>.</w:t>
      </w:r>
    </w:p>
    <w:p w:rsidR="005E60A7" w:rsidRDefault="005E60A7">
      <w:pPr>
        <w:spacing w:before="0" w:line="240" w:lineRule="auto"/>
        <w:rPr>
          <w:rFonts w:ascii="Arial" w:hAnsi="Arial"/>
          <w:b/>
          <w:iCs/>
          <w:sz w:val="20"/>
          <w:szCs w:val="18"/>
        </w:rPr>
      </w:pPr>
      <w:bookmarkStart w:id="327" w:name="_Ref505095114"/>
      <w:r>
        <w:br w:type="page"/>
      </w:r>
    </w:p>
    <w:p w:rsidR="001D0FDA" w:rsidRPr="00EB1471" w:rsidRDefault="001D0FDA" w:rsidP="001D0FDA">
      <w:pPr>
        <w:pStyle w:val="Caption"/>
      </w:pPr>
      <w:bookmarkStart w:id="328" w:name="_Toc38360412"/>
      <w:r>
        <w:t>Table 4.</w:t>
      </w:r>
      <w:r w:rsidR="003951FA">
        <w:rPr>
          <w:noProof/>
        </w:rPr>
        <w:t>115</w:t>
      </w:r>
      <w:bookmarkEnd w:id="327"/>
      <w:r>
        <w:tab/>
      </w:r>
      <w:r w:rsidRPr="00EB1471">
        <w:t>TEAEs reported in PHIRST</w:t>
      </w:r>
      <w:bookmarkEnd w:id="328"/>
    </w:p>
    <w:tbl>
      <w:tblPr>
        <w:tblStyle w:val="TableGrid"/>
        <w:tblW w:w="9608" w:type="dxa"/>
        <w:tblLook w:val="04A0" w:firstRow="1" w:lastRow="0" w:firstColumn="1" w:lastColumn="0" w:noHBand="0" w:noVBand="1"/>
        <w:tblCaption w:val="TEAEs reported in PHIRST"/>
      </w:tblPr>
      <w:tblGrid>
        <w:gridCol w:w="2972"/>
        <w:gridCol w:w="1559"/>
        <w:gridCol w:w="1701"/>
        <w:gridCol w:w="1675"/>
        <w:gridCol w:w="1701"/>
      </w:tblGrid>
      <w:tr w:rsidR="001D0FDA" w:rsidRPr="00EB1471" w:rsidTr="007849BD">
        <w:trPr>
          <w:cnfStyle w:val="100000000000" w:firstRow="1" w:lastRow="0" w:firstColumn="0" w:lastColumn="0" w:oddVBand="0" w:evenVBand="0" w:oddHBand="0" w:evenHBand="0" w:firstRowFirstColumn="0" w:firstRowLastColumn="0" w:lastRowFirstColumn="0" w:lastRowLastColumn="0"/>
        </w:trPr>
        <w:tc>
          <w:tcPr>
            <w:tcW w:w="2972" w:type="dxa"/>
            <w:vMerge w:val="restart"/>
            <w:shd w:val="clear" w:color="auto" w:fill="BFBFBF" w:themeFill="background1" w:themeFillShade="BF"/>
          </w:tcPr>
          <w:p w:rsidR="001D0FDA" w:rsidRPr="00EB1471" w:rsidRDefault="007849BD" w:rsidP="00FD0BAE">
            <w:pPr>
              <w:pStyle w:val="TableText0"/>
              <w:rPr>
                <w:b/>
              </w:rPr>
            </w:pPr>
            <w:r>
              <w:rPr>
                <w:b/>
              </w:rPr>
              <w:t>TE</w:t>
            </w:r>
            <w:r w:rsidR="00FD0BAE" w:rsidRPr="00FD0BAE">
              <w:rPr>
                <w:b/>
              </w:rPr>
              <w:t>AEs</w:t>
            </w:r>
          </w:p>
        </w:tc>
        <w:tc>
          <w:tcPr>
            <w:tcW w:w="1559" w:type="dxa"/>
            <w:vMerge w:val="restart"/>
            <w:shd w:val="clear" w:color="auto" w:fill="BFBFBF" w:themeFill="background1" w:themeFillShade="BF"/>
          </w:tcPr>
          <w:p w:rsidR="001D0FDA" w:rsidRPr="00EB1471" w:rsidRDefault="001D0FDA" w:rsidP="001D0FDA">
            <w:pPr>
              <w:pStyle w:val="TableText0"/>
              <w:jc w:val="center"/>
              <w:rPr>
                <w:b/>
              </w:rPr>
            </w:pPr>
            <w:r w:rsidRPr="00EB1471">
              <w:rPr>
                <w:b/>
              </w:rPr>
              <w:t xml:space="preserve">Placebo </w:t>
            </w:r>
          </w:p>
          <w:p w:rsidR="001D0FDA" w:rsidRPr="00EB1471" w:rsidRDefault="001D0FDA" w:rsidP="00121EF0">
            <w:pPr>
              <w:pStyle w:val="TableText0"/>
              <w:jc w:val="center"/>
              <w:rPr>
                <w:b/>
              </w:rPr>
            </w:pPr>
            <w:r w:rsidRPr="00EB1471">
              <w:rPr>
                <w:b/>
              </w:rPr>
              <w:t>(n=37)</w:t>
            </w:r>
          </w:p>
        </w:tc>
        <w:tc>
          <w:tcPr>
            <w:tcW w:w="5077" w:type="dxa"/>
            <w:gridSpan w:val="3"/>
            <w:shd w:val="clear" w:color="auto" w:fill="BFBFBF" w:themeFill="background1" w:themeFillShade="BF"/>
          </w:tcPr>
          <w:p w:rsidR="001D0FDA" w:rsidRPr="00EB1471" w:rsidRDefault="001D0FDA" w:rsidP="001D0FDA">
            <w:pPr>
              <w:pStyle w:val="TableText0"/>
              <w:jc w:val="center"/>
              <w:rPr>
                <w:b/>
              </w:rPr>
            </w:pPr>
            <w:r w:rsidRPr="00EB1471">
              <w:rPr>
                <w:b/>
              </w:rPr>
              <w:t>Tadalafil</w:t>
            </w:r>
          </w:p>
        </w:tc>
      </w:tr>
      <w:tr w:rsidR="001D0FDA" w:rsidRPr="00EB1471" w:rsidTr="007849BD">
        <w:tc>
          <w:tcPr>
            <w:tcW w:w="2972" w:type="dxa"/>
            <w:vMerge/>
            <w:shd w:val="clear" w:color="auto" w:fill="BFBFBF" w:themeFill="background1" w:themeFillShade="BF"/>
          </w:tcPr>
          <w:p w:rsidR="001D0FDA" w:rsidRPr="00EB1471" w:rsidRDefault="001D0FDA" w:rsidP="001D0FDA">
            <w:pPr>
              <w:pStyle w:val="TableText0"/>
              <w:jc w:val="center"/>
              <w:rPr>
                <w:b/>
              </w:rPr>
            </w:pPr>
          </w:p>
        </w:tc>
        <w:tc>
          <w:tcPr>
            <w:tcW w:w="1559" w:type="dxa"/>
            <w:vMerge/>
            <w:shd w:val="clear" w:color="auto" w:fill="BFBFBF" w:themeFill="background1" w:themeFillShade="BF"/>
          </w:tcPr>
          <w:p w:rsidR="001D0FDA" w:rsidRPr="00EB1471" w:rsidRDefault="001D0FDA" w:rsidP="001D0FDA">
            <w:pPr>
              <w:pStyle w:val="TableText0"/>
              <w:jc w:val="center"/>
              <w:rPr>
                <w:b/>
              </w:rPr>
            </w:pPr>
          </w:p>
        </w:tc>
        <w:tc>
          <w:tcPr>
            <w:tcW w:w="1701" w:type="dxa"/>
            <w:shd w:val="clear" w:color="auto" w:fill="BFBFBF" w:themeFill="background1" w:themeFillShade="BF"/>
          </w:tcPr>
          <w:p w:rsidR="001D0FDA" w:rsidRPr="00EB1471" w:rsidRDefault="001D0FDA" w:rsidP="001D0FDA">
            <w:pPr>
              <w:pStyle w:val="TableText0"/>
              <w:jc w:val="center"/>
              <w:rPr>
                <w:b/>
              </w:rPr>
            </w:pPr>
            <w:r w:rsidRPr="00EB1471">
              <w:rPr>
                <w:b/>
              </w:rPr>
              <w:t>Tadalafil 40 mg</w:t>
            </w:r>
          </w:p>
          <w:p w:rsidR="001D0FDA" w:rsidRPr="00EB1471" w:rsidRDefault="001D0FDA" w:rsidP="00121EF0">
            <w:pPr>
              <w:pStyle w:val="TableText0"/>
              <w:jc w:val="center"/>
              <w:rPr>
                <w:b/>
              </w:rPr>
            </w:pPr>
            <w:r w:rsidRPr="00EB1471">
              <w:rPr>
                <w:b/>
              </w:rPr>
              <w:t>(n=37)</w:t>
            </w:r>
          </w:p>
        </w:tc>
        <w:tc>
          <w:tcPr>
            <w:tcW w:w="1675" w:type="dxa"/>
            <w:shd w:val="clear" w:color="auto" w:fill="BFBFBF" w:themeFill="background1" w:themeFillShade="BF"/>
          </w:tcPr>
          <w:p w:rsidR="001D0FDA" w:rsidRPr="00EB1471" w:rsidRDefault="001D0FDA" w:rsidP="001D0FDA">
            <w:pPr>
              <w:pStyle w:val="TableText0"/>
              <w:jc w:val="center"/>
              <w:rPr>
                <w:b/>
              </w:rPr>
            </w:pPr>
            <w:r w:rsidRPr="00EB1471">
              <w:rPr>
                <w:b/>
              </w:rPr>
              <w:t>Tadalafil 20 mg</w:t>
            </w:r>
          </w:p>
          <w:p w:rsidR="001D0FDA" w:rsidRPr="00EB1471" w:rsidRDefault="001D0FDA" w:rsidP="00121EF0">
            <w:pPr>
              <w:pStyle w:val="TableText0"/>
              <w:jc w:val="center"/>
              <w:rPr>
                <w:b/>
              </w:rPr>
            </w:pPr>
            <w:r w:rsidRPr="00EB1471">
              <w:rPr>
                <w:b/>
              </w:rPr>
              <w:t>(n=37)</w:t>
            </w:r>
          </w:p>
        </w:tc>
        <w:tc>
          <w:tcPr>
            <w:tcW w:w="1701" w:type="dxa"/>
            <w:shd w:val="clear" w:color="auto" w:fill="BFBFBF" w:themeFill="background1" w:themeFillShade="BF"/>
          </w:tcPr>
          <w:p w:rsidR="001D0FDA" w:rsidRPr="00EB1471" w:rsidRDefault="001D0FDA" w:rsidP="001D0FDA">
            <w:pPr>
              <w:pStyle w:val="TableText0"/>
              <w:jc w:val="center"/>
              <w:rPr>
                <w:b/>
              </w:rPr>
            </w:pPr>
            <w:r w:rsidRPr="00EB1471">
              <w:rPr>
                <w:b/>
              </w:rPr>
              <w:t>Combined</w:t>
            </w:r>
            <w:r w:rsidRPr="00EB1471">
              <w:rPr>
                <w:b/>
                <w:vertAlign w:val="superscript"/>
              </w:rPr>
              <w:t>a</w:t>
            </w:r>
          </w:p>
          <w:p w:rsidR="001D0FDA" w:rsidRPr="00EB1471" w:rsidRDefault="001D0FDA" w:rsidP="00121EF0">
            <w:pPr>
              <w:pStyle w:val="TableText0"/>
              <w:jc w:val="center"/>
              <w:rPr>
                <w:b/>
              </w:rPr>
            </w:pPr>
            <w:r w:rsidRPr="00EB1471">
              <w:rPr>
                <w:b/>
              </w:rPr>
              <w:t>(n=152)</w:t>
            </w:r>
          </w:p>
        </w:tc>
      </w:tr>
      <w:tr w:rsidR="001D0FDA" w:rsidRPr="00EB1471" w:rsidTr="001D0FDA">
        <w:tc>
          <w:tcPr>
            <w:tcW w:w="2972" w:type="dxa"/>
            <w:tcBorders>
              <w:bottom w:val="single" w:sz="4" w:space="0" w:color="auto"/>
            </w:tcBorders>
          </w:tcPr>
          <w:p w:rsidR="001D0FDA" w:rsidRPr="00EB1471" w:rsidRDefault="001D0FDA" w:rsidP="001D0FDA">
            <w:pPr>
              <w:pStyle w:val="TableText0"/>
              <w:spacing w:before="20" w:after="20"/>
            </w:pPr>
            <w:r w:rsidRPr="00EB1471">
              <w:t>Patients with ≥1 TEAE</w:t>
            </w:r>
          </w:p>
        </w:tc>
        <w:tc>
          <w:tcPr>
            <w:tcW w:w="1559" w:type="dxa"/>
            <w:tcBorders>
              <w:bottom w:val="single" w:sz="4" w:space="0" w:color="auto"/>
            </w:tcBorders>
          </w:tcPr>
          <w:p w:rsidR="001D0FDA" w:rsidRPr="00EB1471" w:rsidRDefault="001D0FDA" w:rsidP="001D0FDA">
            <w:pPr>
              <w:pStyle w:val="TableText0"/>
              <w:spacing w:before="20" w:after="20"/>
              <w:jc w:val="center"/>
            </w:pPr>
            <w:r w:rsidRPr="00EB1471">
              <w:t>27 (73%)</w:t>
            </w:r>
          </w:p>
        </w:tc>
        <w:tc>
          <w:tcPr>
            <w:tcW w:w="1701" w:type="dxa"/>
            <w:tcBorders>
              <w:bottom w:val="single" w:sz="4" w:space="0" w:color="auto"/>
            </w:tcBorders>
          </w:tcPr>
          <w:p w:rsidR="001D0FDA" w:rsidRPr="00EB1471" w:rsidRDefault="001D0FDA" w:rsidP="001D0FDA">
            <w:pPr>
              <w:pStyle w:val="TableText0"/>
              <w:spacing w:before="20" w:after="20"/>
              <w:jc w:val="center"/>
            </w:pPr>
            <w:r w:rsidRPr="00EB1471">
              <w:t>36 (97%)</w:t>
            </w:r>
          </w:p>
        </w:tc>
        <w:tc>
          <w:tcPr>
            <w:tcW w:w="1675" w:type="dxa"/>
            <w:tcBorders>
              <w:bottom w:val="single" w:sz="4" w:space="0" w:color="auto"/>
            </w:tcBorders>
          </w:tcPr>
          <w:p w:rsidR="001D0FDA" w:rsidRPr="00EB1471" w:rsidRDefault="001D0FDA" w:rsidP="001D0FDA">
            <w:pPr>
              <w:pStyle w:val="TableText0"/>
              <w:spacing w:before="20" w:after="20"/>
              <w:jc w:val="center"/>
            </w:pPr>
            <w:r w:rsidRPr="00EB1471">
              <w:t>32 (86%)</w:t>
            </w:r>
          </w:p>
        </w:tc>
        <w:tc>
          <w:tcPr>
            <w:tcW w:w="1701" w:type="dxa"/>
            <w:tcBorders>
              <w:bottom w:val="single" w:sz="4" w:space="0" w:color="auto"/>
            </w:tcBorders>
          </w:tcPr>
          <w:p w:rsidR="001D0FDA" w:rsidRPr="00EB1471" w:rsidRDefault="001D0FDA" w:rsidP="001D0FDA">
            <w:pPr>
              <w:pStyle w:val="TableText0"/>
              <w:spacing w:before="20" w:after="20"/>
              <w:jc w:val="center"/>
            </w:pPr>
            <w:r w:rsidRPr="00EB1471">
              <w:t>138 (91%)</w:t>
            </w:r>
          </w:p>
        </w:tc>
      </w:tr>
      <w:tr w:rsidR="001D0FDA" w:rsidRPr="00EB1471" w:rsidTr="001D0FDA">
        <w:tc>
          <w:tcPr>
            <w:tcW w:w="2972" w:type="dxa"/>
            <w:tcBorders>
              <w:bottom w:val="nil"/>
            </w:tcBorders>
          </w:tcPr>
          <w:p w:rsidR="001D0FDA" w:rsidRPr="00EB1471" w:rsidRDefault="001D0FDA" w:rsidP="00121EF0">
            <w:pPr>
              <w:pStyle w:val="TableText0"/>
              <w:spacing w:before="20" w:after="0"/>
            </w:pPr>
            <w:r w:rsidRPr="00EB1471">
              <w:t>TEAEs occurred in ≥5% of patients in the tadalafil combined group</w:t>
            </w:r>
          </w:p>
        </w:tc>
        <w:tc>
          <w:tcPr>
            <w:tcW w:w="1559" w:type="dxa"/>
            <w:tcBorders>
              <w:bottom w:val="nil"/>
            </w:tcBorders>
          </w:tcPr>
          <w:p w:rsidR="001D0FDA" w:rsidRPr="00EB1471" w:rsidRDefault="001D0FDA" w:rsidP="00121EF0">
            <w:pPr>
              <w:pStyle w:val="TableText0"/>
              <w:spacing w:before="20" w:after="0"/>
              <w:jc w:val="center"/>
            </w:pPr>
          </w:p>
        </w:tc>
        <w:tc>
          <w:tcPr>
            <w:tcW w:w="1701" w:type="dxa"/>
            <w:tcBorders>
              <w:bottom w:val="nil"/>
            </w:tcBorders>
          </w:tcPr>
          <w:p w:rsidR="001D0FDA" w:rsidRPr="00EB1471" w:rsidRDefault="001D0FDA" w:rsidP="00121EF0">
            <w:pPr>
              <w:pStyle w:val="TableText0"/>
              <w:spacing w:before="20" w:after="0"/>
              <w:jc w:val="center"/>
            </w:pPr>
          </w:p>
        </w:tc>
        <w:tc>
          <w:tcPr>
            <w:tcW w:w="1675" w:type="dxa"/>
            <w:tcBorders>
              <w:bottom w:val="nil"/>
            </w:tcBorders>
          </w:tcPr>
          <w:p w:rsidR="001D0FDA" w:rsidRPr="00EB1471" w:rsidRDefault="001D0FDA" w:rsidP="00121EF0">
            <w:pPr>
              <w:pStyle w:val="TableText0"/>
              <w:spacing w:before="20" w:after="0"/>
              <w:jc w:val="center"/>
            </w:pPr>
          </w:p>
        </w:tc>
        <w:tc>
          <w:tcPr>
            <w:tcW w:w="1701" w:type="dxa"/>
            <w:tcBorders>
              <w:bottom w:val="nil"/>
            </w:tcBorders>
          </w:tcPr>
          <w:p w:rsidR="001D0FDA" w:rsidRPr="00EB1471" w:rsidRDefault="001D0FDA" w:rsidP="00121EF0">
            <w:pPr>
              <w:pStyle w:val="TableText0"/>
              <w:spacing w:before="20" w:after="0"/>
              <w:jc w:val="center"/>
            </w:pPr>
          </w:p>
        </w:tc>
      </w:tr>
      <w:tr w:rsidR="001D0FDA" w:rsidRPr="00EB1471" w:rsidTr="001D0FDA">
        <w:tc>
          <w:tcPr>
            <w:tcW w:w="2972" w:type="dxa"/>
            <w:tcBorders>
              <w:top w:val="nil"/>
              <w:bottom w:val="nil"/>
            </w:tcBorders>
          </w:tcPr>
          <w:p w:rsidR="001D0FDA" w:rsidRPr="00EB1471" w:rsidRDefault="001D0FDA" w:rsidP="00121EF0">
            <w:pPr>
              <w:pStyle w:val="TableText0"/>
              <w:spacing w:before="20" w:after="20"/>
              <w:ind w:left="313"/>
            </w:pPr>
            <w:r w:rsidRPr="00EB1471">
              <w:t>Headache</w:t>
            </w:r>
          </w:p>
        </w:tc>
        <w:tc>
          <w:tcPr>
            <w:tcW w:w="1559" w:type="dxa"/>
            <w:tcBorders>
              <w:top w:val="nil"/>
              <w:bottom w:val="nil"/>
            </w:tcBorders>
          </w:tcPr>
          <w:p w:rsidR="001D0FDA" w:rsidRPr="00EB1471" w:rsidRDefault="001D0FDA" w:rsidP="00121EF0">
            <w:pPr>
              <w:pStyle w:val="TableText0"/>
              <w:spacing w:before="20" w:after="20"/>
              <w:jc w:val="center"/>
            </w:pPr>
            <w:r w:rsidRPr="00EB1471">
              <w:t>3 (8%)</w:t>
            </w:r>
          </w:p>
        </w:tc>
        <w:tc>
          <w:tcPr>
            <w:tcW w:w="1701" w:type="dxa"/>
            <w:tcBorders>
              <w:top w:val="nil"/>
              <w:bottom w:val="nil"/>
            </w:tcBorders>
          </w:tcPr>
          <w:p w:rsidR="001D0FDA" w:rsidRPr="00EB1471" w:rsidRDefault="001D0FDA" w:rsidP="00121EF0">
            <w:pPr>
              <w:pStyle w:val="TableText0"/>
              <w:spacing w:before="20" w:after="20"/>
              <w:jc w:val="center"/>
            </w:pPr>
            <w:r w:rsidRPr="00EB1471">
              <w:t>14 (38%)</w:t>
            </w:r>
          </w:p>
        </w:tc>
        <w:tc>
          <w:tcPr>
            <w:tcW w:w="1675" w:type="dxa"/>
            <w:tcBorders>
              <w:top w:val="nil"/>
              <w:bottom w:val="nil"/>
            </w:tcBorders>
          </w:tcPr>
          <w:p w:rsidR="001D0FDA" w:rsidRPr="00EB1471" w:rsidRDefault="001D0FDA" w:rsidP="00121EF0">
            <w:pPr>
              <w:pStyle w:val="TableText0"/>
              <w:spacing w:before="20" w:after="20"/>
              <w:jc w:val="center"/>
            </w:pPr>
            <w:r w:rsidRPr="00EB1471">
              <w:t>12 (32%)</w:t>
            </w:r>
          </w:p>
        </w:tc>
        <w:tc>
          <w:tcPr>
            <w:tcW w:w="1701" w:type="dxa"/>
            <w:tcBorders>
              <w:top w:val="nil"/>
              <w:bottom w:val="nil"/>
            </w:tcBorders>
          </w:tcPr>
          <w:p w:rsidR="001D0FDA" w:rsidRPr="00EB1471" w:rsidRDefault="001D0FDA" w:rsidP="00121EF0">
            <w:pPr>
              <w:pStyle w:val="TableText0"/>
              <w:spacing w:before="0" w:after="0"/>
              <w:jc w:val="center"/>
            </w:pPr>
            <w:r w:rsidRPr="00EB1471">
              <w:t>47 (31%)</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Diarrhoea</w:t>
            </w:r>
          </w:p>
        </w:tc>
        <w:tc>
          <w:tcPr>
            <w:tcW w:w="1559" w:type="dxa"/>
            <w:tcBorders>
              <w:top w:val="nil"/>
              <w:bottom w:val="nil"/>
            </w:tcBorders>
          </w:tcPr>
          <w:p w:rsidR="001D0FDA" w:rsidRPr="00EB1471" w:rsidRDefault="001D0FDA" w:rsidP="00121EF0">
            <w:pPr>
              <w:pStyle w:val="TableText0"/>
              <w:spacing w:before="0" w:after="0"/>
              <w:jc w:val="center"/>
            </w:pPr>
            <w:r w:rsidRPr="00EB1471">
              <w:t>1 (3%)</w:t>
            </w:r>
          </w:p>
        </w:tc>
        <w:tc>
          <w:tcPr>
            <w:tcW w:w="1701" w:type="dxa"/>
            <w:tcBorders>
              <w:top w:val="nil"/>
              <w:bottom w:val="nil"/>
            </w:tcBorders>
          </w:tcPr>
          <w:p w:rsidR="001D0FDA" w:rsidRPr="00EB1471" w:rsidRDefault="001D0FDA" w:rsidP="00121EF0">
            <w:pPr>
              <w:pStyle w:val="TableText0"/>
              <w:spacing w:before="0" w:after="0"/>
              <w:jc w:val="center"/>
            </w:pPr>
            <w:r w:rsidRPr="00EB1471">
              <w:t>5 (14%)</w:t>
            </w:r>
          </w:p>
        </w:tc>
        <w:tc>
          <w:tcPr>
            <w:tcW w:w="1675" w:type="dxa"/>
            <w:tcBorders>
              <w:top w:val="nil"/>
              <w:bottom w:val="nil"/>
            </w:tcBorders>
          </w:tcPr>
          <w:p w:rsidR="001D0FDA" w:rsidRPr="00EB1471" w:rsidRDefault="001D0FDA" w:rsidP="00121EF0">
            <w:pPr>
              <w:pStyle w:val="TableText0"/>
              <w:spacing w:before="0" w:after="0"/>
              <w:jc w:val="center"/>
            </w:pPr>
            <w:r w:rsidRPr="00EB1471">
              <w:t>4 (11%)</w:t>
            </w:r>
          </w:p>
        </w:tc>
        <w:tc>
          <w:tcPr>
            <w:tcW w:w="1701" w:type="dxa"/>
            <w:tcBorders>
              <w:top w:val="nil"/>
              <w:bottom w:val="nil"/>
            </w:tcBorders>
          </w:tcPr>
          <w:p w:rsidR="001D0FDA" w:rsidRPr="00EB1471" w:rsidRDefault="001D0FDA" w:rsidP="00121EF0">
            <w:pPr>
              <w:pStyle w:val="TableText0"/>
              <w:spacing w:before="0" w:after="0"/>
              <w:jc w:val="center"/>
            </w:pPr>
            <w:r w:rsidRPr="00EB1471">
              <w:t>19 (12%)</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Peripheral oedema</w:t>
            </w:r>
          </w:p>
        </w:tc>
        <w:tc>
          <w:tcPr>
            <w:tcW w:w="1559" w:type="dxa"/>
            <w:tcBorders>
              <w:top w:val="nil"/>
              <w:bottom w:val="nil"/>
            </w:tcBorders>
          </w:tcPr>
          <w:p w:rsidR="001D0FDA" w:rsidRPr="00EB1471" w:rsidRDefault="001D0FDA" w:rsidP="00121EF0">
            <w:pPr>
              <w:pStyle w:val="TableText0"/>
              <w:spacing w:before="0" w:after="0"/>
              <w:jc w:val="center"/>
            </w:pPr>
            <w:r w:rsidRPr="00EB1471">
              <w:t>3 (8%)</w:t>
            </w:r>
          </w:p>
        </w:tc>
        <w:tc>
          <w:tcPr>
            <w:tcW w:w="1701" w:type="dxa"/>
            <w:tcBorders>
              <w:top w:val="nil"/>
              <w:bottom w:val="nil"/>
            </w:tcBorders>
          </w:tcPr>
          <w:p w:rsidR="001D0FDA" w:rsidRPr="00EB1471" w:rsidRDefault="001D0FDA" w:rsidP="00121EF0">
            <w:pPr>
              <w:pStyle w:val="TableText0"/>
              <w:spacing w:before="0" w:after="0"/>
              <w:jc w:val="center"/>
            </w:pPr>
            <w:r w:rsidRPr="00EB1471">
              <w:t>3 (8%)</w:t>
            </w:r>
          </w:p>
        </w:tc>
        <w:tc>
          <w:tcPr>
            <w:tcW w:w="1675" w:type="dxa"/>
            <w:tcBorders>
              <w:top w:val="nil"/>
              <w:bottom w:val="nil"/>
            </w:tcBorders>
          </w:tcPr>
          <w:p w:rsidR="001D0FDA" w:rsidRPr="00EB1471" w:rsidRDefault="001D0FDA" w:rsidP="00121EF0">
            <w:pPr>
              <w:pStyle w:val="TableText0"/>
              <w:spacing w:before="0" w:after="0"/>
              <w:jc w:val="center"/>
            </w:pPr>
            <w:r w:rsidRPr="00EB1471">
              <w:t>6 (16%)</w:t>
            </w:r>
          </w:p>
        </w:tc>
        <w:tc>
          <w:tcPr>
            <w:tcW w:w="1701" w:type="dxa"/>
            <w:tcBorders>
              <w:top w:val="nil"/>
              <w:bottom w:val="nil"/>
            </w:tcBorders>
          </w:tcPr>
          <w:p w:rsidR="001D0FDA" w:rsidRPr="00EB1471" w:rsidRDefault="001D0FDA" w:rsidP="00121EF0">
            <w:pPr>
              <w:pStyle w:val="TableText0"/>
              <w:spacing w:before="0" w:after="0"/>
              <w:jc w:val="center"/>
            </w:pPr>
            <w:r w:rsidRPr="00EB1471">
              <w:t>18 (12%)</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Pulmonary hypertension</w:t>
            </w:r>
          </w:p>
        </w:tc>
        <w:tc>
          <w:tcPr>
            <w:tcW w:w="1559" w:type="dxa"/>
            <w:tcBorders>
              <w:top w:val="nil"/>
              <w:bottom w:val="nil"/>
            </w:tcBorders>
          </w:tcPr>
          <w:p w:rsidR="001D0FDA" w:rsidRPr="00EB1471" w:rsidRDefault="001D0FDA" w:rsidP="00121EF0">
            <w:pPr>
              <w:pStyle w:val="TableText0"/>
              <w:spacing w:before="0" w:after="0"/>
              <w:jc w:val="center"/>
            </w:pPr>
            <w:r w:rsidRPr="00EB1471">
              <w:t>4 (11%)</w:t>
            </w:r>
          </w:p>
        </w:tc>
        <w:tc>
          <w:tcPr>
            <w:tcW w:w="1701" w:type="dxa"/>
            <w:tcBorders>
              <w:top w:val="nil"/>
              <w:bottom w:val="nil"/>
            </w:tcBorders>
          </w:tcPr>
          <w:p w:rsidR="001D0FDA" w:rsidRPr="00EB1471" w:rsidRDefault="001D0FDA" w:rsidP="00121EF0">
            <w:pPr>
              <w:pStyle w:val="TableText0"/>
              <w:spacing w:before="0" w:after="0"/>
              <w:jc w:val="center"/>
            </w:pPr>
            <w:r w:rsidRPr="00EB1471">
              <w:t>4 (11%)</w:t>
            </w:r>
          </w:p>
        </w:tc>
        <w:tc>
          <w:tcPr>
            <w:tcW w:w="1675" w:type="dxa"/>
            <w:tcBorders>
              <w:top w:val="nil"/>
              <w:bottom w:val="nil"/>
            </w:tcBorders>
          </w:tcPr>
          <w:p w:rsidR="001D0FDA" w:rsidRPr="00EB1471" w:rsidRDefault="001D0FDA" w:rsidP="00121EF0">
            <w:pPr>
              <w:pStyle w:val="TableText0"/>
              <w:spacing w:before="0" w:after="0"/>
              <w:jc w:val="center"/>
            </w:pPr>
            <w:r w:rsidRPr="00EB1471">
              <w:t>6 (16%)</w:t>
            </w:r>
          </w:p>
        </w:tc>
        <w:tc>
          <w:tcPr>
            <w:tcW w:w="1701" w:type="dxa"/>
            <w:tcBorders>
              <w:top w:val="nil"/>
              <w:bottom w:val="nil"/>
            </w:tcBorders>
          </w:tcPr>
          <w:p w:rsidR="001D0FDA" w:rsidRPr="00EB1471" w:rsidRDefault="001D0FDA" w:rsidP="00121EF0">
            <w:pPr>
              <w:pStyle w:val="TableText0"/>
              <w:spacing w:before="0" w:after="0"/>
              <w:jc w:val="center"/>
            </w:pPr>
            <w:r w:rsidRPr="00EB1471">
              <w:t>18 (12%)</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Back pain</w:t>
            </w:r>
          </w:p>
        </w:tc>
        <w:tc>
          <w:tcPr>
            <w:tcW w:w="1559"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3 (8%)</w:t>
            </w:r>
          </w:p>
        </w:tc>
        <w:tc>
          <w:tcPr>
            <w:tcW w:w="1675" w:type="dxa"/>
            <w:tcBorders>
              <w:top w:val="nil"/>
              <w:bottom w:val="nil"/>
            </w:tcBorders>
          </w:tcPr>
          <w:p w:rsidR="001D0FDA" w:rsidRPr="00EB1471" w:rsidRDefault="001D0FDA" w:rsidP="00121EF0">
            <w:pPr>
              <w:pStyle w:val="TableText0"/>
              <w:spacing w:before="0" w:after="0"/>
              <w:jc w:val="center"/>
            </w:pPr>
            <w:r w:rsidRPr="00EB1471">
              <w:t>5 (14%)</w:t>
            </w:r>
          </w:p>
        </w:tc>
        <w:tc>
          <w:tcPr>
            <w:tcW w:w="1701" w:type="dxa"/>
            <w:tcBorders>
              <w:top w:val="nil"/>
              <w:bottom w:val="nil"/>
            </w:tcBorders>
          </w:tcPr>
          <w:p w:rsidR="001D0FDA" w:rsidRPr="00EB1471" w:rsidRDefault="001D0FDA" w:rsidP="00121EF0">
            <w:pPr>
              <w:pStyle w:val="TableText0"/>
              <w:spacing w:before="0" w:after="0"/>
              <w:jc w:val="center"/>
            </w:pPr>
            <w:r w:rsidRPr="00EB1471">
              <w:t>16 (10%)</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Nausea</w:t>
            </w:r>
          </w:p>
        </w:tc>
        <w:tc>
          <w:tcPr>
            <w:tcW w:w="1559"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5 (14%)</w:t>
            </w:r>
          </w:p>
        </w:tc>
        <w:tc>
          <w:tcPr>
            <w:tcW w:w="1675" w:type="dxa"/>
            <w:tcBorders>
              <w:top w:val="nil"/>
              <w:bottom w:val="nil"/>
            </w:tcBorders>
          </w:tcPr>
          <w:p w:rsidR="001D0FDA" w:rsidRPr="00EB1471" w:rsidRDefault="001D0FDA" w:rsidP="00121EF0">
            <w:pPr>
              <w:pStyle w:val="TableText0"/>
              <w:spacing w:before="0" w:after="0"/>
              <w:jc w:val="center"/>
            </w:pPr>
            <w:r w:rsidRPr="00EB1471">
              <w:t>6 (16%)</w:t>
            </w:r>
          </w:p>
        </w:tc>
        <w:tc>
          <w:tcPr>
            <w:tcW w:w="1701" w:type="dxa"/>
            <w:tcBorders>
              <w:top w:val="nil"/>
              <w:bottom w:val="nil"/>
            </w:tcBorders>
          </w:tcPr>
          <w:p w:rsidR="001D0FDA" w:rsidRPr="00EB1471" w:rsidRDefault="001D0FDA" w:rsidP="00121EF0">
            <w:pPr>
              <w:pStyle w:val="TableText0"/>
              <w:spacing w:before="0" w:after="0"/>
              <w:jc w:val="center"/>
            </w:pPr>
            <w:r w:rsidRPr="00EB1471">
              <w:t>16 (10%)</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Nasopharyngitis</w:t>
            </w:r>
          </w:p>
        </w:tc>
        <w:tc>
          <w:tcPr>
            <w:tcW w:w="1559" w:type="dxa"/>
            <w:tcBorders>
              <w:top w:val="nil"/>
              <w:bottom w:val="nil"/>
            </w:tcBorders>
          </w:tcPr>
          <w:p w:rsidR="001D0FDA" w:rsidRPr="00EB1471" w:rsidRDefault="001D0FDA" w:rsidP="00121EF0">
            <w:pPr>
              <w:pStyle w:val="TableText0"/>
              <w:spacing w:before="0" w:after="0"/>
              <w:jc w:val="center"/>
            </w:pPr>
            <w:r w:rsidRPr="00EB1471">
              <w:t>1 (3%)</w:t>
            </w:r>
          </w:p>
        </w:tc>
        <w:tc>
          <w:tcPr>
            <w:tcW w:w="1701" w:type="dxa"/>
            <w:tcBorders>
              <w:top w:val="nil"/>
              <w:bottom w:val="nil"/>
            </w:tcBorders>
          </w:tcPr>
          <w:p w:rsidR="001D0FDA" w:rsidRPr="00EB1471" w:rsidRDefault="001D0FDA" w:rsidP="00121EF0">
            <w:pPr>
              <w:pStyle w:val="TableText0"/>
              <w:spacing w:before="0" w:after="0"/>
              <w:jc w:val="center"/>
            </w:pPr>
            <w:r w:rsidRPr="00EB1471">
              <w:t>6 (16%)</w:t>
            </w:r>
          </w:p>
        </w:tc>
        <w:tc>
          <w:tcPr>
            <w:tcW w:w="1675" w:type="dxa"/>
            <w:tcBorders>
              <w:top w:val="nil"/>
              <w:bottom w:val="nil"/>
            </w:tcBorders>
          </w:tcPr>
          <w:p w:rsidR="001D0FDA" w:rsidRPr="00EB1471" w:rsidRDefault="001D0FDA" w:rsidP="00121EF0">
            <w:pPr>
              <w:pStyle w:val="TableText0"/>
              <w:spacing w:before="0" w:after="0"/>
              <w:jc w:val="center"/>
            </w:pPr>
            <w:r w:rsidRPr="00EB1471">
              <w:t>1 (3%)</w:t>
            </w:r>
          </w:p>
        </w:tc>
        <w:tc>
          <w:tcPr>
            <w:tcW w:w="1701" w:type="dxa"/>
            <w:tcBorders>
              <w:top w:val="nil"/>
              <w:bottom w:val="nil"/>
            </w:tcBorders>
          </w:tcPr>
          <w:p w:rsidR="001D0FDA" w:rsidRPr="00EB1471" w:rsidRDefault="001D0FDA" w:rsidP="00121EF0">
            <w:pPr>
              <w:pStyle w:val="TableText0"/>
              <w:spacing w:before="0" w:after="0"/>
              <w:jc w:val="center"/>
            </w:pPr>
            <w:r w:rsidRPr="00EB1471">
              <w:t>14 (9%)</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Dyspnoea</w:t>
            </w:r>
          </w:p>
        </w:tc>
        <w:tc>
          <w:tcPr>
            <w:tcW w:w="1559"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3 (8%)</w:t>
            </w:r>
          </w:p>
        </w:tc>
        <w:tc>
          <w:tcPr>
            <w:tcW w:w="1675"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11 (7%)</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Muscle spasm</w:t>
            </w:r>
          </w:p>
        </w:tc>
        <w:tc>
          <w:tcPr>
            <w:tcW w:w="1559" w:type="dxa"/>
            <w:tcBorders>
              <w:top w:val="nil"/>
              <w:bottom w:val="nil"/>
            </w:tcBorders>
          </w:tcPr>
          <w:p w:rsidR="001D0FDA" w:rsidRPr="00EB1471" w:rsidRDefault="001D0FDA" w:rsidP="00121EF0">
            <w:pPr>
              <w:pStyle w:val="TableText0"/>
              <w:spacing w:before="0" w:after="0"/>
              <w:jc w:val="center"/>
            </w:pPr>
            <w:r w:rsidRPr="00EB1471">
              <w:t>1 (3%)</w:t>
            </w:r>
          </w:p>
        </w:tc>
        <w:tc>
          <w:tcPr>
            <w:tcW w:w="1701" w:type="dxa"/>
            <w:tcBorders>
              <w:top w:val="nil"/>
              <w:bottom w:val="nil"/>
            </w:tcBorders>
          </w:tcPr>
          <w:p w:rsidR="001D0FDA" w:rsidRPr="00EB1471" w:rsidRDefault="001D0FDA" w:rsidP="00121EF0">
            <w:pPr>
              <w:pStyle w:val="TableText0"/>
              <w:spacing w:before="0" w:after="0"/>
              <w:jc w:val="center"/>
            </w:pPr>
            <w:r w:rsidRPr="00EB1471">
              <w:t>1 (3%)</w:t>
            </w:r>
          </w:p>
        </w:tc>
        <w:tc>
          <w:tcPr>
            <w:tcW w:w="1675" w:type="dxa"/>
            <w:tcBorders>
              <w:top w:val="nil"/>
              <w:bottom w:val="nil"/>
            </w:tcBorders>
          </w:tcPr>
          <w:p w:rsidR="001D0FDA" w:rsidRPr="00EB1471" w:rsidRDefault="001D0FDA" w:rsidP="00121EF0">
            <w:pPr>
              <w:pStyle w:val="TableText0"/>
              <w:spacing w:before="0" w:after="0"/>
              <w:jc w:val="center"/>
            </w:pPr>
            <w:r w:rsidRPr="00EB1471">
              <w:t>4 (11%)</w:t>
            </w:r>
          </w:p>
        </w:tc>
        <w:tc>
          <w:tcPr>
            <w:tcW w:w="1701" w:type="dxa"/>
            <w:tcBorders>
              <w:top w:val="nil"/>
              <w:bottom w:val="nil"/>
            </w:tcBorders>
          </w:tcPr>
          <w:p w:rsidR="001D0FDA" w:rsidRPr="00EB1471" w:rsidRDefault="001D0FDA" w:rsidP="00121EF0">
            <w:pPr>
              <w:pStyle w:val="TableText0"/>
              <w:spacing w:before="0" w:after="0"/>
              <w:jc w:val="center"/>
            </w:pPr>
            <w:r w:rsidRPr="00EB1471">
              <w:t>11 (7%)</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Upper respiratory tract infection</w:t>
            </w:r>
          </w:p>
        </w:tc>
        <w:tc>
          <w:tcPr>
            <w:tcW w:w="1559"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4 (11%)</w:t>
            </w:r>
          </w:p>
        </w:tc>
        <w:tc>
          <w:tcPr>
            <w:tcW w:w="1675"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11 (7%)</w:t>
            </w:r>
          </w:p>
        </w:tc>
      </w:tr>
      <w:tr w:rsidR="001D0FDA" w:rsidRPr="00EB1471" w:rsidTr="00121EF0">
        <w:tc>
          <w:tcPr>
            <w:tcW w:w="2972" w:type="dxa"/>
            <w:tcBorders>
              <w:top w:val="nil"/>
              <w:bottom w:val="nil"/>
            </w:tcBorders>
          </w:tcPr>
          <w:p w:rsidR="001D0FDA" w:rsidRPr="00EB1471" w:rsidRDefault="001D0FDA" w:rsidP="00121EF0">
            <w:pPr>
              <w:pStyle w:val="TableText0"/>
              <w:spacing w:before="0" w:after="0"/>
              <w:ind w:left="313"/>
            </w:pPr>
            <w:r w:rsidRPr="00EB1471">
              <w:t>Myalgia</w:t>
            </w:r>
          </w:p>
        </w:tc>
        <w:tc>
          <w:tcPr>
            <w:tcW w:w="1559" w:type="dxa"/>
            <w:tcBorders>
              <w:top w:val="nil"/>
              <w:bottom w:val="nil"/>
            </w:tcBorders>
          </w:tcPr>
          <w:p w:rsidR="001D0FDA" w:rsidRPr="00EB1471" w:rsidRDefault="001D0FDA" w:rsidP="00121EF0">
            <w:pPr>
              <w:pStyle w:val="TableText0"/>
              <w:spacing w:before="0" w:after="0"/>
              <w:jc w:val="center"/>
            </w:pPr>
            <w:r w:rsidRPr="00EB1471">
              <w:t>1 (3%)</w:t>
            </w:r>
          </w:p>
        </w:tc>
        <w:tc>
          <w:tcPr>
            <w:tcW w:w="1701" w:type="dxa"/>
            <w:tcBorders>
              <w:top w:val="nil"/>
              <w:bottom w:val="nil"/>
            </w:tcBorders>
          </w:tcPr>
          <w:p w:rsidR="001D0FDA" w:rsidRPr="00EB1471" w:rsidRDefault="001D0FDA" w:rsidP="00121EF0">
            <w:pPr>
              <w:pStyle w:val="TableText0"/>
              <w:spacing w:before="0" w:after="0"/>
              <w:jc w:val="center"/>
            </w:pPr>
            <w:r w:rsidRPr="00EB1471">
              <w:t>6 (16%)</w:t>
            </w:r>
          </w:p>
        </w:tc>
        <w:tc>
          <w:tcPr>
            <w:tcW w:w="1675"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10 (7%)</w:t>
            </w:r>
          </w:p>
        </w:tc>
      </w:tr>
      <w:tr w:rsidR="001D0FDA" w:rsidRPr="00EB1471" w:rsidTr="00121EF0">
        <w:tc>
          <w:tcPr>
            <w:tcW w:w="2972" w:type="dxa"/>
            <w:tcBorders>
              <w:top w:val="nil"/>
              <w:bottom w:val="nil"/>
            </w:tcBorders>
          </w:tcPr>
          <w:p w:rsidR="001D0FDA" w:rsidRPr="00EB1471" w:rsidRDefault="001D0FDA" w:rsidP="00121EF0">
            <w:pPr>
              <w:pStyle w:val="TableText0"/>
              <w:spacing w:before="0" w:after="0"/>
              <w:ind w:left="313"/>
            </w:pPr>
            <w:r w:rsidRPr="00EB1471">
              <w:t>Dizziness</w:t>
            </w:r>
          </w:p>
        </w:tc>
        <w:tc>
          <w:tcPr>
            <w:tcW w:w="1559" w:type="dxa"/>
            <w:tcBorders>
              <w:top w:val="nil"/>
              <w:bottom w:val="nil"/>
            </w:tcBorders>
          </w:tcPr>
          <w:p w:rsidR="001D0FDA" w:rsidRPr="00EB1471" w:rsidRDefault="001D0FDA" w:rsidP="00121EF0">
            <w:pPr>
              <w:pStyle w:val="TableText0"/>
              <w:spacing w:before="0" w:after="0"/>
              <w:jc w:val="center"/>
            </w:pPr>
            <w:r w:rsidRPr="00EB1471">
              <w:t>4 (11%)</w:t>
            </w:r>
          </w:p>
        </w:tc>
        <w:tc>
          <w:tcPr>
            <w:tcW w:w="1701" w:type="dxa"/>
            <w:tcBorders>
              <w:top w:val="nil"/>
              <w:bottom w:val="nil"/>
            </w:tcBorders>
          </w:tcPr>
          <w:p w:rsidR="001D0FDA" w:rsidRPr="00EB1471" w:rsidRDefault="001D0FDA" w:rsidP="00121EF0">
            <w:pPr>
              <w:pStyle w:val="TableText0"/>
              <w:spacing w:before="0" w:after="0"/>
              <w:jc w:val="center"/>
            </w:pPr>
            <w:r w:rsidRPr="00EB1471">
              <w:t>4 (11%)</w:t>
            </w:r>
          </w:p>
        </w:tc>
        <w:tc>
          <w:tcPr>
            <w:tcW w:w="1675" w:type="dxa"/>
            <w:tcBorders>
              <w:top w:val="nil"/>
              <w:bottom w:val="nil"/>
            </w:tcBorders>
          </w:tcPr>
          <w:p w:rsidR="001D0FDA" w:rsidRPr="00EB1471" w:rsidRDefault="001D0FDA" w:rsidP="00121EF0">
            <w:pPr>
              <w:pStyle w:val="TableText0"/>
              <w:spacing w:before="0" w:after="0"/>
              <w:jc w:val="center"/>
            </w:pPr>
            <w:r w:rsidRPr="00EB1471">
              <w:t>0 (0%)</w:t>
            </w:r>
          </w:p>
        </w:tc>
        <w:tc>
          <w:tcPr>
            <w:tcW w:w="1701" w:type="dxa"/>
            <w:tcBorders>
              <w:top w:val="nil"/>
              <w:bottom w:val="nil"/>
            </w:tcBorders>
          </w:tcPr>
          <w:p w:rsidR="001D0FDA" w:rsidRPr="00EB1471" w:rsidRDefault="001D0FDA" w:rsidP="00121EF0">
            <w:pPr>
              <w:pStyle w:val="TableText0"/>
              <w:spacing w:before="0" w:after="0"/>
              <w:jc w:val="center"/>
            </w:pPr>
            <w:r w:rsidRPr="00EB1471">
              <w:t>9 (6%)</w:t>
            </w:r>
          </w:p>
        </w:tc>
      </w:tr>
      <w:tr w:rsidR="001D0FDA" w:rsidRPr="00EB1471" w:rsidTr="00121EF0">
        <w:tc>
          <w:tcPr>
            <w:tcW w:w="2972" w:type="dxa"/>
            <w:tcBorders>
              <w:top w:val="nil"/>
              <w:bottom w:val="nil"/>
            </w:tcBorders>
          </w:tcPr>
          <w:p w:rsidR="001D0FDA" w:rsidRPr="00EB1471" w:rsidRDefault="001D0FDA" w:rsidP="00121EF0">
            <w:pPr>
              <w:pStyle w:val="TableText0"/>
              <w:spacing w:before="0" w:after="0"/>
              <w:ind w:left="313"/>
            </w:pPr>
            <w:r w:rsidRPr="00EB1471">
              <w:t>Epistaxis</w:t>
            </w:r>
          </w:p>
        </w:tc>
        <w:tc>
          <w:tcPr>
            <w:tcW w:w="1559"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1 (3%)</w:t>
            </w:r>
          </w:p>
        </w:tc>
        <w:tc>
          <w:tcPr>
            <w:tcW w:w="1675" w:type="dxa"/>
            <w:tcBorders>
              <w:top w:val="nil"/>
              <w:bottom w:val="nil"/>
            </w:tcBorders>
          </w:tcPr>
          <w:p w:rsidR="001D0FDA" w:rsidRPr="00EB1471" w:rsidRDefault="001D0FDA" w:rsidP="00121EF0">
            <w:pPr>
              <w:pStyle w:val="TableText0"/>
              <w:spacing w:before="0" w:after="0"/>
              <w:jc w:val="center"/>
            </w:pPr>
            <w:r w:rsidRPr="00EB1471">
              <w:t>4 (11%)</w:t>
            </w:r>
          </w:p>
        </w:tc>
        <w:tc>
          <w:tcPr>
            <w:tcW w:w="1701" w:type="dxa"/>
            <w:tcBorders>
              <w:top w:val="nil"/>
              <w:bottom w:val="nil"/>
            </w:tcBorders>
          </w:tcPr>
          <w:p w:rsidR="001D0FDA" w:rsidRPr="00EB1471" w:rsidRDefault="001D0FDA" w:rsidP="00121EF0">
            <w:pPr>
              <w:pStyle w:val="TableText0"/>
              <w:spacing w:before="0" w:after="0"/>
              <w:jc w:val="center"/>
            </w:pPr>
            <w:r w:rsidRPr="00EB1471">
              <w:t>9 (6%)</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Flushing</w:t>
            </w:r>
          </w:p>
        </w:tc>
        <w:tc>
          <w:tcPr>
            <w:tcW w:w="1559" w:type="dxa"/>
            <w:tcBorders>
              <w:top w:val="nil"/>
              <w:bottom w:val="nil"/>
            </w:tcBorders>
          </w:tcPr>
          <w:p w:rsidR="001D0FDA" w:rsidRPr="00EB1471" w:rsidRDefault="001D0FDA" w:rsidP="00121EF0">
            <w:pPr>
              <w:pStyle w:val="TableText0"/>
              <w:spacing w:before="0" w:after="0"/>
              <w:jc w:val="center"/>
            </w:pPr>
            <w:r w:rsidRPr="00EB1471">
              <w:t>1 (3%)</w:t>
            </w:r>
          </w:p>
        </w:tc>
        <w:tc>
          <w:tcPr>
            <w:tcW w:w="1701" w:type="dxa"/>
            <w:tcBorders>
              <w:top w:val="nil"/>
              <w:bottom w:val="nil"/>
            </w:tcBorders>
          </w:tcPr>
          <w:p w:rsidR="001D0FDA" w:rsidRPr="00EB1471" w:rsidRDefault="001D0FDA" w:rsidP="00121EF0">
            <w:pPr>
              <w:pStyle w:val="TableText0"/>
              <w:spacing w:before="0" w:after="0"/>
              <w:jc w:val="center"/>
            </w:pPr>
            <w:r w:rsidRPr="00EB1471">
              <w:t>4 (11%)</w:t>
            </w:r>
          </w:p>
        </w:tc>
        <w:tc>
          <w:tcPr>
            <w:tcW w:w="1675"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9 (6%)</w:t>
            </w:r>
          </w:p>
        </w:tc>
      </w:tr>
      <w:tr w:rsidR="001D0FDA" w:rsidRPr="00EB1471" w:rsidTr="001D0FDA">
        <w:tc>
          <w:tcPr>
            <w:tcW w:w="2972" w:type="dxa"/>
            <w:tcBorders>
              <w:top w:val="nil"/>
              <w:bottom w:val="nil"/>
            </w:tcBorders>
          </w:tcPr>
          <w:p w:rsidR="001D0FDA" w:rsidRPr="00EB1471" w:rsidRDefault="001D0FDA" w:rsidP="00121EF0">
            <w:pPr>
              <w:pStyle w:val="TableText0"/>
              <w:spacing w:before="0" w:after="0"/>
              <w:ind w:left="313"/>
            </w:pPr>
            <w:r w:rsidRPr="00EB1471">
              <w:t>Dyspepsia</w:t>
            </w:r>
          </w:p>
        </w:tc>
        <w:tc>
          <w:tcPr>
            <w:tcW w:w="1559" w:type="dxa"/>
            <w:tcBorders>
              <w:top w:val="nil"/>
              <w:bottom w:val="nil"/>
            </w:tcBorders>
          </w:tcPr>
          <w:p w:rsidR="001D0FDA" w:rsidRPr="00EB1471" w:rsidRDefault="001D0FDA" w:rsidP="00121EF0">
            <w:pPr>
              <w:pStyle w:val="TableText0"/>
              <w:spacing w:before="0" w:after="0"/>
              <w:jc w:val="center"/>
            </w:pPr>
            <w:r w:rsidRPr="00EB1471">
              <w:t>0 (0%)</w:t>
            </w:r>
          </w:p>
        </w:tc>
        <w:tc>
          <w:tcPr>
            <w:tcW w:w="1701" w:type="dxa"/>
            <w:tcBorders>
              <w:top w:val="nil"/>
              <w:bottom w:val="nil"/>
            </w:tcBorders>
          </w:tcPr>
          <w:p w:rsidR="001D0FDA" w:rsidRPr="00EB1471" w:rsidRDefault="001D0FDA" w:rsidP="00121EF0">
            <w:pPr>
              <w:pStyle w:val="TableText0"/>
              <w:spacing w:before="0" w:after="0"/>
              <w:jc w:val="center"/>
            </w:pPr>
            <w:r w:rsidRPr="00EB1471">
              <w:t>3 (8%)</w:t>
            </w:r>
          </w:p>
        </w:tc>
        <w:tc>
          <w:tcPr>
            <w:tcW w:w="1675" w:type="dxa"/>
            <w:tcBorders>
              <w:top w:val="nil"/>
              <w:bottom w:val="nil"/>
            </w:tcBorders>
          </w:tcPr>
          <w:p w:rsidR="001D0FDA" w:rsidRPr="00EB1471" w:rsidRDefault="001D0FDA" w:rsidP="00121EF0">
            <w:pPr>
              <w:pStyle w:val="TableText0"/>
              <w:spacing w:before="0" w:after="0"/>
              <w:jc w:val="center"/>
            </w:pPr>
            <w:r w:rsidRPr="00EB1471">
              <w:t>2 (5%)</w:t>
            </w:r>
          </w:p>
        </w:tc>
        <w:tc>
          <w:tcPr>
            <w:tcW w:w="1701" w:type="dxa"/>
            <w:tcBorders>
              <w:top w:val="nil"/>
              <w:bottom w:val="nil"/>
            </w:tcBorders>
          </w:tcPr>
          <w:p w:rsidR="001D0FDA" w:rsidRPr="00EB1471" w:rsidRDefault="001D0FDA" w:rsidP="00121EF0">
            <w:pPr>
              <w:pStyle w:val="TableText0"/>
              <w:spacing w:before="0" w:after="0"/>
              <w:jc w:val="center"/>
            </w:pPr>
            <w:r w:rsidRPr="00EB1471">
              <w:t>8 (5%)</w:t>
            </w:r>
          </w:p>
        </w:tc>
      </w:tr>
      <w:tr w:rsidR="001D0FDA" w:rsidRPr="00EB1471" w:rsidTr="001D0FDA">
        <w:tc>
          <w:tcPr>
            <w:tcW w:w="2972" w:type="dxa"/>
            <w:tcBorders>
              <w:top w:val="nil"/>
            </w:tcBorders>
          </w:tcPr>
          <w:p w:rsidR="001D0FDA" w:rsidRPr="00EB1471" w:rsidRDefault="001D0FDA" w:rsidP="00121EF0">
            <w:pPr>
              <w:pStyle w:val="TableText0"/>
              <w:spacing w:before="0" w:after="20"/>
              <w:ind w:left="313"/>
            </w:pPr>
            <w:r w:rsidRPr="00EB1471">
              <w:t xml:space="preserve">Pain in </w:t>
            </w:r>
            <w:r w:rsidR="00DB4D9C">
              <w:t>the extremities</w:t>
            </w:r>
          </w:p>
        </w:tc>
        <w:tc>
          <w:tcPr>
            <w:tcW w:w="1559" w:type="dxa"/>
            <w:tcBorders>
              <w:top w:val="nil"/>
            </w:tcBorders>
          </w:tcPr>
          <w:p w:rsidR="001D0FDA" w:rsidRPr="00EB1471" w:rsidRDefault="001D0FDA" w:rsidP="00121EF0">
            <w:pPr>
              <w:pStyle w:val="TableText0"/>
              <w:spacing w:before="0" w:after="20"/>
              <w:jc w:val="center"/>
            </w:pPr>
            <w:r w:rsidRPr="00EB1471">
              <w:t>0 (0%)</w:t>
            </w:r>
          </w:p>
        </w:tc>
        <w:tc>
          <w:tcPr>
            <w:tcW w:w="1701" w:type="dxa"/>
            <w:tcBorders>
              <w:top w:val="nil"/>
            </w:tcBorders>
          </w:tcPr>
          <w:p w:rsidR="001D0FDA" w:rsidRPr="00EB1471" w:rsidRDefault="001D0FDA" w:rsidP="00121EF0">
            <w:pPr>
              <w:pStyle w:val="TableText0"/>
              <w:spacing w:before="0" w:after="20"/>
              <w:jc w:val="center"/>
            </w:pPr>
            <w:r w:rsidRPr="00EB1471">
              <w:t>4 (11%)</w:t>
            </w:r>
          </w:p>
        </w:tc>
        <w:tc>
          <w:tcPr>
            <w:tcW w:w="1675" w:type="dxa"/>
            <w:tcBorders>
              <w:top w:val="nil"/>
            </w:tcBorders>
          </w:tcPr>
          <w:p w:rsidR="001D0FDA" w:rsidRPr="00EB1471" w:rsidRDefault="001D0FDA" w:rsidP="00121EF0">
            <w:pPr>
              <w:pStyle w:val="TableText0"/>
              <w:spacing w:before="0" w:after="20"/>
              <w:jc w:val="center"/>
            </w:pPr>
            <w:r w:rsidRPr="00EB1471">
              <w:t>1 (3%)</w:t>
            </w:r>
          </w:p>
        </w:tc>
        <w:tc>
          <w:tcPr>
            <w:tcW w:w="1701" w:type="dxa"/>
            <w:tcBorders>
              <w:top w:val="nil"/>
            </w:tcBorders>
          </w:tcPr>
          <w:p w:rsidR="001D0FDA" w:rsidRPr="00EB1471" w:rsidRDefault="001D0FDA" w:rsidP="00121EF0">
            <w:pPr>
              <w:pStyle w:val="TableText0"/>
              <w:spacing w:before="0" w:after="20"/>
              <w:jc w:val="center"/>
            </w:pPr>
            <w:r w:rsidRPr="00EB1471">
              <w:t>8 (5%)</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In addition to those patients receiving tadalafil 20 mg and 40 mg, the combined total includes all treat-native patients who received tadalafil, including those receiving 2.5 mg and 10 mg (data not shown)</w:t>
      </w:r>
    </w:p>
    <w:p w:rsidR="001D0FDA" w:rsidRPr="00EB1471" w:rsidRDefault="00D2075A" w:rsidP="001D0FDA">
      <w:pPr>
        <w:pStyle w:val="Tablenote"/>
      </w:pPr>
      <w:r>
        <w:t>n</w:t>
      </w:r>
      <w:r w:rsidR="00121EF0">
        <w:t xml:space="preserve"> = number of patients</w:t>
      </w:r>
      <w:proofErr w:type="gramStart"/>
      <w:r w:rsidR="00121EF0">
        <w:t>;</w:t>
      </w:r>
      <w:proofErr w:type="gramEnd"/>
      <w:r w:rsidR="00121EF0">
        <w:t xml:space="preserve"> </w:t>
      </w:r>
      <w:r w:rsidR="001D0FDA" w:rsidRPr="00EB1471">
        <w:t xml:space="preserve">TEAE = treatment-emergent adverse event. </w:t>
      </w:r>
    </w:p>
    <w:p w:rsidR="001D0FDA" w:rsidRPr="00EB1471" w:rsidRDefault="001D0FDA" w:rsidP="001D0FDA">
      <w:pPr>
        <w:pStyle w:val="Tablenote"/>
      </w:pPr>
      <w:r w:rsidRPr="00EB1471">
        <w:t>Source: Barst et al 2011</w:t>
      </w:r>
      <w:r w:rsidR="001D34EE" w:rsidRPr="001A1C44">
        <w:rPr>
          <w:noProof/>
          <w:vertAlign w:val="superscript"/>
        </w:rPr>
        <w:t>45</w:t>
      </w:r>
    </w:p>
    <w:p w:rsidR="001D0FDA" w:rsidRPr="00EB1471" w:rsidRDefault="001D0FDA" w:rsidP="001D0FDA">
      <w:r w:rsidRPr="00EB1471">
        <w:t xml:space="preserve">Results from PHIRST support the conclusion of inferior safety of tadalafil monotherapy versus placebo for treatment of patients with PAH. The </w:t>
      </w:r>
      <w:r w:rsidR="006B2A7D">
        <w:t>AE</w:t>
      </w:r>
      <w:r w:rsidRPr="00EB1471">
        <w:t>s reported in Trials PHIRST and Mukhopadhyay 2011 are consistent with the known safety profile of tadalafil, with n</w:t>
      </w:r>
      <w:r w:rsidR="009800DB">
        <w:t>o new safety signal identified.</w:t>
      </w:r>
    </w:p>
    <w:p w:rsidR="001D0FDA" w:rsidRPr="00EB1471" w:rsidRDefault="001D0FDA" w:rsidP="00480FDF">
      <w:pPr>
        <w:pStyle w:val="Heading5"/>
        <w:numPr>
          <w:ilvl w:val="4"/>
          <w:numId w:val="45"/>
        </w:numPr>
      </w:pPr>
      <w:r w:rsidRPr="00EB1471">
        <w:t>Prostacyclin analogue</w:t>
      </w:r>
    </w:p>
    <w:p w:rsidR="001D0FDA" w:rsidRPr="00EB1471" w:rsidRDefault="001D0FDA" w:rsidP="001D0FDA">
      <w:proofErr w:type="gramStart"/>
      <w:r w:rsidRPr="00EB1471">
        <w:t>A total of seven</w:t>
      </w:r>
      <w:proofErr w:type="gramEnd"/>
      <w:r w:rsidRPr="00EB1471">
        <w:t xml:space="preserve"> single-arm observational studies were included for extended assessment of safety concerning IV use of epoprostenol. The follow-up period ranged from 2 years to 4 years across these studies. Of these, results of general </w:t>
      </w:r>
      <w:r w:rsidR="006B2A7D">
        <w:t>AE</w:t>
      </w:r>
      <w:r w:rsidRPr="00EB1471">
        <w:t xml:space="preserve">s </w:t>
      </w:r>
      <w:proofErr w:type="gramStart"/>
      <w:r w:rsidRPr="00EB1471">
        <w:t>were reported</w:t>
      </w:r>
      <w:proofErr w:type="gramEnd"/>
      <w:r w:rsidRPr="00EB1471">
        <w:t xml:space="preserve"> by the VA1A4001 extension study</w:t>
      </w:r>
      <w:r w:rsidR="001D34EE" w:rsidRPr="001A1C44">
        <w:rPr>
          <w:noProof/>
          <w:vertAlign w:val="superscript"/>
        </w:rPr>
        <w:t>71</w:t>
      </w:r>
      <w:r w:rsidRPr="00EB1471">
        <w:t xml:space="preserve">. During this 3-year study, all 97 patients enrolled experienced ≥1 </w:t>
      </w:r>
      <w:r w:rsidR="006B2A7D">
        <w:t>AE</w:t>
      </w:r>
      <w:r w:rsidRPr="00EB1471">
        <w:t xml:space="preserve">. The most common </w:t>
      </w:r>
      <w:r w:rsidR="006B2A7D">
        <w:t>AE</w:t>
      </w:r>
      <w:r w:rsidRPr="00EB1471">
        <w:t xml:space="preserve">s were diarrhoea, jaw pain, nausea, headache, pain, rash, flushing, depression, right-heart failure, and infection. Serious </w:t>
      </w:r>
      <w:r w:rsidR="006B2A7D">
        <w:t>AE</w:t>
      </w:r>
      <w:r w:rsidRPr="00EB1471">
        <w:t xml:space="preserve">s occurred in 66 (68%) patients. Two (2%) patients withdrew from the study due to </w:t>
      </w:r>
      <w:r w:rsidR="006B2A7D">
        <w:t>AE</w:t>
      </w:r>
      <w:r w:rsidRPr="00EB1471">
        <w:t xml:space="preserve">s: one patient experienced respiratory distress on the first day of epoprostenol infusion necessitating permanent discontinuation of the medication and died 5 days later; the other patient had </w:t>
      </w:r>
      <w:r w:rsidR="006B2A7D">
        <w:t>AE</w:t>
      </w:r>
      <w:r w:rsidRPr="00EB1471">
        <w:t xml:space="preserve"> of hypotension, which </w:t>
      </w:r>
      <w:proofErr w:type="gramStart"/>
      <w:r w:rsidRPr="00EB1471">
        <w:t>was not alleviated</w:t>
      </w:r>
      <w:proofErr w:type="gramEnd"/>
      <w:r w:rsidRPr="00EB1471">
        <w:t xml:space="preserve"> after dose decrease, and permanently withdrew from the study. </w:t>
      </w:r>
      <w:proofErr w:type="gramStart"/>
      <w:r w:rsidRPr="00EB1471">
        <w:t>A total of 44</w:t>
      </w:r>
      <w:proofErr w:type="gramEnd"/>
      <w:r w:rsidRPr="00EB1471">
        <w:t xml:space="preserve"> (45%) deaths were subsequent to various </w:t>
      </w:r>
      <w:r w:rsidR="006B2A7D">
        <w:t>AE</w:t>
      </w:r>
      <w:r w:rsidRPr="00EB1471">
        <w:t>s, with about half deaths following right-heart failure. None of the deaths occurred during the study were judged by the investigators to be related to epoprostenol or the drug delivery system.</w:t>
      </w:r>
    </w:p>
    <w:p w:rsidR="001D0FDA" w:rsidRPr="00EB1471" w:rsidRDefault="001D0FDA" w:rsidP="001D0FDA">
      <w:r w:rsidRPr="00EB1471">
        <w:t xml:space="preserve">The other six studies focused mainly on the </w:t>
      </w:r>
      <w:r w:rsidR="006B2A7D">
        <w:t>AE</w:t>
      </w:r>
      <w:r w:rsidRPr="00EB1471">
        <w:t xml:space="preserve">s attributable to the IV delivery system, particularly bloodstream infection. </w:t>
      </w:r>
      <w:proofErr w:type="gramStart"/>
      <w:r w:rsidRPr="00EB1471">
        <w:t>The incidence of overall adverse effects/complications associated with the drug delivery system (including bloodstream infection, local port site infection, cutaneous complications, functional port complications and implantation procedure related complications) was provided by Dickinson et al (2009)</w:t>
      </w:r>
      <w:r w:rsidR="001D34EE" w:rsidRPr="001A1C44">
        <w:rPr>
          <w:noProof/>
          <w:vertAlign w:val="superscript"/>
        </w:rPr>
        <w:t>56</w:t>
      </w:r>
      <w:r w:rsidRPr="00EB1471">
        <w:t>, which reported that 73 (66%) patients had a total of 175 complications during a cumulative follow-up period of 104,992 days, resulting in an overall complication rate of 0.61 per patient-year (ppy).</w:t>
      </w:r>
      <w:proofErr w:type="gramEnd"/>
      <w:r w:rsidRPr="00EB1471">
        <w:t xml:space="preserve"> In Dickinson 2009, there were </w:t>
      </w:r>
      <w:proofErr w:type="gramStart"/>
      <w:r w:rsidRPr="00EB1471">
        <w:t>a total of 45</w:t>
      </w:r>
      <w:proofErr w:type="gramEnd"/>
      <w:r w:rsidRPr="00EB1471">
        <w:t xml:space="preserve"> bloodstream infections including seven cases of sepsis, corresponding to a rate of 0.15 ppy for bloodstream infections and 0.02 ppy for sepsis. The remaining five observational studies either reported results of bloodstream infections or sepsis, but not both. The rates of bloodstream infections ranged from 0.04 ppy to 0.15 ppy across Studies Kallen 2008</w:t>
      </w:r>
      <w:r w:rsidR="001D34EE" w:rsidRPr="001A1C44">
        <w:rPr>
          <w:noProof/>
          <w:vertAlign w:val="superscript"/>
        </w:rPr>
        <w:t>59</w:t>
      </w:r>
      <w:r w:rsidRPr="00EB1471">
        <w:t>, Kitterman 2012</w:t>
      </w:r>
      <w:r w:rsidR="001D34EE" w:rsidRPr="001A1C44">
        <w:rPr>
          <w:noProof/>
          <w:vertAlign w:val="superscript"/>
        </w:rPr>
        <w:t>61</w:t>
      </w:r>
      <w:r w:rsidRPr="00EB1471">
        <w:t xml:space="preserve"> and Oudiz 2004</w:t>
      </w:r>
      <w:r w:rsidR="001D34EE" w:rsidRPr="001A1C44">
        <w:rPr>
          <w:noProof/>
          <w:vertAlign w:val="superscript"/>
        </w:rPr>
        <w:t>63</w:t>
      </w:r>
      <w:r w:rsidRPr="00EB1471">
        <w:t>; and the sepsis rates were 0.14 ppy in McLaughlin 2002</w:t>
      </w:r>
      <w:r w:rsidR="001D34EE" w:rsidRPr="001A1C44">
        <w:rPr>
          <w:noProof/>
          <w:vertAlign w:val="superscript"/>
        </w:rPr>
        <w:t>62</w:t>
      </w:r>
      <w:r w:rsidRPr="00EB1471">
        <w:t xml:space="preserve"> and 0.19 ppy in Sitbon 2002</w:t>
      </w:r>
      <w:r w:rsidR="001D34EE" w:rsidRPr="001A1C44">
        <w:rPr>
          <w:noProof/>
          <w:vertAlign w:val="superscript"/>
        </w:rPr>
        <w:t>67</w:t>
      </w:r>
      <w:r w:rsidRPr="00EB1471">
        <w:t xml:space="preserve">. The rate of local port site infection was 0.11 ppy and 0.24 ppy in </w:t>
      </w:r>
      <w:r w:rsidR="009800DB">
        <w:t>s</w:t>
      </w:r>
      <w:r w:rsidRPr="00EB1471">
        <w:t xml:space="preserve">tudies Dickinson 2009 and McLaughlin 2002, respectively. Catheter replacement or removal occurred at a rate of 0.15 ppy in McLaughlin 2002 and 0.31 ppy in Oudiz 2004. The incidence of death related to IV catheter was low, between 0% and 3% across studies, with vast majority (12 out of 13) of fatal cases </w:t>
      </w:r>
      <w:proofErr w:type="gramStart"/>
      <w:r w:rsidRPr="00EB1471">
        <w:t>as a result</w:t>
      </w:r>
      <w:proofErr w:type="gramEnd"/>
      <w:r w:rsidRPr="00EB1471">
        <w:t xml:space="preserve"> of catheter infection and the other death due to a peri-operative complication</w:t>
      </w:r>
      <w:r w:rsidR="001D34EE" w:rsidRPr="001A1C44">
        <w:rPr>
          <w:noProof/>
          <w:vertAlign w:val="superscript"/>
        </w:rPr>
        <w:t>56</w:t>
      </w:r>
      <w:r w:rsidR="001A1C44" w:rsidRPr="001A1C44">
        <w:rPr>
          <w:noProof/>
          <w:vertAlign w:val="superscript"/>
        </w:rPr>
        <w:t xml:space="preserve">, </w:t>
      </w:r>
      <w:r w:rsidR="001D34EE" w:rsidRPr="001A1C44">
        <w:rPr>
          <w:noProof/>
          <w:vertAlign w:val="superscript"/>
        </w:rPr>
        <w:t>63</w:t>
      </w:r>
      <w:r w:rsidR="001A1C44" w:rsidRPr="001A1C44">
        <w:rPr>
          <w:noProof/>
          <w:vertAlign w:val="superscript"/>
        </w:rPr>
        <w:t xml:space="preserve">, </w:t>
      </w:r>
      <w:r w:rsidR="001D34EE" w:rsidRPr="001A1C44">
        <w:rPr>
          <w:noProof/>
          <w:vertAlign w:val="superscript"/>
        </w:rPr>
        <w:t>67</w:t>
      </w:r>
      <w:r w:rsidR="001A1C44" w:rsidRPr="001A1C44">
        <w:rPr>
          <w:noProof/>
          <w:vertAlign w:val="superscript"/>
        </w:rPr>
        <w:t xml:space="preserve">, </w:t>
      </w:r>
      <w:r w:rsidR="001D34EE" w:rsidRPr="001A1C44">
        <w:rPr>
          <w:noProof/>
          <w:vertAlign w:val="superscript"/>
        </w:rPr>
        <w:t>71</w:t>
      </w:r>
      <w:r w:rsidR="009800DB">
        <w:t>.</w:t>
      </w:r>
    </w:p>
    <w:p w:rsidR="001D0FDA" w:rsidRPr="00EB1471" w:rsidRDefault="001D0FDA" w:rsidP="001D0FDA">
      <w:pPr>
        <w:pStyle w:val="Caption"/>
      </w:pPr>
      <w:bookmarkStart w:id="329" w:name="_Toc38360413"/>
      <w:r>
        <w:t>Table 4.</w:t>
      </w:r>
      <w:r w:rsidR="003951FA">
        <w:rPr>
          <w:noProof/>
        </w:rPr>
        <w:t>116</w:t>
      </w:r>
      <w:r>
        <w:tab/>
      </w:r>
      <w:r w:rsidRPr="00EB1471">
        <w:t>AEs reported in epoprostenol studies included for extended assessment of safety</w:t>
      </w:r>
      <w:bookmarkEnd w:id="329"/>
    </w:p>
    <w:tbl>
      <w:tblPr>
        <w:tblStyle w:val="TableGrid"/>
        <w:tblW w:w="9634" w:type="dxa"/>
        <w:tblLayout w:type="fixed"/>
        <w:tblLook w:val="04A0" w:firstRow="1" w:lastRow="0" w:firstColumn="1" w:lastColumn="0" w:noHBand="0" w:noVBand="1"/>
        <w:tblCaption w:val="AEs reported in epoprostenol studies included for extended assessment of safety"/>
      </w:tblPr>
      <w:tblGrid>
        <w:gridCol w:w="2122"/>
        <w:gridCol w:w="1134"/>
        <w:gridCol w:w="1134"/>
        <w:gridCol w:w="992"/>
        <w:gridCol w:w="1134"/>
        <w:gridCol w:w="992"/>
        <w:gridCol w:w="992"/>
        <w:gridCol w:w="1134"/>
      </w:tblGrid>
      <w:tr w:rsidR="001D0FDA" w:rsidRPr="00EB1471" w:rsidTr="001D0FDA">
        <w:trPr>
          <w:cnfStyle w:val="100000000000" w:firstRow="1" w:lastRow="0" w:firstColumn="0" w:lastColumn="0" w:oddVBand="0" w:evenVBand="0" w:oddHBand="0" w:evenHBand="0" w:firstRowFirstColumn="0" w:firstRowLastColumn="0" w:lastRowFirstColumn="0" w:lastRowLastColumn="0"/>
        </w:trPr>
        <w:tc>
          <w:tcPr>
            <w:tcW w:w="2122" w:type="dxa"/>
            <w:shd w:val="clear" w:color="auto" w:fill="BFBFBF" w:themeFill="background1" w:themeFillShade="BF"/>
          </w:tcPr>
          <w:p w:rsidR="001D0FDA" w:rsidRPr="00EB1471" w:rsidRDefault="007849BD" w:rsidP="007849BD">
            <w:pPr>
              <w:pStyle w:val="TableText0"/>
              <w:spacing w:before="20" w:after="20"/>
              <w:rPr>
                <w:b/>
              </w:rPr>
            </w:pPr>
            <w:r w:rsidRPr="00FD0BAE">
              <w:rPr>
                <w:b/>
              </w:rPr>
              <w:t>AEs</w:t>
            </w:r>
          </w:p>
        </w:tc>
        <w:tc>
          <w:tcPr>
            <w:tcW w:w="1134" w:type="dxa"/>
            <w:shd w:val="clear" w:color="auto" w:fill="BFBFBF" w:themeFill="background1" w:themeFillShade="BF"/>
          </w:tcPr>
          <w:p w:rsidR="001D0FDA" w:rsidRPr="00EB1471" w:rsidRDefault="001D0FDA" w:rsidP="001D0FDA">
            <w:pPr>
              <w:pStyle w:val="TableText0"/>
              <w:spacing w:before="20" w:after="20"/>
              <w:jc w:val="center"/>
              <w:rPr>
                <w:b/>
              </w:rPr>
            </w:pPr>
            <w:r w:rsidRPr="00EB1471">
              <w:rPr>
                <w:b/>
              </w:rPr>
              <w:t>Dickinson 2009</w:t>
            </w:r>
          </w:p>
          <w:p w:rsidR="001D0FDA" w:rsidRPr="00EB1471" w:rsidRDefault="001D0FDA" w:rsidP="001D0FDA">
            <w:pPr>
              <w:pStyle w:val="TableText0"/>
              <w:spacing w:before="20" w:after="20"/>
              <w:jc w:val="center"/>
              <w:rPr>
                <w:b/>
              </w:rPr>
            </w:pPr>
            <w:r w:rsidRPr="00EB1471">
              <w:rPr>
                <w:b/>
              </w:rPr>
              <w:t>(N=111)</w:t>
            </w:r>
          </w:p>
        </w:tc>
        <w:tc>
          <w:tcPr>
            <w:tcW w:w="1134" w:type="dxa"/>
            <w:shd w:val="clear" w:color="auto" w:fill="BFBFBF" w:themeFill="background1" w:themeFillShade="BF"/>
          </w:tcPr>
          <w:p w:rsidR="001D0FDA" w:rsidRPr="00EB1471" w:rsidRDefault="001D0FDA" w:rsidP="001D0FDA">
            <w:pPr>
              <w:pStyle w:val="TableText0"/>
              <w:spacing w:before="20" w:after="20"/>
              <w:jc w:val="center"/>
              <w:rPr>
                <w:b/>
              </w:rPr>
            </w:pPr>
            <w:r w:rsidRPr="00EB1471">
              <w:rPr>
                <w:b/>
              </w:rPr>
              <w:t>Kallen 2008</w:t>
            </w:r>
          </w:p>
          <w:p w:rsidR="001D0FDA" w:rsidRPr="00EB1471" w:rsidRDefault="001D0FDA" w:rsidP="001D0FDA">
            <w:pPr>
              <w:pStyle w:val="TableText0"/>
              <w:spacing w:before="20" w:after="20"/>
              <w:jc w:val="center"/>
              <w:rPr>
                <w:b/>
              </w:rPr>
            </w:pPr>
            <w:r w:rsidRPr="00EB1471">
              <w:rPr>
                <w:b/>
              </w:rPr>
              <w:t>(N=195)</w:t>
            </w:r>
          </w:p>
        </w:tc>
        <w:tc>
          <w:tcPr>
            <w:tcW w:w="992" w:type="dxa"/>
            <w:shd w:val="clear" w:color="auto" w:fill="BFBFBF" w:themeFill="background1" w:themeFillShade="BF"/>
          </w:tcPr>
          <w:p w:rsidR="001D0FDA" w:rsidRPr="00EB1471" w:rsidRDefault="001D0FDA" w:rsidP="001D0FDA">
            <w:pPr>
              <w:pStyle w:val="TableText0"/>
              <w:spacing w:before="20" w:after="20"/>
              <w:jc w:val="center"/>
              <w:rPr>
                <w:b/>
              </w:rPr>
            </w:pPr>
            <w:r w:rsidRPr="00EB1471">
              <w:rPr>
                <w:b/>
              </w:rPr>
              <w:t>Kitterman 2012</w:t>
            </w:r>
          </w:p>
          <w:p w:rsidR="001D0FDA" w:rsidRPr="00EB1471" w:rsidRDefault="001D0FDA" w:rsidP="001D0FDA">
            <w:pPr>
              <w:pStyle w:val="TableText0"/>
              <w:spacing w:before="20" w:after="20"/>
              <w:jc w:val="center"/>
              <w:rPr>
                <w:b/>
              </w:rPr>
            </w:pPr>
            <w:r w:rsidRPr="00EB1471">
              <w:rPr>
                <w:b/>
              </w:rPr>
              <w:t>(N=NR)</w:t>
            </w:r>
          </w:p>
        </w:tc>
        <w:tc>
          <w:tcPr>
            <w:tcW w:w="1134" w:type="dxa"/>
            <w:shd w:val="clear" w:color="auto" w:fill="BFBFBF" w:themeFill="background1" w:themeFillShade="BF"/>
          </w:tcPr>
          <w:p w:rsidR="001D0FDA" w:rsidRPr="00EB1471" w:rsidRDefault="001D0FDA" w:rsidP="001D0FDA">
            <w:pPr>
              <w:pStyle w:val="TableText0"/>
              <w:spacing w:before="20" w:after="20"/>
              <w:jc w:val="center"/>
              <w:rPr>
                <w:b/>
              </w:rPr>
            </w:pPr>
            <w:r w:rsidRPr="00EB1471">
              <w:rPr>
                <w:b/>
              </w:rPr>
              <w:t>McLaughlin 2002</w:t>
            </w:r>
          </w:p>
          <w:p w:rsidR="001D0FDA" w:rsidRPr="00EB1471" w:rsidRDefault="001D0FDA" w:rsidP="001D0FDA">
            <w:pPr>
              <w:pStyle w:val="TableText0"/>
              <w:spacing w:before="20" w:after="20"/>
              <w:jc w:val="center"/>
              <w:rPr>
                <w:b/>
              </w:rPr>
            </w:pPr>
            <w:r w:rsidRPr="00EB1471">
              <w:rPr>
                <w:b/>
              </w:rPr>
              <w:t>(N=162)</w:t>
            </w:r>
          </w:p>
        </w:tc>
        <w:tc>
          <w:tcPr>
            <w:tcW w:w="992" w:type="dxa"/>
            <w:shd w:val="clear" w:color="auto" w:fill="BFBFBF" w:themeFill="background1" w:themeFillShade="BF"/>
          </w:tcPr>
          <w:p w:rsidR="001D0FDA" w:rsidRPr="00EB1471" w:rsidRDefault="001D0FDA" w:rsidP="001D0FDA">
            <w:pPr>
              <w:pStyle w:val="TableText0"/>
              <w:spacing w:before="20" w:after="20"/>
              <w:jc w:val="center"/>
              <w:rPr>
                <w:b/>
              </w:rPr>
            </w:pPr>
            <w:r w:rsidRPr="00EB1471">
              <w:rPr>
                <w:b/>
              </w:rPr>
              <w:t>Oudiz 2004</w:t>
            </w:r>
          </w:p>
          <w:p w:rsidR="001D0FDA" w:rsidRPr="00EB1471" w:rsidRDefault="001D0FDA" w:rsidP="001D0FDA">
            <w:pPr>
              <w:pStyle w:val="TableText0"/>
              <w:spacing w:before="20" w:after="20"/>
              <w:jc w:val="center"/>
              <w:rPr>
                <w:b/>
              </w:rPr>
            </w:pPr>
            <w:r w:rsidRPr="00EB1471">
              <w:rPr>
                <w:b/>
              </w:rPr>
              <w:t>(N=192)</w:t>
            </w:r>
          </w:p>
        </w:tc>
        <w:tc>
          <w:tcPr>
            <w:tcW w:w="992" w:type="dxa"/>
            <w:shd w:val="clear" w:color="auto" w:fill="BFBFBF" w:themeFill="background1" w:themeFillShade="BF"/>
          </w:tcPr>
          <w:p w:rsidR="001D0FDA" w:rsidRPr="00EB1471" w:rsidRDefault="001D0FDA" w:rsidP="001D0FDA">
            <w:pPr>
              <w:pStyle w:val="TableText0"/>
              <w:spacing w:before="20" w:after="20"/>
              <w:jc w:val="center"/>
              <w:rPr>
                <w:b/>
              </w:rPr>
            </w:pPr>
            <w:r w:rsidRPr="00EB1471">
              <w:rPr>
                <w:b/>
              </w:rPr>
              <w:t>Sitbon 2002</w:t>
            </w:r>
          </w:p>
          <w:p w:rsidR="001D0FDA" w:rsidRPr="00EB1471" w:rsidRDefault="001D0FDA" w:rsidP="001D0FDA">
            <w:pPr>
              <w:pStyle w:val="TableText0"/>
              <w:spacing w:before="20" w:after="20"/>
              <w:jc w:val="center"/>
              <w:rPr>
                <w:b/>
              </w:rPr>
            </w:pPr>
            <w:r w:rsidRPr="00EB1471">
              <w:rPr>
                <w:b/>
              </w:rPr>
              <w:t>(N=178)</w:t>
            </w:r>
          </w:p>
        </w:tc>
        <w:tc>
          <w:tcPr>
            <w:tcW w:w="1134" w:type="dxa"/>
            <w:shd w:val="clear" w:color="auto" w:fill="BFBFBF" w:themeFill="background1" w:themeFillShade="BF"/>
          </w:tcPr>
          <w:p w:rsidR="001D0FDA" w:rsidRPr="00EB1471" w:rsidRDefault="001D0FDA" w:rsidP="001D0FDA">
            <w:pPr>
              <w:pStyle w:val="TableText0"/>
              <w:spacing w:before="20" w:after="20"/>
              <w:jc w:val="center"/>
              <w:rPr>
                <w:b/>
              </w:rPr>
            </w:pPr>
            <w:r w:rsidRPr="00EB1471">
              <w:rPr>
                <w:b/>
              </w:rPr>
              <w:t>VA1A4001 extension study</w:t>
            </w:r>
          </w:p>
          <w:p w:rsidR="001D0FDA" w:rsidRPr="00EB1471" w:rsidRDefault="001D0FDA" w:rsidP="001D0FDA">
            <w:pPr>
              <w:pStyle w:val="TableText0"/>
              <w:spacing w:before="20" w:after="20"/>
              <w:jc w:val="center"/>
              <w:rPr>
                <w:b/>
              </w:rPr>
            </w:pPr>
            <w:r w:rsidRPr="00EB1471">
              <w:rPr>
                <w:b/>
              </w:rPr>
              <w:t>(N=97)</w:t>
            </w:r>
          </w:p>
        </w:tc>
      </w:tr>
      <w:tr w:rsidR="001D0FDA" w:rsidRPr="00EB1471" w:rsidTr="001D0FDA">
        <w:tc>
          <w:tcPr>
            <w:tcW w:w="2122" w:type="dxa"/>
          </w:tcPr>
          <w:p w:rsidR="001D0FDA" w:rsidRPr="00EB1471" w:rsidRDefault="001D0FDA" w:rsidP="001D0FDA">
            <w:pPr>
              <w:pStyle w:val="TableText0"/>
              <w:spacing w:before="20" w:after="20"/>
            </w:pPr>
            <w:r w:rsidRPr="00EB1471">
              <w:t>Any AEs</w:t>
            </w:r>
          </w:p>
        </w:tc>
        <w:tc>
          <w:tcPr>
            <w:tcW w:w="1134"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97 (100%)</w:t>
            </w:r>
          </w:p>
        </w:tc>
      </w:tr>
      <w:tr w:rsidR="001D0FDA" w:rsidRPr="00EB1471" w:rsidTr="001D0FDA">
        <w:tc>
          <w:tcPr>
            <w:tcW w:w="2122" w:type="dxa"/>
          </w:tcPr>
          <w:p w:rsidR="001D0FDA" w:rsidRPr="00EB1471" w:rsidRDefault="001D0FDA" w:rsidP="001D0FDA">
            <w:pPr>
              <w:pStyle w:val="TableText0"/>
              <w:spacing w:before="20" w:after="20"/>
            </w:pPr>
            <w:r w:rsidRPr="00EB1471">
              <w:t>Serious AEs</w:t>
            </w:r>
          </w:p>
        </w:tc>
        <w:tc>
          <w:tcPr>
            <w:tcW w:w="1134"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66 (68%)</w:t>
            </w:r>
          </w:p>
        </w:tc>
      </w:tr>
      <w:tr w:rsidR="001D0FDA" w:rsidRPr="00EB1471" w:rsidTr="001D0FDA">
        <w:tc>
          <w:tcPr>
            <w:tcW w:w="2122" w:type="dxa"/>
          </w:tcPr>
          <w:p w:rsidR="001D0FDA" w:rsidRPr="00EB1471" w:rsidRDefault="001D0FDA" w:rsidP="001D0FDA">
            <w:pPr>
              <w:pStyle w:val="TableText0"/>
              <w:spacing w:before="20" w:after="20"/>
            </w:pPr>
            <w:r w:rsidRPr="00EB1471">
              <w:t>AEs leading to study withdrawal</w:t>
            </w:r>
          </w:p>
        </w:tc>
        <w:tc>
          <w:tcPr>
            <w:tcW w:w="1134"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992" w:type="dxa"/>
            <w:vAlign w:val="center"/>
          </w:tcPr>
          <w:p w:rsidR="001D0FDA" w:rsidRPr="00EB1471" w:rsidRDefault="001D0FDA" w:rsidP="001D0FDA">
            <w:pPr>
              <w:pStyle w:val="TableText0"/>
              <w:spacing w:before="20" w:after="20"/>
              <w:jc w:val="center"/>
            </w:pPr>
            <w:r w:rsidRPr="00EB1471">
              <w:t>NR</w:t>
            </w:r>
          </w:p>
        </w:tc>
        <w:tc>
          <w:tcPr>
            <w:tcW w:w="1134" w:type="dxa"/>
            <w:vAlign w:val="center"/>
          </w:tcPr>
          <w:p w:rsidR="001D0FDA" w:rsidRPr="00EB1471" w:rsidRDefault="001D0FDA" w:rsidP="001D0FDA">
            <w:pPr>
              <w:pStyle w:val="TableText0"/>
              <w:spacing w:before="20" w:after="20"/>
              <w:jc w:val="center"/>
            </w:pPr>
            <w:r w:rsidRPr="00EB1471">
              <w:t>2 (2%)</w:t>
            </w:r>
          </w:p>
        </w:tc>
      </w:tr>
      <w:tr w:rsidR="001D0FDA" w:rsidRPr="00EB1471" w:rsidTr="001D0FDA">
        <w:tc>
          <w:tcPr>
            <w:tcW w:w="2122" w:type="dxa"/>
            <w:tcBorders>
              <w:bottom w:val="single" w:sz="4" w:space="0" w:color="auto"/>
            </w:tcBorders>
          </w:tcPr>
          <w:p w:rsidR="001D0FDA" w:rsidRPr="00EB1471" w:rsidRDefault="001D0FDA" w:rsidP="001D0FDA">
            <w:pPr>
              <w:pStyle w:val="TableText0"/>
              <w:spacing w:before="20" w:after="20"/>
            </w:pPr>
            <w:r w:rsidRPr="00EB1471">
              <w:t>Death due to drug-related AEs</w:t>
            </w:r>
          </w:p>
        </w:tc>
        <w:tc>
          <w:tcPr>
            <w:tcW w:w="1134" w:type="dxa"/>
            <w:tcBorders>
              <w:bottom w:val="single" w:sz="4" w:space="0" w:color="auto"/>
            </w:tcBorders>
            <w:vAlign w:val="center"/>
          </w:tcPr>
          <w:p w:rsidR="001D0FDA" w:rsidRPr="00EB1471" w:rsidRDefault="001D0FDA" w:rsidP="001D0FDA">
            <w:pPr>
              <w:pStyle w:val="TableText0"/>
              <w:spacing w:before="20" w:after="20"/>
              <w:jc w:val="center"/>
            </w:pPr>
            <w:r w:rsidRPr="00EB1471">
              <w:t>NR</w:t>
            </w:r>
          </w:p>
        </w:tc>
        <w:tc>
          <w:tcPr>
            <w:tcW w:w="1134" w:type="dxa"/>
            <w:tcBorders>
              <w:bottom w:val="single" w:sz="4" w:space="0" w:color="auto"/>
            </w:tcBorders>
            <w:vAlign w:val="center"/>
          </w:tcPr>
          <w:p w:rsidR="001D0FDA" w:rsidRPr="00EB1471" w:rsidRDefault="001D0FDA" w:rsidP="001D0FDA">
            <w:pPr>
              <w:pStyle w:val="TableText0"/>
              <w:spacing w:before="20" w:after="20"/>
              <w:jc w:val="center"/>
            </w:pPr>
            <w:r w:rsidRPr="00EB1471">
              <w:t>NR</w:t>
            </w:r>
          </w:p>
        </w:tc>
        <w:tc>
          <w:tcPr>
            <w:tcW w:w="992" w:type="dxa"/>
            <w:tcBorders>
              <w:bottom w:val="single" w:sz="4" w:space="0" w:color="auto"/>
            </w:tcBorders>
            <w:vAlign w:val="center"/>
          </w:tcPr>
          <w:p w:rsidR="001D0FDA" w:rsidRPr="00EB1471" w:rsidRDefault="001D0FDA" w:rsidP="001D0FDA">
            <w:pPr>
              <w:pStyle w:val="TableText0"/>
              <w:spacing w:before="20" w:after="20"/>
              <w:jc w:val="center"/>
            </w:pPr>
            <w:r w:rsidRPr="00EB1471">
              <w:t>NR</w:t>
            </w:r>
          </w:p>
        </w:tc>
        <w:tc>
          <w:tcPr>
            <w:tcW w:w="1134" w:type="dxa"/>
            <w:tcBorders>
              <w:bottom w:val="single" w:sz="4" w:space="0" w:color="auto"/>
            </w:tcBorders>
            <w:vAlign w:val="center"/>
          </w:tcPr>
          <w:p w:rsidR="001D0FDA" w:rsidRPr="00EB1471" w:rsidRDefault="001D0FDA" w:rsidP="001D0FDA">
            <w:pPr>
              <w:pStyle w:val="TableText0"/>
              <w:spacing w:before="20" w:after="20"/>
              <w:jc w:val="center"/>
            </w:pPr>
            <w:r w:rsidRPr="00EB1471">
              <w:t>NR</w:t>
            </w:r>
          </w:p>
        </w:tc>
        <w:tc>
          <w:tcPr>
            <w:tcW w:w="992" w:type="dxa"/>
            <w:tcBorders>
              <w:bottom w:val="single" w:sz="4" w:space="0" w:color="auto"/>
            </w:tcBorders>
            <w:vAlign w:val="center"/>
          </w:tcPr>
          <w:p w:rsidR="001D0FDA" w:rsidRPr="00EB1471" w:rsidRDefault="001D0FDA" w:rsidP="001D0FDA">
            <w:pPr>
              <w:pStyle w:val="TableText0"/>
              <w:spacing w:before="20" w:after="20"/>
              <w:jc w:val="center"/>
            </w:pPr>
            <w:r w:rsidRPr="00EB1471">
              <w:t>NR</w:t>
            </w:r>
          </w:p>
        </w:tc>
        <w:tc>
          <w:tcPr>
            <w:tcW w:w="992" w:type="dxa"/>
            <w:tcBorders>
              <w:bottom w:val="single" w:sz="4" w:space="0" w:color="auto"/>
            </w:tcBorders>
            <w:vAlign w:val="center"/>
          </w:tcPr>
          <w:p w:rsidR="001D0FDA" w:rsidRPr="00EB1471" w:rsidRDefault="001D0FDA" w:rsidP="001D0FDA">
            <w:pPr>
              <w:pStyle w:val="TableText0"/>
              <w:spacing w:before="20" w:after="20"/>
              <w:jc w:val="center"/>
            </w:pPr>
            <w:r w:rsidRPr="00EB1471">
              <w:t>NR</w:t>
            </w:r>
          </w:p>
        </w:tc>
        <w:tc>
          <w:tcPr>
            <w:tcW w:w="1134" w:type="dxa"/>
            <w:tcBorders>
              <w:bottom w:val="single" w:sz="4" w:space="0" w:color="auto"/>
            </w:tcBorders>
            <w:vAlign w:val="center"/>
          </w:tcPr>
          <w:p w:rsidR="001D0FDA" w:rsidRPr="00EB1471" w:rsidRDefault="001D0FDA" w:rsidP="001D0FDA">
            <w:pPr>
              <w:pStyle w:val="TableText0"/>
              <w:spacing w:before="20" w:after="20"/>
              <w:jc w:val="center"/>
            </w:pPr>
            <w:r w:rsidRPr="00EB1471">
              <w:t>0 (0%)</w:t>
            </w:r>
          </w:p>
        </w:tc>
      </w:tr>
      <w:tr w:rsidR="001D0FDA" w:rsidRPr="00EB1471" w:rsidTr="001D0FDA">
        <w:tc>
          <w:tcPr>
            <w:tcW w:w="2122" w:type="dxa"/>
            <w:tcBorders>
              <w:bottom w:val="nil"/>
            </w:tcBorders>
          </w:tcPr>
          <w:p w:rsidR="001D0FDA" w:rsidRPr="00EB1471" w:rsidRDefault="001D0FDA" w:rsidP="001D0FDA">
            <w:pPr>
              <w:pStyle w:val="TableText0"/>
              <w:spacing w:before="20" w:after="20"/>
            </w:pPr>
            <w:r w:rsidRPr="00EB1471">
              <w:t>Any AEs related to drug delivery system</w:t>
            </w:r>
          </w:p>
        </w:tc>
        <w:tc>
          <w:tcPr>
            <w:tcW w:w="1134" w:type="dxa"/>
            <w:tcBorders>
              <w:bottom w:val="nil"/>
            </w:tcBorders>
            <w:vAlign w:val="center"/>
          </w:tcPr>
          <w:p w:rsidR="001D0FDA" w:rsidRPr="00EB1471" w:rsidRDefault="001D0FDA" w:rsidP="001D0FDA">
            <w:pPr>
              <w:pStyle w:val="TableText0"/>
              <w:spacing w:before="20" w:after="20"/>
              <w:jc w:val="center"/>
            </w:pPr>
            <w:r w:rsidRPr="00EB1471">
              <w:t>73 (66%)</w:t>
            </w:r>
          </w:p>
        </w:tc>
        <w:tc>
          <w:tcPr>
            <w:tcW w:w="1134" w:type="dxa"/>
            <w:tcBorders>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bottom w:val="nil"/>
            </w:tcBorders>
            <w:vAlign w:val="center"/>
          </w:tcPr>
          <w:p w:rsidR="001D0FDA" w:rsidRPr="00EB1471" w:rsidRDefault="001D0FDA" w:rsidP="001D0FDA">
            <w:pPr>
              <w:pStyle w:val="TableText0"/>
              <w:spacing w:before="20" w:after="20"/>
              <w:jc w:val="center"/>
            </w:pPr>
            <w:r w:rsidRPr="00EB1471">
              <w:t>NR</w:t>
            </w:r>
          </w:p>
        </w:tc>
      </w:tr>
      <w:tr w:rsidR="001D0FDA" w:rsidRPr="00EB1471" w:rsidTr="001D0FDA">
        <w:tc>
          <w:tcPr>
            <w:tcW w:w="2122" w:type="dxa"/>
            <w:tcBorders>
              <w:top w:val="nil"/>
              <w:bottom w:val="nil"/>
            </w:tcBorders>
          </w:tcPr>
          <w:p w:rsidR="001D0FDA" w:rsidRPr="00EB1471" w:rsidRDefault="001D0FDA" w:rsidP="001D0FDA">
            <w:pPr>
              <w:pStyle w:val="TableText0"/>
              <w:spacing w:before="20" w:after="20"/>
              <w:ind w:left="171"/>
            </w:pPr>
            <w:r w:rsidRPr="00EB1471">
              <w:t>Local port site infection</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0.11 ppy</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0.24 ppy</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r>
      <w:tr w:rsidR="001D0FDA" w:rsidRPr="00EB1471" w:rsidTr="001D0FDA">
        <w:tc>
          <w:tcPr>
            <w:tcW w:w="2122" w:type="dxa"/>
            <w:tcBorders>
              <w:top w:val="nil"/>
              <w:bottom w:val="nil"/>
            </w:tcBorders>
          </w:tcPr>
          <w:p w:rsidR="001D0FDA" w:rsidRPr="00EB1471" w:rsidRDefault="001D0FDA" w:rsidP="001D0FDA">
            <w:pPr>
              <w:pStyle w:val="TableText0"/>
              <w:spacing w:before="20" w:after="20"/>
              <w:ind w:left="171"/>
            </w:pPr>
            <w:r w:rsidRPr="00EB1471">
              <w:t>Bloodstream infection</w:t>
            </w:r>
            <w:r w:rsidRPr="00EB1471">
              <w:rPr>
                <w:vertAlign w:val="superscript"/>
              </w:rPr>
              <w:t>a</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0.15 ppy</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0.15 ppy</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0.04 ppy</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0.06 ppy</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r>
      <w:tr w:rsidR="001D0FDA" w:rsidRPr="00EB1471" w:rsidTr="001D0FDA">
        <w:tc>
          <w:tcPr>
            <w:tcW w:w="2122" w:type="dxa"/>
            <w:tcBorders>
              <w:top w:val="nil"/>
              <w:bottom w:val="nil"/>
            </w:tcBorders>
          </w:tcPr>
          <w:p w:rsidR="001D0FDA" w:rsidRPr="00EB1471" w:rsidRDefault="001D0FDA" w:rsidP="001D0FDA">
            <w:pPr>
              <w:pStyle w:val="TableText0"/>
              <w:spacing w:before="20" w:after="20"/>
              <w:ind w:left="171"/>
            </w:pPr>
            <w:r w:rsidRPr="00EB1471">
              <w:t>Sepsis</w:t>
            </w:r>
            <w:r w:rsidRPr="00EB1471">
              <w:rPr>
                <w:vertAlign w:val="superscript"/>
              </w:rPr>
              <w:t>a</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0.02 ppy</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0.14 ppy</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0.19 ppy</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r>
      <w:tr w:rsidR="001D0FDA" w:rsidRPr="00EB1471" w:rsidTr="001D0FDA">
        <w:tc>
          <w:tcPr>
            <w:tcW w:w="2122" w:type="dxa"/>
            <w:tcBorders>
              <w:top w:val="nil"/>
              <w:bottom w:val="nil"/>
            </w:tcBorders>
          </w:tcPr>
          <w:p w:rsidR="001D0FDA" w:rsidRPr="00EB1471" w:rsidRDefault="001D0FDA" w:rsidP="001D0FDA">
            <w:pPr>
              <w:pStyle w:val="TableText0"/>
              <w:spacing w:before="20" w:after="20"/>
              <w:ind w:left="171"/>
            </w:pPr>
            <w:r w:rsidRPr="00EB1471">
              <w:t xml:space="preserve">Catheter replacement or removal required </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0.15 ppy</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0.31 ppy</w:t>
            </w:r>
          </w:p>
        </w:tc>
        <w:tc>
          <w:tcPr>
            <w:tcW w:w="992" w:type="dxa"/>
            <w:tcBorders>
              <w:top w:val="nil"/>
              <w:bottom w:val="nil"/>
            </w:tcBorders>
            <w:vAlign w:val="center"/>
          </w:tcPr>
          <w:p w:rsidR="001D0FDA" w:rsidRPr="00EB1471" w:rsidRDefault="001D0FDA" w:rsidP="001D0FDA">
            <w:pPr>
              <w:pStyle w:val="TableText0"/>
              <w:spacing w:before="20" w:after="20"/>
              <w:jc w:val="center"/>
            </w:pPr>
            <w:r w:rsidRPr="00EB1471">
              <w:t>NR</w:t>
            </w:r>
          </w:p>
        </w:tc>
        <w:tc>
          <w:tcPr>
            <w:tcW w:w="1134" w:type="dxa"/>
            <w:tcBorders>
              <w:top w:val="nil"/>
              <w:bottom w:val="nil"/>
            </w:tcBorders>
            <w:vAlign w:val="center"/>
          </w:tcPr>
          <w:p w:rsidR="001D0FDA" w:rsidRPr="00EB1471" w:rsidRDefault="001D0FDA" w:rsidP="001D0FDA">
            <w:pPr>
              <w:pStyle w:val="TableText0"/>
              <w:spacing w:before="20" w:after="20"/>
              <w:jc w:val="center"/>
            </w:pPr>
            <w:r w:rsidRPr="00EB1471">
              <w:t>NR</w:t>
            </w:r>
          </w:p>
        </w:tc>
      </w:tr>
      <w:tr w:rsidR="001D0FDA" w:rsidRPr="00EB1471" w:rsidTr="001D0FDA">
        <w:tc>
          <w:tcPr>
            <w:tcW w:w="2122" w:type="dxa"/>
            <w:tcBorders>
              <w:top w:val="nil"/>
            </w:tcBorders>
          </w:tcPr>
          <w:p w:rsidR="001D0FDA" w:rsidRPr="00EB1471" w:rsidRDefault="001D0FDA" w:rsidP="001D0FDA">
            <w:pPr>
              <w:pStyle w:val="TableText0"/>
              <w:spacing w:before="20" w:after="20"/>
              <w:ind w:left="171"/>
            </w:pPr>
            <w:r w:rsidRPr="00EB1471">
              <w:t>Death related to drug delivery system</w:t>
            </w:r>
          </w:p>
        </w:tc>
        <w:tc>
          <w:tcPr>
            <w:tcW w:w="1134" w:type="dxa"/>
            <w:tcBorders>
              <w:top w:val="nil"/>
            </w:tcBorders>
            <w:vAlign w:val="center"/>
          </w:tcPr>
          <w:p w:rsidR="001D0FDA" w:rsidRPr="00EB1471" w:rsidRDefault="001D0FDA" w:rsidP="001D0FDA">
            <w:pPr>
              <w:pStyle w:val="TableText0"/>
              <w:spacing w:before="20" w:after="20"/>
              <w:jc w:val="center"/>
            </w:pPr>
            <w:r w:rsidRPr="00EB1471">
              <w:t>3 (3%)</w:t>
            </w:r>
          </w:p>
        </w:tc>
        <w:tc>
          <w:tcPr>
            <w:tcW w:w="1134" w:type="dxa"/>
            <w:tcBorders>
              <w:top w:val="nil"/>
            </w:tcBorders>
            <w:vAlign w:val="center"/>
          </w:tcPr>
          <w:p w:rsidR="001D0FDA" w:rsidRPr="00EB1471" w:rsidRDefault="001D0FDA" w:rsidP="001D0FDA">
            <w:pPr>
              <w:pStyle w:val="TableText0"/>
              <w:spacing w:before="20" w:after="20"/>
              <w:jc w:val="center"/>
            </w:pPr>
            <w:r w:rsidRPr="00EB1471">
              <w:t>NR</w:t>
            </w:r>
          </w:p>
        </w:tc>
        <w:tc>
          <w:tcPr>
            <w:tcW w:w="992" w:type="dxa"/>
            <w:tcBorders>
              <w:top w:val="nil"/>
            </w:tcBorders>
            <w:vAlign w:val="center"/>
          </w:tcPr>
          <w:p w:rsidR="001D0FDA" w:rsidRPr="00EB1471" w:rsidRDefault="001D0FDA" w:rsidP="001D0FDA">
            <w:pPr>
              <w:pStyle w:val="TableText0"/>
              <w:spacing w:before="20" w:after="20"/>
              <w:jc w:val="center"/>
            </w:pPr>
            <w:r w:rsidRPr="00EB1471">
              <w:t>NR</w:t>
            </w:r>
          </w:p>
        </w:tc>
        <w:tc>
          <w:tcPr>
            <w:tcW w:w="1134" w:type="dxa"/>
            <w:tcBorders>
              <w:top w:val="nil"/>
            </w:tcBorders>
            <w:vAlign w:val="center"/>
          </w:tcPr>
          <w:p w:rsidR="001D0FDA" w:rsidRPr="00EB1471" w:rsidRDefault="001D0FDA" w:rsidP="001D0FDA">
            <w:pPr>
              <w:pStyle w:val="TableText0"/>
              <w:spacing w:before="20" w:after="20"/>
              <w:jc w:val="center"/>
            </w:pPr>
            <w:r w:rsidRPr="00EB1471">
              <w:t>4 (2%)</w:t>
            </w:r>
          </w:p>
        </w:tc>
        <w:tc>
          <w:tcPr>
            <w:tcW w:w="992" w:type="dxa"/>
            <w:tcBorders>
              <w:top w:val="nil"/>
            </w:tcBorders>
            <w:vAlign w:val="center"/>
          </w:tcPr>
          <w:p w:rsidR="001D0FDA" w:rsidRPr="00EB1471" w:rsidRDefault="001D0FDA" w:rsidP="001D0FDA">
            <w:pPr>
              <w:pStyle w:val="TableText0"/>
              <w:spacing w:before="20" w:after="20"/>
              <w:jc w:val="center"/>
            </w:pPr>
            <w:r w:rsidRPr="00EB1471">
              <w:t>2 (1%)</w:t>
            </w:r>
          </w:p>
        </w:tc>
        <w:tc>
          <w:tcPr>
            <w:tcW w:w="992" w:type="dxa"/>
            <w:tcBorders>
              <w:top w:val="nil"/>
            </w:tcBorders>
            <w:vAlign w:val="center"/>
          </w:tcPr>
          <w:p w:rsidR="001D0FDA" w:rsidRPr="00EB1471" w:rsidRDefault="001D0FDA" w:rsidP="001D0FDA">
            <w:pPr>
              <w:pStyle w:val="TableText0"/>
              <w:spacing w:before="20" w:after="20"/>
              <w:jc w:val="center"/>
            </w:pPr>
            <w:r w:rsidRPr="00EB1471">
              <w:t>4 (2%)</w:t>
            </w:r>
          </w:p>
        </w:tc>
        <w:tc>
          <w:tcPr>
            <w:tcW w:w="1134" w:type="dxa"/>
            <w:tcBorders>
              <w:top w:val="nil"/>
            </w:tcBorders>
            <w:vAlign w:val="center"/>
          </w:tcPr>
          <w:p w:rsidR="001D0FDA" w:rsidRPr="00EB1471" w:rsidRDefault="001D0FDA" w:rsidP="001D0FDA">
            <w:pPr>
              <w:pStyle w:val="TableText0"/>
              <w:spacing w:before="20" w:after="20"/>
              <w:jc w:val="center"/>
            </w:pPr>
            <w:r w:rsidRPr="00EB1471">
              <w:t>0 (0%)</w:t>
            </w:r>
          </w:p>
        </w:tc>
      </w:tr>
    </w:tbl>
    <w:p w:rsidR="006D01E8" w:rsidRPr="00EB1471" w:rsidRDefault="006D01E8" w:rsidP="006D01E8">
      <w:pPr>
        <w:pStyle w:val="Tablenote"/>
      </w:pPr>
      <w:proofErr w:type="gramStart"/>
      <w:r w:rsidRPr="00EB1471">
        <w:rPr>
          <w:vertAlign w:val="superscript"/>
        </w:rPr>
        <w:t>a</w:t>
      </w:r>
      <w:proofErr w:type="gramEnd"/>
      <w:r w:rsidRPr="00EB1471">
        <w:t xml:space="preserve"> Bloodstream infection was defined as a positive blood culture. If a positive blood culture was associated with clinical signs of a systemic infection (eg temperature &gt;38°C, tachycardia, tachypnoea, chills, general malaise, low blood pressure), the infection was defined as sepsis.</w:t>
      </w:r>
    </w:p>
    <w:p w:rsidR="001D0FDA" w:rsidRPr="00EB1471" w:rsidRDefault="00D2075A" w:rsidP="001D0FDA">
      <w:pPr>
        <w:pStyle w:val="Tablenote"/>
      </w:pPr>
      <w:r>
        <w:t xml:space="preserve">AE = adverse event; N = number of patients; </w:t>
      </w:r>
      <w:r w:rsidR="001D0FDA" w:rsidRPr="00EB1471">
        <w:t>NR = not reported; ppy = per patient year</w:t>
      </w:r>
    </w:p>
    <w:p w:rsidR="001D0FDA" w:rsidRPr="00EB1471" w:rsidRDefault="001D0FDA" w:rsidP="001D0FDA">
      <w:pPr>
        <w:pStyle w:val="Tablenote"/>
      </w:pPr>
      <w:r w:rsidRPr="00EB1471">
        <w:t>Source: Dickinson et al 2009</w:t>
      </w:r>
      <w:r w:rsidR="001D34EE" w:rsidRPr="001A1C44">
        <w:rPr>
          <w:noProof/>
          <w:vertAlign w:val="superscript"/>
        </w:rPr>
        <w:t>56</w:t>
      </w:r>
      <w:r w:rsidRPr="00EB1471">
        <w:t>; Kallen et al 2008</w:t>
      </w:r>
      <w:r w:rsidR="001D34EE" w:rsidRPr="001A1C44">
        <w:rPr>
          <w:noProof/>
          <w:vertAlign w:val="superscript"/>
        </w:rPr>
        <w:t>59</w:t>
      </w:r>
      <w:r w:rsidRPr="00EB1471">
        <w:t>; Kitterman et al 2012</w:t>
      </w:r>
      <w:r w:rsidR="001D34EE" w:rsidRPr="001A1C44">
        <w:rPr>
          <w:noProof/>
          <w:vertAlign w:val="superscript"/>
        </w:rPr>
        <w:t>61</w:t>
      </w:r>
      <w:r w:rsidRPr="00EB1471">
        <w:t>; McLaughlin et al 2002</w:t>
      </w:r>
      <w:r w:rsidR="001D34EE" w:rsidRPr="001A1C44">
        <w:rPr>
          <w:noProof/>
          <w:vertAlign w:val="superscript"/>
        </w:rPr>
        <w:t>62</w:t>
      </w:r>
      <w:r w:rsidRPr="00EB1471">
        <w:t>; Oudiz et al 2004</w:t>
      </w:r>
      <w:r w:rsidR="001D34EE" w:rsidRPr="001A1C44">
        <w:rPr>
          <w:noProof/>
          <w:vertAlign w:val="superscript"/>
        </w:rPr>
        <w:t>63</w:t>
      </w:r>
      <w:r w:rsidRPr="00EB1471">
        <w:t>; Sitbon et al 2002</w:t>
      </w:r>
      <w:r w:rsidR="001D34EE" w:rsidRPr="001A1C44">
        <w:rPr>
          <w:noProof/>
          <w:vertAlign w:val="superscript"/>
        </w:rPr>
        <w:t>67</w:t>
      </w:r>
      <w:r w:rsidRPr="00EB1471">
        <w:t>; Badesch et al 2009</w:t>
      </w:r>
      <w:r w:rsidR="001D34EE" w:rsidRPr="001A1C44">
        <w:rPr>
          <w:noProof/>
          <w:vertAlign w:val="superscript"/>
        </w:rPr>
        <w:t>71</w:t>
      </w:r>
    </w:p>
    <w:p w:rsidR="001D0FDA" w:rsidRPr="00EB1471" w:rsidRDefault="001D0FDA" w:rsidP="001D0FDA">
      <w:r w:rsidRPr="00EB1471">
        <w:t>Overall, the seven studies included for extended safety assessment of epoprostenol did not detect any new safety signals. The IV administration route of epoprostenol pose additional safety concerns compared w</w:t>
      </w:r>
      <w:r w:rsidR="002856B6">
        <w:t>ith other oral PAH medications.</w:t>
      </w:r>
    </w:p>
    <w:p w:rsidR="001D0FDA" w:rsidRPr="00EB1471" w:rsidRDefault="001D0FDA" w:rsidP="00480FDF">
      <w:pPr>
        <w:pStyle w:val="Heading5"/>
        <w:numPr>
          <w:ilvl w:val="4"/>
          <w:numId w:val="45"/>
        </w:numPr>
      </w:pPr>
      <w:proofErr w:type="gramStart"/>
      <w:r w:rsidRPr="00EB1471">
        <w:t>sCG</w:t>
      </w:r>
      <w:proofErr w:type="gramEnd"/>
      <w:r w:rsidRPr="00EB1471">
        <w:t xml:space="preserve"> stimulator</w:t>
      </w:r>
    </w:p>
    <w:p w:rsidR="001D0FDA" w:rsidRPr="00EB1471" w:rsidRDefault="001D0FDA" w:rsidP="001D0FDA">
      <w:r w:rsidRPr="00EB1471">
        <w:t>The PATENT extension study</w:t>
      </w:r>
      <w:r w:rsidR="001D34EE" w:rsidRPr="001A1C44">
        <w:rPr>
          <w:noProof/>
          <w:vertAlign w:val="superscript"/>
        </w:rPr>
        <w:t>65</w:t>
      </w:r>
      <w:r w:rsidRPr="00EB1471">
        <w:t xml:space="preserve"> was a multicentre, open-label, long-term study where all patients received riociguat individually adjusted to a maximum dose of 2.5 mg tid, with or without background therapy. During a median treatment duration of 2.7 years, almost all patients (98%) treated with riociguat experienced </w:t>
      </w:r>
      <w:r w:rsidR="006B2A7D">
        <w:t>AE</w:t>
      </w:r>
      <w:r w:rsidRPr="00EB1471">
        <w:t xml:space="preserve">s. Both drug-related </w:t>
      </w:r>
      <w:r w:rsidR="006B2A7D">
        <w:t>AE</w:t>
      </w:r>
      <w:r w:rsidRPr="00EB1471">
        <w:t xml:space="preserve">s and serious </w:t>
      </w:r>
      <w:r w:rsidR="006B2A7D">
        <w:t>AE</w:t>
      </w:r>
      <w:r w:rsidRPr="00EB1471">
        <w:t xml:space="preserve">s occurred in around 60% of the overall population, with </w:t>
      </w:r>
      <w:r w:rsidR="006B2A7D">
        <w:t>AE</w:t>
      </w:r>
      <w:r w:rsidRPr="00EB1471">
        <w:t>s more frequent in the pre-treated group (receiving background therapy with ERA and/or prostanoid) than the treatment-naïve group (without background therapy) (</w:t>
      </w:r>
      <w:r w:rsidR="003951FA">
        <w:t>Table 4.</w:t>
      </w:r>
      <w:r w:rsidR="003951FA">
        <w:rPr>
          <w:noProof/>
        </w:rPr>
        <w:t>117</w:t>
      </w:r>
      <w:r w:rsidRPr="00EB1471">
        <w:t xml:space="preserve">). The most common serious </w:t>
      </w:r>
      <w:r w:rsidR="006B2A7D">
        <w:t>AE</w:t>
      </w:r>
      <w:r w:rsidRPr="00EB1471">
        <w:t xml:space="preserve">s were syncope (in 10% patients, with 3% considered drug-related), worsening PAH (10% patients, 1% drug-related), and right ventricular failure (8% patients, 0% drug-related). Serious </w:t>
      </w:r>
      <w:r w:rsidR="006B2A7D">
        <w:t>AE</w:t>
      </w:r>
      <w:r w:rsidRPr="00EB1471">
        <w:t xml:space="preserve">s of haemoptysis and pulmonary haemorrhage occurred in 13 patients (3%). Of these 13 patients, the cases </w:t>
      </w:r>
      <w:proofErr w:type="gramStart"/>
      <w:r w:rsidRPr="00EB1471">
        <w:t>were considered</w:t>
      </w:r>
      <w:proofErr w:type="gramEnd"/>
      <w:r w:rsidRPr="00EB1471">
        <w:t xml:space="preserve"> study-drug related by the investigators in four (1%) patients, including two (0.5%) fatal cases. There were 45 (11%) patients in the PATENT extension study discontinued riociguat treatment </w:t>
      </w:r>
      <w:proofErr w:type="gramStart"/>
      <w:r w:rsidRPr="00EB1471">
        <w:t>as a result</w:t>
      </w:r>
      <w:proofErr w:type="gramEnd"/>
      <w:r w:rsidRPr="00EB1471">
        <w:t xml:space="preserve"> of </w:t>
      </w:r>
      <w:r w:rsidR="006B2A7D">
        <w:t>AE</w:t>
      </w:r>
      <w:r w:rsidR="00D27594">
        <w:t>s.</w:t>
      </w:r>
    </w:p>
    <w:p w:rsidR="001D0FDA" w:rsidRPr="00EB1471" w:rsidRDefault="001D0FDA" w:rsidP="001D0FDA">
      <w:r w:rsidRPr="00EB1471">
        <w:t xml:space="preserve">The safety profile section of the riociguat PI was based on two short-term (12-16 weeks) placebo-controlled RCTs in patients with PAH (PATENT-1) and in patients with chronic thromboembolic pulmonary hypertension (CHEST-1). The </w:t>
      </w:r>
      <w:r w:rsidR="006B2A7D">
        <w:t>AE</w:t>
      </w:r>
      <w:r w:rsidRPr="00EB1471">
        <w:t>s observed in the PATENT extension study were also reported in these two RCTs, but generally with a higher incidence rate due to its longer follow-up (2.7 years). Serious haemoptysis and pulmonary haemorrhage, including cases with fatal outcome have been included in the riociguat PI.</w:t>
      </w:r>
    </w:p>
    <w:p w:rsidR="001D0FDA" w:rsidRPr="00EB1471" w:rsidRDefault="001D0FDA" w:rsidP="001D0FDA">
      <w:pPr>
        <w:pStyle w:val="Caption"/>
      </w:pPr>
      <w:bookmarkStart w:id="330" w:name="_Ref504666759"/>
      <w:bookmarkStart w:id="331" w:name="_Toc38360414"/>
      <w:r>
        <w:t>Table 4.</w:t>
      </w:r>
      <w:r w:rsidR="003951FA">
        <w:rPr>
          <w:noProof/>
        </w:rPr>
        <w:t>117</w:t>
      </w:r>
      <w:bookmarkEnd w:id="330"/>
      <w:r>
        <w:tab/>
      </w:r>
      <w:r w:rsidRPr="00EB1471">
        <w:t>AEs reported in the PATENT extension study</w:t>
      </w:r>
      <w:bookmarkEnd w:id="331"/>
    </w:p>
    <w:tbl>
      <w:tblPr>
        <w:tblStyle w:val="TableGrid"/>
        <w:tblW w:w="9776" w:type="dxa"/>
        <w:tblLook w:val="04A0" w:firstRow="1" w:lastRow="0" w:firstColumn="1" w:lastColumn="0" w:noHBand="0" w:noVBand="1"/>
        <w:tblCaption w:val="AEs reported in the PATENT extension study"/>
      </w:tblPr>
      <w:tblGrid>
        <w:gridCol w:w="3397"/>
        <w:gridCol w:w="3260"/>
        <w:gridCol w:w="3119"/>
      </w:tblGrid>
      <w:tr w:rsidR="001D0FDA" w:rsidRPr="00EB1471" w:rsidTr="001D0FDA">
        <w:trPr>
          <w:cnfStyle w:val="100000000000" w:firstRow="1" w:lastRow="0" w:firstColumn="0" w:lastColumn="0" w:oddVBand="0" w:evenVBand="0" w:oddHBand="0" w:evenHBand="0" w:firstRowFirstColumn="0" w:firstRowLastColumn="0" w:lastRowFirstColumn="0" w:lastRowLastColumn="0"/>
        </w:trPr>
        <w:tc>
          <w:tcPr>
            <w:tcW w:w="3397" w:type="dxa"/>
            <w:shd w:val="clear" w:color="auto" w:fill="BFBFBF" w:themeFill="background1" w:themeFillShade="BF"/>
          </w:tcPr>
          <w:p w:rsidR="001D0FDA" w:rsidRPr="00EB1471" w:rsidRDefault="007849BD" w:rsidP="001D0FDA">
            <w:pPr>
              <w:pStyle w:val="Tabletext"/>
              <w:rPr>
                <w:b/>
              </w:rPr>
            </w:pPr>
            <w:r w:rsidRPr="007849BD">
              <w:rPr>
                <w:b/>
              </w:rPr>
              <w:t>AEs</w:t>
            </w:r>
          </w:p>
        </w:tc>
        <w:tc>
          <w:tcPr>
            <w:tcW w:w="3260" w:type="dxa"/>
            <w:shd w:val="clear" w:color="auto" w:fill="BFBFBF" w:themeFill="background1" w:themeFillShade="BF"/>
          </w:tcPr>
          <w:p w:rsidR="001D0FDA" w:rsidRPr="00EB1471" w:rsidRDefault="001D0FDA" w:rsidP="001D0FDA">
            <w:pPr>
              <w:pStyle w:val="Tabletext"/>
              <w:jc w:val="center"/>
              <w:rPr>
                <w:b/>
              </w:rPr>
            </w:pPr>
            <w:r w:rsidRPr="00EB1471">
              <w:rPr>
                <w:b/>
              </w:rPr>
              <w:t xml:space="preserve">Riociguat </w:t>
            </w:r>
            <w:r w:rsidRPr="00EB1471">
              <w:rPr>
                <w:b/>
              </w:rPr>
              <w:br/>
              <w:t>(n=197)</w:t>
            </w:r>
          </w:p>
        </w:tc>
        <w:tc>
          <w:tcPr>
            <w:tcW w:w="3119" w:type="dxa"/>
            <w:shd w:val="clear" w:color="auto" w:fill="BFBFBF" w:themeFill="background1" w:themeFillShade="BF"/>
          </w:tcPr>
          <w:p w:rsidR="001D0FDA" w:rsidRPr="00EB1471" w:rsidRDefault="001D0FDA" w:rsidP="001D0FDA">
            <w:pPr>
              <w:pStyle w:val="Tabletext"/>
              <w:jc w:val="center"/>
              <w:rPr>
                <w:b/>
              </w:rPr>
            </w:pPr>
            <w:r w:rsidRPr="00EB1471">
              <w:rPr>
                <w:b/>
              </w:rPr>
              <w:t xml:space="preserve">Riociguat ± ERA and/or prostanoid </w:t>
            </w:r>
            <w:r w:rsidRPr="00EB1471">
              <w:rPr>
                <w:b/>
              </w:rPr>
              <w:br/>
              <w:t>(n=199)</w:t>
            </w:r>
          </w:p>
        </w:tc>
      </w:tr>
      <w:tr w:rsidR="001D0FDA" w:rsidRPr="00EB1471" w:rsidTr="001D0FDA">
        <w:tc>
          <w:tcPr>
            <w:tcW w:w="3397" w:type="dxa"/>
          </w:tcPr>
          <w:p w:rsidR="001D0FDA" w:rsidRPr="00EB1471" w:rsidRDefault="001D0FDA" w:rsidP="001D0FDA">
            <w:pPr>
              <w:pStyle w:val="Tabletext"/>
            </w:pPr>
            <w:r w:rsidRPr="00EB1471">
              <w:t>Any AEs</w:t>
            </w:r>
          </w:p>
        </w:tc>
        <w:tc>
          <w:tcPr>
            <w:tcW w:w="3260" w:type="dxa"/>
          </w:tcPr>
          <w:p w:rsidR="001D0FDA" w:rsidRPr="00EB1471" w:rsidRDefault="001D0FDA" w:rsidP="001D0FDA">
            <w:pPr>
              <w:pStyle w:val="Tabletext"/>
              <w:jc w:val="center"/>
            </w:pPr>
            <w:r w:rsidRPr="00EB1471">
              <w:t>190 (96%)</w:t>
            </w:r>
          </w:p>
        </w:tc>
        <w:tc>
          <w:tcPr>
            <w:tcW w:w="3119" w:type="dxa"/>
          </w:tcPr>
          <w:p w:rsidR="001D0FDA" w:rsidRPr="00EB1471" w:rsidRDefault="001D0FDA" w:rsidP="001D0FDA">
            <w:pPr>
              <w:pStyle w:val="Tabletext"/>
              <w:jc w:val="center"/>
            </w:pPr>
            <w:r w:rsidRPr="00EB1471">
              <w:t>198 (99%)</w:t>
            </w:r>
          </w:p>
        </w:tc>
      </w:tr>
      <w:tr w:rsidR="001D0FDA" w:rsidRPr="00EB1471" w:rsidTr="001D0FDA">
        <w:tc>
          <w:tcPr>
            <w:tcW w:w="3397" w:type="dxa"/>
          </w:tcPr>
          <w:p w:rsidR="001D0FDA" w:rsidRPr="00EB1471" w:rsidRDefault="001D0FDA" w:rsidP="001D0FDA">
            <w:pPr>
              <w:pStyle w:val="Tabletext"/>
            </w:pPr>
            <w:r w:rsidRPr="00EB1471">
              <w:t>Drug-related AEs</w:t>
            </w:r>
          </w:p>
        </w:tc>
        <w:tc>
          <w:tcPr>
            <w:tcW w:w="3260" w:type="dxa"/>
          </w:tcPr>
          <w:p w:rsidR="001D0FDA" w:rsidRPr="00EB1471" w:rsidRDefault="001D0FDA" w:rsidP="001D0FDA">
            <w:pPr>
              <w:pStyle w:val="Tabletext"/>
              <w:jc w:val="center"/>
            </w:pPr>
            <w:r w:rsidRPr="00EB1471">
              <w:t>104 (53%)</w:t>
            </w:r>
          </w:p>
        </w:tc>
        <w:tc>
          <w:tcPr>
            <w:tcW w:w="3119" w:type="dxa"/>
          </w:tcPr>
          <w:p w:rsidR="001D0FDA" w:rsidRPr="00EB1471" w:rsidRDefault="001D0FDA" w:rsidP="001D0FDA">
            <w:pPr>
              <w:pStyle w:val="Tabletext"/>
              <w:jc w:val="center"/>
            </w:pPr>
            <w:r w:rsidRPr="00EB1471">
              <w:t>128 (64%)</w:t>
            </w:r>
          </w:p>
        </w:tc>
      </w:tr>
      <w:tr w:rsidR="001D0FDA" w:rsidRPr="00EB1471" w:rsidTr="001D0FDA">
        <w:tc>
          <w:tcPr>
            <w:tcW w:w="3397" w:type="dxa"/>
          </w:tcPr>
          <w:p w:rsidR="001D0FDA" w:rsidRPr="00EB1471" w:rsidRDefault="001D0FDA" w:rsidP="001D0FDA">
            <w:pPr>
              <w:pStyle w:val="Tabletext"/>
            </w:pPr>
            <w:r w:rsidRPr="00EB1471">
              <w:t>Serious AEs</w:t>
            </w:r>
          </w:p>
        </w:tc>
        <w:tc>
          <w:tcPr>
            <w:tcW w:w="3260" w:type="dxa"/>
          </w:tcPr>
          <w:p w:rsidR="001D0FDA" w:rsidRPr="00EB1471" w:rsidRDefault="001D0FDA" w:rsidP="001D0FDA">
            <w:pPr>
              <w:pStyle w:val="Tabletext"/>
              <w:jc w:val="center"/>
            </w:pPr>
            <w:r w:rsidRPr="00EB1471">
              <w:t>103 (52%)</w:t>
            </w:r>
          </w:p>
        </w:tc>
        <w:tc>
          <w:tcPr>
            <w:tcW w:w="3119" w:type="dxa"/>
          </w:tcPr>
          <w:p w:rsidR="001D0FDA" w:rsidRPr="00EB1471" w:rsidRDefault="001D0FDA" w:rsidP="001D0FDA">
            <w:pPr>
              <w:pStyle w:val="Tabletext"/>
              <w:jc w:val="center"/>
            </w:pPr>
            <w:r w:rsidRPr="00EB1471">
              <w:t>135 (68%)</w:t>
            </w:r>
          </w:p>
        </w:tc>
      </w:tr>
      <w:tr w:rsidR="001D0FDA" w:rsidRPr="00EB1471" w:rsidTr="001D0FDA">
        <w:tc>
          <w:tcPr>
            <w:tcW w:w="3397" w:type="dxa"/>
          </w:tcPr>
          <w:p w:rsidR="001D0FDA" w:rsidRPr="00EB1471" w:rsidRDefault="001D0FDA" w:rsidP="001D0FDA">
            <w:pPr>
              <w:pStyle w:val="Tabletext"/>
            </w:pPr>
            <w:r w:rsidRPr="00EB1471">
              <w:t>Discontinuation due to AEs</w:t>
            </w:r>
          </w:p>
        </w:tc>
        <w:tc>
          <w:tcPr>
            <w:tcW w:w="3260" w:type="dxa"/>
          </w:tcPr>
          <w:p w:rsidR="001D0FDA" w:rsidRPr="00EB1471" w:rsidRDefault="001D0FDA" w:rsidP="001D0FDA">
            <w:pPr>
              <w:pStyle w:val="Tabletext"/>
              <w:jc w:val="center"/>
            </w:pPr>
            <w:r w:rsidRPr="00EB1471">
              <w:t>14 (7%)</w:t>
            </w:r>
          </w:p>
        </w:tc>
        <w:tc>
          <w:tcPr>
            <w:tcW w:w="3119" w:type="dxa"/>
          </w:tcPr>
          <w:p w:rsidR="001D0FDA" w:rsidRPr="00EB1471" w:rsidRDefault="001D0FDA" w:rsidP="001D0FDA">
            <w:pPr>
              <w:pStyle w:val="Tabletext"/>
              <w:jc w:val="center"/>
            </w:pPr>
            <w:r w:rsidRPr="00EB1471">
              <w:t>31 (16%)</w:t>
            </w:r>
          </w:p>
        </w:tc>
      </w:tr>
      <w:tr w:rsidR="001D0FDA" w:rsidRPr="00EB1471" w:rsidTr="001D0FDA">
        <w:tc>
          <w:tcPr>
            <w:tcW w:w="3397" w:type="dxa"/>
            <w:tcBorders>
              <w:bottom w:val="nil"/>
            </w:tcBorders>
          </w:tcPr>
          <w:p w:rsidR="001D0FDA" w:rsidRPr="00EB1471" w:rsidRDefault="001D0FDA" w:rsidP="001D0FDA">
            <w:pPr>
              <w:pStyle w:val="Tabletext"/>
            </w:pPr>
            <w:r w:rsidRPr="00EB1471">
              <w:t>AEs of special interest in &gt;5% of overall population</w:t>
            </w:r>
          </w:p>
        </w:tc>
        <w:tc>
          <w:tcPr>
            <w:tcW w:w="3260" w:type="dxa"/>
            <w:tcBorders>
              <w:bottom w:val="nil"/>
            </w:tcBorders>
          </w:tcPr>
          <w:p w:rsidR="001D0FDA" w:rsidRPr="00EB1471" w:rsidRDefault="001D0FDA" w:rsidP="001D0FDA">
            <w:pPr>
              <w:pStyle w:val="Tabletext"/>
              <w:jc w:val="center"/>
            </w:pPr>
          </w:p>
        </w:tc>
        <w:tc>
          <w:tcPr>
            <w:tcW w:w="3119" w:type="dxa"/>
            <w:tcBorders>
              <w:bottom w:val="nil"/>
            </w:tcBorders>
          </w:tcPr>
          <w:p w:rsidR="001D0FDA" w:rsidRPr="00EB1471" w:rsidRDefault="001D0FDA" w:rsidP="001D0FDA">
            <w:pPr>
              <w:pStyle w:val="Tabletext"/>
              <w:jc w:val="center"/>
            </w:pPr>
          </w:p>
        </w:tc>
      </w:tr>
      <w:tr w:rsidR="001D0FDA" w:rsidRPr="00EB1471" w:rsidTr="001D0FDA">
        <w:tc>
          <w:tcPr>
            <w:tcW w:w="3397" w:type="dxa"/>
            <w:tcBorders>
              <w:top w:val="nil"/>
              <w:bottom w:val="nil"/>
            </w:tcBorders>
          </w:tcPr>
          <w:p w:rsidR="001D0FDA" w:rsidRPr="00EB1471" w:rsidRDefault="001D0FDA" w:rsidP="001D0FDA">
            <w:pPr>
              <w:pStyle w:val="Tabletext"/>
              <w:ind w:left="171"/>
            </w:pPr>
            <w:r w:rsidRPr="00EB1471">
              <w:t>Hypotension</w:t>
            </w:r>
          </w:p>
        </w:tc>
        <w:tc>
          <w:tcPr>
            <w:tcW w:w="3260" w:type="dxa"/>
            <w:tcBorders>
              <w:top w:val="nil"/>
              <w:bottom w:val="nil"/>
            </w:tcBorders>
          </w:tcPr>
          <w:p w:rsidR="001D0FDA" w:rsidRPr="00EB1471" w:rsidRDefault="001D0FDA" w:rsidP="001D0FDA">
            <w:pPr>
              <w:pStyle w:val="Tabletext"/>
              <w:jc w:val="center"/>
            </w:pPr>
            <w:r w:rsidRPr="00EB1471">
              <w:t>21 (11%)</w:t>
            </w:r>
          </w:p>
        </w:tc>
        <w:tc>
          <w:tcPr>
            <w:tcW w:w="3119" w:type="dxa"/>
            <w:tcBorders>
              <w:top w:val="nil"/>
              <w:bottom w:val="nil"/>
            </w:tcBorders>
          </w:tcPr>
          <w:p w:rsidR="001D0FDA" w:rsidRPr="00EB1471" w:rsidRDefault="001D0FDA" w:rsidP="001D0FDA">
            <w:pPr>
              <w:pStyle w:val="Tabletext"/>
              <w:jc w:val="center"/>
            </w:pPr>
            <w:r w:rsidRPr="00EB1471">
              <w:t>30 (15%)</w:t>
            </w:r>
          </w:p>
        </w:tc>
      </w:tr>
      <w:tr w:rsidR="001D0FDA" w:rsidRPr="00EB1471" w:rsidTr="001D0FDA">
        <w:tc>
          <w:tcPr>
            <w:tcW w:w="3397" w:type="dxa"/>
            <w:tcBorders>
              <w:top w:val="nil"/>
              <w:bottom w:val="nil"/>
            </w:tcBorders>
          </w:tcPr>
          <w:p w:rsidR="001D0FDA" w:rsidRPr="00EB1471" w:rsidRDefault="001D0FDA" w:rsidP="001D0FDA">
            <w:pPr>
              <w:pStyle w:val="Tabletext"/>
              <w:ind w:left="171"/>
            </w:pPr>
            <w:r w:rsidRPr="00EB1471">
              <w:t xml:space="preserve">Syncope </w:t>
            </w:r>
          </w:p>
        </w:tc>
        <w:tc>
          <w:tcPr>
            <w:tcW w:w="3260" w:type="dxa"/>
            <w:tcBorders>
              <w:top w:val="nil"/>
              <w:bottom w:val="nil"/>
            </w:tcBorders>
          </w:tcPr>
          <w:p w:rsidR="001D0FDA" w:rsidRPr="00EB1471" w:rsidRDefault="001D0FDA" w:rsidP="001D0FDA">
            <w:pPr>
              <w:pStyle w:val="Tabletext"/>
              <w:jc w:val="center"/>
            </w:pPr>
            <w:r w:rsidRPr="00EB1471">
              <w:t>11 (6%)</w:t>
            </w:r>
          </w:p>
        </w:tc>
        <w:tc>
          <w:tcPr>
            <w:tcW w:w="3119" w:type="dxa"/>
            <w:tcBorders>
              <w:top w:val="nil"/>
              <w:bottom w:val="nil"/>
            </w:tcBorders>
          </w:tcPr>
          <w:p w:rsidR="001D0FDA" w:rsidRPr="00EB1471" w:rsidRDefault="001D0FDA" w:rsidP="001D0FDA">
            <w:pPr>
              <w:pStyle w:val="Tabletext"/>
              <w:jc w:val="center"/>
            </w:pPr>
            <w:r w:rsidRPr="00EB1471">
              <w:t>27 (14%)</w:t>
            </w:r>
          </w:p>
        </w:tc>
      </w:tr>
      <w:tr w:rsidR="001D0FDA" w:rsidRPr="00EB1471" w:rsidTr="001D0FDA">
        <w:tc>
          <w:tcPr>
            <w:tcW w:w="3397" w:type="dxa"/>
            <w:tcBorders>
              <w:top w:val="nil"/>
            </w:tcBorders>
          </w:tcPr>
          <w:p w:rsidR="001D0FDA" w:rsidRPr="00EB1471" w:rsidRDefault="001D0FDA" w:rsidP="001D0FDA">
            <w:pPr>
              <w:pStyle w:val="Tabletext"/>
              <w:ind w:left="171"/>
            </w:pPr>
            <w:r w:rsidRPr="00EB1471">
              <w:t xml:space="preserve">Haemoptysis or pulmonary haemorrhage </w:t>
            </w:r>
          </w:p>
        </w:tc>
        <w:tc>
          <w:tcPr>
            <w:tcW w:w="3260" w:type="dxa"/>
            <w:tcBorders>
              <w:top w:val="nil"/>
            </w:tcBorders>
          </w:tcPr>
          <w:p w:rsidR="001D0FDA" w:rsidRPr="00EB1471" w:rsidRDefault="001D0FDA" w:rsidP="001D0FDA">
            <w:pPr>
              <w:pStyle w:val="Tabletext"/>
              <w:jc w:val="center"/>
            </w:pPr>
            <w:r w:rsidRPr="00EB1471">
              <w:t>18 (9%)</w:t>
            </w:r>
          </w:p>
        </w:tc>
        <w:tc>
          <w:tcPr>
            <w:tcW w:w="3119" w:type="dxa"/>
            <w:tcBorders>
              <w:top w:val="nil"/>
            </w:tcBorders>
          </w:tcPr>
          <w:p w:rsidR="001D0FDA" w:rsidRPr="00EB1471" w:rsidRDefault="001D0FDA" w:rsidP="001D0FDA">
            <w:pPr>
              <w:pStyle w:val="Tabletext"/>
              <w:jc w:val="center"/>
            </w:pPr>
            <w:r w:rsidRPr="00EB1471">
              <w:t>12 (6%)</w:t>
            </w:r>
          </w:p>
        </w:tc>
      </w:tr>
    </w:tbl>
    <w:p w:rsidR="001D0FDA" w:rsidRPr="00EB1471" w:rsidRDefault="001D0FDA" w:rsidP="001D0FDA">
      <w:pPr>
        <w:pStyle w:val="Tablenote"/>
      </w:pPr>
      <w:r w:rsidRPr="00EB1471">
        <w:t>AE = adverse event; ERA = endothelin receptor antagonist</w:t>
      </w:r>
      <w:r w:rsidR="00D2075A">
        <w:t>; n = number of patients</w:t>
      </w:r>
    </w:p>
    <w:p w:rsidR="001D0FDA" w:rsidRPr="00EB1471" w:rsidRDefault="001D0FDA" w:rsidP="001D0FDA">
      <w:pPr>
        <w:pStyle w:val="Tablenote"/>
      </w:pPr>
      <w:r w:rsidRPr="00EB1471">
        <w:t>Source: Ghofrani et al 2016</w:t>
      </w:r>
      <w:r w:rsidR="001D34EE" w:rsidRPr="001A1C44">
        <w:rPr>
          <w:noProof/>
          <w:vertAlign w:val="superscript"/>
        </w:rPr>
        <w:t>65</w:t>
      </w:r>
    </w:p>
    <w:p w:rsidR="001D0FDA" w:rsidRPr="00EB1471" w:rsidRDefault="001D0FDA" w:rsidP="00480FDF">
      <w:pPr>
        <w:pStyle w:val="Heading5"/>
        <w:numPr>
          <w:ilvl w:val="4"/>
          <w:numId w:val="45"/>
        </w:numPr>
      </w:pPr>
      <w:r w:rsidRPr="00EB1471">
        <w:t>ERA in combination with PDE-5 inhibitor</w:t>
      </w:r>
    </w:p>
    <w:p w:rsidR="001D0FDA" w:rsidRPr="00EB1471" w:rsidRDefault="001D0FDA" w:rsidP="001D0FDA">
      <w:r w:rsidRPr="00EB1471">
        <w:t>Sitbon et al</w:t>
      </w:r>
      <w:r w:rsidR="001D34EE" w:rsidRPr="001A1C44">
        <w:rPr>
          <w:noProof/>
          <w:vertAlign w:val="superscript"/>
        </w:rPr>
        <w:t>68</w:t>
      </w:r>
      <w:r w:rsidRPr="00EB1471">
        <w:t xml:space="preserve"> conducted a retrospective analysis of real-world clinical data in 97 patients with newly diagnosed WHO FC III-IV PAH who were treated with upfront combination therapy of bosentan + sildenafil (63%), bosentan + tadalafil (18%), ambrisentan + tadalafil (11%) or ambrisentan + sildenafil (8%). The authors concluded that ERA in combination with PDE-5 inhibitor </w:t>
      </w:r>
      <w:proofErr w:type="gramStart"/>
      <w:r w:rsidRPr="00EB1471">
        <w:t>were generally well tolerated</w:t>
      </w:r>
      <w:proofErr w:type="gramEnd"/>
      <w:r w:rsidRPr="00EB1471">
        <w:t xml:space="preserve"> with </w:t>
      </w:r>
      <w:r w:rsidR="006B2A7D">
        <w:t>AE</w:t>
      </w:r>
      <w:r w:rsidRPr="00EB1471">
        <w:t xml:space="preserve">s consistent with the drugs' known side effect profiles. Over a median follow-up period of 2.5 years, treatment discontinuation or switching due to </w:t>
      </w:r>
      <w:r w:rsidR="006B2A7D">
        <w:t>AE</w:t>
      </w:r>
      <w:r w:rsidRPr="00EB1471">
        <w:t xml:space="preserve">s occurred in five (5%) patients: one patient stopped sildenafil due to blurred vision; two patients </w:t>
      </w:r>
      <w:proofErr w:type="gramStart"/>
      <w:r w:rsidRPr="00EB1471">
        <w:t>were switched</w:t>
      </w:r>
      <w:proofErr w:type="gramEnd"/>
      <w:r w:rsidRPr="00EB1471">
        <w:t xml:space="preserve"> from bosentan to ambrisentan due to elevated liver enzyme &gt; 5 ULN; and the other two were switched from ambrisentan to bosentan due to leg oedema. All switches between ERAs led to resolution of the </w:t>
      </w:r>
      <w:r w:rsidR="006B2A7D">
        <w:t>AE</w:t>
      </w:r>
      <w:r w:rsidRPr="00EB1471">
        <w:t xml:space="preserve">. </w:t>
      </w:r>
      <w:proofErr w:type="gramStart"/>
      <w:r w:rsidRPr="00EB1471">
        <w:t>No other safety results were p</w:t>
      </w:r>
      <w:r w:rsidR="002856B6">
        <w:t>rovided by the published paper</w:t>
      </w:r>
      <w:proofErr w:type="gramEnd"/>
      <w:r w:rsidR="002856B6">
        <w:t>.</w:t>
      </w:r>
    </w:p>
    <w:p w:rsidR="001D0FDA" w:rsidRPr="00EB1471" w:rsidRDefault="001D0FDA" w:rsidP="001D0FDA">
      <w:r w:rsidRPr="00EB1471">
        <w:t xml:space="preserve">Visual disturbance </w:t>
      </w:r>
      <w:r>
        <w:t xml:space="preserve">in patients receiving sildenafil </w:t>
      </w:r>
      <w:proofErr w:type="gramStart"/>
      <w:r>
        <w:t>has been noted</w:t>
      </w:r>
      <w:proofErr w:type="gramEnd"/>
      <w:r>
        <w:t xml:space="preserve"> by sildenafil PI</w:t>
      </w:r>
      <w:r w:rsidRPr="00EB1471">
        <w:t xml:space="preserve">. ERAs </w:t>
      </w:r>
      <w:proofErr w:type="gramStart"/>
      <w:r w:rsidRPr="00EB1471">
        <w:t>are known</w:t>
      </w:r>
      <w:proofErr w:type="gramEnd"/>
      <w:r w:rsidRPr="00EB1471">
        <w:t xml:space="preserve"> to be associated with increased risk of abnormal liver function and peripheral oedema. In summary, the safety data from Sitbon 2016 do not reveal any new safety concerns.</w:t>
      </w:r>
    </w:p>
    <w:p w:rsidR="001D0FDA" w:rsidRPr="00EB1471" w:rsidRDefault="001D0FDA" w:rsidP="00480FDF">
      <w:pPr>
        <w:pStyle w:val="Heading5"/>
        <w:numPr>
          <w:ilvl w:val="4"/>
          <w:numId w:val="45"/>
        </w:numPr>
      </w:pPr>
      <w:r w:rsidRPr="00EB1471">
        <w:t>PDE-5 inhibitor in combination with prostacyclin analogue</w:t>
      </w:r>
    </w:p>
    <w:p w:rsidR="001D0FDA" w:rsidRPr="00EB1471" w:rsidRDefault="001D0FDA" w:rsidP="001D0FDA">
      <w:r w:rsidRPr="00EB1471">
        <w:t xml:space="preserve">Long-term safety results of combination therapy with sildenafil and epoprostenol were reported by the PACES extension </w:t>
      </w:r>
      <w:proofErr w:type="gramStart"/>
      <w:r w:rsidRPr="00EB1471">
        <w:t>study which</w:t>
      </w:r>
      <w:proofErr w:type="gramEnd"/>
      <w:r w:rsidRPr="00EB1471">
        <w:t xml:space="preserve"> recruited patients with IPAH or PAH-CTD who completed the randomised placebo-controlled Trial PACES-1</w:t>
      </w:r>
      <w:r w:rsidR="001D34EE" w:rsidRPr="001A1C44">
        <w:rPr>
          <w:noProof/>
          <w:vertAlign w:val="superscript"/>
        </w:rPr>
        <w:t>64</w:t>
      </w:r>
      <w:r w:rsidRPr="00EB1471">
        <w:t xml:space="preserve">. Over median sildenafil exposure of 3.2 years, all patients experienced ≥1 </w:t>
      </w:r>
      <w:r w:rsidR="006B2A7D">
        <w:t>AE</w:t>
      </w:r>
      <w:r w:rsidRPr="00EB1471">
        <w:t xml:space="preserve">s. Most </w:t>
      </w:r>
      <w:r w:rsidR="006B2A7D">
        <w:t>AE</w:t>
      </w:r>
      <w:r w:rsidRPr="00EB1471">
        <w:t xml:space="preserve">s were mild or moderate in severity. The most common treatment-related </w:t>
      </w:r>
      <w:r w:rsidR="006B2A7D">
        <w:t>AE</w:t>
      </w:r>
      <w:r w:rsidRPr="00EB1471">
        <w:t xml:space="preserve">s included headache (49%), flushing (22%), and nausea (17%). Serious </w:t>
      </w:r>
      <w:r w:rsidR="006B2A7D">
        <w:t>AE</w:t>
      </w:r>
      <w:r w:rsidRPr="00EB1471">
        <w:t xml:space="preserve">s occurred in 77% of patients; however, only 7% of patients had a serious </w:t>
      </w:r>
      <w:proofErr w:type="gramStart"/>
      <w:r w:rsidR="006B2A7D">
        <w:t>AE</w:t>
      </w:r>
      <w:r w:rsidRPr="00EB1471">
        <w:t xml:space="preserve"> which</w:t>
      </w:r>
      <w:proofErr w:type="gramEnd"/>
      <w:r w:rsidRPr="00EB1471">
        <w:t xml:space="preserve"> was considered to be treatment-related. Adverse events leading to premature discontinuation </w:t>
      </w:r>
      <w:proofErr w:type="gramStart"/>
      <w:r w:rsidRPr="00EB1471">
        <w:t>were reported</w:t>
      </w:r>
      <w:proofErr w:type="gramEnd"/>
      <w:r w:rsidRPr="00EB1471">
        <w:t xml:space="preserve"> in 19% of patients. Treatment-related serious </w:t>
      </w:r>
      <w:r w:rsidR="006B2A7D">
        <w:t>AE</w:t>
      </w:r>
      <w:r w:rsidRPr="00EB1471">
        <w:t xml:space="preserve">s that resulted in discontinuation included, in </w:t>
      </w:r>
      <w:proofErr w:type="gramStart"/>
      <w:r w:rsidR="007E4C7F">
        <w:t>one</w:t>
      </w:r>
      <w:r w:rsidRPr="00EB1471">
        <w:t>(</w:t>
      </w:r>
      <w:proofErr w:type="gramEnd"/>
      <w:r w:rsidRPr="00EB1471">
        <w:t xml:space="preserve">0.4%) patient each, cardiac failure, cardiac arrest, thrombolic thrombocytopenic purpura, rectal haemorrhage, skin reaction and suicide attempt. There were no discontinuations because of laboratory test abnormalities during the study. The investigator considered two (0.8%) deaths, both from cardiac arrest, to </w:t>
      </w:r>
      <w:proofErr w:type="gramStart"/>
      <w:r w:rsidRPr="00EB1471">
        <w:t>be related</w:t>
      </w:r>
      <w:proofErr w:type="gramEnd"/>
      <w:r w:rsidRPr="00EB1471">
        <w:t xml:space="preserve"> to sildenafil treatment.</w:t>
      </w:r>
    </w:p>
    <w:p w:rsidR="001D0FDA" w:rsidRPr="00EB1471" w:rsidRDefault="001D0FDA" w:rsidP="001D0FDA">
      <w:r w:rsidRPr="00EB1471">
        <w:t>One (0.4%) patient in the PACES extension study withdrew</w:t>
      </w:r>
      <w:r>
        <w:t xml:space="preserve"> due to suicide attempt judged by the investigator to be treatment-related. </w:t>
      </w:r>
      <w:r w:rsidRPr="00EB1471">
        <w:t xml:space="preserve">This </w:t>
      </w:r>
      <w:r w:rsidR="006B2A7D">
        <w:t>AE</w:t>
      </w:r>
      <w:r w:rsidRPr="00EB1471">
        <w:t xml:space="preserve"> </w:t>
      </w:r>
      <w:proofErr w:type="gramStart"/>
      <w:r>
        <w:t>has not been noted</w:t>
      </w:r>
      <w:proofErr w:type="gramEnd"/>
      <w:r w:rsidRPr="00EB1471">
        <w:t xml:space="preserve"> in the sildenafil PI, n</w:t>
      </w:r>
      <w:r>
        <w:t>either</w:t>
      </w:r>
      <w:r w:rsidRPr="00EB1471">
        <w:t xml:space="preserve"> in the epoprostenol PI. </w:t>
      </w:r>
      <w:r>
        <w:t>G</w:t>
      </w:r>
      <w:r w:rsidRPr="00EB1471">
        <w:t xml:space="preserve">iven </w:t>
      </w:r>
      <w:r>
        <w:t xml:space="preserve">its </w:t>
      </w:r>
      <w:r w:rsidRPr="00EB1471">
        <w:t xml:space="preserve">low incidence and the absence of control group in the PACES extension study, the temporal association between this </w:t>
      </w:r>
      <w:r w:rsidR="006B2A7D">
        <w:t>AE</w:t>
      </w:r>
      <w:r w:rsidRPr="00EB1471">
        <w:t xml:space="preserve"> and combination therapy with sildenafil and epoprostenol </w:t>
      </w:r>
      <w:proofErr w:type="gramStart"/>
      <w:r w:rsidRPr="00EB1471">
        <w:t xml:space="preserve">cannot be </w:t>
      </w:r>
      <w:r>
        <w:t>established</w:t>
      </w:r>
      <w:proofErr w:type="gramEnd"/>
      <w:r w:rsidRPr="00EB1471">
        <w:t xml:space="preserve">. </w:t>
      </w:r>
      <w:r>
        <w:t>Other</w:t>
      </w:r>
      <w:r w:rsidRPr="00EB1471">
        <w:t xml:space="preserve"> </w:t>
      </w:r>
      <w:r w:rsidR="006B2A7D">
        <w:t>AE</w:t>
      </w:r>
      <w:r w:rsidRPr="00EB1471">
        <w:t xml:space="preserve">s reported in PACES extension study </w:t>
      </w:r>
      <w:proofErr w:type="gramStart"/>
      <w:r w:rsidRPr="00EB1471">
        <w:t>have been identified</w:t>
      </w:r>
      <w:proofErr w:type="gramEnd"/>
      <w:r w:rsidRPr="00EB1471">
        <w:t xml:space="preserve"> by clinical trials or post-marketing data and are noted by sildenafil and/or epoprostenol PI document(s): for example, cardia arrest in the sildenafil PI; thrombocytopenia and increased risk of haemorrhage in the epoprostenol PI; headache, flushing, nausea, and skin </w:t>
      </w:r>
      <w:r w:rsidR="002856B6">
        <w:t>reaction for both PI documents.</w:t>
      </w:r>
    </w:p>
    <w:p w:rsidR="001D0FDA" w:rsidRDefault="001D0FDA" w:rsidP="00480FDF">
      <w:pPr>
        <w:pStyle w:val="Heading4"/>
        <w:numPr>
          <w:ilvl w:val="3"/>
          <w:numId w:val="45"/>
        </w:numPr>
      </w:pPr>
      <w:r w:rsidRPr="00EB1471">
        <w:t>4.4.5.2</w:t>
      </w:r>
      <w:r w:rsidRPr="00EB1471">
        <w:tab/>
      </w:r>
      <w:r w:rsidR="00484F80">
        <w:tab/>
      </w:r>
      <w:r w:rsidRPr="00EB1471">
        <w:t xml:space="preserve">Safety information from regulatory agency </w:t>
      </w:r>
    </w:p>
    <w:p w:rsidR="001D0FDA" w:rsidRDefault="001D0FDA" w:rsidP="00480FDF">
      <w:pPr>
        <w:pStyle w:val="Heading5"/>
        <w:numPr>
          <w:ilvl w:val="4"/>
          <w:numId w:val="45"/>
        </w:numPr>
      </w:pPr>
      <w:bookmarkStart w:id="332" w:name="_Ref504508062"/>
      <w:r>
        <w:t>Safety s</w:t>
      </w:r>
      <w:r w:rsidRPr="00A96B79">
        <w:t>ignals</w:t>
      </w:r>
      <w:r>
        <w:t xml:space="preserve"> from </w:t>
      </w:r>
      <w:r w:rsidRPr="00A96B79">
        <w:t xml:space="preserve">variations </w:t>
      </w:r>
      <w:r>
        <w:t>to the EMA PI</w:t>
      </w:r>
    </w:p>
    <w:p w:rsidR="001D0FDA" w:rsidRDefault="001D0FDA" w:rsidP="001D0FDA">
      <w:r>
        <w:t xml:space="preserve">As stated in the Methodology section 4.3.4, among the three </w:t>
      </w:r>
      <w:r w:rsidRPr="006708E5">
        <w:t>regulatory agenc</w:t>
      </w:r>
      <w:r>
        <w:t>ies of</w:t>
      </w:r>
      <w:r w:rsidRPr="006708E5">
        <w:t xml:space="preserve"> </w:t>
      </w:r>
      <w:r>
        <w:t xml:space="preserve">TGA, EMA and FDA, the EMA is the only </w:t>
      </w:r>
      <w:proofErr w:type="gramStart"/>
      <w:r>
        <w:t>one which</w:t>
      </w:r>
      <w:proofErr w:type="gramEnd"/>
      <w:r>
        <w:t xml:space="preserve"> provides the </w:t>
      </w:r>
      <w:r w:rsidRPr="00520120">
        <w:t xml:space="preserve">systematic information </w:t>
      </w:r>
      <w:r>
        <w:t xml:space="preserve">on </w:t>
      </w:r>
      <w:r w:rsidRPr="00520120">
        <w:t xml:space="preserve">variations and updates to </w:t>
      </w:r>
      <w:r>
        <w:t>the PI (also called SmPC)</w:t>
      </w:r>
      <w:r w:rsidRPr="00520120">
        <w:t xml:space="preserve"> on its website</w:t>
      </w:r>
      <w:r>
        <w:t xml:space="preserve"> for products that are centrally authorised.</w:t>
      </w:r>
      <w:r w:rsidRPr="006708E5">
        <w:t xml:space="preserve"> Changes arose due to new clinical trial data, extensions to indications or amendments triggered by periodic safety update reports</w:t>
      </w:r>
      <w:r>
        <w:t xml:space="preserve">. In order to identify any safety signals that </w:t>
      </w:r>
      <w:proofErr w:type="gramStart"/>
      <w:r>
        <w:t>has not been identified</w:t>
      </w:r>
      <w:proofErr w:type="gramEnd"/>
      <w:r>
        <w:t xml:space="preserve"> by the TGA, the safety-related changes to the EMA SmPC were compared against the current Australian PI approved by the TGA and FDA product label. The key differences are summarised in </w:t>
      </w:r>
      <w:r w:rsidR="003951FA">
        <w:t>Table 4.</w:t>
      </w:r>
      <w:r w:rsidR="003951FA">
        <w:rPr>
          <w:noProof/>
        </w:rPr>
        <w:t>118</w:t>
      </w:r>
      <w:r w:rsidR="002856B6">
        <w:t>.</w:t>
      </w:r>
    </w:p>
    <w:p w:rsidR="001D0FDA" w:rsidRPr="00EA41C2" w:rsidRDefault="001D0FDA" w:rsidP="001D0FDA">
      <w:pPr>
        <w:pStyle w:val="Caption"/>
      </w:pPr>
      <w:bookmarkStart w:id="333" w:name="_Ref506216084"/>
      <w:bookmarkStart w:id="334" w:name="_Toc38360415"/>
      <w:bookmarkEnd w:id="332"/>
      <w:r>
        <w:t>Table 4.</w:t>
      </w:r>
      <w:r w:rsidR="003951FA">
        <w:rPr>
          <w:noProof/>
        </w:rPr>
        <w:t>118</w:t>
      </w:r>
      <w:bookmarkEnd w:id="333"/>
      <w:r>
        <w:tab/>
        <w:t>Comparison of changes to EMA SmPC with FDA PL and TGA PI</w:t>
      </w:r>
      <w:bookmarkEnd w:id="334"/>
      <w:r>
        <w:t xml:space="preserve"> </w:t>
      </w:r>
    </w:p>
    <w:tbl>
      <w:tblPr>
        <w:tblStyle w:val="TableGrid7"/>
        <w:tblW w:w="5000" w:type="pct"/>
        <w:tblLook w:val="04A0" w:firstRow="1" w:lastRow="0" w:firstColumn="1" w:lastColumn="0" w:noHBand="0" w:noVBand="1"/>
        <w:tblCaption w:val="Comparison of changes to EMA SmPC with FDA PL and TGA PI "/>
      </w:tblPr>
      <w:tblGrid>
        <w:gridCol w:w="4044"/>
        <w:gridCol w:w="2931"/>
        <w:gridCol w:w="2653"/>
      </w:tblGrid>
      <w:tr w:rsidR="001D0FDA" w:rsidRPr="00E7528C" w:rsidTr="001D0FDA">
        <w:trPr>
          <w:tblHeader/>
        </w:trPr>
        <w:tc>
          <w:tcPr>
            <w:tcW w:w="2100" w:type="pct"/>
            <w:tcBorders>
              <w:bottom w:val="single" w:sz="4" w:space="0" w:color="auto"/>
            </w:tcBorders>
            <w:shd w:val="clear" w:color="auto" w:fill="BFBFBF" w:themeFill="background1" w:themeFillShade="BF"/>
          </w:tcPr>
          <w:p w:rsidR="001D0FDA" w:rsidRDefault="001D0FDA" w:rsidP="001D0FDA">
            <w:pPr>
              <w:pStyle w:val="Tabletext"/>
              <w:rPr>
                <w:rFonts w:eastAsia="Calibri"/>
                <w:b/>
              </w:rPr>
            </w:pPr>
            <w:r>
              <w:rPr>
                <w:rFonts w:eastAsia="Calibri"/>
                <w:b/>
              </w:rPr>
              <w:t>EC approval date</w:t>
            </w:r>
          </w:p>
          <w:p w:rsidR="001D0FDA" w:rsidRPr="00E7528C" w:rsidRDefault="001D0FDA" w:rsidP="001D0FDA">
            <w:pPr>
              <w:pStyle w:val="Tabletext"/>
              <w:rPr>
                <w:rFonts w:eastAsia="Calibri"/>
                <w:b/>
              </w:rPr>
            </w:pPr>
            <w:r>
              <w:rPr>
                <w:rFonts w:eastAsia="Calibri"/>
                <w:b/>
              </w:rPr>
              <w:t>V</w:t>
            </w:r>
            <w:r w:rsidRPr="00E7528C">
              <w:rPr>
                <w:rFonts w:eastAsia="Calibri"/>
                <w:b/>
              </w:rPr>
              <w:t>ariations</w:t>
            </w:r>
            <w:r>
              <w:rPr>
                <w:rFonts w:eastAsia="Calibri"/>
                <w:b/>
              </w:rPr>
              <w:t xml:space="preserve"> to EMA SmPC (safety-related only)</w:t>
            </w:r>
          </w:p>
        </w:tc>
        <w:tc>
          <w:tcPr>
            <w:tcW w:w="1522" w:type="pct"/>
            <w:tcBorders>
              <w:bottom w:val="single" w:sz="4" w:space="0" w:color="auto"/>
            </w:tcBorders>
            <w:shd w:val="clear" w:color="auto" w:fill="BFBFBF" w:themeFill="background1" w:themeFillShade="BF"/>
          </w:tcPr>
          <w:p w:rsidR="001D0FDA" w:rsidRPr="00E7528C" w:rsidRDefault="001D0FDA" w:rsidP="001D0FDA">
            <w:pPr>
              <w:pStyle w:val="Tabletext"/>
              <w:rPr>
                <w:rFonts w:eastAsia="Calibri"/>
                <w:b/>
              </w:rPr>
            </w:pPr>
            <w:r w:rsidRPr="00E7528C">
              <w:rPr>
                <w:rFonts w:eastAsia="Calibri"/>
                <w:b/>
              </w:rPr>
              <w:t>FDA PL</w:t>
            </w:r>
          </w:p>
        </w:tc>
        <w:tc>
          <w:tcPr>
            <w:tcW w:w="1378" w:type="pct"/>
            <w:tcBorders>
              <w:bottom w:val="single" w:sz="4" w:space="0" w:color="auto"/>
            </w:tcBorders>
            <w:shd w:val="clear" w:color="auto" w:fill="BFBFBF" w:themeFill="background1" w:themeFillShade="BF"/>
          </w:tcPr>
          <w:p w:rsidR="001D0FDA" w:rsidRPr="00E7528C" w:rsidRDefault="001D0FDA" w:rsidP="001D0FDA">
            <w:pPr>
              <w:pStyle w:val="Tabletext"/>
              <w:rPr>
                <w:rFonts w:eastAsia="Calibri"/>
                <w:b/>
              </w:rPr>
            </w:pPr>
            <w:r w:rsidRPr="00E7528C">
              <w:rPr>
                <w:rFonts w:eastAsia="Calibri"/>
                <w:b/>
              </w:rPr>
              <w:t>TGA PI</w:t>
            </w:r>
          </w:p>
        </w:tc>
      </w:tr>
      <w:tr w:rsidR="001D0FDA" w:rsidRPr="00847A11" w:rsidTr="001D0FDA">
        <w:tc>
          <w:tcPr>
            <w:tcW w:w="2100" w:type="pct"/>
            <w:shd w:val="clear" w:color="auto" w:fill="000000" w:themeFill="text1"/>
          </w:tcPr>
          <w:p w:rsidR="001D0FDA" w:rsidRPr="00847A11" w:rsidRDefault="001D0FDA" w:rsidP="001D0FDA">
            <w:pPr>
              <w:pStyle w:val="Tabletext"/>
              <w:rPr>
                <w:rFonts w:eastAsia="Calibri"/>
                <w:b/>
                <w:color w:val="FFFFFF" w:themeColor="background1"/>
              </w:rPr>
            </w:pPr>
            <w:r w:rsidRPr="00847A11">
              <w:rPr>
                <w:rFonts w:eastAsia="Calibri"/>
                <w:b/>
                <w:color w:val="FFFFFF" w:themeColor="background1"/>
              </w:rPr>
              <w:t xml:space="preserve">Bosentan </w:t>
            </w:r>
          </w:p>
        </w:tc>
        <w:tc>
          <w:tcPr>
            <w:tcW w:w="1522" w:type="pct"/>
            <w:shd w:val="clear" w:color="auto" w:fill="000000" w:themeFill="text1"/>
          </w:tcPr>
          <w:p w:rsidR="001D0FDA" w:rsidRPr="00847A11" w:rsidRDefault="001D0FDA" w:rsidP="001D0FDA">
            <w:pPr>
              <w:pStyle w:val="Tabletext"/>
              <w:rPr>
                <w:rFonts w:eastAsia="Calibri"/>
                <w:color w:val="FFFFFF" w:themeColor="background1"/>
              </w:rPr>
            </w:pPr>
          </w:p>
        </w:tc>
        <w:tc>
          <w:tcPr>
            <w:tcW w:w="1378" w:type="pct"/>
            <w:shd w:val="clear" w:color="auto" w:fill="000000" w:themeFill="text1"/>
          </w:tcPr>
          <w:p w:rsidR="001D0FDA" w:rsidRPr="00847A11" w:rsidRDefault="001D0FDA" w:rsidP="001D0FDA">
            <w:pPr>
              <w:pStyle w:val="Tabletext"/>
              <w:rPr>
                <w:rFonts w:eastAsia="Calibri"/>
                <w:color w:val="FFFFFF" w:themeColor="background1"/>
              </w:rPr>
            </w:pPr>
          </w:p>
        </w:tc>
      </w:tr>
      <w:tr w:rsidR="001D0FDA" w:rsidRPr="00D24E86" w:rsidTr="001D0FDA">
        <w:tc>
          <w:tcPr>
            <w:tcW w:w="2100" w:type="pct"/>
          </w:tcPr>
          <w:p w:rsidR="001D0FDA" w:rsidRPr="00D24E86" w:rsidRDefault="001D0FDA" w:rsidP="001D0FDA">
            <w:pPr>
              <w:pStyle w:val="Tabletext"/>
              <w:rPr>
                <w:rFonts w:eastAsia="Calibri"/>
              </w:rPr>
            </w:pPr>
            <w:r w:rsidRPr="00D24E86">
              <w:rPr>
                <w:rFonts w:eastAsia="Calibri"/>
              </w:rPr>
              <w:t>26/09/2017</w:t>
            </w:r>
          </w:p>
          <w:p w:rsidR="001D0FDA" w:rsidRPr="00D24E86" w:rsidRDefault="001D0FDA" w:rsidP="001D0FDA">
            <w:pPr>
              <w:pStyle w:val="Tabletext"/>
              <w:rPr>
                <w:rFonts w:eastAsia="Calibri"/>
              </w:rPr>
            </w:pPr>
            <w:r w:rsidRPr="00847A11">
              <w:rPr>
                <w:rFonts w:eastAsia="Calibri"/>
              </w:rPr>
              <w:t>Pharmacokinetic</w:t>
            </w:r>
            <w:r w:rsidRPr="00D24E86">
              <w:rPr>
                <w:rFonts w:eastAsia="Calibri"/>
              </w:rPr>
              <w:t xml:space="preserve"> interaction between tadalafil and bosentan to </w:t>
            </w:r>
            <w:proofErr w:type="gramStart"/>
            <w:r w:rsidRPr="00D24E86">
              <w:rPr>
                <w:rFonts w:eastAsia="Calibri"/>
              </w:rPr>
              <w:t>be mentioned</w:t>
            </w:r>
            <w:proofErr w:type="gramEnd"/>
            <w:r w:rsidRPr="00D24E86">
              <w:rPr>
                <w:rFonts w:eastAsia="Calibri"/>
              </w:rPr>
              <w:t xml:space="preserve"> in the bosentan </w:t>
            </w:r>
            <w:r>
              <w:rPr>
                <w:rFonts w:eastAsia="Calibri"/>
              </w:rPr>
              <w:t>SmPC</w:t>
            </w:r>
            <w:r w:rsidRPr="00D24E86">
              <w:rPr>
                <w:rFonts w:eastAsia="Calibri"/>
              </w:rPr>
              <w:t xml:space="preserve"> per Srinivas et al (2016), i</w:t>
            </w:r>
            <w:r w:rsidR="007E4C7F">
              <w:rPr>
                <w:rFonts w:eastAsia="Calibri"/>
              </w:rPr>
              <w:t>.</w:t>
            </w:r>
            <w:r w:rsidRPr="00D24E86">
              <w:rPr>
                <w:rFonts w:eastAsia="Calibri"/>
              </w:rPr>
              <w:t>e</w:t>
            </w:r>
            <w:r w:rsidR="007E4C7F">
              <w:rPr>
                <w:rFonts w:eastAsia="Calibri"/>
              </w:rPr>
              <w:t>.</w:t>
            </w:r>
            <w:r w:rsidRPr="00D24E86">
              <w:rPr>
                <w:rFonts w:eastAsia="Calibri"/>
              </w:rPr>
              <w:t xml:space="preserve"> the exposure of tadalafil was reduced by bosentan; whilst tadalafil did not affect the exposure of bosentan or its metabolites.</w:t>
            </w:r>
          </w:p>
        </w:tc>
        <w:tc>
          <w:tcPr>
            <w:tcW w:w="1522" w:type="pct"/>
          </w:tcPr>
          <w:p w:rsidR="001D0FDA" w:rsidRPr="00D24E86" w:rsidRDefault="001D0FDA" w:rsidP="001D0FDA">
            <w:pPr>
              <w:pStyle w:val="Tabletext"/>
              <w:rPr>
                <w:rFonts w:eastAsia="Calibri"/>
              </w:rPr>
            </w:pPr>
            <w:r w:rsidRPr="00D24E86">
              <w:rPr>
                <w:rFonts w:eastAsia="Calibri"/>
              </w:rPr>
              <w:t>The drug interaction between tadalafil has been noted in the tadalafil PL, but not in the bosentan PL.</w:t>
            </w:r>
          </w:p>
        </w:tc>
        <w:tc>
          <w:tcPr>
            <w:tcW w:w="1378" w:type="pct"/>
          </w:tcPr>
          <w:p w:rsidR="001D0FDA" w:rsidRPr="00D24E86" w:rsidRDefault="001D0FDA" w:rsidP="001D0FDA">
            <w:pPr>
              <w:pStyle w:val="Tabletext"/>
              <w:rPr>
                <w:rFonts w:eastAsia="Calibri"/>
              </w:rPr>
            </w:pPr>
            <w:r w:rsidRPr="00D24E86">
              <w:rPr>
                <w:rFonts w:eastAsia="Calibri"/>
              </w:rPr>
              <w:t xml:space="preserve">The drug interaction between tadalafil </w:t>
            </w:r>
            <w:proofErr w:type="gramStart"/>
            <w:r w:rsidRPr="00D24E86">
              <w:rPr>
                <w:rFonts w:eastAsia="Calibri"/>
              </w:rPr>
              <w:t>has been noted</w:t>
            </w:r>
            <w:proofErr w:type="gramEnd"/>
            <w:r w:rsidRPr="00D24E86">
              <w:rPr>
                <w:rFonts w:eastAsia="Calibri"/>
              </w:rPr>
              <w:t xml:space="preserve"> in the tadalafil PI, but not in the bosentan PI.</w:t>
            </w:r>
          </w:p>
        </w:tc>
      </w:tr>
      <w:tr w:rsidR="001D0FDA" w:rsidRPr="00D24E86" w:rsidTr="001D0FDA">
        <w:tc>
          <w:tcPr>
            <w:tcW w:w="2100" w:type="pct"/>
            <w:tcBorders>
              <w:bottom w:val="single" w:sz="4" w:space="0" w:color="auto"/>
            </w:tcBorders>
          </w:tcPr>
          <w:p w:rsidR="001D0FDA" w:rsidRPr="00D24E86" w:rsidRDefault="001D0FDA" w:rsidP="001D0FDA">
            <w:pPr>
              <w:pStyle w:val="Tabletext"/>
              <w:rPr>
                <w:rFonts w:eastAsia="Calibri"/>
              </w:rPr>
            </w:pPr>
            <w:r w:rsidRPr="00D24E86">
              <w:rPr>
                <w:rFonts w:eastAsia="Calibri"/>
              </w:rPr>
              <w:t>22/04/2010</w:t>
            </w:r>
          </w:p>
          <w:p w:rsidR="001D0FDA" w:rsidRPr="00D24E86" w:rsidRDefault="001D0FDA" w:rsidP="001D0FDA">
            <w:pPr>
              <w:pStyle w:val="Tabletext"/>
              <w:rPr>
                <w:rFonts w:eastAsia="Calibri"/>
              </w:rPr>
            </w:pPr>
            <w:r w:rsidRPr="00D24E86">
              <w:rPr>
                <w:rFonts w:eastAsia="Calibri"/>
              </w:rPr>
              <w:t>A new warning statement against use of bosentan in COPD based on results of an exploratory safety study, and a note that “an increase in minute ventilation and a decrease in oxygen saturation were observed and the most frequent adverse event was dyspnoea, which resolved with discontinuation of bosentan”.</w:t>
            </w:r>
          </w:p>
        </w:tc>
        <w:tc>
          <w:tcPr>
            <w:tcW w:w="1522" w:type="pct"/>
            <w:tcBorders>
              <w:bottom w:val="single" w:sz="4" w:space="0" w:color="auto"/>
            </w:tcBorders>
          </w:tcPr>
          <w:p w:rsidR="001D0FDA" w:rsidRPr="00D24E86" w:rsidRDefault="001D0FDA" w:rsidP="001D0FDA">
            <w:pPr>
              <w:pStyle w:val="Tabletext"/>
              <w:rPr>
                <w:rFonts w:eastAsia="Calibri"/>
              </w:rPr>
            </w:pPr>
            <w:r>
              <w:rPr>
                <w:rFonts w:eastAsia="Calibri"/>
              </w:rPr>
              <w:t xml:space="preserve">Such warning is not included in </w:t>
            </w:r>
            <w:r w:rsidRPr="00D24E86">
              <w:rPr>
                <w:rFonts w:eastAsia="Calibri"/>
              </w:rPr>
              <w:t>the FDA PL</w:t>
            </w:r>
          </w:p>
        </w:tc>
        <w:tc>
          <w:tcPr>
            <w:tcW w:w="1378" w:type="pct"/>
            <w:tcBorders>
              <w:bottom w:val="single" w:sz="4" w:space="0" w:color="auto"/>
            </w:tcBorders>
          </w:tcPr>
          <w:p w:rsidR="001D0FDA" w:rsidRPr="00D24E86" w:rsidRDefault="001D0FDA" w:rsidP="001D0FDA">
            <w:pPr>
              <w:pStyle w:val="Tabletext"/>
              <w:rPr>
                <w:rFonts w:eastAsia="Calibri"/>
              </w:rPr>
            </w:pPr>
            <w:r>
              <w:rPr>
                <w:rFonts w:eastAsia="Calibri"/>
              </w:rPr>
              <w:t>Such warning is n</w:t>
            </w:r>
            <w:r w:rsidRPr="00D24E86">
              <w:rPr>
                <w:rFonts w:eastAsia="Calibri"/>
              </w:rPr>
              <w:t xml:space="preserve">ot </w:t>
            </w:r>
            <w:r>
              <w:rPr>
                <w:rFonts w:eastAsia="Calibri"/>
              </w:rPr>
              <w:t>included in</w:t>
            </w:r>
            <w:r w:rsidRPr="00D24E86">
              <w:rPr>
                <w:rFonts w:eastAsia="Calibri"/>
              </w:rPr>
              <w:t xml:space="preserve"> the TGA PI</w:t>
            </w:r>
          </w:p>
        </w:tc>
      </w:tr>
      <w:tr w:rsidR="001D0FDA" w:rsidRPr="00847A11" w:rsidTr="001D0FDA">
        <w:tc>
          <w:tcPr>
            <w:tcW w:w="2100" w:type="pct"/>
            <w:shd w:val="clear" w:color="auto" w:fill="000000" w:themeFill="text1"/>
          </w:tcPr>
          <w:p w:rsidR="001D0FDA" w:rsidRPr="00847A11" w:rsidRDefault="001D0FDA" w:rsidP="001D0FDA">
            <w:pPr>
              <w:pStyle w:val="Tabletext"/>
              <w:rPr>
                <w:rFonts w:eastAsia="Calibri"/>
                <w:b/>
                <w:color w:val="FFFFFF" w:themeColor="background1"/>
              </w:rPr>
            </w:pPr>
            <w:r w:rsidRPr="00847A11">
              <w:rPr>
                <w:rFonts w:eastAsia="Calibri"/>
                <w:b/>
                <w:color w:val="FFFFFF" w:themeColor="background1"/>
              </w:rPr>
              <w:t>Ambrisentan</w:t>
            </w:r>
          </w:p>
        </w:tc>
        <w:tc>
          <w:tcPr>
            <w:tcW w:w="1522" w:type="pct"/>
            <w:shd w:val="clear" w:color="auto" w:fill="000000" w:themeFill="text1"/>
          </w:tcPr>
          <w:p w:rsidR="001D0FDA" w:rsidRPr="00847A11" w:rsidRDefault="001D0FDA" w:rsidP="001D0FDA">
            <w:pPr>
              <w:pStyle w:val="Tabletext"/>
              <w:rPr>
                <w:rFonts w:eastAsia="Calibri"/>
                <w:color w:val="FFFFFF" w:themeColor="background1"/>
              </w:rPr>
            </w:pPr>
          </w:p>
        </w:tc>
        <w:tc>
          <w:tcPr>
            <w:tcW w:w="1378" w:type="pct"/>
            <w:shd w:val="clear" w:color="auto" w:fill="000000" w:themeFill="text1"/>
          </w:tcPr>
          <w:p w:rsidR="001D0FDA" w:rsidRPr="00847A11" w:rsidRDefault="001D0FDA" w:rsidP="001D0FDA">
            <w:pPr>
              <w:pStyle w:val="Tabletext"/>
              <w:rPr>
                <w:rFonts w:eastAsia="Calibri"/>
                <w:color w:val="FFFFFF" w:themeColor="background1"/>
              </w:rPr>
            </w:pPr>
          </w:p>
        </w:tc>
      </w:tr>
      <w:tr w:rsidR="001D0FDA" w:rsidRPr="00EA41C2" w:rsidTr="001D0FDA">
        <w:tc>
          <w:tcPr>
            <w:tcW w:w="2100" w:type="pct"/>
            <w:tcBorders>
              <w:bottom w:val="single" w:sz="4" w:space="0" w:color="auto"/>
            </w:tcBorders>
          </w:tcPr>
          <w:p w:rsidR="001D0FDA" w:rsidRDefault="001D0FDA" w:rsidP="001D0FDA">
            <w:pPr>
              <w:pStyle w:val="Tabletext"/>
              <w:rPr>
                <w:rFonts w:eastAsia="Calibri"/>
              </w:rPr>
            </w:pPr>
            <w:r>
              <w:rPr>
                <w:rFonts w:eastAsia="Calibri"/>
              </w:rPr>
              <w:t>23/03/2010</w:t>
            </w:r>
          </w:p>
          <w:p w:rsidR="001D0FDA" w:rsidRPr="0011408C" w:rsidRDefault="001D0FDA" w:rsidP="001D0FDA">
            <w:pPr>
              <w:pStyle w:val="Tabletext"/>
              <w:rPr>
                <w:rFonts w:eastAsia="Calibri"/>
              </w:rPr>
            </w:pPr>
            <w:r w:rsidRPr="0011408C">
              <w:rPr>
                <w:rFonts w:eastAsia="Calibri"/>
              </w:rPr>
              <w:t>Based on results of a drug-drug interaction study with rifampicin</w:t>
            </w:r>
            <w:r>
              <w:rPr>
                <w:rFonts w:eastAsia="Calibri"/>
              </w:rPr>
              <w:t xml:space="preserve">, </w:t>
            </w:r>
            <w:r w:rsidRPr="0011408C">
              <w:rPr>
                <w:rFonts w:eastAsia="Calibri"/>
              </w:rPr>
              <w:t xml:space="preserve">Sections 4.5 </w:t>
            </w:r>
            <w:r>
              <w:rPr>
                <w:rFonts w:eastAsia="Calibri"/>
              </w:rPr>
              <w:t>(I</w:t>
            </w:r>
            <w:r w:rsidRPr="0011408C">
              <w:rPr>
                <w:rFonts w:eastAsia="Calibri"/>
              </w:rPr>
              <w:t xml:space="preserve">nteraction with other medicinal products) </w:t>
            </w:r>
            <w:r>
              <w:rPr>
                <w:rFonts w:eastAsia="Calibri"/>
              </w:rPr>
              <w:t>and 5.2 (P</w:t>
            </w:r>
            <w:r w:rsidRPr="0011408C">
              <w:rPr>
                <w:rFonts w:eastAsia="Calibri"/>
              </w:rPr>
              <w:t xml:space="preserve">harmacokinetic properties) updated to include a transient (approximately 2-fold) increase in ambrisentan exposure (not clinically relevant) in patients receiving rifampicin. </w:t>
            </w:r>
          </w:p>
          <w:p w:rsidR="001D0FDA" w:rsidRPr="00D24E86" w:rsidRDefault="001D0FDA" w:rsidP="001D0FDA">
            <w:pPr>
              <w:pStyle w:val="Tabletext"/>
              <w:rPr>
                <w:rFonts w:eastAsia="Calibri"/>
              </w:rPr>
            </w:pPr>
            <w:r w:rsidRPr="0011408C">
              <w:rPr>
                <w:rFonts w:eastAsia="Calibri"/>
              </w:rPr>
              <w:t xml:space="preserve">A warning statement is added in section 4.4 </w:t>
            </w:r>
            <w:r>
              <w:rPr>
                <w:rFonts w:eastAsia="Calibri"/>
              </w:rPr>
              <w:t xml:space="preserve">(Special warnings and precautions for use) </w:t>
            </w:r>
            <w:r w:rsidRPr="0011408C">
              <w:rPr>
                <w:rFonts w:eastAsia="Calibri"/>
              </w:rPr>
              <w:t>that patients on ambrisentan therapy should be closely monitored when star</w:t>
            </w:r>
            <w:r>
              <w:rPr>
                <w:rFonts w:eastAsia="Calibri"/>
              </w:rPr>
              <w:t>ting treatment with rifampicin.</w:t>
            </w:r>
          </w:p>
        </w:tc>
        <w:tc>
          <w:tcPr>
            <w:tcW w:w="1522" w:type="pct"/>
            <w:tcBorders>
              <w:bottom w:val="single" w:sz="4" w:space="0" w:color="auto"/>
            </w:tcBorders>
          </w:tcPr>
          <w:p w:rsidR="001D0FDA" w:rsidRPr="00D24E86" w:rsidRDefault="001D0FDA" w:rsidP="001D0FDA">
            <w:pPr>
              <w:pStyle w:val="Tabletext"/>
              <w:rPr>
                <w:rFonts w:eastAsia="Calibri"/>
              </w:rPr>
            </w:pPr>
            <w:r>
              <w:rPr>
                <w:rFonts w:eastAsia="Calibri"/>
              </w:rPr>
              <w:t>Drug interaction between ambrisentan and rifampicin is not included in the FDA PL</w:t>
            </w:r>
          </w:p>
        </w:tc>
        <w:tc>
          <w:tcPr>
            <w:tcW w:w="1378" w:type="pct"/>
            <w:tcBorders>
              <w:bottom w:val="single" w:sz="4" w:space="0" w:color="auto"/>
            </w:tcBorders>
          </w:tcPr>
          <w:p w:rsidR="001D0FDA" w:rsidRPr="00D24E86" w:rsidRDefault="001D0FDA" w:rsidP="001D0FDA">
            <w:pPr>
              <w:pStyle w:val="Tabletext"/>
              <w:rPr>
                <w:rFonts w:eastAsia="Calibri"/>
              </w:rPr>
            </w:pPr>
            <w:r>
              <w:rPr>
                <w:rFonts w:eastAsia="Calibri"/>
              </w:rPr>
              <w:t xml:space="preserve">Although the TGA PI included information on drug interaction between ambrisentan and rifampicin, no </w:t>
            </w:r>
            <w:r w:rsidRPr="0011408C">
              <w:rPr>
                <w:rFonts w:eastAsia="Calibri"/>
              </w:rPr>
              <w:t xml:space="preserve">warning statement </w:t>
            </w:r>
            <w:r>
              <w:rPr>
                <w:rFonts w:eastAsia="Calibri"/>
              </w:rPr>
              <w:t xml:space="preserve">is included regarding the requirement of close monitoring in patients on </w:t>
            </w:r>
            <w:r w:rsidRPr="0011408C">
              <w:rPr>
                <w:rFonts w:eastAsia="Calibri"/>
              </w:rPr>
              <w:t xml:space="preserve">ambrisentan therapy </w:t>
            </w:r>
            <w:r>
              <w:rPr>
                <w:rFonts w:eastAsia="Calibri"/>
              </w:rPr>
              <w:t xml:space="preserve">when </w:t>
            </w:r>
            <w:r w:rsidRPr="0011408C">
              <w:rPr>
                <w:rFonts w:eastAsia="Calibri"/>
              </w:rPr>
              <w:t>sta</w:t>
            </w:r>
            <w:r>
              <w:rPr>
                <w:rFonts w:eastAsia="Calibri"/>
              </w:rPr>
              <w:t>rting treatment with rifampicin</w:t>
            </w:r>
          </w:p>
        </w:tc>
      </w:tr>
      <w:tr w:rsidR="001D0FDA" w:rsidRPr="00847A11" w:rsidTr="001D0FDA">
        <w:tc>
          <w:tcPr>
            <w:tcW w:w="2100" w:type="pct"/>
            <w:shd w:val="clear" w:color="auto" w:fill="000000" w:themeFill="text1"/>
          </w:tcPr>
          <w:p w:rsidR="001D0FDA" w:rsidRPr="00847A11" w:rsidRDefault="001D0FDA" w:rsidP="001D0FDA">
            <w:pPr>
              <w:pStyle w:val="Tabletext"/>
              <w:rPr>
                <w:rFonts w:eastAsia="Calibri"/>
                <w:b/>
                <w:color w:val="FFFFFF" w:themeColor="background1"/>
              </w:rPr>
            </w:pPr>
            <w:r w:rsidRPr="00847A11">
              <w:rPr>
                <w:rFonts w:eastAsia="Calibri"/>
                <w:b/>
                <w:color w:val="FFFFFF" w:themeColor="background1"/>
              </w:rPr>
              <w:t>Sildenafil</w:t>
            </w:r>
          </w:p>
        </w:tc>
        <w:tc>
          <w:tcPr>
            <w:tcW w:w="1522" w:type="pct"/>
            <w:shd w:val="clear" w:color="auto" w:fill="000000" w:themeFill="text1"/>
          </w:tcPr>
          <w:p w:rsidR="001D0FDA" w:rsidRPr="00847A11" w:rsidRDefault="001D0FDA" w:rsidP="001D0FDA">
            <w:pPr>
              <w:pStyle w:val="Tabletext"/>
              <w:rPr>
                <w:rFonts w:eastAsia="Calibri"/>
                <w:color w:val="FFFFFF" w:themeColor="background1"/>
              </w:rPr>
            </w:pPr>
          </w:p>
        </w:tc>
        <w:tc>
          <w:tcPr>
            <w:tcW w:w="1378" w:type="pct"/>
            <w:shd w:val="clear" w:color="auto" w:fill="000000" w:themeFill="text1"/>
          </w:tcPr>
          <w:p w:rsidR="001D0FDA" w:rsidRPr="00847A11" w:rsidRDefault="001D0FDA" w:rsidP="001D0FDA">
            <w:pPr>
              <w:pStyle w:val="Tabletext"/>
              <w:rPr>
                <w:rFonts w:eastAsia="Calibri"/>
                <w:color w:val="FFFFFF" w:themeColor="background1"/>
              </w:rPr>
            </w:pPr>
          </w:p>
        </w:tc>
      </w:tr>
      <w:tr w:rsidR="001D0FDA" w:rsidRPr="00EA41C2" w:rsidTr="001D0FDA">
        <w:tc>
          <w:tcPr>
            <w:tcW w:w="2100" w:type="pct"/>
          </w:tcPr>
          <w:p w:rsidR="001D0FDA" w:rsidRDefault="001D0FDA" w:rsidP="001D0FDA">
            <w:pPr>
              <w:pStyle w:val="Tabletext"/>
              <w:rPr>
                <w:rFonts w:eastAsia="Calibri"/>
              </w:rPr>
            </w:pPr>
            <w:r>
              <w:rPr>
                <w:rFonts w:eastAsia="Calibri"/>
              </w:rPr>
              <w:t>Pending</w:t>
            </w:r>
          </w:p>
          <w:p w:rsidR="001D0FDA" w:rsidRDefault="001D0FDA" w:rsidP="001D0FDA">
            <w:pPr>
              <w:pStyle w:val="Tabletext"/>
              <w:rPr>
                <w:rFonts w:eastAsia="Calibri"/>
              </w:rPr>
            </w:pPr>
            <w:r w:rsidRPr="00110084">
              <w:rPr>
                <w:rFonts w:eastAsia="Calibri"/>
              </w:rPr>
              <w:t xml:space="preserve">There are no adequate and </w:t>
            </w:r>
            <w:proofErr w:type="gramStart"/>
            <w:r w:rsidRPr="00110084">
              <w:rPr>
                <w:rFonts w:eastAsia="Calibri"/>
              </w:rPr>
              <w:t>well controlled</w:t>
            </w:r>
            <w:proofErr w:type="gramEnd"/>
            <w:r w:rsidRPr="00110084">
              <w:rPr>
                <w:rFonts w:eastAsia="Calibri"/>
              </w:rPr>
              <w:t xml:space="preserve"> studies in lactating women. Based on data from one lactating woman, it </w:t>
            </w:r>
            <w:proofErr w:type="gramStart"/>
            <w:r w:rsidRPr="00110084">
              <w:rPr>
                <w:rFonts w:eastAsia="Calibri"/>
              </w:rPr>
              <w:t>has been concluded</w:t>
            </w:r>
            <w:proofErr w:type="gramEnd"/>
            <w:r w:rsidRPr="00110084">
              <w:rPr>
                <w:rFonts w:eastAsia="Calibri"/>
              </w:rPr>
              <w:t xml:space="preserve"> that sildenafil and its active metabolite N-desmethylsildenafil are excreted into b</w:t>
            </w:r>
            <w:r>
              <w:rPr>
                <w:rFonts w:eastAsia="Calibri"/>
              </w:rPr>
              <w:t xml:space="preserve">reast milk at very low levels. </w:t>
            </w:r>
          </w:p>
        </w:tc>
        <w:tc>
          <w:tcPr>
            <w:tcW w:w="1522" w:type="pct"/>
          </w:tcPr>
          <w:p w:rsidR="001D0FDA" w:rsidRDefault="001D0FDA" w:rsidP="001D0FDA">
            <w:pPr>
              <w:pStyle w:val="Tabletext"/>
              <w:rPr>
                <w:rFonts w:eastAsia="Calibri"/>
              </w:rPr>
            </w:pPr>
            <w:r>
              <w:rPr>
                <w:rFonts w:eastAsia="Calibri"/>
              </w:rPr>
              <w:t>The FDA PL states that i</w:t>
            </w:r>
            <w:r w:rsidRPr="00110084">
              <w:rPr>
                <w:rFonts w:eastAsia="Calibri"/>
              </w:rPr>
              <w:t xml:space="preserve">t </w:t>
            </w:r>
            <w:proofErr w:type="gramStart"/>
            <w:r w:rsidRPr="00110084">
              <w:rPr>
                <w:rFonts w:eastAsia="Calibri"/>
              </w:rPr>
              <w:t>is not known</w:t>
            </w:r>
            <w:proofErr w:type="gramEnd"/>
            <w:r w:rsidRPr="00110084">
              <w:rPr>
                <w:rFonts w:eastAsia="Calibri"/>
              </w:rPr>
              <w:t xml:space="preserve"> if sildenafil or its metabolites are excreted in human breast milk. Because many drugs </w:t>
            </w:r>
            <w:proofErr w:type="gramStart"/>
            <w:r w:rsidRPr="00110084">
              <w:rPr>
                <w:rFonts w:eastAsia="Calibri"/>
              </w:rPr>
              <w:t>are excreted</w:t>
            </w:r>
            <w:proofErr w:type="gramEnd"/>
            <w:r w:rsidRPr="00110084">
              <w:rPr>
                <w:rFonts w:eastAsia="Calibri"/>
              </w:rPr>
              <w:t xml:space="preserve"> in human milk, caution should be exercised when </w:t>
            </w:r>
            <w:r>
              <w:rPr>
                <w:rFonts w:eastAsia="Calibri"/>
              </w:rPr>
              <w:t>sildenafil</w:t>
            </w:r>
            <w:r w:rsidRPr="00110084">
              <w:rPr>
                <w:rFonts w:eastAsia="Calibri"/>
              </w:rPr>
              <w:t xml:space="preserve"> is a</w:t>
            </w:r>
            <w:r>
              <w:rPr>
                <w:rFonts w:eastAsia="Calibri"/>
              </w:rPr>
              <w:t>dministered to a nursing woman.</w:t>
            </w:r>
          </w:p>
        </w:tc>
        <w:tc>
          <w:tcPr>
            <w:tcW w:w="1378" w:type="pct"/>
          </w:tcPr>
          <w:p w:rsidR="001D0FDA" w:rsidRDefault="001D0FDA" w:rsidP="001D0FDA">
            <w:pPr>
              <w:pStyle w:val="Tabletext"/>
              <w:rPr>
                <w:rFonts w:eastAsia="Calibri"/>
              </w:rPr>
            </w:pPr>
            <w:r>
              <w:rPr>
                <w:rFonts w:eastAsia="Calibri"/>
              </w:rPr>
              <w:t>The TGA PI states that n</w:t>
            </w:r>
            <w:r w:rsidRPr="00110084">
              <w:rPr>
                <w:rFonts w:eastAsia="Calibri"/>
              </w:rPr>
              <w:t xml:space="preserve">o information is available on its secretion into breast milk. Sildenafil </w:t>
            </w:r>
            <w:proofErr w:type="gramStart"/>
            <w:r w:rsidRPr="00110084">
              <w:rPr>
                <w:rFonts w:eastAsia="Calibri"/>
              </w:rPr>
              <w:t>should not be administered</w:t>
            </w:r>
            <w:proofErr w:type="gramEnd"/>
            <w:r w:rsidRPr="00110084">
              <w:rPr>
                <w:rFonts w:eastAsia="Calibri"/>
              </w:rPr>
              <w:t xml:space="preserve"> to breast-feeding mothe</w:t>
            </w:r>
            <w:r>
              <w:rPr>
                <w:rFonts w:eastAsia="Calibri"/>
              </w:rPr>
              <w:t>rs.</w:t>
            </w:r>
          </w:p>
        </w:tc>
      </w:tr>
      <w:tr w:rsidR="001D0FDA" w:rsidRPr="00EA41C2" w:rsidTr="001D0FDA">
        <w:tc>
          <w:tcPr>
            <w:tcW w:w="2100" w:type="pct"/>
          </w:tcPr>
          <w:p w:rsidR="001D0FDA" w:rsidRDefault="001D0FDA" w:rsidP="001D0FDA">
            <w:pPr>
              <w:pStyle w:val="Tabletext"/>
              <w:rPr>
                <w:rFonts w:eastAsia="Calibri"/>
              </w:rPr>
            </w:pPr>
            <w:r w:rsidRPr="00937F58">
              <w:rPr>
                <w:rFonts w:eastAsia="Calibri"/>
              </w:rPr>
              <w:t>13/12/2013</w:t>
            </w:r>
          </w:p>
          <w:p w:rsidR="001D0FDA" w:rsidRDefault="001D0FDA" w:rsidP="001D0FDA">
            <w:pPr>
              <w:pStyle w:val="Tabletext"/>
              <w:rPr>
                <w:rFonts w:eastAsia="Calibri"/>
              </w:rPr>
            </w:pPr>
            <w:r w:rsidRPr="00937F58">
              <w:rPr>
                <w:rFonts w:eastAsia="Calibri"/>
              </w:rPr>
              <w:t xml:space="preserve">The assessment of the data concerning background incidence, literature, clinical trials, post-marketing experience, and data mining leads to inclusion of the terms </w:t>
            </w:r>
            <w:r>
              <w:rPr>
                <w:rFonts w:eastAsia="Calibri"/>
              </w:rPr>
              <w:t>‘p</w:t>
            </w:r>
            <w:r w:rsidRPr="00937F58">
              <w:rPr>
                <w:rFonts w:eastAsia="Calibri"/>
              </w:rPr>
              <w:t>enile haemorrhage</w:t>
            </w:r>
            <w:r>
              <w:rPr>
                <w:rFonts w:eastAsia="Calibri"/>
              </w:rPr>
              <w:t>’</w:t>
            </w:r>
            <w:r w:rsidRPr="00937F58">
              <w:rPr>
                <w:rFonts w:eastAsia="Calibri"/>
              </w:rPr>
              <w:t xml:space="preserve">, </w:t>
            </w:r>
            <w:r>
              <w:rPr>
                <w:rFonts w:eastAsia="Calibri"/>
              </w:rPr>
              <w:t>‘h</w:t>
            </w:r>
            <w:r w:rsidRPr="00937F58">
              <w:rPr>
                <w:rFonts w:eastAsia="Calibri"/>
              </w:rPr>
              <w:t>aematospermia</w:t>
            </w:r>
            <w:r>
              <w:rPr>
                <w:rFonts w:eastAsia="Calibri"/>
              </w:rPr>
              <w:t>’</w:t>
            </w:r>
            <w:r w:rsidRPr="00937F58">
              <w:rPr>
                <w:rFonts w:eastAsia="Calibri"/>
              </w:rPr>
              <w:t xml:space="preserve">, and </w:t>
            </w:r>
            <w:r>
              <w:rPr>
                <w:rFonts w:eastAsia="Calibri"/>
              </w:rPr>
              <w:t>‘h</w:t>
            </w:r>
            <w:r w:rsidRPr="00937F58">
              <w:rPr>
                <w:rFonts w:eastAsia="Calibri"/>
              </w:rPr>
              <w:t>aematuria</w:t>
            </w:r>
            <w:r>
              <w:rPr>
                <w:rFonts w:eastAsia="Calibri"/>
              </w:rPr>
              <w:t>’</w:t>
            </w:r>
            <w:r w:rsidRPr="00937F58">
              <w:rPr>
                <w:rFonts w:eastAsia="Calibri"/>
              </w:rPr>
              <w:t xml:space="preserve"> to Section 4.8 </w:t>
            </w:r>
            <w:r>
              <w:rPr>
                <w:rFonts w:eastAsia="Calibri"/>
              </w:rPr>
              <w:t xml:space="preserve">(Undesirable effects) </w:t>
            </w:r>
            <w:r w:rsidRPr="00937F58">
              <w:rPr>
                <w:rFonts w:eastAsia="Calibri"/>
              </w:rPr>
              <w:t xml:space="preserve">with a frequency of uncommon. This was the outcome of a safety review initiated by the EMA that concluded these genitourinary bleeding events were a class effect of PDE-5 inhibitors and </w:t>
            </w:r>
            <w:proofErr w:type="gramStart"/>
            <w:r w:rsidRPr="00937F58">
              <w:rPr>
                <w:rFonts w:eastAsia="Calibri"/>
              </w:rPr>
              <w:t>should be reflected</w:t>
            </w:r>
            <w:proofErr w:type="gramEnd"/>
            <w:r w:rsidRPr="00937F58">
              <w:rPr>
                <w:rFonts w:eastAsia="Calibri"/>
              </w:rPr>
              <w:t xml:space="preserve"> in product information for both PAH and erectile dysfunction indications.</w:t>
            </w:r>
            <w:r w:rsidR="002449DC">
              <w:rPr>
                <w:rFonts w:eastAsia="Calibri"/>
              </w:rPr>
              <w:t xml:space="preserve"> </w:t>
            </w:r>
          </w:p>
        </w:tc>
        <w:tc>
          <w:tcPr>
            <w:tcW w:w="1522" w:type="pct"/>
          </w:tcPr>
          <w:p w:rsidR="001D0FDA" w:rsidRDefault="001D0FDA" w:rsidP="001D0FDA">
            <w:pPr>
              <w:pStyle w:val="Tabletext"/>
              <w:rPr>
                <w:rFonts w:eastAsia="Calibri"/>
              </w:rPr>
            </w:pPr>
            <w:r>
              <w:rPr>
                <w:rFonts w:eastAsia="Calibri"/>
              </w:rPr>
              <w:t xml:space="preserve">AEs of </w:t>
            </w:r>
            <w:r w:rsidRPr="00B8486E">
              <w:rPr>
                <w:rFonts w:eastAsia="Calibri"/>
              </w:rPr>
              <w:t xml:space="preserve">‘penile haemorrhage’, ‘haematospermia’, and ‘haematuria’ </w:t>
            </w:r>
            <w:r>
              <w:rPr>
                <w:rFonts w:eastAsia="Calibri"/>
              </w:rPr>
              <w:t>are not included in the FDA PL</w:t>
            </w:r>
          </w:p>
        </w:tc>
        <w:tc>
          <w:tcPr>
            <w:tcW w:w="1378" w:type="pct"/>
          </w:tcPr>
          <w:p w:rsidR="001D0FDA" w:rsidRDefault="001D0FDA" w:rsidP="001D0FDA">
            <w:pPr>
              <w:pStyle w:val="Tabletext"/>
              <w:rPr>
                <w:rFonts w:eastAsia="Calibri"/>
              </w:rPr>
            </w:pPr>
            <w:r>
              <w:rPr>
                <w:rFonts w:eastAsia="Calibri"/>
              </w:rPr>
              <w:t xml:space="preserve">AEs of </w:t>
            </w:r>
            <w:r w:rsidRPr="00B8486E">
              <w:rPr>
                <w:rFonts w:eastAsia="Calibri"/>
              </w:rPr>
              <w:t xml:space="preserve">‘penile haemorrhage’, ‘haematospermia’, and ‘haematuria’ </w:t>
            </w:r>
            <w:r>
              <w:rPr>
                <w:rFonts w:eastAsia="Calibri"/>
              </w:rPr>
              <w:t>are not included in the TGA PI</w:t>
            </w:r>
          </w:p>
        </w:tc>
      </w:tr>
      <w:tr w:rsidR="001D0FDA" w:rsidRPr="00EA41C2" w:rsidTr="001D0FDA">
        <w:tc>
          <w:tcPr>
            <w:tcW w:w="2100" w:type="pct"/>
          </w:tcPr>
          <w:p w:rsidR="001D0FDA" w:rsidRDefault="001D0FDA" w:rsidP="001D0FDA">
            <w:pPr>
              <w:pStyle w:val="Tabletext"/>
              <w:rPr>
                <w:rFonts w:eastAsia="Calibri"/>
              </w:rPr>
            </w:pPr>
            <w:r w:rsidRPr="00937F58">
              <w:rPr>
                <w:rFonts w:eastAsia="Calibri"/>
              </w:rPr>
              <w:t>13/04/2012</w:t>
            </w:r>
          </w:p>
          <w:p w:rsidR="001D0FDA" w:rsidRDefault="001D0FDA" w:rsidP="001D0FDA">
            <w:pPr>
              <w:pStyle w:val="Tabletext"/>
              <w:rPr>
                <w:rFonts w:eastAsia="Calibri"/>
              </w:rPr>
            </w:pPr>
            <w:r>
              <w:rPr>
                <w:rFonts w:eastAsia="Calibri"/>
              </w:rPr>
              <w:t>Update of S</w:t>
            </w:r>
            <w:r w:rsidRPr="00937F58">
              <w:rPr>
                <w:rFonts w:eastAsia="Calibri"/>
              </w:rPr>
              <w:t xml:space="preserve">ection 4.4 </w:t>
            </w:r>
            <w:r>
              <w:rPr>
                <w:rFonts w:eastAsia="Calibri"/>
              </w:rPr>
              <w:t xml:space="preserve">(Special warnings and precautions for use) of the SmPC </w:t>
            </w:r>
            <w:r w:rsidRPr="00937F58">
              <w:rPr>
                <w:rFonts w:eastAsia="Calibri"/>
              </w:rPr>
              <w:t xml:space="preserve">following CHMP request in order to add a section regarding the potential for vaso-occlusive crises occurring in patients </w:t>
            </w:r>
            <w:proofErr w:type="gramStart"/>
            <w:r w:rsidRPr="00937F58">
              <w:rPr>
                <w:rFonts w:eastAsia="Calibri"/>
              </w:rPr>
              <w:t>being treated</w:t>
            </w:r>
            <w:proofErr w:type="gramEnd"/>
            <w:r w:rsidRPr="00937F58">
              <w:rPr>
                <w:rFonts w:eastAsia="Calibri"/>
              </w:rPr>
              <w:t xml:space="preserve"> for pulmonary hypertension se</w:t>
            </w:r>
            <w:r>
              <w:rPr>
                <w:rFonts w:eastAsia="Calibri"/>
              </w:rPr>
              <w:t>condary to sickle cell anaemia.</w:t>
            </w:r>
          </w:p>
        </w:tc>
        <w:tc>
          <w:tcPr>
            <w:tcW w:w="1522" w:type="pct"/>
          </w:tcPr>
          <w:p w:rsidR="001D0FDA" w:rsidRDefault="001D0FDA" w:rsidP="001D0FDA">
            <w:pPr>
              <w:pStyle w:val="Tabletext"/>
              <w:rPr>
                <w:rFonts w:eastAsia="Calibri"/>
              </w:rPr>
            </w:pPr>
            <w:r>
              <w:rPr>
                <w:rFonts w:eastAsia="Calibri"/>
              </w:rPr>
              <w:t>Such waring has been included in the FDA PL.</w:t>
            </w:r>
          </w:p>
        </w:tc>
        <w:tc>
          <w:tcPr>
            <w:tcW w:w="1378" w:type="pct"/>
          </w:tcPr>
          <w:p w:rsidR="001D0FDA" w:rsidRDefault="001D0FDA" w:rsidP="001D0FDA">
            <w:pPr>
              <w:pStyle w:val="Tabletext"/>
              <w:rPr>
                <w:rFonts w:eastAsia="Calibri"/>
              </w:rPr>
            </w:pPr>
            <w:r>
              <w:rPr>
                <w:rFonts w:eastAsia="Calibri"/>
              </w:rPr>
              <w:t>Such waring is not included in the TGA PI.</w:t>
            </w:r>
          </w:p>
        </w:tc>
      </w:tr>
      <w:tr w:rsidR="001D0FDA" w:rsidRPr="00EA41C2" w:rsidTr="001D0FDA">
        <w:tc>
          <w:tcPr>
            <w:tcW w:w="2100" w:type="pct"/>
            <w:tcBorders>
              <w:bottom w:val="single" w:sz="4" w:space="0" w:color="auto"/>
            </w:tcBorders>
          </w:tcPr>
          <w:p w:rsidR="001D0FDA" w:rsidRDefault="001D0FDA" w:rsidP="001D0FDA">
            <w:pPr>
              <w:pStyle w:val="Tabletext"/>
              <w:rPr>
                <w:rFonts w:eastAsia="Calibri"/>
              </w:rPr>
            </w:pPr>
            <w:r w:rsidRPr="00937F58">
              <w:rPr>
                <w:rFonts w:eastAsia="Calibri"/>
              </w:rPr>
              <w:t>24/10/2011</w:t>
            </w:r>
          </w:p>
          <w:p w:rsidR="001D0FDA" w:rsidRDefault="001D0FDA" w:rsidP="001D0FDA">
            <w:pPr>
              <w:pStyle w:val="Tabletext"/>
              <w:rPr>
                <w:rFonts w:eastAsia="Calibri"/>
              </w:rPr>
            </w:pPr>
            <w:proofErr w:type="gramStart"/>
            <w:r w:rsidRPr="00937F58">
              <w:rPr>
                <w:rFonts w:eastAsia="Calibri"/>
              </w:rPr>
              <w:t xml:space="preserve">Following deaths related to an ongoing paediatric study </w:t>
            </w:r>
            <w:r>
              <w:rPr>
                <w:rFonts w:eastAsia="Calibri"/>
              </w:rPr>
              <w:t xml:space="preserve">(the STARTS extension study) </w:t>
            </w:r>
            <w:r w:rsidRPr="00937F58">
              <w:rPr>
                <w:rFonts w:eastAsia="Calibri"/>
              </w:rPr>
              <w:t>and corresponding Data Monitoring Board recommendations, u</w:t>
            </w:r>
            <w:r>
              <w:rPr>
                <w:rFonts w:eastAsia="Calibri"/>
              </w:rPr>
              <w:t>pdate to S</w:t>
            </w:r>
            <w:r w:rsidRPr="00937F58">
              <w:rPr>
                <w:rFonts w:eastAsia="Calibri"/>
              </w:rPr>
              <w:t>ections 4.2</w:t>
            </w:r>
            <w:r>
              <w:rPr>
                <w:rFonts w:eastAsia="Calibri"/>
              </w:rPr>
              <w:t xml:space="preserve"> (</w:t>
            </w:r>
            <w:r w:rsidRPr="00605E8B">
              <w:rPr>
                <w:rFonts w:eastAsia="Calibri"/>
              </w:rPr>
              <w:t>Posology and method of administration</w:t>
            </w:r>
            <w:r>
              <w:rPr>
                <w:rFonts w:eastAsia="Calibri"/>
              </w:rPr>
              <w:t>)</w:t>
            </w:r>
            <w:r w:rsidRPr="00937F58">
              <w:rPr>
                <w:rFonts w:eastAsia="Calibri"/>
              </w:rPr>
              <w:t xml:space="preserve">, 4.4 </w:t>
            </w:r>
            <w:r>
              <w:rPr>
                <w:rFonts w:eastAsia="Calibri"/>
              </w:rPr>
              <w:t xml:space="preserve">(Special warnings and precautions for use) </w:t>
            </w:r>
            <w:r w:rsidRPr="00937F58">
              <w:rPr>
                <w:rFonts w:eastAsia="Calibri"/>
              </w:rPr>
              <w:t>and 5.1</w:t>
            </w:r>
            <w:r>
              <w:rPr>
                <w:rFonts w:eastAsia="Calibri"/>
              </w:rPr>
              <w:t xml:space="preserve"> (</w:t>
            </w:r>
            <w:r w:rsidRPr="00605E8B">
              <w:rPr>
                <w:rFonts w:eastAsia="Calibri"/>
              </w:rPr>
              <w:t>Pharmacodynamic properties</w:t>
            </w:r>
            <w:r>
              <w:rPr>
                <w:rFonts w:eastAsia="Calibri"/>
              </w:rPr>
              <w:t>)</w:t>
            </w:r>
            <w:r w:rsidRPr="00937F58">
              <w:rPr>
                <w:rFonts w:eastAsia="Calibri"/>
              </w:rPr>
              <w:t xml:space="preserve">, to highlight that in paediatric patients, doses higher than the recommended doses (10 mg </w:t>
            </w:r>
            <w:r>
              <w:rPr>
                <w:rFonts w:eastAsia="Calibri"/>
              </w:rPr>
              <w:t>tid</w:t>
            </w:r>
            <w:r w:rsidRPr="00937F58">
              <w:rPr>
                <w:rFonts w:eastAsia="Calibri"/>
              </w:rPr>
              <w:t xml:space="preserve"> in children weighing </w:t>
            </w:r>
            <w:r>
              <w:rPr>
                <w:rFonts w:eastAsia="Calibri"/>
              </w:rPr>
              <w:t>&lt;</w:t>
            </w:r>
            <w:r w:rsidRPr="00937F58">
              <w:rPr>
                <w:rFonts w:eastAsia="Calibri"/>
              </w:rPr>
              <w:t xml:space="preserve">20 kg and 20 mg </w:t>
            </w:r>
            <w:r>
              <w:rPr>
                <w:rFonts w:eastAsia="Calibri"/>
              </w:rPr>
              <w:t>tid</w:t>
            </w:r>
            <w:r w:rsidRPr="00937F58">
              <w:rPr>
                <w:rFonts w:eastAsia="Calibri"/>
              </w:rPr>
              <w:t xml:space="preserve"> in those </w:t>
            </w:r>
            <w:r>
              <w:rPr>
                <w:rFonts w:eastAsia="Calibri"/>
              </w:rPr>
              <w:t>&gt;</w:t>
            </w:r>
            <w:r w:rsidRPr="00937F58">
              <w:rPr>
                <w:rFonts w:eastAsia="Calibri"/>
              </w:rPr>
              <w:t>20 kg</w:t>
            </w:r>
            <w:r>
              <w:rPr>
                <w:rFonts w:eastAsia="Calibri"/>
              </w:rPr>
              <w:t>) should not be used.</w:t>
            </w:r>
            <w:proofErr w:type="gramEnd"/>
          </w:p>
          <w:p w:rsidR="001D0FDA" w:rsidRDefault="001D0FDA" w:rsidP="001D0FDA">
            <w:pPr>
              <w:pStyle w:val="Tabletext"/>
              <w:rPr>
                <w:rFonts w:eastAsia="Calibri"/>
              </w:rPr>
            </w:pPr>
            <w:proofErr w:type="gramStart"/>
            <w:r>
              <w:rPr>
                <w:rFonts w:eastAsia="Calibri"/>
              </w:rPr>
              <w:t>ps</w:t>
            </w:r>
            <w:proofErr w:type="gramEnd"/>
            <w:r>
              <w:rPr>
                <w:rFonts w:eastAsia="Calibri"/>
              </w:rPr>
              <w:t>: the Sections</w:t>
            </w:r>
            <w:r w:rsidRPr="00605E8B">
              <w:rPr>
                <w:rFonts w:eastAsia="Calibri"/>
              </w:rPr>
              <w:t xml:space="preserve"> 4.8 (Undesirable effects) and 5.1 (Pharmacodynamic properties) of the </w:t>
            </w:r>
            <w:r w:rsidRPr="00347EB8">
              <w:rPr>
                <w:rFonts w:eastAsia="Calibri"/>
              </w:rPr>
              <w:t>SmPC</w:t>
            </w:r>
            <w:r w:rsidRPr="00605E8B">
              <w:rPr>
                <w:rFonts w:eastAsia="Calibri"/>
              </w:rPr>
              <w:t xml:space="preserve"> </w:t>
            </w:r>
            <w:r>
              <w:rPr>
                <w:rFonts w:eastAsia="Calibri"/>
              </w:rPr>
              <w:t xml:space="preserve">were revised </w:t>
            </w:r>
            <w:r w:rsidRPr="00605E8B">
              <w:rPr>
                <w:rFonts w:eastAsia="Calibri"/>
              </w:rPr>
              <w:t>following submission of the final study report of the STARTS extension study in the paediatric population</w:t>
            </w:r>
            <w:r>
              <w:rPr>
                <w:rFonts w:eastAsia="Calibri"/>
              </w:rPr>
              <w:t xml:space="preserve"> (EC approved date: </w:t>
            </w:r>
            <w:r w:rsidRPr="00347EB8">
              <w:rPr>
                <w:rFonts w:eastAsia="Calibri"/>
              </w:rPr>
              <w:t>17/11/2014</w:t>
            </w:r>
            <w:r>
              <w:rPr>
                <w:rFonts w:eastAsia="Calibri"/>
              </w:rPr>
              <w:t>)</w:t>
            </w:r>
            <w:r w:rsidRPr="00605E8B">
              <w:rPr>
                <w:rFonts w:eastAsia="Calibri"/>
              </w:rPr>
              <w:t>.</w:t>
            </w:r>
          </w:p>
        </w:tc>
        <w:tc>
          <w:tcPr>
            <w:tcW w:w="1522" w:type="pct"/>
            <w:tcBorders>
              <w:bottom w:val="single" w:sz="4" w:space="0" w:color="auto"/>
            </w:tcBorders>
          </w:tcPr>
          <w:p w:rsidR="001D0FDA" w:rsidRDefault="001D0FDA" w:rsidP="001D0FDA">
            <w:pPr>
              <w:pStyle w:val="Tabletext"/>
              <w:rPr>
                <w:rFonts w:eastAsia="Calibri"/>
              </w:rPr>
            </w:pPr>
            <w:r w:rsidRPr="00605E8B">
              <w:rPr>
                <w:rFonts w:eastAsia="Calibri"/>
              </w:rPr>
              <w:t xml:space="preserve">Use of </w:t>
            </w:r>
            <w:r>
              <w:rPr>
                <w:rFonts w:eastAsia="Calibri"/>
              </w:rPr>
              <w:t>sildenafil</w:t>
            </w:r>
            <w:r w:rsidRPr="00605E8B">
              <w:rPr>
                <w:rFonts w:eastAsia="Calibri"/>
              </w:rPr>
              <w:t xml:space="preserve">, particularly chronic use, </w:t>
            </w:r>
            <w:proofErr w:type="gramStart"/>
            <w:r w:rsidRPr="00605E8B">
              <w:rPr>
                <w:rFonts w:eastAsia="Calibri"/>
              </w:rPr>
              <w:t>is not recommended</w:t>
            </w:r>
            <w:proofErr w:type="gramEnd"/>
            <w:r w:rsidRPr="00605E8B">
              <w:rPr>
                <w:rFonts w:eastAsia="Calibri"/>
              </w:rPr>
              <w:t xml:space="preserve"> in children.</w:t>
            </w:r>
            <w:r>
              <w:rPr>
                <w:rFonts w:eastAsia="Calibri"/>
              </w:rPr>
              <w:t xml:space="preserve"> </w:t>
            </w:r>
          </w:p>
        </w:tc>
        <w:tc>
          <w:tcPr>
            <w:tcW w:w="1378" w:type="pct"/>
            <w:tcBorders>
              <w:bottom w:val="single" w:sz="4" w:space="0" w:color="auto"/>
            </w:tcBorders>
          </w:tcPr>
          <w:p w:rsidR="001D0FDA" w:rsidRDefault="001D0FDA" w:rsidP="001D0FDA">
            <w:pPr>
              <w:pStyle w:val="Tabletext"/>
              <w:rPr>
                <w:rFonts w:eastAsia="Calibri"/>
              </w:rPr>
            </w:pPr>
            <w:r>
              <w:rPr>
                <w:rFonts w:eastAsia="Calibri"/>
              </w:rPr>
              <w:t xml:space="preserve">Sildenafil </w:t>
            </w:r>
            <w:proofErr w:type="gramStart"/>
            <w:r w:rsidRPr="00347EB8">
              <w:rPr>
                <w:rFonts w:eastAsia="Calibri"/>
              </w:rPr>
              <w:t>is not indicated</w:t>
            </w:r>
            <w:proofErr w:type="gramEnd"/>
            <w:r w:rsidRPr="00347EB8">
              <w:rPr>
                <w:rFonts w:eastAsia="Calibri"/>
              </w:rPr>
              <w:t xml:space="preserve"> for use in children under 18 years of age.</w:t>
            </w:r>
          </w:p>
        </w:tc>
      </w:tr>
      <w:tr w:rsidR="001D0FDA" w:rsidRPr="00847A11" w:rsidTr="001D0FDA">
        <w:tc>
          <w:tcPr>
            <w:tcW w:w="2100" w:type="pct"/>
            <w:shd w:val="clear" w:color="auto" w:fill="000000" w:themeFill="text1"/>
          </w:tcPr>
          <w:p w:rsidR="001D0FDA" w:rsidRPr="00847A11" w:rsidRDefault="001D0FDA" w:rsidP="001D0FDA">
            <w:pPr>
              <w:pStyle w:val="Tabletext"/>
              <w:rPr>
                <w:rFonts w:eastAsia="Calibri"/>
                <w:b/>
                <w:color w:val="FFFFFF" w:themeColor="background1"/>
              </w:rPr>
            </w:pPr>
            <w:r w:rsidRPr="00847A11">
              <w:rPr>
                <w:rFonts w:eastAsia="Calibri"/>
                <w:b/>
                <w:color w:val="FFFFFF" w:themeColor="background1"/>
              </w:rPr>
              <w:t xml:space="preserve">Tadalafil </w:t>
            </w:r>
          </w:p>
        </w:tc>
        <w:tc>
          <w:tcPr>
            <w:tcW w:w="1522" w:type="pct"/>
            <w:shd w:val="clear" w:color="auto" w:fill="000000" w:themeFill="text1"/>
          </w:tcPr>
          <w:p w:rsidR="001D0FDA" w:rsidRPr="00847A11" w:rsidRDefault="001D0FDA" w:rsidP="001D0FDA">
            <w:pPr>
              <w:pStyle w:val="Tabletext"/>
              <w:rPr>
                <w:rFonts w:eastAsia="Calibri"/>
                <w:b/>
                <w:color w:val="FFFFFF" w:themeColor="background1"/>
              </w:rPr>
            </w:pPr>
          </w:p>
        </w:tc>
        <w:tc>
          <w:tcPr>
            <w:tcW w:w="1378" w:type="pct"/>
            <w:shd w:val="clear" w:color="auto" w:fill="000000" w:themeFill="text1"/>
          </w:tcPr>
          <w:p w:rsidR="001D0FDA" w:rsidRPr="00847A11" w:rsidRDefault="001D0FDA" w:rsidP="001D0FDA">
            <w:pPr>
              <w:pStyle w:val="Tabletext"/>
              <w:rPr>
                <w:rFonts w:eastAsia="Calibri"/>
                <w:b/>
                <w:color w:val="FFFFFF" w:themeColor="background1"/>
              </w:rPr>
            </w:pPr>
          </w:p>
        </w:tc>
      </w:tr>
      <w:tr w:rsidR="001D0FDA" w:rsidRPr="00EA41C2" w:rsidTr="001D0FDA">
        <w:tc>
          <w:tcPr>
            <w:tcW w:w="2100" w:type="pct"/>
          </w:tcPr>
          <w:p w:rsidR="001D0FDA" w:rsidRDefault="001D0FDA" w:rsidP="001D0FDA">
            <w:pPr>
              <w:pStyle w:val="Tabletext"/>
              <w:rPr>
                <w:rFonts w:eastAsia="Calibri"/>
              </w:rPr>
            </w:pPr>
            <w:r w:rsidRPr="00347EB8">
              <w:rPr>
                <w:rFonts w:eastAsia="Calibri"/>
              </w:rPr>
              <w:t>24/01/2013</w:t>
            </w:r>
          </w:p>
          <w:p w:rsidR="001D0FDA" w:rsidRPr="00937F58" w:rsidRDefault="001D0FDA" w:rsidP="001D0FDA">
            <w:pPr>
              <w:pStyle w:val="Tabletext"/>
              <w:rPr>
                <w:rFonts w:eastAsia="Calibri"/>
              </w:rPr>
            </w:pPr>
            <w:r w:rsidRPr="00347EB8">
              <w:rPr>
                <w:rFonts w:eastAsia="Calibri"/>
              </w:rPr>
              <w:t>The EMA requested the manufacturers of all PDE-5 inhibitors to compile a cumulative review of all penile haemorrhage, haematospermia, haematuria and penile hematoma adverse events with a view to considering whether genitourinary b</w:t>
            </w:r>
            <w:r>
              <w:rPr>
                <w:rFonts w:eastAsia="Calibri"/>
              </w:rPr>
              <w:t xml:space="preserve">leeding may be a class effect. </w:t>
            </w:r>
            <w:r w:rsidRPr="00347EB8">
              <w:rPr>
                <w:rFonts w:eastAsia="Calibri"/>
              </w:rPr>
              <w:t xml:space="preserve">As a result, haematuria, haematospermia and penile haemorrhage have been added to section 4.8 </w:t>
            </w:r>
            <w:r>
              <w:rPr>
                <w:rFonts w:eastAsia="Calibri"/>
              </w:rPr>
              <w:t xml:space="preserve">(Undesirable effects) </w:t>
            </w:r>
            <w:r w:rsidRPr="00347EB8">
              <w:rPr>
                <w:rFonts w:eastAsia="Calibri"/>
              </w:rPr>
              <w:t xml:space="preserve">of the </w:t>
            </w:r>
            <w:r>
              <w:rPr>
                <w:rFonts w:eastAsia="Calibri"/>
              </w:rPr>
              <w:t xml:space="preserve">tadalafil </w:t>
            </w:r>
            <w:r w:rsidRPr="00347EB8">
              <w:rPr>
                <w:rFonts w:eastAsia="Calibri"/>
              </w:rPr>
              <w:t>SmPC with a frequency of uncomm</w:t>
            </w:r>
            <w:r>
              <w:rPr>
                <w:rFonts w:eastAsia="Calibri"/>
              </w:rPr>
              <w:t>on.</w:t>
            </w:r>
          </w:p>
        </w:tc>
        <w:tc>
          <w:tcPr>
            <w:tcW w:w="1522" w:type="pct"/>
          </w:tcPr>
          <w:p w:rsidR="001D0FDA" w:rsidRPr="00605E8B" w:rsidRDefault="001D0FDA" w:rsidP="001D0FDA">
            <w:pPr>
              <w:pStyle w:val="Tabletext"/>
              <w:rPr>
                <w:rFonts w:eastAsia="Calibri"/>
              </w:rPr>
            </w:pPr>
            <w:r>
              <w:rPr>
                <w:rFonts w:eastAsia="Calibri"/>
              </w:rPr>
              <w:t xml:space="preserve">AEs of </w:t>
            </w:r>
            <w:r w:rsidRPr="00B8486E">
              <w:rPr>
                <w:rFonts w:eastAsia="Calibri"/>
              </w:rPr>
              <w:t>haematuria, haematospermia and penile haemorrhage</w:t>
            </w:r>
            <w:r>
              <w:rPr>
                <w:rFonts w:eastAsia="Calibri"/>
              </w:rPr>
              <w:t xml:space="preserve"> are not included in the FDA PL</w:t>
            </w:r>
          </w:p>
        </w:tc>
        <w:tc>
          <w:tcPr>
            <w:tcW w:w="1378" w:type="pct"/>
          </w:tcPr>
          <w:p w:rsidR="001D0FDA" w:rsidRDefault="001D0FDA" w:rsidP="001D0FDA">
            <w:pPr>
              <w:pStyle w:val="Tabletext"/>
              <w:rPr>
                <w:rFonts w:eastAsia="Calibri"/>
              </w:rPr>
            </w:pPr>
            <w:r>
              <w:rPr>
                <w:rFonts w:eastAsia="Calibri"/>
              </w:rPr>
              <w:t xml:space="preserve">AEs of </w:t>
            </w:r>
            <w:r w:rsidRPr="00B8486E">
              <w:rPr>
                <w:rFonts w:eastAsia="Calibri"/>
              </w:rPr>
              <w:t>haematuria, haematospermia and penile haemorrhage</w:t>
            </w:r>
            <w:r>
              <w:rPr>
                <w:rFonts w:eastAsia="Calibri"/>
              </w:rPr>
              <w:t xml:space="preserve"> are not included in the TGA PI</w:t>
            </w:r>
          </w:p>
        </w:tc>
      </w:tr>
      <w:tr w:rsidR="001D0FDA" w:rsidRPr="00EA41C2" w:rsidTr="001D0FDA">
        <w:tc>
          <w:tcPr>
            <w:tcW w:w="2100" w:type="pct"/>
            <w:tcBorders>
              <w:bottom w:val="single" w:sz="4" w:space="0" w:color="auto"/>
            </w:tcBorders>
          </w:tcPr>
          <w:p w:rsidR="001D0FDA" w:rsidRDefault="001D0FDA" w:rsidP="001D0FDA">
            <w:pPr>
              <w:pStyle w:val="Tabletext"/>
              <w:rPr>
                <w:rFonts w:eastAsia="Calibri"/>
              </w:rPr>
            </w:pPr>
            <w:r w:rsidRPr="00347EB8">
              <w:rPr>
                <w:rFonts w:eastAsia="Calibri"/>
              </w:rPr>
              <w:t>26/03/2010</w:t>
            </w:r>
          </w:p>
          <w:p w:rsidR="001D0FDA" w:rsidRPr="00347EB8" w:rsidRDefault="001D0FDA" w:rsidP="001D0FDA">
            <w:pPr>
              <w:pStyle w:val="Tabletext"/>
              <w:rPr>
                <w:rFonts w:eastAsia="Calibri"/>
              </w:rPr>
            </w:pPr>
            <w:r w:rsidRPr="00347EB8">
              <w:rPr>
                <w:rFonts w:eastAsia="Calibri"/>
              </w:rPr>
              <w:t xml:space="preserve">Following the assessment of PSUR 10 (reports from 16 October 2007 - 15 October 2008) section 4.8 </w:t>
            </w:r>
            <w:r>
              <w:rPr>
                <w:rFonts w:eastAsia="Calibri"/>
              </w:rPr>
              <w:t xml:space="preserve">(Undesirable effects) </w:t>
            </w:r>
            <w:r w:rsidRPr="00347EB8">
              <w:rPr>
                <w:rFonts w:eastAsia="Calibri"/>
              </w:rPr>
              <w:t xml:space="preserve">of the SmPC was modified to add text [underlined] “stroke </w:t>
            </w:r>
            <w:r w:rsidRPr="00B8486E">
              <w:rPr>
                <w:rFonts w:eastAsia="Calibri"/>
                <w:u w:val="single"/>
              </w:rPr>
              <w:t>including haemorrhagic events</w:t>
            </w:r>
            <w:r w:rsidRPr="00347EB8">
              <w:rPr>
                <w:rFonts w:eastAsia="Calibri"/>
              </w:rPr>
              <w:t>”</w:t>
            </w:r>
          </w:p>
        </w:tc>
        <w:tc>
          <w:tcPr>
            <w:tcW w:w="1522" w:type="pct"/>
            <w:tcBorders>
              <w:bottom w:val="single" w:sz="4" w:space="0" w:color="auto"/>
            </w:tcBorders>
          </w:tcPr>
          <w:p w:rsidR="001D0FDA" w:rsidRPr="00605E8B" w:rsidRDefault="001D0FDA" w:rsidP="001D0FDA">
            <w:pPr>
              <w:pStyle w:val="Tabletext"/>
              <w:rPr>
                <w:rFonts w:eastAsia="Calibri"/>
              </w:rPr>
            </w:pPr>
            <w:r>
              <w:rPr>
                <w:rFonts w:eastAsia="Calibri"/>
              </w:rPr>
              <w:t>Although stroke is included as an AE, the text ‘including haemorrhagic events’ is not.</w:t>
            </w:r>
          </w:p>
        </w:tc>
        <w:tc>
          <w:tcPr>
            <w:tcW w:w="1378" w:type="pct"/>
            <w:tcBorders>
              <w:bottom w:val="single" w:sz="4" w:space="0" w:color="auto"/>
            </w:tcBorders>
          </w:tcPr>
          <w:p w:rsidR="001D0FDA" w:rsidRDefault="001D0FDA" w:rsidP="001D0FDA">
            <w:pPr>
              <w:pStyle w:val="Tabletext"/>
              <w:rPr>
                <w:rFonts w:eastAsia="Calibri"/>
              </w:rPr>
            </w:pPr>
            <w:r>
              <w:rPr>
                <w:rFonts w:eastAsia="Calibri"/>
              </w:rPr>
              <w:t>Although stroke is included as an AE, the text ‘including haemorrhagic events’ is not.</w:t>
            </w:r>
          </w:p>
        </w:tc>
      </w:tr>
      <w:tr w:rsidR="001D0FDA" w:rsidRPr="00847A11" w:rsidTr="001D0FDA">
        <w:tc>
          <w:tcPr>
            <w:tcW w:w="2100" w:type="pct"/>
            <w:shd w:val="clear" w:color="auto" w:fill="000000" w:themeFill="text1"/>
          </w:tcPr>
          <w:p w:rsidR="001D0FDA" w:rsidRPr="00847A11" w:rsidRDefault="001D0FDA" w:rsidP="001D0FDA">
            <w:pPr>
              <w:pStyle w:val="Tabletext"/>
              <w:rPr>
                <w:rFonts w:eastAsia="Calibri"/>
                <w:b/>
                <w:color w:val="FFFFFF" w:themeColor="background1"/>
              </w:rPr>
            </w:pPr>
            <w:r w:rsidRPr="00847A11">
              <w:rPr>
                <w:rFonts w:eastAsia="Calibri"/>
                <w:b/>
                <w:color w:val="FFFFFF" w:themeColor="background1"/>
              </w:rPr>
              <w:t>Riociguat</w:t>
            </w:r>
          </w:p>
        </w:tc>
        <w:tc>
          <w:tcPr>
            <w:tcW w:w="1522" w:type="pct"/>
            <w:shd w:val="clear" w:color="auto" w:fill="000000" w:themeFill="text1"/>
          </w:tcPr>
          <w:p w:rsidR="001D0FDA" w:rsidRPr="00847A11" w:rsidRDefault="001D0FDA" w:rsidP="001D0FDA">
            <w:pPr>
              <w:pStyle w:val="Tabletext"/>
              <w:rPr>
                <w:rFonts w:eastAsia="Calibri"/>
                <w:b/>
                <w:color w:val="FFFFFF" w:themeColor="background1"/>
              </w:rPr>
            </w:pPr>
          </w:p>
        </w:tc>
        <w:tc>
          <w:tcPr>
            <w:tcW w:w="1378" w:type="pct"/>
            <w:shd w:val="clear" w:color="auto" w:fill="000000" w:themeFill="text1"/>
          </w:tcPr>
          <w:p w:rsidR="001D0FDA" w:rsidRPr="00847A11" w:rsidRDefault="001D0FDA" w:rsidP="001D0FDA">
            <w:pPr>
              <w:pStyle w:val="Tabletext"/>
              <w:rPr>
                <w:rFonts w:eastAsia="Calibri"/>
                <w:b/>
                <w:color w:val="FFFFFF" w:themeColor="background1"/>
              </w:rPr>
            </w:pPr>
          </w:p>
        </w:tc>
      </w:tr>
      <w:tr w:rsidR="001D0FDA" w:rsidRPr="00EA41C2" w:rsidTr="001D0FDA">
        <w:tc>
          <w:tcPr>
            <w:tcW w:w="2100" w:type="pct"/>
          </w:tcPr>
          <w:p w:rsidR="001D0FDA" w:rsidRDefault="001D0FDA" w:rsidP="001D0FDA">
            <w:pPr>
              <w:pStyle w:val="Tabletext"/>
              <w:rPr>
                <w:rFonts w:eastAsia="Calibri"/>
              </w:rPr>
            </w:pPr>
            <w:r w:rsidRPr="00847A11">
              <w:rPr>
                <w:rFonts w:eastAsia="Calibri"/>
              </w:rPr>
              <w:t>02/05/2017</w:t>
            </w:r>
          </w:p>
          <w:p w:rsidR="001D0FDA" w:rsidRPr="00937F58" w:rsidRDefault="001D0FDA" w:rsidP="001D0FDA">
            <w:pPr>
              <w:pStyle w:val="Tabletext"/>
              <w:rPr>
                <w:rFonts w:eastAsia="Calibri"/>
              </w:rPr>
            </w:pPr>
            <w:r w:rsidRPr="00847A11">
              <w:rPr>
                <w:rFonts w:eastAsia="Calibri"/>
              </w:rPr>
              <w:t xml:space="preserve">Results of an interaction study indicated that ethinyl estradiol and levonorgestrel exposure </w:t>
            </w:r>
            <w:proofErr w:type="gramStart"/>
            <w:r w:rsidRPr="00847A11">
              <w:rPr>
                <w:rFonts w:eastAsia="Calibri"/>
              </w:rPr>
              <w:t>was not affected</w:t>
            </w:r>
            <w:proofErr w:type="gramEnd"/>
            <w:r w:rsidRPr="00847A11">
              <w:rPr>
                <w:rFonts w:eastAsia="Calibri"/>
              </w:rPr>
              <w:t xml:space="preserve"> when administered on top of a treatment with riociguat. Text added, including “Based on this study and as riociguat is not an inducer of any of the relevant metabolic enzymes, also no pharmacokinetic interaction is expected with o</w:t>
            </w:r>
            <w:r>
              <w:rPr>
                <w:rFonts w:eastAsia="Calibri"/>
              </w:rPr>
              <w:t xml:space="preserve">ther hormonal contraceptives” </w:t>
            </w:r>
          </w:p>
        </w:tc>
        <w:tc>
          <w:tcPr>
            <w:tcW w:w="1522" w:type="pct"/>
          </w:tcPr>
          <w:p w:rsidR="001D0FDA" w:rsidRPr="00605E8B" w:rsidRDefault="001D0FDA" w:rsidP="001D0FDA">
            <w:pPr>
              <w:pStyle w:val="Tabletext"/>
              <w:rPr>
                <w:rFonts w:eastAsia="Calibri"/>
              </w:rPr>
            </w:pPr>
            <w:r>
              <w:rPr>
                <w:rFonts w:eastAsia="Calibri"/>
              </w:rPr>
              <w:t>Information on the drug interaction between riociguat and hormonal contraceptives is not included in the FDA PL</w:t>
            </w:r>
          </w:p>
        </w:tc>
        <w:tc>
          <w:tcPr>
            <w:tcW w:w="1378" w:type="pct"/>
          </w:tcPr>
          <w:p w:rsidR="001D0FDA" w:rsidRDefault="001D0FDA" w:rsidP="001D0FDA">
            <w:pPr>
              <w:pStyle w:val="Tabletext"/>
              <w:rPr>
                <w:rFonts w:eastAsia="Calibri"/>
              </w:rPr>
            </w:pPr>
            <w:r>
              <w:rPr>
                <w:rFonts w:eastAsia="Calibri"/>
              </w:rPr>
              <w:t>Information on the drug interaction between riociguat and hormonal contraceptives is not included in the TGA PI</w:t>
            </w:r>
          </w:p>
        </w:tc>
      </w:tr>
    </w:tbl>
    <w:p w:rsidR="001D0FDA" w:rsidRDefault="001D0FDA" w:rsidP="001D0FDA">
      <w:pPr>
        <w:pStyle w:val="Tablenote"/>
      </w:pPr>
      <w:r>
        <w:t xml:space="preserve">AE= adverse event; CHMP = </w:t>
      </w:r>
      <w:r w:rsidRPr="00EB7BEA">
        <w:t>Committee for Medicinal Products for Human Use</w:t>
      </w:r>
      <w:r>
        <w:t>; COPD = c</w:t>
      </w:r>
      <w:r w:rsidRPr="00EB7BEA">
        <w:t>hronic obstructive pulmonary disease</w:t>
      </w:r>
      <w:r>
        <w:t xml:space="preserve">; EC = European </w:t>
      </w:r>
      <w:r w:rsidRPr="007C3385">
        <w:t>Commission</w:t>
      </w:r>
      <w:r>
        <w:t>;</w:t>
      </w:r>
      <w:r w:rsidRPr="007C3385">
        <w:t xml:space="preserve"> </w:t>
      </w:r>
      <w:r>
        <w:t xml:space="preserve">EMA = </w:t>
      </w:r>
      <w:r w:rsidRPr="00EB7BEA">
        <w:t>European Medicines Agency</w:t>
      </w:r>
      <w:r>
        <w:t>;</w:t>
      </w:r>
      <w:r w:rsidRPr="00EB7BEA">
        <w:t xml:space="preserve"> </w:t>
      </w:r>
      <w:r>
        <w:t xml:space="preserve">FDA = Food and Drug Administration; PDE-5 = </w:t>
      </w:r>
      <w:r w:rsidRPr="00520120">
        <w:t>phosphodiesterase type 5</w:t>
      </w:r>
      <w:r>
        <w:t xml:space="preserve">; PI = Product Information; PL = Product Label; PSUR = </w:t>
      </w:r>
      <w:r w:rsidRPr="00847A11">
        <w:t>Periodic Safety Update Repor</w:t>
      </w:r>
      <w:r>
        <w:t xml:space="preserve">t; SmPC = Summary of Product Characteristics; TGA = </w:t>
      </w:r>
      <w:r w:rsidRPr="00EB7BEA">
        <w:t>Therapeutic Goods Administration</w:t>
      </w:r>
      <w:r w:rsidRPr="0045440E">
        <w:t xml:space="preserve"> </w:t>
      </w:r>
    </w:p>
    <w:p w:rsidR="001D0FDA" w:rsidRDefault="001D0FDA" w:rsidP="001D0FDA">
      <w:pPr>
        <w:pStyle w:val="Tablenote"/>
      </w:pPr>
      <w:r w:rsidRPr="0045440E">
        <w:t xml:space="preserve">Source: </w:t>
      </w:r>
      <w:r w:rsidRPr="002046A0">
        <w:t>www.ema.europa.eu</w:t>
      </w:r>
    </w:p>
    <w:p w:rsidR="001D0FDA" w:rsidRDefault="001D0FDA" w:rsidP="001D0FDA">
      <w:r>
        <w:t xml:space="preserve">Apart from the </w:t>
      </w:r>
      <w:proofErr w:type="gramStart"/>
      <w:r>
        <w:t>five</w:t>
      </w:r>
      <w:proofErr w:type="gramEnd"/>
      <w:r>
        <w:t xml:space="preserve"> PAH medicines listed in the table above, no key differences were identified for macitentan and iloprost between the PI documents from the three regulatory agencies. The other PAH medicine, i</w:t>
      </w:r>
      <w:r w:rsidR="007E4C7F">
        <w:t>.</w:t>
      </w:r>
      <w:r>
        <w:t>e</w:t>
      </w:r>
      <w:r w:rsidR="007E4C7F">
        <w:t>.</w:t>
      </w:r>
      <w:r>
        <w:t xml:space="preserve"> </w:t>
      </w:r>
      <w:r w:rsidRPr="00EB7BEA">
        <w:t>epoprostenol</w:t>
      </w:r>
      <w:r>
        <w:t xml:space="preserve">, </w:t>
      </w:r>
      <w:r w:rsidRPr="00EB7BEA">
        <w:t>is not centrally authorised</w:t>
      </w:r>
      <w:r>
        <w:t xml:space="preserve"> (</w:t>
      </w:r>
      <w:r w:rsidRPr="00EB7BEA">
        <w:t>authorised on a country-by-country basis</w:t>
      </w:r>
      <w:r>
        <w:t xml:space="preserve"> instead)</w:t>
      </w:r>
      <w:r w:rsidRPr="00EB7BEA">
        <w:t xml:space="preserve">. </w:t>
      </w:r>
      <w:proofErr w:type="gramStart"/>
      <w:r w:rsidRPr="00EB7BEA">
        <w:t>Thus</w:t>
      </w:r>
      <w:proofErr w:type="gramEnd"/>
      <w:r w:rsidRPr="00EB7BEA">
        <w:t xml:space="preserve"> the same type of </w:t>
      </w:r>
      <w:r>
        <w:t xml:space="preserve">SmPC </w:t>
      </w:r>
      <w:r w:rsidRPr="00EB7BEA">
        <w:t xml:space="preserve">changes to safety information is not available for epoprostenol brands. However, the </w:t>
      </w:r>
      <w:r>
        <w:t>PI</w:t>
      </w:r>
      <w:r w:rsidRPr="00EB7BEA">
        <w:t xml:space="preserve"> for epoprostenol was ‘harmonised’ in 2012 to ensure currency and consis</w:t>
      </w:r>
      <w:r>
        <w:t xml:space="preserve">tency across the 14 countries, including the UK. </w:t>
      </w:r>
      <w:r w:rsidRPr="00EB7BEA">
        <w:t xml:space="preserve">This process </w:t>
      </w:r>
      <w:proofErr w:type="gramStart"/>
      <w:r w:rsidRPr="00EB7BEA">
        <w:t>was coordinated by the EMA and, based on a comprehensive review of efficacy and safety data, resulted in a single consistent S</w:t>
      </w:r>
      <w:r>
        <w:t>mPC text for all 14 countries</w:t>
      </w:r>
      <w:proofErr w:type="gramEnd"/>
      <w:r>
        <w:t xml:space="preserve">. </w:t>
      </w:r>
      <w:r w:rsidRPr="00EB7BEA">
        <w:t>A comparison of the current UK SmPC with the 2012 document from the EMA process indicates there have been minimal changes in terms of safety data.</w:t>
      </w:r>
    </w:p>
    <w:p w:rsidR="001D0FDA" w:rsidRDefault="001D0FDA" w:rsidP="001D0FDA">
      <w:proofErr w:type="gramStart"/>
      <w:r>
        <w:t xml:space="preserve">Potential important safety signals identified via reviewing the safety-related variations to the EMA SmPC include: use of bosentan in patients with chronic obstructive pulmonary disease; </w:t>
      </w:r>
      <w:r w:rsidR="006B2A7D">
        <w:t>AE</w:t>
      </w:r>
      <w:r>
        <w:t xml:space="preserve">s of </w:t>
      </w:r>
      <w:r w:rsidRPr="008D3B22">
        <w:t>penile haemorrhage</w:t>
      </w:r>
      <w:r>
        <w:t xml:space="preserve"> and</w:t>
      </w:r>
      <w:r w:rsidRPr="008D3B22">
        <w:t xml:space="preserve"> haematospermia</w:t>
      </w:r>
      <w:r>
        <w:t xml:space="preserve"> in patients receiving PDE-5 inhibitors (both sildenafil and tadalafil); </w:t>
      </w:r>
      <w:r w:rsidRPr="008D3B22">
        <w:t xml:space="preserve">potential for vaso-occlusive crises </w:t>
      </w:r>
      <w:r>
        <w:t xml:space="preserve">in </w:t>
      </w:r>
      <w:r w:rsidRPr="008D3B22">
        <w:t xml:space="preserve">patients </w:t>
      </w:r>
      <w:r>
        <w:t>receiving sildenafil for PH</w:t>
      </w:r>
      <w:r w:rsidRPr="008D3B22">
        <w:t xml:space="preserve"> secondary to sickle cell anaemia</w:t>
      </w:r>
      <w:r>
        <w:t xml:space="preserve">; and </w:t>
      </w:r>
      <w:r w:rsidRPr="008D3B22">
        <w:t xml:space="preserve">intracerebral </w:t>
      </w:r>
      <w:r>
        <w:t>haemorrhage in tadalafil-treated patients.</w:t>
      </w:r>
      <w:proofErr w:type="gramEnd"/>
    </w:p>
    <w:p w:rsidR="001D0FDA" w:rsidRDefault="001D0FDA" w:rsidP="001D0FDA">
      <w:r>
        <w:t xml:space="preserve">The EMA SmPC states that sildenafil </w:t>
      </w:r>
      <w:proofErr w:type="gramStart"/>
      <w:r>
        <w:t>is indicated</w:t>
      </w:r>
      <w:proofErr w:type="gramEnd"/>
      <w:r>
        <w:t xml:space="preserve"> for treatment of paediatric patients aged 1 year to 17 years old with PAH. The SmPC also indicates that efficacy of sildenafil in terms of improvement of exercise capacity or pulmonary </w:t>
      </w:r>
      <w:r w:rsidR="007E658F" w:rsidRPr="007E658F">
        <w:t>haemodynamic parameters</w:t>
      </w:r>
      <w:r>
        <w:t xml:space="preserve"> has been shown in children with primary pulmonary hypertension and PAH-CHD, which was supported by clinical data from short-term RCT STARTS-1. In the long-term STARTS extension study, however, an increase in deaths </w:t>
      </w:r>
      <w:proofErr w:type="gramStart"/>
      <w:r>
        <w:t>was observed</w:t>
      </w:r>
      <w:proofErr w:type="gramEnd"/>
      <w:r>
        <w:t xml:space="preserve"> in patients administered higher doses of sildenafil. During a median follow-up of 4.6 years, there were </w:t>
      </w:r>
      <w:proofErr w:type="gramStart"/>
      <w:r>
        <w:t>a total of 42</w:t>
      </w:r>
      <w:proofErr w:type="gramEnd"/>
      <w:r>
        <w:t xml:space="preserve"> deaths reported. Thirty-seven deaths occurred prior to a decision taken by the Data Monitoring Committee to down titrate subjects to a lower dosage, based on an observed mortality imbalance with increasing sildenafil doses. Among these 37 deaths, the number (</w:t>
      </w:r>
      <w:proofErr w:type="gramStart"/>
      <w:r>
        <w:t>%</w:t>
      </w:r>
      <w:proofErr w:type="gramEnd"/>
      <w:r>
        <w:t xml:space="preserve">) of deaths was 5/55 (9.1%), 10/74 (13.5%), and 22/100 (22%) in the sildenafil low, medium, and high dose groups, respectively, with causes of deaths being related to PAH. to PAH. Based on this result, the EMA SmPC highlights </w:t>
      </w:r>
      <w:proofErr w:type="gramStart"/>
      <w:r>
        <w:t>that doses</w:t>
      </w:r>
      <w:proofErr w:type="gramEnd"/>
      <w:r>
        <w:t xml:space="preserve"> higher than the recommended doses (</w:t>
      </w:r>
      <w:r w:rsidRPr="001301D0">
        <w:t>i</w:t>
      </w:r>
      <w:r w:rsidR="007E4C7F">
        <w:t>.</w:t>
      </w:r>
      <w:r w:rsidRPr="001301D0">
        <w:t>e</w:t>
      </w:r>
      <w:r w:rsidR="007E4C7F">
        <w:t>.</w:t>
      </w:r>
      <w:r w:rsidRPr="001301D0">
        <w:t xml:space="preserve"> 10 mg tid in children weighing &lt;20 kg and 20 mg tid in those &gt;20 kg)</w:t>
      </w:r>
      <w:r>
        <w:t xml:space="preserve"> should not be used in paediatric patients with PA</w:t>
      </w:r>
      <w:r w:rsidR="00F8498A">
        <w:t>H.</w:t>
      </w:r>
    </w:p>
    <w:p w:rsidR="001D0FDA" w:rsidRDefault="001D0FDA" w:rsidP="001D0FDA">
      <w:r>
        <w:t xml:space="preserve">Based on the observation of increasing mortality with increasing sildenafil doses in the STARTS extension study, the FDA revised the Revatio (sildenafil) drug label in August 2012, adding a warning </w:t>
      </w:r>
      <w:proofErr w:type="gramStart"/>
      <w:r>
        <w:t>stating that</w:t>
      </w:r>
      <w:proofErr w:type="gramEnd"/>
      <w:r>
        <w:t xml:space="preserve"> “use of Revatio, particularly chronic use, is not recommended in children.” This recommendation was FDA also issued a Drug Safety Communication at that time. In Marh 2014, </w:t>
      </w:r>
      <w:r w:rsidRPr="00066698">
        <w:t>The FDA</w:t>
      </w:r>
      <w:r>
        <w:t xml:space="preserve"> clarified its previous</w:t>
      </w:r>
      <w:r w:rsidRPr="00066698">
        <w:t xml:space="preserve"> recommendation related to prescribing sildenafil for children with PAH</w:t>
      </w:r>
      <w:r>
        <w:t>: sildenafil</w:t>
      </w:r>
      <w:r w:rsidRPr="00066698">
        <w:t xml:space="preserve"> is FDA-approved only to treat PAH in adults, not in children; however, health care professionals must consider whether the benefits of treatment with the drug are likely to outweigh its potential risks for each patient.</w:t>
      </w:r>
    </w:p>
    <w:p w:rsidR="001D0FDA" w:rsidRDefault="001D0FDA" w:rsidP="001D0FDA">
      <w:r>
        <w:t xml:space="preserve">The results from the short-term Trial STARTS-1 and its long-term extension study have been included in the TGA-approved PI. The Australian PI clearly states that sildenafil </w:t>
      </w:r>
      <w:proofErr w:type="gramStart"/>
      <w:r w:rsidRPr="00066698">
        <w:t>is not indicated</w:t>
      </w:r>
      <w:proofErr w:type="gramEnd"/>
      <w:r w:rsidRPr="00066698">
        <w:t xml:space="preserve"> for use in children under 18 years of age.</w:t>
      </w:r>
      <w:r>
        <w:t xml:space="preserve"> The use of sildenafil in paediatric patients </w:t>
      </w:r>
      <w:proofErr w:type="gramStart"/>
      <w:r>
        <w:t>was also discussed</w:t>
      </w:r>
      <w:proofErr w:type="gramEnd"/>
      <w:r>
        <w:t xml:space="preserve"> in ToR 1</w:t>
      </w:r>
      <w:r w:rsidR="002856B6">
        <w:t xml:space="preserve"> section (guideline review).</w:t>
      </w:r>
    </w:p>
    <w:p w:rsidR="001D0FDA" w:rsidRDefault="001D0FDA" w:rsidP="00480FDF">
      <w:pPr>
        <w:pStyle w:val="Heading5"/>
        <w:numPr>
          <w:ilvl w:val="4"/>
          <w:numId w:val="45"/>
        </w:numPr>
      </w:pPr>
      <w:r w:rsidRPr="00A96B79">
        <w:t xml:space="preserve">Other safety signal </w:t>
      </w:r>
      <w:r>
        <w:t>d</w:t>
      </w:r>
      <w:r w:rsidRPr="00A96B79">
        <w:t>etection</w:t>
      </w:r>
    </w:p>
    <w:p w:rsidR="001D0FDA" w:rsidRDefault="001D0FDA" w:rsidP="002856B6">
      <w:pPr>
        <w:spacing w:before="0"/>
      </w:pPr>
      <w:r>
        <w:t xml:space="preserve">In addition to safety signals brought forward within the routine </w:t>
      </w:r>
      <w:r w:rsidRPr="00A96B79">
        <w:t>periodic safety update reports</w:t>
      </w:r>
      <w:r>
        <w:t xml:space="preserve"> and variations procedures, the EMA maintains a list of all safety signals that have triggered further investigation outside (or in addition to) those procedures by the </w:t>
      </w:r>
      <w:r w:rsidRPr="00350A77">
        <w:t>Pharmacovigilance Ri</w:t>
      </w:r>
      <w:r>
        <w:t>sk Assessment Committee since September 2012</w:t>
      </w:r>
      <w:r>
        <w:rPr>
          <w:rStyle w:val="FootnoteReference"/>
        </w:rPr>
        <w:footnoteReference w:id="4"/>
      </w:r>
      <w:r>
        <w:t>. A summary for PAH medicines is presented in</w:t>
      </w:r>
      <w:r w:rsidR="00FB0A80">
        <w:t xml:space="preserve"> Table 4.119</w:t>
      </w:r>
      <w:r>
        <w:t>. Safety signals can arise from any source including pharmacovigilance reporting, but also ongoing clinical trials, literature repor</w:t>
      </w:r>
      <w:r w:rsidR="00FB0A80">
        <w:t>ts and so on.</w:t>
      </w:r>
    </w:p>
    <w:p w:rsidR="005E60A7" w:rsidRDefault="005E60A7">
      <w:pPr>
        <w:spacing w:before="0" w:line="240" w:lineRule="auto"/>
        <w:rPr>
          <w:rFonts w:ascii="Arial" w:hAnsi="Arial"/>
          <w:b/>
          <w:iCs/>
          <w:sz w:val="20"/>
          <w:szCs w:val="18"/>
        </w:rPr>
      </w:pPr>
      <w:bookmarkStart w:id="335" w:name="_Ref506217373"/>
      <w:r>
        <w:br w:type="page"/>
      </w:r>
    </w:p>
    <w:p w:rsidR="001D0FDA" w:rsidRDefault="001D0FDA" w:rsidP="001D0FDA">
      <w:pPr>
        <w:pStyle w:val="Caption"/>
      </w:pPr>
      <w:bookmarkStart w:id="336" w:name="_Toc38360416"/>
      <w:r>
        <w:t>Table 4.</w:t>
      </w:r>
      <w:r w:rsidR="003951FA">
        <w:rPr>
          <w:noProof/>
        </w:rPr>
        <w:t>119</w:t>
      </w:r>
      <w:bookmarkEnd w:id="335"/>
      <w:r>
        <w:tab/>
        <w:t>PAH safety signals considered by PRAC since September 2012</w:t>
      </w:r>
      <w:bookmarkEnd w:id="336"/>
    </w:p>
    <w:tbl>
      <w:tblPr>
        <w:tblStyle w:val="TableGrid"/>
        <w:tblW w:w="9686" w:type="dxa"/>
        <w:tblLook w:val="04A0" w:firstRow="1" w:lastRow="0" w:firstColumn="1" w:lastColumn="0" w:noHBand="0" w:noVBand="1"/>
        <w:tblCaption w:val="PAH safety signals considered by PRAC since September 2012"/>
      </w:tblPr>
      <w:tblGrid>
        <w:gridCol w:w="1404"/>
        <w:gridCol w:w="1390"/>
        <w:gridCol w:w="1670"/>
        <w:gridCol w:w="2065"/>
        <w:gridCol w:w="3157"/>
      </w:tblGrid>
      <w:tr w:rsidR="001D0FDA" w:rsidRPr="007C3385" w:rsidTr="001D0FDA">
        <w:trPr>
          <w:cnfStyle w:val="100000000000" w:firstRow="1" w:lastRow="0" w:firstColumn="0" w:lastColumn="0" w:oddVBand="0" w:evenVBand="0" w:oddHBand="0" w:evenHBand="0" w:firstRowFirstColumn="0" w:firstRowLastColumn="0" w:lastRowFirstColumn="0" w:lastRowLastColumn="0"/>
        </w:trPr>
        <w:tc>
          <w:tcPr>
            <w:tcW w:w="1413" w:type="dxa"/>
            <w:tcBorders>
              <w:bottom w:val="single" w:sz="4" w:space="0" w:color="auto"/>
            </w:tcBorders>
          </w:tcPr>
          <w:p w:rsidR="001D0FDA" w:rsidRPr="007C3385" w:rsidRDefault="001D0FDA" w:rsidP="001D0FDA">
            <w:pPr>
              <w:pStyle w:val="Tabletext"/>
              <w:rPr>
                <w:b/>
              </w:rPr>
            </w:pPr>
            <w:r w:rsidRPr="007C3385">
              <w:rPr>
                <w:b/>
              </w:rPr>
              <w:t>Type of Safety Signal</w:t>
            </w:r>
          </w:p>
        </w:tc>
        <w:tc>
          <w:tcPr>
            <w:tcW w:w="1417" w:type="dxa"/>
            <w:tcBorders>
              <w:bottom w:val="single" w:sz="4" w:space="0" w:color="auto"/>
            </w:tcBorders>
          </w:tcPr>
          <w:p w:rsidR="001D0FDA" w:rsidRPr="007C3385" w:rsidRDefault="001D0FDA" w:rsidP="001D0FDA">
            <w:pPr>
              <w:pStyle w:val="Tabletext"/>
              <w:rPr>
                <w:b/>
              </w:rPr>
            </w:pPr>
            <w:r w:rsidRPr="007C3385">
              <w:rPr>
                <w:b/>
              </w:rPr>
              <w:t>PRAC Meeting</w:t>
            </w:r>
          </w:p>
        </w:tc>
        <w:tc>
          <w:tcPr>
            <w:tcW w:w="1417" w:type="dxa"/>
            <w:tcBorders>
              <w:bottom w:val="single" w:sz="4" w:space="0" w:color="auto"/>
            </w:tcBorders>
          </w:tcPr>
          <w:p w:rsidR="001D0FDA" w:rsidRPr="007C3385" w:rsidRDefault="001D0FDA" w:rsidP="001D0FDA">
            <w:pPr>
              <w:pStyle w:val="Tabletext"/>
              <w:rPr>
                <w:b/>
              </w:rPr>
            </w:pPr>
            <w:r w:rsidRPr="007C3385">
              <w:rPr>
                <w:b/>
              </w:rPr>
              <w:t xml:space="preserve">Update to </w:t>
            </w:r>
            <w:r>
              <w:rPr>
                <w:b/>
              </w:rPr>
              <w:t>SmPC</w:t>
            </w:r>
            <w:r w:rsidRPr="007C3385">
              <w:rPr>
                <w:b/>
              </w:rPr>
              <w:t xml:space="preserve"> Recommended? </w:t>
            </w:r>
          </w:p>
        </w:tc>
        <w:tc>
          <w:tcPr>
            <w:tcW w:w="2127" w:type="dxa"/>
            <w:tcBorders>
              <w:bottom w:val="single" w:sz="4" w:space="0" w:color="auto"/>
            </w:tcBorders>
          </w:tcPr>
          <w:p w:rsidR="001D0FDA" w:rsidRPr="007C3385" w:rsidRDefault="001D0FDA" w:rsidP="001D0FDA">
            <w:pPr>
              <w:pStyle w:val="Tabletext"/>
              <w:rPr>
                <w:b/>
              </w:rPr>
            </w:pPr>
            <w:r>
              <w:rPr>
                <w:b/>
              </w:rPr>
              <w:t>FDA PL</w:t>
            </w:r>
          </w:p>
        </w:tc>
        <w:tc>
          <w:tcPr>
            <w:tcW w:w="3312" w:type="dxa"/>
            <w:tcBorders>
              <w:bottom w:val="single" w:sz="4" w:space="0" w:color="auto"/>
            </w:tcBorders>
          </w:tcPr>
          <w:p w:rsidR="001D0FDA" w:rsidRPr="007C3385" w:rsidRDefault="001D0FDA" w:rsidP="001D0FDA">
            <w:pPr>
              <w:pStyle w:val="Tabletext"/>
              <w:rPr>
                <w:b/>
              </w:rPr>
            </w:pPr>
            <w:r>
              <w:rPr>
                <w:b/>
              </w:rPr>
              <w:t>TGA PI</w:t>
            </w:r>
          </w:p>
        </w:tc>
      </w:tr>
      <w:tr w:rsidR="001D0FDA" w:rsidRPr="007C3385" w:rsidTr="001D0FDA">
        <w:tc>
          <w:tcPr>
            <w:tcW w:w="1413" w:type="dxa"/>
            <w:shd w:val="clear" w:color="auto" w:fill="000000" w:themeFill="text1"/>
          </w:tcPr>
          <w:p w:rsidR="001D0FDA" w:rsidRPr="007C3385" w:rsidRDefault="001D0FDA" w:rsidP="001D0FDA">
            <w:pPr>
              <w:pStyle w:val="Tabletext"/>
              <w:rPr>
                <w:b/>
                <w:color w:val="FFFFFF" w:themeColor="background1"/>
              </w:rPr>
            </w:pPr>
            <w:r w:rsidRPr="007C3385">
              <w:rPr>
                <w:b/>
                <w:color w:val="FFFFFF" w:themeColor="background1"/>
              </w:rPr>
              <w:t>Sildenafil</w:t>
            </w:r>
          </w:p>
        </w:tc>
        <w:tc>
          <w:tcPr>
            <w:tcW w:w="1417" w:type="dxa"/>
            <w:shd w:val="clear" w:color="auto" w:fill="000000" w:themeFill="text1"/>
          </w:tcPr>
          <w:p w:rsidR="001D0FDA" w:rsidRPr="007C3385" w:rsidRDefault="001D0FDA" w:rsidP="001D0FDA">
            <w:pPr>
              <w:pStyle w:val="Tabletext"/>
              <w:rPr>
                <w:rFonts w:eastAsiaTheme="majorEastAsia"/>
                <w:b/>
                <w:color w:val="FFFFFF" w:themeColor="background1"/>
              </w:rPr>
            </w:pPr>
          </w:p>
        </w:tc>
        <w:tc>
          <w:tcPr>
            <w:tcW w:w="1417" w:type="dxa"/>
            <w:shd w:val="clear" w:color="auto" w:fill="000000" w:themeFill="text1"/>
          </w:tcPr>
          <w:p w:rsidR="001D0FDA" w:rsidRPr="007C3385" w:rsidRDefault="001D0FDA" w:rsidP="001D0FDA">
            <w:pPr>
              <w:pStyle w:val="Tabletext"/>
              <w:rPr>
                <w:b/>
                <w:color w:val="FFFFFF" w:themeColor="background1"/>
              </w:rPr>
            </w:pPr>
          </w:p>
        </w:tc>
        <w:tc>
          <w:tcPr>
            <w:tcW w:w="2127" w:type="dxa"/>
            <w:shd w:val="clear" w:color="auto" w:fill="000000" w:themeFill="text1"/>
          </w:tcPr>
          <w:p w:rsidR="001D0FDA" w:rsidRPr="007C3385" w:rsidRDefault="001D0FDA" w:rsidP="001D0FDA">
            <w:pPr>
              <w:pStyle w:val="Tabletext"/>
              <w:rPr>
                <w:b/>
                <w:color w:val="FFFFFF" w:themeColor="background1"/>
              </w:rPr>
            </w:pPr>
          </w:p>
        </w:tc>
        <w:tc>
          <w:tcPr>
            <w:tcW w:w="3312" w:type="dxa"/>
            <w:shd w:val="clear" w:color="auto" w:fill="000000" w:themeFill="text1"/>
          </w:tcPr>
          <w:p w:rsidR="001D0FDA" w:rsidRPr="007C3385" w:rsidRDefault="001D0FDA" w:rsidP="001D0FDA">
            <w:pPr>
              <w:pStyle w:val="Tabletext"/>
              <w:rPr>
                <w:b/>
                <w:color w:val="FFFFFF" w:themeColor="background1"/>
              </w:rPr>
            </w:pPr>
          </w:p>
        </w:tc>
      </w:tr>
      <w:tr w:rsidR="001D0FDA" w:rsidTr="001D0FDA">
        <w:tc>
          <w:tcPr>
            <w:tcW w:w="1413" w:type="dxa"/>
          </w:tcPr>
          <w:p w:rsidR="001D0FDA" w:rsidRDefault="001D0FDA" w:rsidP="001D0FDA">
            <w:pPr>
              <w:pStyle w:val="Tabletext"/>
            </w:pPr>
            <w:r w:rsidRPr="007D566C">
              <w:t>Increased risk of incident melanoma</w:t>
            </w:r>
          </w:p>
        </w:tc>
        <w:tc>
          <w:tcPr>
            <w:tcW w:w="1417" w:type="dxa"/>
          </w:tcPr>
          <w:p w:rsidR="001D0FDA" w:rsidRDefault="001D0FDA" w:rsidP="001D0FDA">
            <w:pPr>
              <w:pStyle w:val="Tabletext"/>
              <w:rPr>
                <w:rFonts w:eastAsiaTheme="majorEastAsia"/>
              </w:rPr>
            </w:pPr>
            <w:r>
              <w:rPr>
                <w:rFonts w:eastAsiaTheme="majorEastAsia"/>
              </w:rPr>
              <w:t>July 2014</w:t>
            </w:r>
          </w:p>
          <w:p w:rsidR="001D0FDA" w:rsidRDefault="001D0FDA" w:rsidP="001D0FDA">
            <w:pPr>
              <w:pStyle w:val="Tabletext"/>
              <w:rPr>
                <w:rFonts w:eastAsiaTheme="majorEastAsia"/>
              </w:rPr>
            </w:pPr>
            <w:r w:rsidRPr="007D566C">
              <w:rPr>
                <w:rFonts w:eastAsiaTheme="majorEastAsia"/>
              </w:rPr>
              <w:t>November 2014</w:t>
            </w:r>
          </w:p>
          <w:p w:rsidR="001D0FDA" w:rsidRDefault="001D0FDA" w:rsidP="001D0FDA">
            <w:pPr>
              <w:pStyle w:val="Tabletext"/>
            </w:pPr>
            <w:r w:rsidRPr="007D566C">
              <w:rPr>
                <w:rFonts w:eastAsiaTheme="majorEastAsia"/>
              </w:rPr>
              <w:t xml:space="preserve"> </w:t>
            </w:r>
          </w:p>
        </w:tc>
        <w:tc>
          <w:tcPr>
            <w:tcW w:w="1417" w:type="dxa"/>
          </w:tcPr>
          <w:p w:rsidR="001D0FDA" w:rsidRDefault="001D0FDA" w:rsidP="001D0FDA">
            <w:pPr>
              <w:pStyle w:val="Tabletext"/>
            </w:pPr>
            <w:r>
              <w:t>No</w:t>
            </w:r>
          </w:p>
        </w:tc>
        <w:tc>
          <w:tcPr>
            <w:tcW w:w="2127" w:type="dxa"/>
          </w:tcPr>
          <w:p w:rsidR="001D0FDA" w:rsidRDefault="001D0FDA" w:rsidP="001D0FDA">
            <w:pPr>
              <w:pStyle w:val="Tabletext"/>
            </w:pPr>
            <w:r>
              <w:t>Not included in the FDA PL</w:t>
            </w:r>
          </w:p>
        </w:tc>
        <w:tc>
          <w:tcPr>
            <w:tcW w:w="3312" w:type="dxa"/>
          </w:tcPr>
          <w:p w:rsidR="001D0FDA" w:rsidRDefault="001D0FDA" w:rsidP="001D0FDA">
            <w:pPr>
              <w:pStyle w:val="Tabletext"/>
            </w:pPr>
            <w:r>
              <w:t>Not included in the TGA PI</w:t>
            </w:r>
          </w:p>
        </w:tc>
      </w:tr>
      <w:tr w:rsidR="001D0FDA" w:rsidTr="001D0FDA">
        <w:tc>
          <w:tcPr>
            <w:tcW w:w="1413" w:type="dxa"/>
          </w:tcPr>
          <w:p w:rsidR="001D0FDA" w:rsidRPr="007D566C" w:rsidRDefault="001D0FDA" w:rsidP="001D0FDA">
            <w:pPr>
              <w:pStyle w:val="Tabletext"/>
            </w:pPr>
            <w:r>
              <w:t>NAION</w:t>
            </w:r>
          </w:p>
        </w:tc>
        <w:tc>
          <w:tcPr>
            <w:tcW w:w="1417" w:type="dxa"/>
          </w:tcPr>
          <w:p w:rsidR="001D0FDA" w:rsidRDefault="001D0FDA" w:rsidP="001D0FDA">
            <w:pPr>
              <w:pStyle w:val="Tabletext"/>
            </w:pPr>
            <w:r w:rsidRPr="007D566C">
              <w:rPr>
                <w:rFonts w:eastAsiaTheme="majorEastAsia"/>
              </w:rPr>
              <w:t>April 2015</w:t>
            </w:r>
          </w:p>
        </w:tc>
        <w:tc>
          <w:tcPr>
            <w:tcW w:w="1417" w:type="dxa"/>
          </w:tcPr>
          <w:p w:rsidR="001D0FDA" w:rsidRDefault="001D0FDA" w:rsidP="001D0FDA">
            <w:pPr>
              <w:pStyle w:val="Tabletext"/>
            </w:pPr>
            <w:r w:rsidRPr="007D566C">
              <w:t>No</w:t>
            </w:r>
          </w:p>
        </w:tc>
        <w:tc>
          <w:tcPr>
            <w:tcW w:w="2127" w:type="dxa"/>
          </w:tcPr>
          <w:p w:rsidR="001D0FDA" w:rsidRPr="007D566C" w:rsidRDefault="001D0FDA" w:rsidP="001D0FDA">
            <w:pPr>
              <w:pStyle w:val="Tabletext"/>
            </w:pPr>
            <w:r w:rsidRPr="005D3751">
              <w:t xml:space="preserve">When used to treat erectile dysfunction, NAION, a cause of decreased vision including permanent loss of vision, </w:t>
            </w:r>
            <w:proofErr w:type="gramStart"/>
            <w:r w:rsidRPr="005D3751">
              <w:t>has been reported</w:t>
            </w:r>
            <w:proofErr w:type="gramEnd"/>
            <w:r w:rsidRPr="005D3751">
              <w:t xml:space="preserve"> post</w:t>
            </w:r>
            <w:r>
              <w:t>-</w:t>
            </w:r>
            <w:r w:rsidRPr="005D3751">
              <w:t>marketing in temporal association with the use of PDE-5 inhibitors, including sildenafil.</w:t>
            </w:r>
          </w:p>
        </w:tc>
        <w:tc>
          <w:tcPr>
            <w:tcW w:w="3312" w:type="dxa"/>
          </w:tcPr>
          <w:p w:rsidR="001D0FDA" w:rsidRPr="007D566C" w:rsidRDefault="001D0FDA" w:rsidP="001D0FDA">
            <w:pPr>
              <w:pStyle w:val="Tabletext"/>
            </w:pPr>
            <w:r w:rsidRPr="00863A40">
              <w:t>Physicians should advise patients to stop use of all PDE</w:t>
            </w:r>
            <w:r>
              <w:t>-</w:t>
            </w:r>
            <w:r w:rsidRPr="00863A40">
              <w:t xml:space="preserve">5 inhibitors, including </w:t>
            </w:r>
            <w:r>
              <w:t>sildenafil</w:t>
            </w:r>
            <w:r w:rsidRPr="00863A40">
              <w:t>, and seek immediate medical attention in the event of a sudden loss of vision in one or both eyes. Such an event may be a sign of NAION, a cause of decreased vision including permanent loss of vision, that has been reported rarely post-marketing in temporal association with the use of all PDE</w:t>
            </w:r>
            <w:r>
              <w:t>-</w:t>
            </w:r>
            <w:r w:rsidRPr="00863A40">
              <w:t>5 inhibitors when used in the treatment of male-erectile dysfunction.</w:t>
            </w:r>
          </w:p>
        </w:tc>
      </w:tr>
      <w:tr w:rsidR="001D0FDA" w:rsidTr="001D0FDA">
        <w:tc>
          <w:tcPr>
            <w:tcW w:w="1413" w:type="dxa"/>
            <w:tcBorders>
              <w:bottom w:val="single" w:sz="4" w:space="0" w:color="auto"/>
            </w:tcBorders>
          </w:tcPr>
          <w:p w:rsidR="001D0FDA" w:rsidRPr="007D566C" w:rsidRDefault="001D0FDA" w:rsidP="001D0FDA">
            <w:pPr>
              <w:pStyle w:val="Tabletext"/>
            </w:pPr>
            <w:r w:rsidRPr="007D566C">
              <w:t>Pulmonary haemorrhage in off label paediatric use</w:t>
            </w:r>
          </w:p>
        </w:tc>
        <w:tc>
          <w:tcPr>
            <w:tcW w:w="1417" w:type="dxa"/>
            <w:tcBorders>
              <w:bottom w:val="single" w:sz="4" w:space="0" w:color="auto"/>
            </w:tcBorders>
          </w:tcPr>
          <w:p w:rsidR="001D0FDA" w:rsidRDefault="001D0FDA" w:rsidP="001D0FDA">
            <w:pPr>
              <w:pStyle w:val="Tabletext"/>
              <w:rPr>
                <w:rFonts w:eastAsiaTheme="majorEastAsia"/>
              </w:rPr>
            </w:pPr>
            <w:r w:rsidRPr="007D566C">
              <w:rPr>
                <w:rFonts w:eastAsiaTheme="majorEastAsia"/>
              </w:rPr>
              <w:t>January 2015</w:t>
            </w:r>
          </w:p>
          <w:p w:rsidR="001D0FDA" w:rsidRDefault="001D0FDA" w:rsidP="001D0FDA">
            <w:pPr>
              <w:pStyle w:val="Tabletext"/>
            </w:pPr>
            <w:r w:rsidRPr="007D566C">
              <w:rPr>
                <w:rFonts w:eastAsiaTheme="majorEastAsia"/>
              </w:rPr>
              <w:t>May 2015</w:t>
            </w:r>
          </w:p>
        </w:tc>
        <w:tc>
          <w:tcPr>
            <w:tcW w:w="1417" w:type="dxa"/>
            <w:tcBorders>
              <w:bottom w:val="single" w:sz="4" w:space="0" w:color="auto"/>
            </w:tcBorders>
          </w:tcPr>
          <w:p w:rsidR="001D0FDA" w:rsidRDefault="001D0FDA" w:rsidP="001D0FDA">
            <w:pPr>
              <w:pStyle w:val="Tabletext"/>
            </w:pPr>
            <w:r w:rsidRPr="007D566C">
              <w:t>No</w:t>
            </w:r>
          </w:p>
        </w:tc>
        <w:tc>
          <w:tcPr>
            <w:tcW w:w="2127" w:type="dxa"/>
            <w:tcBorders>
              <w:bottom w:val="single" w:sz="4" w:space="0" w:color="auto"/>
            </w:tcBorders>
          </w:tcPr>
          <w:p w:rsidR="001D0FDA" w:rsidRDefault="001D0FDA" w:rsidP="001D0FDA">
            <w:pPr>
              <w:pStyle w:val="Tabletext"/>
            </w:pPr>
            <w:r>
              <w:t xml:space="preserve">Not included in the FDA PL. </w:t>
            </w:r>
          </w:p>
          <w:p w:rsidR="001D0FDA" w:rsidRPr="007D566C" w:rsidRDefault="001D0FDA" w:rsidP="001D0FDA">
            <w:pPr>
              <w:pStyle w:val="Tabletext"/>
            </w:pPr>
            <w:r w:rsidRPr="005D3751">
              <w:t xml:space="preserve">Use of sildenafil, particularly chronic use, </w:t>
            </w:r>
            <w:proofErr w:type="gramStart"/>
            <w:r w:rsidRPr="005D3751">
              <w:t>i</w:t>
            </w:r>
            <w:r>
              <w:t>s not recommended</w:t>
            </w:r>
            <w:proofErr w:type="gramEnd"/>
            <w:r>
              <w:t xml:space="preserve"> in children. </w:t>
            </w:r>
          </w:p>
        </w:tc>
        <w:tc>
          <w:tcPr>
            <w:tcW w:w="3312" w:type="dxa"/>
            <w:tcBorders>
              <w:bottom w:val="single" w:sz="4" w:space="0" w:color="auto"/>
            </w:tcBorders>
          </w:tcPr>
          <w:p w:rsidR="001D0FDA" w:rsidRDefault="001D0FDA" w:rsidP="001D0FDA">
            <w:pPr>
              <w:pStyle w:val="Tabletext"/>
            </w:pPr>
            <w:r>
              <w:t>Not included in the TGA PI.</w:t>
            </w:r>
          </w:p>
          <w:p w:rsidR="001D0FDA" w:rsidRPr="007D566C" w:rsidRDefault="001D0FDA" w:rsidP="001D0FDA">
            <w:pPr>
              <w:pStyle w:val="Tabletext"/>
            </w:pPr>
            <w:r w:rsidRPr="005D3751">
              <w:t xml:space="preserve"> Sildenafil </w:t>
            </w:r>
            <w:proofErr w:type="gramStart"/>
            <w:r w:rsidRPr="005D3751">
              <w:t>is not indicated</w:t>
            </w:r>
            <w:proofErr w:type="gramEnd"/>
            <w:r w:rsidRPr="005D3751">
              <w:t xml:space="preserve"> for use in children under 18 years of age.</w:t>
            </w:r>
          </w:p>
        </w:tc>
      </w:tr>
      <w:tr w:rsidR="001D0FDA" w:rsidRPr="007C3385" w:rsidTr="001D0FDA">
        <w:tc>
          <w:tcPr>
            <w:tcW w:w="1413" w:type="dxa"/>
            <w:shd w:val="clear" w:color="auto" w:fill="000000" w:themeFill="text1"/>
          </w:tcPr>
          <w:p w:rsidR="001D0FDA" w:rsidRPr="007C3385" w:rsidRDefault="001D0FDA" w:rsidP="001D0FDA">
            <w:pPr>
              <w:pStyle w:val="Tabletext"/>
              <w:rPr>
                <w:b/>
                <w:color w:val="FFFFFF" w:themeColor="background1"/>
              </w:rPr>
            </w:pPr>
            <w:r w:rsidRPr="007C3385">
              <w:rPr>
                <w:b/>
                <w:color w:val="FFFFFF" w:themeColor="background1"/>
              </w:rPr>
              <w:t>Iloprost</w:t>
            </w:r>
          </w:p>
        </w:tc>
        <w:tc>
          <w:tcPr>
            <w:tcW w:w="1417" w:type="dxa"/>
            <w:shd w:val="clear" w:color="auto" w:fill="000000" w:themeFill="text1"/>
          </w:tcPr>
          <w:p w:rsidR="001D0FDA" w:rsidRPr="007C3385" w:rsidRDefault="001D0FDA" w:rsidP="001D0FDA">
            <w:pPr>
              <w:pStyle w:val="Tabletext"/>
              <w:rPr>
                <w:rFonts w:eastAsiaTheme="majorEastAsia"/>
                <w:b/>
                <w:color w:val="FFFFFF" w:themeColor="background1"/>
              </w:rPr>
            </w:pPr>
          </w:p>
        </w:tc>
        <w:tc>
          <w:tcPr>
            <w:tcW w:w="1417" w:type="dxa"/>
            <w:shd w:val="clear" w:color="auto" w:fill="000000" w:themeFill="text1"/>
          </w:tcPr>
          <w:p w:rsidR="001D0FDA" w:rsidRPr="007C3385" w:rsidRDefault="001D0FDA" w:rsidP="001D0FDA">
            <w:pPr>
              <w:pStyle w:val="Tabletext"/>
              <w:rPr>
                <w:b/>
                <w:color w:val="FFFFFF" w:themeColor="background1"/>
              </w:rPr>
            </w:pPr>
          </w:p>
        </w:tc>
        <w:tc>
          <w:tcPr>
            <w:tcW w:w="2127" w:type="dxa"/>
            <w:shd w:val="clear" w:color="auto" w:fill="000000" w:themeFill="text1"/>
          </w:tcPr>
          <w:p w:rsidR="001D0FDA" w:rsidRPr="007C3385" w:rsidRDefault="001D0FDA" w:rsidP="001D0FDA">
            <w:pPr>
              <w:pStyle w:val="Tabletext"/>
              <w:rPr>
                <w:b/>
                <w:color w:val="FFFFFF" w:themeColor="background1"/>
              </w:rPr>
            </w:pPr>
          </w:p>
        </w:tc>
        <w:tc>
          <w:tcPr>
            <w:tcW w:w="3312" w:type="dxa"/>
            <w:shd w:val="clear" w:color="auto" w:fill="000000" w:themeFill="text1"/>
          </w:tcPr>
          <w:p w:rsidR="001D0FDA" w:rsidRPr="007C3385" w:rsidRDefault="001D0FDA" w:rsidP="001D0FDA">
            <w:pPr>
              <w:pStyle w:val="Tabletext"/>
              <w:rPr>
                <w:b/>
                <w:color w:val="FFFFFF" w:themeColor="background1"/>
              </w:rPr>
            </w:pPr>
          </w:p>
        </w:tc>
      </w:tr>
      <w:tr w:rsidR="001D0FDA" w:rsidTr="001D0FDA">
        <w:tc>
          <w:tcPr>
            <w:tcW w:w="1413" w:type="dxa"/>
            <w:tcBorders>
              <w:bottom w:val="single" w:sz="4" w:space="0" w:color="auto"/>
            </w:tcBorders>
          </w:tcPr>
          <w:p w:rsidR="001D0FDA" w:rsidRDefault="001D0FDA" w:rsidP="001D0FDA">
            <w:pPr>
              <w:pStyle w:val="Tabletext"/>
            </w:pPr>
            <w:r w:rsidRPr="007D566C">
              <w:t>Bradycardia</w:t>
            </w:r>
          </w:p>
        </w:tc>
        <w:tc>
          <w:tcPr>
            <w:tcW w:w="1417" w:type="dxa"/>
            <w:tcBorders>
              <w:bottom w:val="single" w:sz="4" w:space="0" w:color="auto"/>
            </w:tcBorders>
          </w:tcPr>
          <w:p w:rsidR="001D0FDA" w:rsidRPr="007D566C" w:rsidRDefault="001D0FDA" w:rsidP="001D0FDA">
            <w:pPr>
              <w:pStyle w:val="Tabletext"/>
            </w:pPr>
            <w:r w:rsidRPr="007D566C">
              <w:rPr>
                <w:rFonts w:eastAsiaTheme="majorEastAsia"/>
              </w:rPr>
              <w:t>September 2017</w:t>
            </w:r>
          </w:p>
        </w:tc>
        <w:tc>
          <w:tcPr>
            <w:tcW w:w="1417" w:type="dxa"/>
            <w:tcBorders>
              <w:bottom w:val="single" w:sz="4" w:space="0" w:color="auto"/>
            </w:tcBorders>
          </w:tcPr>
          <w:p w:rsidR="001D0FDA" w:rsidRDefault="001D0FDA" w:rsidP="001D0FDA">
            <w:pPr>
              <w:pStyle w:val="Tabletext"/>
            </w:pPr>
            <w:r w:rsidRPr="007D566C">
              <w:t>No</w:t>
            </w:r>
          </w:p>
        </w:tc>
        <w:tc>
          <w:tcPr>
            <w:tcW w:w="2127" w:type="dxa"/>
            <w:tcBorders>
              <w:bottom w:val="single" w:sz="4" w:space="0" w:color="auto"/>
            </w:tcBorders>
          </w:tcPr>
          <w:p w:rsidR="001D0FDA" w:rsidRPr="007D566C" w:rsidRDefault="008B751B" w:rsidP="001D0FDA">
            <w:pPr>
              <w:pStyle w:val="Tabletext"/>
            </w:pPr>
            <w:r>
              <w:t>–</w:t>
            </w:r>
          </w:p>
        </w:tc>
        <w:tc>
          <w:tcPr>
            <w:tcW w:w="3312" w:type="dxa"/>
            <w:tcBorders>
              <w:bottom w:val="single" w:sz="4" w:space="0" w:color="auto"/>
            </w:tcBorders>
          </w:tcPr>
          <w:p w:rsidR="001D0FDA" w:rsidRPr="007D566C" w:rsidRDefault="001D0FDA" w:rsidP="001D0FDA">
            <w:pPr>
              <w:pStyle w:val="Tabletext"/>
            </w:pPr>
            <w:r>
              <w:t>Bradycardia is a f</w:t>
            </w:r>
            <w:r w:rsidRPr="00F7695D">
              <w:t xml:space="preserve">requently observed symptom following overdose </w:t>
            </w:r>
            <w:r>
              <w:t xml:space="preserve">of iloprost. </w:t>
            </w:r>
          </w:p>
        </w:tc>
      </w:tr>
      <w:tr w:rsidR="001D0FDA" w:rsidRPr="007C3385" w:rsidTr="001D0FDA">
        <w:tc>
          <w:tcPr>
            <w:tcW w:w="1413" w:type="dxa"/>
            <w:shd w:val="clear" w:color="auto" w:fill="000000" w:themeFill="text1"/>
          </w:tcPr>
          <w:p w:rsidR="001D0FDA" w:rsidRPr="007C3385" w:rsidRDefault="001D0FDA" w:rsidP="001D0FDA">
            <w:pPr>
              <w:pStyle w:val="Tabletext"/>
              <w:rPr>
                <w:b/>
                <w:color w:val="FFFFFF" w:themeColor="background1"/>
              </w:rPr>
            </w:pPr>
            <w:r w:rsidRPr="007C3385">
              <w:rPr>
                <w:b/>
                <w:color w:val="FFFFFF" w:themeColor="background1"/>
              </w:rPr>
              <w:t>Riociguat</w:t>
            </w:r>
          </w:p>
        </w:tc>
        <w:tc>
          <w:tcPr>
            <w:tcW w:w="1417" w:type="dxa"/>
            <w:shd w:val="clear" w:color="auto" w:fill="000000" w:themeFill="text1"/>
          </w:tcPr>
          <w:p w:rsidR="001D0FDA" w:rsidRPr="007C3385" w:rsidRDefault="001D0FDA" w:rsidP="001D0FDA">
            <w:pPr>
              <w:pStyle w:val="Tabletext"/>
              <w:rPr>
                <w:rFonts w:eastAsiaTheme="majorEastAsia"/>
                <w:b/>
                <w:color w:val="FFFFFF" w:themeColor="background1"/>
              </w:rPr>
            </w:pPr>
          </w:p>
        </w:tc>
        <w:tc>
          <w:tcPr>
            <w:tcW w:w="1417" w:type="dxa"/>
            <w:shd w:val="clear" w:color="auto" w:fill="000000" w:themeFill="text1"/>
          </w:tcPr>
          <w:p w:rsidR="001D0FDA" w:rsidRPr="007C3385" w:rsidRDefault="001D0FDA" w:rsidP="001D0FDA">
            <w:pPr>
              <w:pStyle w:val="Tabletext"/>
              <w:rPr>
                <w:b/>
                <w:color w:val="FFFFFF" w:themeColor="background1"/>
              </w:rPr>
            </w:pPr>
          </w:p>
        </w:tc>
        <w:tc>
          <w:tcPr>
            <w:tcW w:w="2127" w:type="dxa"/>
            <w:shd w:val="clear" w:color="auto" w:fill="000000" w:themeFill="text1"/>
          </w:tcPr>
          <w:p w:rsidR="001D0FDA" w:rsidRPr="007C3385" w:rsidRDefault="001D0FDA" w:rsidP="001D0FDA">
            <w:pPr>
              <w:pStyle w:val="Tabletext"/>
              <w:rPr>
                <w:b/>
                <w:color w:val="FFFFFF" w:themeColor="background1"/>
              </w:rPr>
            </w:pPr>
          </w:p>
        </w:tc>
        <w:tc>
          <w:tcPr>
            <w:tcW w:w="3312" w:type="dxa"/>
            <w:shd w:val="clear" w:color="auto" w:fill="000000" w:themeFill="text1"/>
          </w:tcPr>
          <w:p w:rsidR="001D0FDA" w:rsidRPr="007C3385" w:rsidRDefault="001D0FDA" w:rsidP="001D0FDA">
            <w:pPr>
              <w:pStyle w:val="Tabletext"/>
              <w:rPr>
                <w:b/>
                <w:color w:val="FFFFFF" w:themeColor="background1"/>
              </w:rPr>
            </w:pPr>
          </w:p>
        </w:tc>
      </w:tr>
      <w:tr w:rsidR="001D0FDA" w:rsidTr="001D0FDA">
        <w:tc>
          <w:tcPr>
            <w:tcW w:w="1413" w:type="dxa"/>
          </w:tcPr>
          <w:p w:rsidR="001D0FDA" w:rsidRDefault="001D0FDA" w:rsidP="001D0FDA">
            <w:pPr>
              <w:pStyle w:val="Tabletext"/>
            </w:pPr>
            <w:r w:rsidRPr="007D566C">
              <w:t xml:space="preserve">Increased mortality and </w:t>
            </w:r>
            <w:r>
              <w:t>SAEs</w:t>
            </w:r>
            <w:r w:rsidRPr="007D566C">
              <w:t xml:space="preserve"> in patients with </w:t>
            </w:r>
            <w:r>
              <w:t>PH-IIP</w:t>
            </w:r>
            <w:r w:rsidRPr="007D566C">
              <w:t xml:space="preserve"> in a single clinical trial</w:t>
            </w:r>
          </w:p>
        </w:tc>
        <w:tc>
          <w:tcPr>
            <w:tcW w:w="1417" w:type="dxa"/>
          </w:tcPr>
          <w:p w:rsidR="001D0FDA" w:rsidRDefault="001D0FDA" w:rsidP="001D0FDA">
            <w:pPr>
              <w:pStyle w:val="Tabletext"/>
              <w:rPr>
                <w:rFonts w:eastAsiaTheme="majorEastAsia"/>
              </w:rPr>
            </w:pPr>
            <w:r w:rsidRPr="007D566C">
              <w:rPr>
                <w:rFonts w:eastAsiaTheme="majorEastAsia"/>
              </w:rPr>
              <w:t>June 2016</w:t>
            </w:r>
          </w:p>
          <w:p w:rsidR="001D0FDA" w:rsidRDefault="001D0FDA" w:rsidP="001D0FDA">
            <w:pPr>
              <w:pStyle w:val="Tabletext"/>
            </w:pPr>
            <w:r w:rsidRPr="007D566C">
              <w:rPr>
                <w:rFonts w:eastAsiaTheme="majorEastAsia"/>
              </w:rPr>
              <w:t xml:space="preserve">October 2016 </w:t>
            </w:r>
          </w:p>
        </w:tc>
        <w:tc>
          <w:tcPr>
            <w:tcW w:w="1417" w:type="dxa"/>
          </w:tcPr>
          <w:p w:rsidR="001D0FDA" w:rsidRDefault="001D0FDA" w:rsidP="001D0FDA">
            <w:pPr>
              <w:pStyle w:val="Tabletext"/>
            </w:pPr>
            <w:r w:rsidRPr="007D566C">
              <w:t>Yes</w:t>
            </w:r>
          </w:p>
          <w:p w:rsidR="001D0FDA" w:rsidRDefault="001D0FDA" w:rsidP="001D0FDA">
            <w:pPr>
              <w:pStyle w:val="Tabletext"/>
            </w:pPr>
            <w:r w:rsidRPr="007D566C">
              <w:t>No</w:t>
            </w:r>
          </w:p>
        </w:tc>
        <w:tc>
          <w:tcPr>
            <w:tcW w:w="2127" w:type="dxa"/>
          </w:tcPr>
          <w:p w:rsidR="001D0FDA" w:rsidRPr="007D566C" w:rsidRDefault="008B751B" w:rsidP="001D0FDA">
            <w:pPr>
              <w:pStyle w:val="Tabletext"/>
            </w:pPr>
            <w:r>
              <w:t>–</w:t>
            </w:r>
          </w:p>
        </w:tc>
        <w:tc>
          <w:tcPr>
            <w:tcW w:w="3312" w:type="dxa"/>
          </w:tcPr>
          <w:p w:rsidR="001D0FDA" w:rsidRDefault="001D0FDA" w:rsidP="001D0FDA">
            <w:pPr>
              <w:pStyle w:val="Tabletext"/>
            </w:pPr>
            <w:r>
              <w:t>Riociguat</w:t>
            </w:r>
            <w:r w:rsidRPr="00F7695D">
              <w:t xml:space="preserve"> </w:t>
            </w:r>
            <w:proofErr w:type="gramStart"/>
            <w:r w:rsidRPr="00F7695D">
              <w:t>is contraindicated</w:t>
            </w:r>
            <w:proofErr w:type="gramEnd"/>
            <w:r w:rsidRPr="00F7695D">
              <w:t xml:space="preserve"> in patients with </w:t>
            </w:r>
            <w:r>
              <w:t>PH-IIP</w:t>
            </w:r>
            <w:r w:rsidRPr="00F7695D">
              <w:t>.</w:t>
            </w:r>
          </w:p>
          <w:p w:rsidR="001D0FDA" w:rsidRPr="007D566C" w:rsidRDefault="001D0FDA" w:rsidP="001D0FDA">
            <w:pPr>
              <w:pStyle w:val="Tabletext"/>
            </w:pPr>
            <w:r>
              <w:t xml:space="preserve">No further information provided. </w:t>
            </w:r>
          </w:p>
        </w:tc>
      </w:tr>
    </w:tbl>
    <w:p w:rsidR="001D0FDA" w:rsidRDefault="001D0FDA" w:rsidP="001D0FDA">
      <w:pPr>
        <w:pStyle w:val="Tablenote"/>
      </w:pPr>
      <w:r>
        <w:t>NAION = n</w:t>
      </w:r>
      <w:r w:rsidRPr="007C3385">
        <w:t xml:space="preserve">on-arteritic anterior ischaemic optic neuropathy; </w:t>
      </w:r>
      <w:r>
        <w:t xml:space="preserve">FDA = Food and Drug Administration; PDE=5 = phosphodiesterase type 5; PH-IIP = </w:t>
      </w:r>
      <w:r w:rsidRPr="00F7695D">
        <w:t>pulmonary hypertension associated with idiopathic interstitial pneumonias</w:t>
      </w:r>
      <w:r>
        <w:t xml:space="preserve">; PI = Product Information; PL = Product Label; PRAC = </w:t>
      </w:r>
      <w:r w:rsidRPr="00F7695D">
        <w:t xml:space="preserve">Pharmacovigilance </w:t>
      </w:r>
      <w:r>
        <w:t xml:space="preserve">Risk Assessment Committee; SAE = serious adverse event; SmPC = </w:t>
      </w:r>
      <w:r w:rsidRPr="007C3385">
        <w:t>Summary of Product Characteristics</w:t>
      </w:r>
      <w:r>
        <w:t>; TGA = Therapeutic Goods Administration</w:t>
      </w:r>
    </w:p>
    <w:p w:rsidR="001D0FDA" w:rsidRDefault="001D0FDA" w:rsidP="001D0FDA">
      <w:pPr>
        <w:pStyle w:val="Tablenote"/>
        <w:rPr>
          <w:rStyle w:val="Hyperlink"/>
          <w:color w:val="auto"/>
          <w:u w:val="none"/>
        </w:rPr>
      </w:pPr>
      <w:r w:rsidRPr="0045440E">
        <w:t xml:space="preserve">Source: </w:t>
      </w:r>
      <w:r w:rsidRPr="002046A0">
        <w:t>www.ema.europa.eu</w:t>
      </w:r>
    </w:p>
    <w:p w:rsidR="0045440E" w:rsidRPr="0045440E" w:rsidRDefault="001D0FDA" w:rsidP="001D0FDA">
      <w:r w:rsidRPr="0045440E">
        <w:rPr>
          <w:rStyle w:val="Hyperlink"/>
          <w:color w:val="auto"/>
          <w:u w:val="none"/>
        </w:rPr>
        <w:t xml:space="preserve">A trend to increased mortality </w:t>
      </w:r>
      <w:proofErr w:type="gramStart"/>
      <w:r w:rsidRPr="0045440E">
        <w:rPr>
          <w:rStyle w:val="Hyperlink"/>
          <w:color w:val="auto"/>
          <w:u w:val="none"/>
        </w:rPr>
        <w:t>was observed</w:t>
      </w:r>
      <w:proofErr w:type="gramEnd"/>
      <w:r w:rsidRPr="0045440E">
        <w:rPr>
          <w:rStyle w:val="Hyperlink"/>
          <w:color w:val="auto"/>
          <w:u w:val="none"/>
        </w:rPr>
        <w:t xml:space="preserve"> in a Phase II clinical trial of patients with idiopathic interstitial pneumonia and who received </w:t>
      </w:r>
      <w:r>
        <w:rPr>
          <w:rStyle w:val="Hyperlink"/>
          <w:color w:val="auto"/>
          <w:u w:val="none"/>
        </w:rPr>
        <w:t>riociguat (the RISE-IIP study).</w:t>
      </w:r>
      <w:r w:rsidRPr="0045440E">
        <w:rPr>
          <w:rStyle w:val="Hyperlink"/>
          <w:color w:val="auto"/>
          <w:u w:val="none"/>
        </w:rPr>
        <w:t xml:space="preserve"> The trial </w:t>
      </w:r>
      <w:proofErr w:type="gramStart"/>
      <w:r w:rsidRPr="0045440E">
        <w:rPr>
          <w:rStyle w:val="Hyperlink"/>
          <w:color w:val="auto"/>
          <w:u w:val="none"/>
        </w:rPr>
        <w:t xml:space="preserve">was </w:t>
      </w:r>
      <w:r>
        <w:rPr>
          <w:rStyle w:val="Hyperlink"/>
          <w:color w:val="auto"/>
          <w:u w:val="none"/>
        </w:rPr>
        <w:t>terminated</w:t>
      </w:r>
      <w:proofErr w:type="gramEnd"/>
      <w:r>
        <w:rPr>
          <w:rStyle w:val="Hyperlink"/>
          <w:color w:val="auto"/>
          <w:u w:val="none"/>
        </w:rPr>
        <w:t xml:space="preserve"> early as a result. </w:t>
      </w:r>
      <w:r w:rsidRPr="0045440E">
        <w:rPr>
          <w:rStyle w:val="Hyperlink"/>
          <w:color w:val="auto"/>
          <w:u w:val="none"/>
        </w:rPr>
        <w:t xml:space="preserve">The </w:t>
      </w:r>
      <w:r w:rsidRPr="00B83EA6">
        <w:rPr>
          <w:rStyle w:val="Hyperlink"/>
          <w:color w:val="auto"/>
          <w:u w:val="none"/>
        </w:rPr>
        <w:t>Pharmacovigilance Risk Assessment Committee</w:t>
      </w:r>
      <w:r w:rsidRPr="0045440E">
        <w:rPr>
          <w:rStyle w:val="Hyperlink"/>
          <w:color w:val="auto"/>
          <w:u w:val="none"/>
        </w:rPr>
        <w:t xml:space="preserve"> initially recommended a contraindication for </w:t>
      </w:r>
      <w:r w:rsidRPr="00B83EA6">
        <w:rPr>
          <w:rStyle w:val="Hyperlink"/>
          <w:color w:val="auto"/>
          <w:u w:val="none"/>
        </w:rPr>
        <w:t xml:space="preserve">idiopathic interstitial pneumonia </w:t>
      </w:r>
      <w:r>
        <w:rPr>
          <w:rStyle w:val="Hyperlink"/>
          <w:color w:val="auto"/>
          <w:u w:val="none"/>
        </w:rPr>
        <w:t>patients</w:t>
      </w:r>
      <w:r w:rsidRPr="0045440E">
        <w:rPr>
          <w:rStyle w:val="Hyperlink"/>
          <w:color w:val="auto"/>
          <w:u w:val="none"/>
        </w:rPr>
        <w:t xml:space="preserve"> and in June 2016, the EMA published an advisory that riociguat is not indicated for treatment of patients with </w:t>
      </w:r>
      <w:r>
        <w:rPr>
          <w:rStyle w:val="Hyperlink"/>
          <w:color w:val="auto"/>
          <w:u w:val="none"/>
        </w:rPr>
        <w:t xml:space="preserve">idiopathic </w:t>
      </w:r>
      <w:r w:rsidRPr="0045440E">
        <w:rPr>
          <w:rStyle w:val="Hyperlink"/>
          <w:color w:val="auto"/>
          <w:u w:val="none"/>
        </w:rPr>
        <w:t>interstitial pneumonia and furthermore should not be used in such patients in light of th</w:t>
      </w:r>
      <w:r>
        <w:rPr>
          <w:rStyle w:val="Hyperlink"/>
          <w:color w:val="auto"/>
          <w:u w:val="none"/>
        </w:rPr>
        <w:t xml:space="preserve">e trial results in idiopathic </w:t>
      </w:r>
      <w:r w:rsidRPr="0045440E">
        <w:rPr>
          <w:rStyle w:val="Hyperlink"/>
          <w:color w:val="auto"/>
          <w:u w:val="none"/>
        </w:rPr>
        <w:t>interstitial pneumonia</w:t>
      </w:r>
      <w:r>
        <w:rPr>
          <w:rStyle w:val="Hyperlink"/>
          <w:color w:val="auto"/>
          <w:u w:val="none"/>
        </w:rPr>
        <w:t xml:space="preserve"> patients. </w:t>
      </w:r>
      <w:r w:rsidRPr="0045440E">
        <w:rPr>
          <w:rStyle w:val="Hyperlink"/>
          <w:color w:val="auto"/>
          <w:u w:val="none"/>
        </w:rPr>
        <w:t xml:space="preserve">After a second </w:t>
      </w:r>
      <w:r w:rsidRPr="00B83EA6">
        <w:rPr>
          <w:rStyle w:val="Hyperlink"/>
          <w:color w:val="auto"/>
          <w:u w:val="none"/>
        </w:rPr>
        <w:t>Pharmacovigilance Risk Assessment Committee</w:t>
      </w:r>
      <w:r w:rsidRPr="0045440E">
        <w:rPr>
          <w:rStyle w:val="Hyperlink"/>
          <w:color w:val="auto"/>
          <w:u w:val="none"/>
        </w:rPr>
        <w:t xml:space="preserve"> consideration in October 2016, the </w:t>
      </w:r>
      <w:r>
        <w:rPr>
          <w:rStyle w:val="Hyperlink"/>
          <w:color w:val="auto"/>
          <w:u w:val="none"/>
        </w:rPr>
        <w:t>Committee</w:t>
      </w:r>
      <w:r w:rsidRPr="0045440E">
        <w:rPr>
          <w:rStyle w:val="Hyperlink"/>
          <w:color w:val="auto"/>
          <w:u w:val="none"/>
        </w:rPr>
        <w:t xml:space="preserve"> revised its view on receiving further</w:t>
      </w:r>
      <w:r>
        <w:rPr>
          <w:rStyle w:val="Hyperlink"/>
          <w:color w:val="auto"/>
          <w:u w:val="none"/>
        </w:rPr>
        <w:t xml:space="preserve"> information from the sponsor. </w:t>
      </w:r>
      <w:r w:rsidRPr="0045440E">
        <w:rPr>
          <w:rStyle w:val="Hyperlink"/>
          <w:color w:val="auto"/>
          <w:u w:val="none"/>
        </w:rPr>
        <w:t xml:space="preserve">The </w:t>
      </w:r>
      <w:r>
        <w:rPr>
          <w:rStyle w:val="Hyperlink"/>
          <w:color w:val="auto"/>
          <w:u w:val="none"/>
        </w:rPr>
        <w:t xml:space="preserve">Committee </w:t>
      </w:r>
      <w:r w:rsidRPr="0045440E">
        <w:rPr>
          <w:rStyle w:val="Hyperlink"/>
          <w:color w:val="auto"/>
          <w:u w:val="none"/>
        </w:rPr>
        <w:t xml:space="preserve">considered that “no definitive underlying mechanisms or subgroups at risk could be identified” and imposed a suite of follow-up measures relating to the potential link between mortality, riociguat and both </w:t>
      </w:r>
      <w:r>
        <w:rPr>
          <w:rStyle w:val="Hyperlink"/>
          <w:color w:val="auto"/>
          <w:u w:val="none"/>
        </w:rPr>
        <w:t xml:space="preserve">idiopathic </w:t>
      </w:r>
      <w:r w:rsidRPr="0045440E">
        <w:rPr>
          <w:rStyle w:val="Hyperlink"/>
          <w:color w:val="auto"/>
          <w:u w:val="none"/>
        </w:rPr>
        <w:t>interstitial pneumonia</w:t>
      </w:r>
      <w:r>
        <w:rPr>
          <w:rStyle w:val="Hyperlink"/>
          <w:color w:val="auto"/>
          <w:u w:val="none"/>
        </w:rPr>
        <w:t xml:space="preserve"> </w:t>
      </w:r>
      <w:proofErr w:type="gramStart"/>
      <w:r w:rsidRPr="0045440E">
        <w:rPr>
          <w:rStyle w:val="Hyperlink"/>
          <w:color w:val="auto"/>
          <w:u w:val="none"/>
        </w:rPr>
        <w:t>and also</w:t>
      </w:r>
      <w:proofErr w:type="gramEnd"/>
      <w:r w:rsidRPr="0045440E">
        <w:rPr>
          <w:rStyle w:val="Hyperlink"/>
          <w:color w:val="auto"/>
          <w:u w:val="none"/>
        </w:rPr>
        <w:t xml:space="preserve"> combined pul</w:t>
      </w:r>
      <w:r>
        <w:rPr>
          <w:rStyle w:val="Hyperlink"/>
          <w:color w:val="auto"/>
          <w:u w:val="none"/>
        </w:rPr>
        <w:t xml:space="preserve">monary fibrosis and emphysema. </w:t>
      </w:r>
      <w:r w:rsidRPr="0045440E">
        <w:rPr>
          <w:rStyle w:val="Hyperlink"/>
          <w:color w:val="auto"/>
          <w:u w:val="none"/>
        </w:rPr>
        <w:t xml:space="preserve">No change </w:t>
      </w:r>
      <w:proofErr w:type="gramStart"/>
      <w:r w:rsidRPr="0045440E">
        <w:rPr>
          <w:rStyle w:val="Hyperlink"/>
          <w:color w:val="auto"/>
          <w:u w:val="none"/>
        </w:rPr>
        <w:t>has been made</w:t>
      </w:r>
      <w:proofErr w:type="gramEnd"/>
      <w:r w:rsidRPr="0045440E">
        <w:rPr>
          <w:rStyle w:val="Hyperlink"/>
          <w:color w:val="auto"/>
          <w:u w:val="none"/>
        </w:rPr>
        <w:t xml:space="preserve"> to the </w:t>
      </w:r>
      <w:r>
        <w:rPr>
          <w:rStyle w:val="Hyperlink"/>
          <w:color w:val="auto"/>
          <w:u w:val="none"/>
        </w:rPr>
        <w:t>SmPC</w:t>
      </w:r>
      <w:r w:rsidRPr="0045440E">
        <w:rPr>
          <w:rStyle w:val="Hyperlink"/>
          <w:color w:val="auto"/>
          <w:u w:val="none"/>
        </w:rPr>
        <w:t xml:space="preserve"> regarding interstitial pneumonia. </w:t>
      </w:r>
      <w:r>
        <w:rPr>
          <w:rStyle w:val="Hyperlink"/>
          <w:color w:val="auto"/>
          <w:u w:val="none"/>
        </w:rPr>
        <w:t>Both TGA PI and FDA product label contraindicate use of riociguat in patients with pulmonary hypertension associated with idiopathic interstitial pneumonias. No further safety information regarding the use of riociguat (i</w:t>
      </w:r>
      <w:r w:rsidR="007E4C7F">
        <w:rPr>
          <w:rStyle w:val="Hyperlink"/>
          <w:color w:val="auto"/>
          <w:u w:val="none"/>
        </w:rPr>
        <w:t>.</w:t>
      </w:r>
      <w:r>
        <w:rPr>
          <w:rStyle w:val="Hyperlink"/>
          <w:color w:val="auto"/>
          <w:u w:val="none"/>
        </w:rPr>
        <w:t>e</w:t>
      </w:r>
      <w:r w:rsidR="007E4C7F">
        <w:rPr>
          <w:rStyle w:val="Hyperlink"/>
          <w:color w:val="auto"/>
          <w:u w:val="none"/>
        </w:rPr>
        <w:t>.</w:t>
      </w:r>
      <w:r>
        <w:rPr>
          <w:rStyle w:val="Hyperlink"/>
          <w:color w:val="auto"/>
          <w:u w:val="none"/>
        </w:rPr>
        <w:t xml:space="preserve"> results from Tri</w:t>
      </w:r>
      <w:r w:rsidR="000077A0">
        <w:rPr>
          <w:rStyle w:val="Hyperlink"/>
          <w:color w:val="auto"/>
          <w:u w:val="none"/>
        </w:rPr>
        <w:t>al RISE-IIP) has been included.</w:t>
      </w:r>
    </w:p>
    <w:p w:rsidR="006966DC" w:rsidRPr="00EB1471" w:rsidRDefault="006966DC" w:rsidP="006966DC">
      <w:pPr>
        <w:pStyle w:val="Heading2"/>
      </w:pPr>
      <w:bookmarkStart w:id="337" w:name="_Toc38360286"/>
      <w:bookmarkStart w:id="338" w:name="_Toc468022812"/>
      <w:bookmarkStart w:id="339" w:name="_Toc482191522"/>
      <w:bookmarkStart w:id="340" w:name="_Toc486515189"/>
      <w:bookmarkEnd w:id="317"/>
      <w:bookmarkEnd w:id="318"/>
      <w:bookmarkEnd w:id="319"/>
      <w:r>
        <w:t>Conclusions</w:t>
      </w:r>
      <w:bookmarkEnd w:id="337"/>
    </w:p>
    <w:p w:rsidR="005A20F4" w:rsidRPr="005A20F4" w:rsidRDefault="005A20F4" w:rsidP="005A20F4">
      <w:pPr>
        <w:pStyle w:val="Heading3"/>
      </w:pPr>
      <w:bookmarkStart w:id="341" w:name="_Toc38360287"/>
      <w:bookmarkEnd w:id="338"/>
      <w:bookmarkEnd w:id="339"/>
      <w:bookmarkEnd w:id="340"/>
      <w:r w:rsidRPr="005A20F4">
        <w:t>Effectiveness and safety of monotherapy in WHO FC I or II</w:t>
      </w:r>
      <w:r w:rsidR="00126F99">
        <w:t xml:space="preserve"> PAH</w:t>
      </w:r>
      <w:bookmarkEnd w:id="341"/>
    </w:p>
    <w:p w:rsidR="0075777C" w:rsidRPr="006316DF" w:rsidRDefault="00441F08" w:rsidP="0075777C">
      <w:pPr>
        <w:pStyle w:val="Heading4"/>
      </w:pPr>
      <w:r>
        <w:t>4.5.1.1</w:t>
      </w:r>
      <w:r>
        <w:tab/>
      </w:r>
      <w:r w:rsidR="0075777C" w:rsidRPr="006316DF">
        <w:t>ERA versus placebo</w:t>
      </w:r>
    </w:p>
    <w:p w:rsidR="0075777C" w:rsidRPr="00107676" w:rsidRDefault="0075777C" w:rsidP="0075777C">
      <w:pPr>
        <w:pStyle w:val="Heading5"/>
      </w:pPr>
      <w:r w:rsidRPr="00107676">
        <w:t>Clinical effectiveness</w:t>
      </w:r>
    </w:p>
    <w:p w:rsidR="0075777C" w:rsidRDefault="0075777C" w:rsidP="0075777C">
      <w:pPr>
        <w:rPr>
          <w:rFonts w:eastAsia="Times New Roman" w:cs="Cambria Math"/>
          <w:bCs/>
        </w:rPr>
      </w:pPr>
      <w:r w:rsidRPr="006316DF">
        <w:t xml:space="preserve">The </w:t>
      </w:r>
      <w:r>
        <w:t xml:space="preserve">detailed </w:t>
      </w:r>
      <w:r w:rsidRPr="006316DF">
        <w:t>GRADE</w:t>
      </w:r>
      <w:r w:rsidR="001D34EE" w:rsidRPr="001D34EE">
        <w:rPr>
          <w:noProof/>
          <w:vertAlign w:val="superscript"/>
        </w:rPr>
        <w:t>1</w:t>
      </w:r>
      <w:r w:rsidRPr="006316DF">
        <w:t xml:space="preserve"> assessments of the outcomes when comparing an ERA with placebo </w:t>
      </w:r>
      <w:proofErr w:type="gramStart"/>
      <w:r w:rsidRPr="006316DF">
        <w:t>are reported</w:t>
      </w:r>
      <w:proofErr w:type="gramEnd"/>
      <w:r w:rsidRPr="006316DF">
        <w:t xml:space="preserve"> in </w:t>
      </w:r>
      <w:r w:rsidR="003951FA">
        <w:t>Table 4.</w:t>
      </w:r>
      <w:r w:rsidR="003951FA">
        <w:rPr>
          <w:noProof/>
        </w:rPr>
        <w:t>146</w:t>
      </w:r>
      <w:r w:rsidR="00796F18">
        <w:t xml:space="preserve"> </w:t>
      </w:r>
      <w:r w:rsidRPr="006316DF">
        <w:t xml:space="preserve">in Appendix </w:t>
      </w:r>
      <w:r w:rsidR="00DA2636">
        <w:t>4</w:t>
      </w:r>
      <w:r w:rsidR="001B552D">
        <w:t>C</w:t>
      </w:r>
      <w:r w:rsidRPr="006316DF">
        <w:t xml:space="preserve">. A summary of these results </w:t>
      </w:r>
      <w:proofErr w:type="gramStart"/>
      <w:r w:rsidRPr="006316DF">
        <w:t>is provided</w:t>
      </w:r>
      <w:proofErr w:type="gramEnd"/>
      <w:r w:rsidRPr="006316DF">
        <w:t xml:space="preserve"> in </w:t>
      </w:r>
      <w:r w:rsidR="00FB0A80">
        <w:t>Table 4.120</w:t>
      </w:r>
      <w:r w:rsidRPr="006316DF">
        <w:t xml:space="preserve">. The evidence base for the outcomes ranked as critical </w:t>
      </w:r>
      <w:r>
        <w:t xml:space="preserve">and not important </w:t>
      </w:r>
      <w:r w:rsidRPr="006316DF">
        <w:t>w</w:t>
      </w:r>
      <w:r>
        <w:t>ere</w:t>
      </w:r>
      <w:r w:rsidRPr="006316DF">
        <w:t xml:space="preserve"> considered to be of </w:t>
      </w:r>
      <w:r>
        <w:t>high</w:t>
      </w:r>
      <w:r w:rsidRPr="006316DF">
        <w:t xml:space="preserve"> quality (GRADE </w:t>
      </w:r>
      <w:r w:rsidRPr="008727D6">
        <w:rPr>
          <w:rFonts w:ascii="Cambria Math" w:eastAsia="Times New Roman" w:hAnsi="Cambria Math" w:cs="Tahoma"/>
          <w:bCs/>
          <w:color w:val="00B050"/>
        </w:rPr>
        <w:t>⨁⨁⨁⨁</w:t>
      </w:r>
      <w:r w:rsidRPr="006316DF">
        <w:rPr>
          <w:rFonts w:eastAsia="Times New Roman" w:cs="Cambria Math"/>
          <w:bCs/>
        </w:rPr>
        <w:t>)</w:t>
      </w:r>
      <w:r>
        <w:rPr>
          <w:rFonts w:eastAsia="Times New Roman" w:cs="Cambria Math"/>
          <w:bCs/>
        </w:rPr>
        <w:t xml:space="preserve"> and</w:t>
      </w:r>
      <w:r w:rsidRPr="006316DF">
        <w:rPr>
          <w:rFonts w:eastAsia="Times New Roman" w:cs="Cambria Math"/>
          <w:bCs/>
        </w:rPr>
        <w:t xml:space="preserve"> </w:t>
      </w:r>
      <w:r>
        <w:rPr>
          <w:rFonts w:eastAsia="Times New Roman" w:cs="Cambria Math"/>
          <w:bCs/>
        </w:rPr>
        <w:t>t</w:t>
      </w:r>
      <w:r w:rsidRPr="006316DF">
        <w:t xml:space="preserve">he evidence base for the outcomes ranked as important was considered to be of moderate (GRADE </w:t>
      </w:r>
      <w:r w:rsidRPr="008727D6">
        <w:rPr>
          <w:rFonts w:ascii="Cambria Math" w:eastAsia="Times New Roman" w:hAnsi="Cambria Math" w:cs="Tahoma"/>
          <w:bCs/>
          <w:color w:val="00B050"/>
        </w:rPr>
        <w:t>⨁⨁⨁</w:t>
      </w:r>
      <w:r w:rsidRPr="008727D6">
        <w:rPr>
          <w:rFonts w:ascii="Cambria Math" w:eastAsia="Times New Roman" w:hAnsi="Cambria Math" w:cs="Cambria Math"/>
          <w:bCs/>
          <w:color w:val="C00000"/>
        </w:rPr>
        <w:t>⨀</w:t>
      </w:r>
      <w:r w:rsidR="00796F18" w:rsidRPr="00880228">
        <w:rPr>
          <w:rFonts w:eastAsia="Times New Roman" w:cs="Cambria Math"/>
          <w:bCs/>
        </w:rPr>
        <w:t>)</w:t>
      </w:r>
      <w:r w:rsidR="00880228" w:rsidRPr="00880228">
        <w:rPr>
          <w:rFonts w:eastAsia="Times New Roman" w:cs="Cambria Math"/>
          <w:bCs/>
        </w:rPr>
        <w:t xml:space="preserve"> or low</w:t>
      </w:r>
      <w:r w:rsidR="00880228" w:rsidRPr="00880228">
        <w:t xml:space="preserve"> (GRADE</w:t>
      </w:r>
      <w:r w:rsidR="00880228">
        <w:t xml:space="preserve"> </w:t>
      </w:r>
      <w:r w:rsidR="00880228" w:rsidRPr="008727D6">
        <w:rPr>
          <w:rFonts w:ascii="Cambria Math" w:eastAsia="Times New Roman" w:hAnsi="Cambria Math" w:cs="Tahoma"/>
          <w:bCs/>
          <w:color w:val="00B050"/>
        </w:rPr>
        <w:t>⨁⨁</w:t>
      </w:r>
      <w:r w:rsidR="00880228" w:rsidRPr="008727D6">
        <w:rPr>
          <w:rFonts w:ascii="Cambria Math" w:eastAsia="Times New Roman" w:hAnsi="Cambria Math" w:cs="Cambria Math"/>
          <w:bCs/>
          <w:color w:val="C00000"/>
        </w:rPr>
        <w:t>⨀⨀</w:t>
      </w:r>
      <w:r w:rsidR="00880228" w:rsidRPr="00880228">
        <w:t xml:space="preserve">) </w:t>
      </w:r>
      <w:r w:rsidR="00880228" w:rsidRPr="006316DF">
        <w:t>quality</w:t>
      </w:r>
      <w:r w:rsidR="00CB794E">
        <w:t>.</w:t>
      </w:r>
    </w:p>
    <w:p w:rsidR="0075777C" w:rsidRPr="006316DF" w:rsidRDefault="0075777C" w:rsidP="0075777C">
      <w:r w:rsidRPr="00F05153">
        <w:t>When taking the whole body of evidence into account, there w</w:t>
      </w:r>
      <w:r w:rsidR="004C7BB4" w:rsidRPr="00F05153">
        <w:t>ere</w:t>
      </w:r>
      <w:r w:rsidRPr="00F05153">
        <w:t xml:space="preserve"> </w:t>
      </w:r>
      <w:r w:rsidR="002046A0">
        <w:rPr>
          <w:noProof/>
          <w:color w:val="000000"/>
          <w:highlight w:val="black"/>
        </w:rPr>
        <w:t>'''''''''''''''''''''' '''''''''''</w:t>
      </w:r>
      <w:r w:rsidRPr="00F05153">
        <w:t xml:space="preserve"> </w:t>
      </w:r>
      <w:r w:rsidR="004C7BB4" w:rsidRPr="00F05153">
        <w:t>patients</w:t>
      </w:r>
      <w:r w:rsidR="004C7BB4">
        <w:t xml:space="preserve"> experiencing clinical worsening when taking an ERA medication compared with placebo. There was also a clinically important placebo-adjusted difference from baseline in PVR in the ERA group</w:t>
      </w:r>
      <w:r w:rsidRPr="00796F18">
        <w:t>.</w:t>
      </w:r>
      <w:r w:rsidRPr="006316DF">
        <w:t xml:space="preserve"> All </w:t>
      </w:r>
      <w:r>
        <w:t xml:space="preserve">other </w:t>
      </w:r>
      <w:r w:rsidRPr="006316DF">
        <w:t xml:space="preserve">outcomes </w:t>
      </w:r>
      <w:r>
        <w:t xml:space="preserve">also </w:t>
      </w:r>
      <w:r w:rsidRPr="006316DF">
        <w:t>favour</w:t>
      </w:r>
      <w:r>
        <w:t>ed</w:t>
      </w:r>
      <w:r w:rsidRPr="006316DF">
        <w:t xml:space="preserve"> the use of an ERA over a placebo, but the range of point estimates included in the </w:t>
      </w:r>
      <w:r w:rsidR="00D84687">
        <w:t>95% CI indicates</w:t>
      </w:r>
      <w:r w:rsidRPr="006316DF">
        <w:t xml:space="preserve"> that a lack</w:t>
      </w:r>
      <w:r w:rsidR="00CB794E">
        <w:t xml:space="preserve"> of effect </w:t>
      </w:r>
      <w:proofErr w:type="gramStart"/>
      <w:r w:rsidR="00CB794E">
        <w:t>cannot be ruled out</w:t>
      </w:r>
      <w:proofErr w:type="gramEnd"/>
      <w:r w:rsidR="00CB794E">
        <w:t>.</w:t>
      </w:r>
    </w:p>
    <w:p w:rsidR="0075777C" w:rsidRPr="006316DF" w:rsidRDefault="00BC5A2B" w:rsidP="0075777C">
      <w:r w:rsidRPr="00BC5A2B">
        <w:t xml:space="preserve">Thus, the use of an ERA medication to treat patients with WHO FC I/II </w:t>
      </w:r>
      <w:r w:rsidR="00796F18">
        <w:t>PAH is likely to be beneficial.</w:t>
      </w:r>
    </w:p>
    <w:p w:rsidR="005E60A7" w:rsidRDefault="005E60A7">
      <w:pPr>
        <w:spacing w:before="0" w:line="240" w:lineRule="auto"/>
        <w:rPr>
          <w:rFonts w:ascii="Arial" w:hAnsi="Arial"/>
          <w:b/>
          <w:iCs/>
          <w:sz w:val="20"/>
          <w:szCs w:val="18"/>
        </w:rPr>
      </w:pPr>
      <w:bookmarkStart w:id="342" w:name="_Ref501359627"/>
      <w:bookmarkStart w:id="343" w:name="_Ref436651097"/>
      <w:bookmarkStart w:id="344" w:name="_Toc439954430"/>
      <w:r>
        <w:br w:type="page"/>
      </w:r>
    </w:p>
    <w:p w:rsidR="0075777C" w:rsidRPr="00BC5A2B" w:rsidRDefault="00272F8F" w:rsidP="00BC5A2B">
      <w:pPr>
        <w:pStyle w:val="Caption"/>
      </w:pPr>
      <w:bookmarkStart w:id="345" w:name="_Toc38360417"/>
      <w:r w:rsidRPr="00BC5A2B">
        <w:t>Table 4.</w:t>
      </w:r>
      <w:r w:rsidR="003951FA">
        <w:rPr>
          <w:noProof/>
        </w:rPr>
        <w:t>120</w:t>
      </w:r>
      <w:bookmarkEnd w:id="342"/>
      <w:bookmarkEnd w:id="343"/>
      <w:r w:rsidR="00BC5A2B" w:rsidRPr="00BC5A2B">
        <w:tab/>
      </w:r>
      <w:r w:rsidR="0075777C" w:rsidRPr="00BC5A2B">
        <w:t xml:space="preserve">Balance of clinical benefits and harms of </w:t>
      </w:r>
      <w:r w:rsidR="007E59EC">
        <w:t xml:space="preserve">an </w:t>
      </w:r>
      <w:r w:rsidR="0075777C" w:rsidRPr="00BC5A2B">
        <w:t xml:space="preserve">ERA, relative to </w:t>
      </w:r>
      <w:bookmarkEnd w:id="344"/>
      <w:r w:rsidR="0075777C" w:rsidRPr="00BC5A2B">
        <w:t>placebo</w:t>
      </w:r>
      <w:bookmarkEnd w:id="345"/>
    </w:p>
    <w:tbl>
      <w:tblPr>
        <w:tblStyle w:val="TableGrid"/>
        <w:tblW w:w="9634" w:type="dxa"/>
        <w:tblLayout w:type="fixed"/>
        <w:tblLook w:val="04A0" w:firstRow="1" w:lastRow="0" w:firstColumn="1" w:lastColumn="0" w:noHBand="0" w:noVBand="1"/>
        <w:tblCaption w:val="Balance of clinical benefits and harms of an ERA, relative to placebo"/>
      </w:tblPr>
      <w:tblGrid>
        <w:gridCol w:w="1560"/>
        <w:gridCol w:w="1275"/>
        <w:gridCol w:w="1701"/>
        <w:gridCol w:w="1413"/>
        <w:gridCol w:w="2551"/>
        <w:gridCol w:w="1134"/>
      </w:tblGrid>
      <w:tr w:rsidR="0075777C" w:rsidRPr="00F05153" w:rsidTr="00BC5A2B">
        <w:trPr>
          <w:cnfStyle w:val="100000000000" w:firstRow="1" w:lastRow="0" w:firstColumn="0" w:lastColumn="0" w:oddVBand="0" w:evenVBand="0" w:oddHBand="0" w:evenHBand="0" w:firstRowFirstColumn="0" w:firstRowLastColumn="0" w:lastRowFirstColumn="0" w:lastRowLastColumn="0"/>
          <w:trHeight w:val="293"/>
        </w:trPr>
        <w:tc>
          <w:tcPr>
            <w:tcW w:w="1560" w:type="dxa"/>
          </w:tcPr>
          <w:p w:rsidR="0075777C" w:rsidRPr="00503643" w:rsidRDefault="0075777C" w:rsidP="00BC5A2B">
            <w:pPr>
              <w:pStyle w:val="TableText0"/>
              <w:spacing w:before="20" w:after="20"/>
              <w:rPr>
                <w:rFonts w:ascii="Arial" w:hAnsi="Arial"/>
                <w:b/>
                <w:noProof/>
              </w:rPr>
            </w:pPr>
            <w:r w:rsidRPr="00503643">
              <w:rPr>
                <w:rFonts w:ascii="Arial" w:hAnsi="Arial"/>
                <w:b/>
                <w:noProof/>
              </w:rPr>
              <w:t xml:space="preserve">Outcomes </w:t>
            </w:r>
          </w:p>
        </w:tc>
        <w:tc>
          <w:tcPr>
            <w:tcW w:w="1275" w:type="dxa"/>
          </w:tcPr>
          <w:p w:rsidR="0075777C" w:rsidRPr="00503643" w:rsidRDefault="0075777C" w:rsidP="00BC5A2B">
            <w:pPr>
              <w:pStyle w:val="TableText0"/>
              <w:spacing w:before="20" w:after="20"/>
              <w:rPr>
                <w:rFonts w:ascii="Arial" w:hAnsi="Arial"/>
                <w:b/>
                <w:noProof/>
              </w:rPr>
            </w:pPr>
            <w:r w:rsidRPr="00503643">
              <w:rPr>
                <w:rFonts w:ascii="Arial" w:hAnsi="Arial"/>
                <w:b/>
                <w:noProof/>
              </w:rPr>
              <w:t>Participants (studies)</w:t>
            </w:r>
          </w:p>
        </w:tc>
        <w:tc>
          <w:tcPr>
            <w:tcW w:w="1701" w:type="dxa"/>
          </w:tcPr>
          <w:p w:rsidR="0075777C" w:rsidRPr="00503643" w:rsidRDefault="0075777C" w:rsidP="00BC5A2B">
            <w:pPr>
              <w:pStyle w:val="TableText0"/>
              <w:spacing w:before="20" w:after="20"/>
              <w:rPr>
                <w:rFonts w:ascii="Arial" w:hAnsi="Arial"/>
                <w:b/>
                <w:noProof/>
              </w:rPr>
            </w:pPr>
            <w:r w:rsidRPr="00503643">
              <w:rPr>
                <w:rFonts w:ascii="Arial" w:hAnsi="Arial"/>
                <w:b/>
                <w:noProof/>
              </w:rPr>
              <w:t>Quality of evidence</w:t>
            </w:r>
          </w:p>
        </w:tc>
        <w:tc>
          <w:tcPr>
            <w:tcW w:w="1413" w:type="dxa"/>
          </w:tcPr>
          <w:p w:rsidR="0075777C" w:rsidRPr="00503643" w:rsidRDefault="0075777C" w:rsidP="00BC5A2B">
            <w:pPr>
              <w:pStyle w:val="TableText0"/>
              <w:spacing w:before="20" w:after="20"/>
              <w:rPr>
                <w:rFonts w:ascii="Arial" w:hAnsi="Arial"/>
                <w:b/>
                <w:noProof/>
              </w:rPr>
            </w:pPr>
            <w:r w:rsidRPr="00503643">
              <w:rPr>
                <w:rFonts w:ascii="Arial" w:hAnsi="Arial"/>
                <w:b/>
                <w:noProof/>
              </w:rPr>
              <w:t>Results</w:t>
            </w:r>
          </w:p>
        </w:tc>
        <w:tc>
          <w:tcPr>
            <w:tcW w:w="2551" w:type="dxa"/>
          </w:tcPr>
          <w:p w:rsidR="0075777C" w:rsidRPr="00503643" w:rsidRDefault="0075777C" w:rsidP="00BC5A2B">
            <w:pPr>
              <w:pStyle w:val="TableText0"/>
              <w:spacing w:before="20" w:after="20"/>
              <w:rPr>
                <w:rFonts w:ascii="Arial" w:hAnsi="Arial"/>
                <w:b/>
                <w:noProof/>
              </w:rPr>
            </w:pPr>
            <w:r w:rsidRPr="00503643">
              <w:rPr>
                <w:rFonts w:ascii="Arial" w:hAnsi="Arial"/>
                <w:b/>
                <w:noProof/>
              </w:rPr>
              <w:t>Interpretation</w:t>
            </w:r>
          </w:p>
        </w:tc>
        <w:tc>
          <w:tcPr>
            <w:tcW w:w="1134" w:type="dxa"/>
          </w:tcPr>
          <w:p w:rsidR="0075777C" w:rsidRPr="00503643" w:rsidRDefault="0075777C" w:rsidP="00BC5A2B">
            <w:pPr>
              <w:pStyle w:val="TableText0"/>
              <w:spacing w:before="20" w:after="20"/>
              <w:rPr>
                <w:rFonts w:ascii="Arial" w:hAnsi="Arial"/>
                <w:b/>
                <w:noProof/>
              </w:rPr>
            </w:pPr>
            <w:r w:rsidRPr="00503643">
              <w:rPr>
                <w:rFonts w:ascii="Arial" w:hAnsi="Arial"/>
                <w:b/>
                <w:noProof/>
              </w:rPr>
              <w:t>GRADE</w:t>
            </w:r>
            <w:r w:rsidR="00D2075A" w:rsidRPr="00503643">
              <w:rPr>
                <w:rFonts w:ascii="Arial" w:hAnsi="Arial"/>
                <w:b/>
                <w:noProof/>
                <w:vertAlign w:val="superscript"/>
              </w:rPr>
              <w:t>a</w:t>
            </w:r>
          </w:p>
          <w:p w:rsidR="0075777C" w:rsidRPr="00503643" w:rsidRDefault="0075777C" w:rsidP="00BC5A2B">
            <w:pPr>
              <w:pStyle w:val="TableText0"/>
              <w:spacing w:before="20" w:after="20"/>
              <w:rPr>
                <w:rFonts w:ascii="Arial" w:hAnsi="Arial"/>
                <w:b/>
                <w:noProof/>
              </w:rPr>
            </w:pPr>
            <w:r w:rsidRPr="00503643">
              <w:rPr>
                <w:rFonts w:ascii="Arial" w:hAnsi="Arial"/>
                <w:b/>
                <w:noProof/>
              </w:rPr>
              <w:t>Importance</w:t>
            </w:r>
          </w:p>
        </w:tc>
      </w:tr>
      <w:tr w:rsidR="0075777C" w:rsidRPr="00F05153" w:rsidTr="00BC5A2B">
        <w:tc>
          <w:tcPr>
            <w:tcW w:w="1560" w:type="dxa"/>
          </w:tcPr>
          <w:p w:rsidR="0075777C" w:rsidRPr="00503643" w:rsidRDefault="0075777C" w:rsidP="00BC5A2B">
            <w:pPr>
              <w:pStyle w:val="TableText0"/>
              <w:spacing w:before="20" w:after="20"/>
              <w:rPr>
                <w:rFonts w:ascii="Arial" w:hAnsi="Arial"/>
              </w:rPr>
            </w:pPr>
            <w:r w:rsidRPr="00503643">
              <w:rPr>
                <w:rFonts w:ascii="Arial" w:hAnsi="Arial"/>
              </w:rPr>
              <w:t xml:space="preserve">Clinical worsening </w:t>
            </w:r>
          </w:p>
        </w:tc>
        <w:tc>
          <w:tcPr>
            <w:tcW w:w="1275" w:type="dxa"/>
          </w:tcPr>
          <w:p w:rsidR="0075777C" w:rsidRPr="00503643" w:rsidRDefault="0075777C" w:rsidP="00BC5A2B">
            <w:pPr>
              <w:pStyle w:val="TableText0"/>
              <w:spacing w:before="20" w:after="20"/>
              <w:rPr>
                <w:rFonts w:ascii="Arial" w:hAnsi="Arial"/>
              </w:rPr>
            </w:pPr>
            <w:r w:rsidRPr="00503643">
              <w:rPr>
                <w:rFonts w:ascii="Arial" w:hAnsi="Arial"/>
              </w:rPr>
              <w:t>N=357</w:t>
            </w:r>
          </w:p>
          <w:p w:rsidR="0075777C" w:rsidRPr="00503643" w:rsidRDefault="0075777C" w:rsidP="00BC5A2B">
            <w:pPr>
              <w:pStyle w:val="TableText0"/>
              <w:spacing w:before="20" w:after="20"/>
              <w:rPr>
                <w:rFonts w:ascii="Arial" w:hAnsi="Arial"/>
              </w:rPr>
            </w:pPr>
            <w:r w:rsidRPr="00503643">
              <w:rPr>
                <w:rFonts w:ascii="Arial" w:hAnsi="Arial"/>
              </w:rPr>
              <w:t>k=</w:t>
            </w:r>
            <w:r w:rsidR="00EA33A7" w:rsidRPr="00503643">
              <w:rPr>
                <w:rFonts w:ascii="Arial" w:hAnsi="Arial"/>
              </w:rPr>
              <w:t>4</w:t>
            </w:r>
            <w:r w:rsidRPr="00503643">
              <w:rPr>
                <w:rFonts w:ascii="Arial" w:hAnsi="Arial"/>
              </w:rPr>
              <w:t xml:space="preserve"> RCTs</w:t>
            </w:r>
          </w:p>
        </w:tc>
        <w:tc>
          <w:tcPr>
            <w:tcW w:w="1701" w:type="dxa"/>
          </w:tcPr>
          <w:p w:rsidR="0075777C" w:rsidRPr="00503643" w:rsidRDefault="0075777C" w:rsidP="00BC5A2B">
            <w:pPr>
              <w:pStyle w:val="TableText0"/>
              <w:spacing w:before="20" w:after="20"/>
              <w:rPr>
                <w:rFonts w:ascii="Arial" w:hAnsi="Arial"/>
              </w:rPr>
            </w:pPr>
            <w:r w:rsidRPr="00503643">
              <w:rPr>
                <w:rFonts w:ascii="Arial" w:hAnsi="Arial"/>
              </w:rPr>
              <w:t>Risk of bias: −1</w:t>
            </w:r>
          </w:p>
          <w:p w:rsidR="0075777C" w:rsidRPr="00503643" w:rsidRDefault="0075777C" w:rsidP="00BC5A2B">
            <w:pPr>
              <w:pStyle w:val="TableText0"/>
              <w:spacing w:before="20" w:after="20"/>
              <w:rPr>
                <w:rFonts w:ascii="Arial" w:hAnsi="Arial"/>
              </w:rPr>
            </w:pPr>
            <w:r w:rsidRPr="00503643">
              <w:rPr>
                <w:rFonts w:ascii="Arial" w:hAnsi="Arial"/>
              </w:rPr>
              <w:t>Inconsistency: 0</w:t>
            </w:r>
          </w:p>
          <w:p w:rsidR="0075777C" w:rsidRPr="00503643" w:rsidRDefault="0075777C" w:rsidP="00BC5A2B">
            <w:pPr>
              <w:pStyle w:val="TableText0"/>
              <w:spacing w:before="20" w:after="20"/>
              <w:rPr>
                <w:rFonts w:ascii="Arial" w:hAnsi="Arial"/>
              </w:rPr>
            </w:pPr>
            <w:r w:rsidRPr="00503643">
              <w:rPr>
                <w:rFonts w:ascii="Arial" w:hAnsi="Arial"/>
              </w:rPr>
              <w:t>Indirectness: 0</w:t>
            </w:r>
          </w:p>
          <w:p w:rsidR="0075777C" w:rsidRPr="00503643" w:rsidRDefault="0075777C" w:rsidP="00BC5A2B">
            <w:pPr>
              <w:pStyle w:val="TableText0"/>
              <w:spacing w:before="20" w:after="20"/>
              <w:rPr>
                <w:rFonts w:ascii="Arial" w:hAnsi="Arial"/>
              </w:rPr>
            </w:pPr>
            <w:r w:rsidRPr="00503643">
              <w:rPr>
                <w:rFonts w:ascii="Arial" w:hAnsi="Arial"/>
              </w:rPr>
              <w:t>Imprecision: 0</w:t>
            </w:r>
          </w:p>
          <w:p w:rsidR="0075777C" w:rsidRPr="00503643" w:rsidRDefault="0075777C" w:rsidP="00BC5A2B">
            <w:pPr>
              <w:pStyle w:val="TableText0"/>
              <w:spacing w:before="20" w:after="20"/>
              <w:rPr>
                <w:rFonts w:ascii="Arial" w:hAnsi="Arial"/>
              </w:rPr>
            </w:pPr>
            <w:r w:rsidRPr="00503643">
              <w:rPr>
                <w:rFonts w:ascii="Arial" w:hAnsi="Arial"/>
              </w:rPr>
              <w:t>Publication bias: 0</w:t>
            </w:r>
          </w:p>
          <w:p w:rsidR="0075777C" w:rsidRPr="00503643" w:rsidRDefault="0075777C" w:rsidP="00BC5A2B">
            <w:pPr>
              <w:pStyle w:val="TableText0"/>
              <w:spacing w:before="20" w:after="20"/>
              <w:rPr>
                <w:rFonts w:ascii="Arial" w:hAnsi="Arial"/>
              </w:rPr>
            </w:pPr>
            <w:r w:rsidRPr="00503643">
              <w:rPr>
                <w:rFonts w:ascii="Arial" w:hAnsi="Arial"/>
              </w:rPr>
              <w:t>Association: +2</w:t>
            </w:r>
          </w:p>
        </w:tc>
        <w:tc>
          <w:tcPr>
            <w:tcW w:w="1413" w:type="dxa"/>
          </w:tcPr>
          <w:p w:rsidR="0075777C" w:rsidRPr="00503643" w:rsidRDefault="002046A0" w:rsidP="00BC5A2B">
            <w:pPr>
              <w:pStyle w:val="TableText0"/>
              <w:spacing w:before="20" w:after="20"/>
              <w:rPr>
                <w:rFonts w:ascii="Arial" w:hAnsi="Arial"/>
                <w:highlight w:val="black"/>
              </w:rPr>
            </w:pPr>
            <w:r w:rsidRPr="00503643">
              <w:rPr>
                <w:rFonts w:ascii="Arial" w:hAnsi="Arial"/>
                <w:noProof/>
                <w:color w:val="000000"/>
                <w:highlight w:val="black"/>
              </w:rPr>
              <w:t>'''''''''''''''''' '''''''' '''' '''''''''' ''''''''''''' '''''' ''''''''''''' ''''''''''''</w:t>
            </w:r>
          </w:p>
        </w:tc>
        <w:tc>
          <w:tcPr>
            <w:tcW w:w="2551" w:type="dxa"/>
          </w:tcPr>
          <w:p w:rsidR="0075777C" w:rsidRPr="00503643" w:rsidRDefault="002046A0" w:rsidP="00BC5A2B">
            <w:pPr>
              <w:pStyle w:val="TableText0"/>
              <w:spacing w:before="20" w:after="20"/>
              <w:rPr>
                <w:rFonts w:ascii="Arial" w:hAnsi="Arial"/>
                <w:highlight w:val="black"/>
              </w:rPr>
            </w:pPr>
            <w:r w:rsidRPr="00503643">
              <w:rPr>
                <w:rFonts w:ascii="Arial" w:hAnsi="Arial"/>
                <w:noProof/>
                <w:color w:val="000000"/>
                <w:highlight w:val="black"/>
              </w:rPr>
              <w:t>''''''''''''''''''''''''''' '''''''''''''' ''''''''''''''''' ''''''''''''''''''''''''''''' ''''''''''''''' '''''''''''''''''''''''' '''''''''''''' '''''''''''''''''' ''''''''' '''''' '''''''''' '''''''''''''''''''''''''' ''''''''''' ''''''''''''''''''''</w:t>
            </w:r>
          </w:p>
        </w:tc>
        <w:tc>
          <w:tcPr>
            <w:tcW w:w="1134" w:type="dxa"/>
          </w:tcPr>
          <w:p w:rsidR="0075777C" w:rsidRPr="00503643" w:rsidRDefault="0075777C" w:rsidP="00BC5A2B">
            <w:pPr>
              <w:pStyle w:val="TableText0"/>
              <w:spacing w:before="20" w:after="20"/>
              <w:rPr>
                <w:rFonts w:ascii="Arial" w:hAnsi="Arial"/>
              </w:rPr>
            </w:pPr>
            <w:r w:rsidRPr="00503643">
              <w:rPr>
                <w:rFonts w:ascii="Arial" w:hAnsi="Arial"/>
              </w:rPr>
              <w:t>High</w:t>
            </w:r>
          </w:p>
          <w:p w:rsidR="0075777C" w:rsidRPr="00503643" w:rsidRDefault="0075777C" w:rsidP="00BC5A2B">
            <w:pPr>
              <w:pStyle w:val="TableText0"/>
              <w:spacing w:before="20" w:after="20"/>
              <w:rPr>
                <w:rFonts w:ascii="Arial" w:hAnsi="Arial"/>
                <w:bCs/>
              </w:rPr>
            </w:pPr>
            <w:r w:rsidRPr="00503643">
              <w:rPr>
                <w:rFonts w:ascii="Cambria Math" w:hAnsi="Cambria Math" w:cs="Cambria Math"/>
                <w:bCs/>
                <w:color w:val="00B050"/>
              </w:rPr>
              <w:t>⨁⨁⨁⨁</w:t>
            </w:r>
          </w:p>
          <w:p w:rsidR="0075777C" w:rsidRPr="00503643" w:rsidRDefault="0075777C" w:rsidP="00BC5A2B">
            <w:pPr>
              <w:pStyle w:val="TableText0"/>
              <w:spacing w:before="20" w:after="20"/>
              <w:rPr>
                <w:rFonts w:ascii="Arial" w:hAnsi="Arial"/>
              </w:rPr>
            </w:pPr>
            <w:r w:rsidRPr="00503643">
              <w:rPr>
                <w:rFonts w:ascii="Arial" w:hAnsi="Arial"/>
                <w:bCs/>
              </w:rPr>
              <w:t xml:space="preserve">Critical </w:t>
            </w:r>
          </w:p>
        </w:tc>
      </w:tr>
      <w:tr w:rsidR="0075777C" w:rsidRPr="00F05153" w:rsidTr="00BC5A2B">
        <w:tc>
          <w:tcPr>
            <w:tcW w:w="1560" w:type="dxa"/>
          </w:tcPr>
          <w:p w:rsidR="0075777C" w:rsidRPr="00503643" w:rsidRDefault="0075777C" w:rsidP="00BC5A2B">
            <w:pPr>
              <w:pStyle w:val="TableText0"/>
              <w:spacing w:before="20" w:after="20"/>
              <w:rPr>
                <w:rFonts w:ascii="Arial" w:hAnsi="Arial"/>
              </w:rPr>
            </w:pPr>
            <w:r w:rsidRPr="00503643">
              <w:rPr>
                <w:rFonts w:ascii="Arial" w:hAnsi="Arial"/>
              </w:rPr>
              <w:t>All-cause mortality</w:t>
            </w:r>
          </w:p>
        </w:tc>
        <w:tc>
          <w:tcPr>
            <w:tcW w:w="1275" w:type="dxa"/>
          </w:tcPr>
          <w:p w:rsidR="0075777C" w:rsidRPr="00503643" w:rsidRDefault="0075777C" w:rsidP="00BC5A2B">
            <w:pPr>
              <w:pStyle w:val="TableText0"/>
              <w:spacing w:before="20" w:after="20"/>
              <w:rPr>
                <w:rFonts w:ascii="Arial" w:hAnsi="Arial"/>
              </w:rPr>
            </w:pPr>
            <w:r w:rsidRPr="00503643">
              <w:rPr>
                <w:rFonts w:ascii="Arial" w:hAnsi="Arial"/>
              </w:rPr>
              <w:t>N=256</w:t>
            </w:r>
          </w:p>
          <w:p w:rsidR="0075777C" w:rsidRPr="00503643" w:rsidRDefault="0075777C" w:rsidP="00BC5A2B">
            <w:pPr>
              <w:pStyle w:val="TableText0"/>
              <w:spacing w:before="20" w:after="20"/>
              <w:rPr>
                <w:rFonts w:ascii="Arial" w:hAnsi="Arial"/>
              </w:rPr>
            </w:pPr>
            <w:r w:rsidRPr="00503643">
              <w:rPr>
                <w:rFonts w:ascii="Arial" w:hAnsi="Arial"/>
              </w:rPr>
              <w:t>k=2 RCTs</w:t>
            </w:r>
          </w:p>
        </w:tc>
        <w:tc>
          <w:tcPr>
            <w:tcW w:w="1701" w:type="dxa"/>
          </w:tcPr>
          <w:p w:rsidR="0075777C" w:rsidRPr="00503643" w:rsidRDefault="0075777C" w:rsidP="00BC5A2B">
            <w:pPr>
              <w:pStyle w:val="TableText0"/>
              <w:spacing w:before="20" w:after="20"/>
              <w:rPr>
                <w:rFonts w:ascii="Arial" w:hAnsi="Arial"/>
              </w:rPr>
            </w:pPr>
            <w:r w:rsidRPr="00503643">
              <w:rPr>
                <w:rFonts w:ascii="Arial" w:hAnsi="Arial"/>
              </w:rPr>
              <w:t>Risk of bias: −1</w:t>
            </w:r>
          </w:p>
          <w:p w:rsidR="0075777C" w:rsidRPr="00503643" w:rsidRDefault="0075777C" w:rsidP="00BC5A2B">
            <w:pPr>
              <w:pStyle w:val="TableText0"/>
              <w:spacing w:before="20" w:after="20"/>
              <w:rPr>
                <w:rFonts w:ascii="Arial" w:hAnsi="Arial"/>
              </w:rPr>
            </w:pPr>
            <w:r w:rsidRPr="00503643">
              <w:rPr>
                <w:rFonts w:ascii="Arial" w:hAnsi="Arial"/>
              </w:rPr>
              <w:t>Inconsistency: 0</w:t>
            </w:r>
          </w:p>
          <w:p w:rsidR="0075777C" w:rsidRPr="00503643" w:rsidRDefault="0075777C" w:rsidP="00BC5A2B">
            <w:pPr>
              <w:pStyle w:val="TableText0"/>
              <w:spacing w:before="20" w:after="20"/>
              <w:rPr>
                <w:rFonts w:ascii="Arial" w:hAnsi="Arial"/>
              </w:rPr>
            </w:pPr>
            <w:r w:rsidRPr="00503643">
              <w:rPr>
                <w:rFonts w:ascii="Arial" w:hAnsi="Arial"/>
              </w:rPr>
              <w:t>Indirectness: 0</w:t>
            </w:r>
          </w:p>
          <w:p w:rsidR="0075777C" w:rsidRPr="00503643" w:rsidRDefault="0075777C" w:rsidP="00BC5A2B">
            <w:pPr>
              <w:pStyle w:val="TableText0"/>
              <w:spacing w:before="20" w:after="20"/>
              <w:rPr>
                <w:rFonts w:ascii="Arial" w:hAnsi="Arial"/>
              </w:rPr>
            </w:pPr>
            <w:r w:rsidRPr="00503643">
              <w:rPr>
                <w:rFonts w:ascii="Arial" w:hAnsi="Arial"/>
              </w:rPr>
              <w:t>Imprecision: 0</w:t>
            </w:r>
          </w:p>
          <w:p w:rsidR="0075777C" w:rsidRPr="00503643" w:rsidRDefault="0075777C" w:rsidP="00BC5A2B">
            <w:pPr>
              <w:pStyle w:val="TableText0"/>
              <w:spacing w:before="20" w:after="20"/>
              <w:rPr>
                <w:rFonts w:ascii="Arial" w:hAnsi="Arial"/>
              </w:rPr>
            </w:pPr>
            <w:r w:rsidRPr="00503643">
              <w:rPr>
                <w:rFonts w:ascii="Arial" w:hAnsi="Arial"/>
              </w:rPr>
              <w:t>Publication bias: 0</w:t>
            </w:r>
          </w:p>
          <w:p w:rsidR="0075777C" w:rsidRPr="00503643" w:rsidRDefault="0075777C" w:rsidP="00BC5A2B">
            <w:pPr>
              <w:pStyle w:val="TableText0"/>
              <w:spacing w:before="20" w:after="20"/>
              <w:rPr>
                <w:rFonts w:ascii="Arial" w:hAnsi="Arial"/>
              </w:rPr>
            </w:pPr>
            <w:r w:rsidRPr="00503643">
              <w:rPr>
                <w:rFonts w:ascii="Arial" w:hAnsi="Arial"/>
              </w:rPr>
              <w:t>Association: +1</w:t>
            </w:r>
          </w:p>
        </w:tc>
        <w:tc>
          <w:tcPr>
            <w:tcW w:w="1413" w:type="dxa"/>
          </w:tcPr>
          <w:p w:rsidR="0075777C" w:rsidRPr="00503643" w:rsidRDefault="002046A0" w:rsidP="00BC5A2B">
            <w:pPr>
              <w:pStyle w:val="TableText0"/>
              <w:spacing w:before="20" w:after="20"/>
              <w:rPr>
                <w:rFonts w:ascii="Arial" w:hAnsi="Arial"/>
                <w:highlight w:val="black"/>
              </w:rPr>
            </w:pPr>
            <w:r w:rsidRPr="00503643">
              <w:rPr>
                <w:rFonts w:ascii="Arial" w:hAnsi="Arial"/>
                <w:noProof/>
                <w:color w:val="000000"/>
                <w:highlight w:val="black"/>
              </w:rPr>
              <w:t>''''''''''''''''' '''''''' ''' '''''''''' '''''''''''' '''''' ''''''''''''' '''''''''''</w:t>
            </w:r>
          </w:p>
        </w:tc>
        <w:tc>
          <w:tcPr>
            <w:tcW w:w="2551" w:type="dxa"/>
          </w:tcPr>
          <w:p w:rsidR="0075777C" w:rsidRPr="00503643" w:rsidRDefault="002046A0" w:rsidP="00BC5A2B">
            <w:pPr>
              <w:pStyle w:val="TableText0"/>
              <w:spacing w:before="20" w:after="20"/>
              <w:rPr>
                <w:rFonts w:ascii="Arial" w:hAnsi="Arial"/>
                <w:highlight w:val="black"/>
              </w:rPr>
            </w:pPr>
            <w:r w:rsidRPr="00503643">
              <w:rPr>
                <w:rFonts w:ascii="Arial" w:hAnsi="Arial"/>
                <w:noProof/>
                <w:color w:val="000000"/>
                <w:highlight w:val="black"/>
              </w:rPr>
              <w:t>'''''''''''''' '''''''''''''''''' ''''''''''' ''''''''''' '''''''''' ''''''''''''''' '''''''''''''' ''''''''''''''' '''''' '''''''''''' ''''''''''''''''''''''' '''''''''' '''''''''''''''''''''' '''''''' ''''''' '''''''''''' ''''''' '''''''''''''''''''' '''''''''' ''''''''''' '''''''''' '''''''''' ''''''' ''''''' ''''''''''''''</w:t>
            </w:r>
          </w:p>
        </w:tc>
        <w:tc>
          <w:tcPr>
            <w:tcW w:w="1134" w:type="dxa"/>
          </w:tcPr>
          <w:p w:rsidR="0075777C" w:rsidRPr="00503643" w:rsidRDefault="0075777C" w:rsidP="00BC5A2B">
            <w:pPr>
              <w:pStyle w:val="TableText0"/>
              <w:spacing w:before="20" w:after="20"/>
              <w:rPr>
                <w:rFonts w:ascii="Arial" w:hAnsi="Arial"/>
              </w:rPr>
            </w:pPr>
            <w:r w:rsidRPr="00503643">
              <w:rPr>
                <w:rFonts w:ascii="Arial" w:hAnsi="Arial"/>
              </w:rPr>
              <w:t>High</w:t>
            </w:r>
          </w:p>
          <w:p w:rsidR="0075777C" w:rsidRPr="00503643" w:rsidRDefault="0075777C" w:rsidP="00BC5A2B">
            <w:pPr>
              <w:pStyle w:val="TableText0"/>
              <w:spacing w:before="20" w:after="20"/>
              <w:rPr>
                <w:rFonts w:ascii="Arial" w:hAnsi="Arial"/>
                <w:bCs/>
              </w:rPr>
            </w:pPr>
            <w:r w:rsidRPr="00503643">
              <w:rPr>
                <w:rFonts w:ascii="Cambria Math" w:hAnsi="Cambria Math" w:cs="Cambria Math"/>
                <w:bCs/>
                <w:color w:val="00B050"/>
              </w:rPr>
              <w:t>⨁⨁⨁⨁</w:t>
            </w:r>
          </w:p>
          <w:p w:rsidR="0075777C" w:rsidRPr="00503643" w:rsidRDefault="0075777C" w:rsidP="00BC5A2B">
            <w:pPr>
              <w:pStyle w:val="TableText0"/>
              <w:spacing w:before="20" w:after="20"/>
              <w:rPr>
                <w:rFonts w:ascii="Arial" w:hAnsi="Arial"/>
              </w:rPr>
            </w:pPr>
            <w:r w:rsidRPr="00503643">
              <w:rPr>
                <w:rFonts w:ascii="Arial" w:hAnsi="Arial"/>
              </w:rPr>
              <w:t>Critical</w:t>
            </w:r>
          </w:p>
        </w:tc>
      </w:tr>
      <w:tr w:rsidR="0075777C" w:rsidRPr="006316DF" w:rsidTr="00BC5A2B">
        <w:tc>
          <w:tcPr>
            <w:tcW w:w="1560" w:type="dxa"/>
          </w:tcPr>
          <w:p w:rsidR="0075777C" w:rsidRPr="00503643" w:rsidRDefault="0075777C" w:rsidP="00BC5A2B">
            <w:pPr>
              <w:pStyle w:val="TableText0"/>
              <w:spacing w:before="20" w:after="20"/>
              <w:rPr>
                <w:rFonts w:ascii="Arial" w:hAnsi="Arial"/>
              </w:rPr>
            </w:pPr>
            <w:r w:rsidRPr="00503643">
              <w:rPr>
                <w:rFonts w:ascii="Arial" w:hAnsi="Arial"/>
              </w:rPr>
              <w:t>Improved WHO FC</w:t>
            </w:r>
          </w:p>
        </w:tc>
        <w:tc>
          <w:tcPr>
            <w:tcW w:w="1275" w:type="dxa"/>
          </w:tcPr>
          <w:p w:rsidR="0075777C" w:rsidRPr="00503643" w:rsidRDefault="0075777C" w:rsidP="00BC5A2B">
            <w:pPr>
              <w:pStyle w:val="TableText0"/>
              <w:spacing w:before="20" w:after="20"/>
              <w:rPr>
                <w:rFonts w:ascii="Arial" w:hAnsi="Arial"/>
              </w:rPr>
            </w:pPr>
            <w:r w:rsidRPr="00503643">
              <w:rPr>
                <w:rFonts w:ascii="Arial" w:hAnsi="Arial"/>
              </w:rPr>
              <w:t>N=101</w:t>
            </w:r>
          </w:p>
          <w:p w:rsidR="0075777C" w:rsidRPr="00503643" w:rsidRDefault="0075777C" w:rsidP="00BC5A2B">
            <w:pPr>
              <w:pStyle w:val="TableText0"/>
              <w:spacing w:before="20" w:after="20"/>
              <w:rPr>
                <w:rFonts w:ascii="Arial" w:hAnsi="Arial"/>
              </w:rPr>
            </w:pPr>
            <w:r w:rsidRPr="00503643">
              <w:rPr>
                <w:rFonts w:ascii="Arial" w:hAnsi="Arial"/>
              </w:rPr>
              <w:t>k=</w:t>
            </w:r>
            <w:r w:rsidR="00EA33A7" w:rsidRPr="00503643">
              <w:rPr>
                <w:rFonts w:ascii="Arial" w:hAnsi="Arial"/>
              </w:rPr>
              <w:t>2</w:t>
            </w:r>
            <w:r w:rsidRPr="00503643">
              <w:rPr>
                <w:rFonts w:ascii="Arial" w:hAnsi="Arial"/>
              </w:rPr>
              <w:t xml:space="preserve"> RCT</w:t>
            </w:r>
            <w:r w:rsidR="00EA33A7" w:rsidRPr="00503643">
              <w:rPr>
                <w:rFonts w:ascii="Arial" w:hAnsi="Arial"/>
              </w:rPr>
              <w:t>s</w:t>
            </w:r>
          </w:p>
        </w:tc>
        <w:tc>
          <w:tcPr>
            <w:tcW w:w="1701" w:type="dxa"/>
          </w:tcPr>
          <w:p w:rsidR="0075777C" w:rsidRPr="00503643" w:rsidRDefault="0075777C" w:rsidP="00BC5A2B">
            <w:pPr>
              <w:pStyle w:val="TableText0"/>
              <w:spacing w:before="20" w:after="20"/>
              <w:rPr>
                <w:rFonts w:ascii="Arial" w:hAnsi="Arial"/>
              </w:rPr>
            </w:pPr>
            <w:r w:rsidRPr="00503643">
              <w:rPr>
                <w:rFonts w:ascii="Arial" w:hAnsi="Arial"/>
              </w:rPr>
              <w:t>Risk of bias: −1</w:t>
            </w:r>
          </w:p>
          <w:p w:rsidR="0075777C" w:rsidRPr="00503643" w:rsidRDefault="0075777C" w:rsidP="00BC5A2B">
            <w:pPr>
              <w:pStyle w:val="TableText0"/>
              <w:spacing w:before="20" w:after="20"/>
              <w:rPr>
                <w:rFonts w:ascii="Arial" w:hAnsi="Arial"/>
              </w:rPr>
            </w:pPr>
            <w:r w:rsidRPr="00503643">
              <w:rPr>
                <w:rFonts w:ascii="Arial" w:hAnsi="Arial"/>
              </w:rPr>
              <w:t>Inconsistency: 0</w:t>
            </w:r>
          </w:p>
          <w:p w:rsidR="0075777C" w:rsidRPr="00503643" w:rsidRDefault="0075777C" w:rsidP="00BC5A2B">
            <w:pPr>
              <w:pStyle w:val="TableText0"/>
              <w:spacing w:before="20" w:after="20"/>
              <w:rPr>
                <w:rFonts w:ascii="Arial" w:hAnsi="Arial"/>
              </w:rPr>
            </w:pPr>
            <w:r w:rsidRPr="00503643">
              <w:rPr>
                <w:rFonts w:ascii="Arial" w:hAnsi="Arial"/>
              </w:rPr>
              <w:t>Indirectness: 0</w:t>
            </w:r>
          </w:p>
          <w:p w:rsidR="0075777C" w:rsidRPr="00503643" w:rsidRDefault="0075777C" w:rsidP="00BC5A2B">
            <w:pPr>
              <w:pStyle w:val="TableText0"/>
              <w:spacing w:before="20" w:after="20"/>
              <w:rPr>
                <w:rFonts w:ascii="Arial" w:hAnsi="Arial"/>
              </w:rPr>
            </w:pPr>
            <w:r w:rsidRPr="00503643">
              <w:rPr>
                <w:rFonts w:ascii="Arial" w:hAnsi="Arial"/>
              </w:rPr>
              <w:t>Imprecision: 0</w:t>
            </w:r>
          </w:p>
          <w:p w:rsidR="0075777C" w:rsidRPr="00503643" w:rsidRDefault="0075777C" w:rsidP="00BC5A2B">
            <w:pPr>
              <w:pStyle w:val="TableText0"/>
              <w:spacing w:before="20" w:after="20"/>
              <w:rPr>
                <w:rFonts w:ascii="Arial" w:hAnsi="Arial"/>
              </w:rPr>
            </w:pPr>
            <w:r w:rsidRPr="00503643">
              <w:rPr>
                <w:rFonts w:ascii="Arial" w:hAnsi="Arial"/>
              </w:rPr>
              <w:t>Publication bias: 0</w:t>
            </w:r>
          </w:p>
          <w:p w:rsidR="0075777C" w:rsidRPr="00503643" w:rsidRDefault="0075777C" w:rsidP="00BC5A2B">
            <w:pPr>
              <w:pStyle w:val="TableText0"/>
              <w:spacing w:before="20" w:after="20"/>
              <w:rPr>
                <w:rFonts w:ascii="Arial" w:hAnsi="Arial"/>
              </w:rPr>
            </w:pPr>
            <w:r w:rsidRPr="00503643">
              <w:rPr>
                <w:rFonts w:ascii="Arial" w:hAnsi="Arial"/>
              </w:rPr>
              <w:t>Association: 0</w:t>
            </w:r>
          </w:p>
        </w:tc>
        <w:tc>
          <w:tcPr>
            <w:tcW w:w="1413" w:type="dxa"/>
          </w:tcPr>
          <w:p w:rsidR="0075777C" w:rsidRPr="00503643" w:rsidRDefault="00B21201" w:rsidP="00BC5A2B">
            <w:pPr>
              <w:pStyle w:val="TableText0"/>
              <w:spacing w:before="20" w:after="20"/>
              <w:rPr>
                <w:rFonts w:ascii="Arial" w:hAnsi="Arial"/>
              </w:rPr>
            </w:pPr>
            <w:r w:rsidRPr="00503643">
              <w:rPr>
                <w:rFonts w:ascii="Arial" w:eastAsiaTheme="minorEastAsia" w:hAnsi="Arial"/>
              </w:rPr>
              <w:t>ARD</w:t>
            </w:r>
            <w:r w:rsidR="0075777C" w:rsidRPr="00503643">
              <w:rPr>
                <w:rFonts w:ascii="Arial" w:eastAsiaTheme="minorEastAsia" w:hAnsi="Arial"/>
              </w:rPr>
              <w:t xml:space="preserve"> = 14.0% (95% CI 4.4, 23.6)</w:t>
            </w:r>
          </w:p>
        </w:tc>
        <w:tc>
          <w:tcPr>
            <w:tcW w:w="2551" w:type="dxa"/>
          </w:tcPr>
          <w:p w:rsidR="0075777C" w:rsidRPr="00503643" w:rsidRDefault="007E59EC" w:rsidP="007E59EC">
            <w:pPr>
              <w:pStyle w:val="TableText0"/>
              <w:spacing w:before="20" w:after="20"/>
              <w:rPr>
                <w:rFonts w:ascii="Arial" w:hAnsi="Arial"/>
              </w:rPr>
            </w:pPr>
            <w:r w:rsidRPr="00503643">
              <w:rPr>
                <w:rFonts w:ascii="Arial" w:hAnsi="Arial"/>
              </w:rPr>
              <w:t>Significantly m</w:t>
            </w:r>
            <w:r w:rsidR="0075777C" w:rsidRPr="00503643">
              <w:rPr>
                <w:rFonts w:ascii="Arial" w:hAnsi="Arial"/>
              </w:rPr>
              <w:t xml:space="preserve">ore patients treated with an ERA improved their WHO </w:t>
            </w:r>
            <w:r w:rsidRPr="00503643">
              <w:rPr>
                <w:rFonts w:ascii="Arial" w:hAnsi="Arial"/>
              </w:rPr>
              <w:t>FC compared with placebo</w:t>
            </w:r>
            <w:r w:rsidR="0075777C" w:rsidRPr="00503643">
              <w:rPr>
                <w:rFonts w:ascii="Arial" w:hAnsi="Arial"/>
              </w:rPr>
              <w:t xml:space="preserve"> (</w:t>
            </w:r>
            <w:r w:rsidR="0075777C" w:rsidRPr="00503643">
              <w:rPr>
                <w:rFonts w:ascii="Arial" w:eastAsiaTheme="minorEastAsia" w:hAnsi="Arial"/>
              </w:rPr>
              <w:t>p = 0.0</w:t>
            </w:r>
            <w:r w:rsidRPr="00503643">
              <w:rPr>
                <w:rFonts w:ascii="Arial" w:eastAsiaTheme="minorEastAsia" w:hAnsi="Arial"/>
              </w:rPr>
              <w:t>0</w:t>
            </w:r>
            <w:r w:rsidR="0075777C" w:rsidRPr="00503643">
              <w:rPr>
                <w:rFonts w:ascii="Arial" w:eastAsiaTheme="minorEastAsia" w:hAnsi="Arial"/>
              </w:rPr>
              <w:t>56)</w:t>
            </w:r>
          </w:p>
        </w:tc>
        <w:tc>
          <w:tcPr>
            <w:tcW w:w="1134" w:type="dxa"/>
          </w:tcPr>
          <w:p w:rsidR="0075777C" w:rsidRPr="00503643" w:rsidRDefault="0075777C" w:rsidP="00BC5A2B">
            <w:pPr>
              <w:pStyle w:val="TableText0"/>
              <w:spacing w:before="20" w:after="20"/>
              <w:rPr>
                <w:rFonts w:ascii="Arial" w:hAnsi="Arial"/>
              </w:rPr>
            </w:pPr>
            <w:r w:rsidRPr="00503643">
              <w:rPr>
                <w:rFonts w:ascii="Arial" w:hAnsi="Arial"/>
              </w:rPr>
              <w:t>Moderate</w:t>
            </w:r>
          </w:p>
          <w:p w:rsidR="0075777C" w:rsidRPr="00503643" w:rsidRDefault="0075777C" w:rsidP="00BC5A2B">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bCs/>
                <w:color w:val="C00000"/>
              </w:rPr>
              <w:t>⨀</w:t>
            </w:r>
          </w:p>
          <w:p w:rsidR="0075777C" w:rsidRPr="00503643" w:rsidRDefault="0075777C" w:rsidP="00BC5A2B">
            <w:pPr>
              <w:pStyle w:val="TableText0"/>
              <w:spacing w:before="20" w:after="20"/>
              <w:rPr>
                <w:rFonts w:ascii="Arial" w:hAnsi="Arial"/>
              </w:rPr>
            </w:pPr>
            <w:r w:rsidRPr="00503643">
              <w:rPr>
                <w:rFonts w:ascii="Arial" w:hAnsi="Arial"/>
              </w:rPr>
              <w:t>Important</w:t>
            </w:r>
          </w:p>
        </w:tc>
      </w:tr>
      <w:tr w:rsidR="0075777C" w:rsidRPr="006316DF" w:rsidTr="00BC5A2B">
        <w:tc>
          <w:tcPr>
            <w:tcW w:w="1560" w:type="dxa"/>
          </w:tcPr>
          <w:p w:rsidR="0075777C" w:rsidRPr="00503643" w:rsidRDefault="0075777C" w:rsidP="00BC5A2B">
            <w:pPr>
              <w:pStyle w:val="TableText0"/>
              <w:spacing w:before="20" w:after="20"/>
              <w:rPr>
                <w:rFonts w:ascii="Arial" w:hAnsi="Arial"/>
              </w:rPr>
            </w:pPr>
            <w:r w:rsidRPr="00503643">
              <w:rPr>
                <w:rFonts w:ascii="Arial" w:hAnsi="Arial"/>
              </w:rPr>
              <w:t>Worsened WHO FC</w:t>
            </w:r>
          </w:p>
        </w:tc>
        <w:tc>
          <w:tcPr>
            <w:tcW w:w="1275" w:type="dxa"/>
          </w:tcPr>
          <w:p w:rsidR="0075777C" w:rsidRPr="00503643" w:rsidRDefault="0075777C" w:rsidP="00BC5A2B">
            <w:pPr>
              <w:pStyle w:val="TableText0"/>
              <w:spacing w:before="20" w:after="20"/>
              <w:rPr>
                <w:rFonts w:ascii="Arial" w:hAnsi="Arial"/>
              </w:rPr>
            </w:pPr>
            <w:r w:rsidRPr="00503643">
              <w:rPr>
                <w:rFonts w:ascii="Arial" w:hAnsi="Arial"/>
              </w:rPr>
              <w:t>N=101</w:t>
            </w:r>
          </w:p>
          <w:p w:rsidR="0075777C" w:rsidRPr="00503643" w:rsidRDefault="0075777C" w:rsidP="00BC5A2B">
            <w:pPr>
              <w:pStyle w:val="TableText0"/>
              <w:spacing w:before="20" w:after="20"/>
              <w:rPr>
                <w:rFonts w:ascii="Arial" w:hAnsi="Arial"/>
              </w:rPr>
            </w:pPr>
            <w:r w:rsidRPr="00503643">
              <w:rPr>
                <w:rFonts w:ascii="Arial" w:hAnsi="Arial"/>
              </w:rPr>
              <w:t>k=</w:t>
            </w:r>
            <w:r w:rsidR="00EA33A7" w:rsidRPr="00503643">
              <w:rPr>
                <w:rFonts w:ascii="Arial" w:hAnsi="Arial"/>
              </w:rPr>
              <w:t>2</w:t>
            </w:r>
            <w:r w:rsidRPr="00503643">
              <w:rPr>
                <w:rFonts w:ascii="Arial" w:hAnsi="Arial"/>
              </w:rPr>
              <w:t xml:space="preserve"> RCT</w:t>
            </w:r>
            <w:r w:rsidR="00EA33A7" w:rsidRPr="00503643">
              <w:rPr>
                <w:rFonts w:ascii="Arial" w:hAnsi="Arial"/>
              </w:rPr>
              <w:t>s</w:t>
            </w:r>
          </w:p>
        </w:tc>
        <w:tc>
          <w:tcPr>
            <w:tcW w:w="1701" w:type="dxa"/>
          </w:tcPr>
          <w:p w:rsidR="0075777C" w:rsidRPr="00503643" w:rsidRDefault="0075777C" w:rsidP="00BC5A2B">
            <w:pPr>
              <w:pStyle w:val="TableText0"/>
              <w:spacing w:before="20" w:after="20"/>
              <w:rPr>
                <w:rFonts w:ascii="Arial" w:hAnsi="Arial"/>
              </w:rPr>
            </w:pPr>
            <w:r w:rsidRPr="00503643">
              <w:rPr>
                <w:rFonts w:ascii="Arial" w:hAnsi="Arial"/>
              </w:rPr>
              <w:t>Risk of bias: −1</w:t>
            </w:r>
          </w:p>
          <w:p w:rsidR="0075777C" w:rsidRPr="00503643" w:rsidRDefault="0075777C" w:rsidP="00BC5A2B">
            <w:pPr>
              <w:pStyle w:val="TableText0"/>
              <w:spacing w:before="20" w:after="20"/>
              <w:rPr>
                <w:rFonts w:ascii="Arial" w:hAnsi="Arial"/>
              </w:rPr>
            </w:pPr>
            <w:r w:rsidRPr="00503643">
              <w:rPr>
                <w:rFonts w:ascii="Arial" w:hAnsi="Arial"/>
              </w:rPr>
              <w:t>Inconsistency: 0</w:t>
            </w:r>
          </w:p>
          <w:p w:rsidR="0075777C" w:rsidRPr="00503643" w:rsidRDefault="0075777C" w:rsidP="00BC5A2B">
            <w:pPr>
              <w:pStyle w:val="TableText0"/>
              <w:spacing w:before="20" w:after="20"/>
              <w:rPr>
                <w:rFonts w:ascii="Arial" w:hAnsi="Arial"/>
              </w:rPr>
            </w:pPr>
            <w:r w:rsidRPr="00503643">
              <w:rPr>
                <w:rFonts w:ascii="Arial" w:hAnsi="Arial"/>
              </w:rPr>
              <w:t>Indirectness: 0</w:t>
            </w:r>
          </w:p>
          <w:p w:rsidR="0075777C" w:rsidRPr="00503643" w:rsidRDefault="0075777C" w:rsidP="00BC5A2B">
            <w:pPr>
              <w:pStyle w:val="TableText0"/>
              <w:spacing w:before="20" w:after="20"/>
              <w:rPr>
                <w:rFonts w:ascii="Arial" w:hAnsi="Arial"/>
              </w:rPr>
            </w:pPr>
            <w:r w:rsidRPr="00503643">
              <w:rPr>
                <w:rFonts w:ascii="Arial" w:hAnsi="Arial"/>
              </w:rPr>
              <w:t>Imprecision: −1</w:t>
            </w:r>
          </w:p>
          <w:p w:rsidR="0075777C" w:rsidRPr="00503643" w:rsidRDefault="0075777C" w:rsidP="00BC5A2B">
            <w:pPr>
              <w:pStyle w:val="TableText0"/>
              <w:spacing w:before="20" w:after="20"/>
              <w:rPr>
                <w:rFonts w:ascii="Arial" w:hAnsi="Arial"/>
              </w:rPr>
            </w:pPr>
            <w:r w:rsidRPr="00503643">
              <w:rPr>
                <w:rFonts w:ascii="Arial" w:hAnsi="Arial"/>
              </w:rPr>
              <w:t>Publication bias: 0</w:t>
            </w:r>
          </w:p>
          <w:p w:rsidR="0075777C" w:rsidRPr="00503643" w:rsidRDefault="00437968" w:rsidP="00BC5A2B">
            <w:pPr>
              <w:pStyle w:val="TableText0"/>
              <w:spacing w:before="20" w:after="20"/>
              <w:rPr>
                <w:rFonts w:ascii="Arial" w:hAnsi="Arial"/>
              </w:rPr>
            </w:pPr>
            <w:r w:rsidRPr="00503643">
              <w:rPr>
                <w:rFonts w:ascii="Arial" w:hAnsi="Arial"/>
              </w:rPr>
              <w:t>Association: 0</w:t>
            </w:r>
          </w:p>
        </w:tc>
        <w:tc>
          <w:tcPr>
            <w:tcW w:w="1413" w:type="dxa"/>
          </w:tcPr>
          <w:p w:rsidR="0075777C" w:rsidRPr="00503643" w:rsidRDefault="0075777C" w:rsidP="00BC5A2B">
            <w:pPr>
              <w:pStyle w:val="TableText0"/>
              <w:spacing w:before="20" w:after="20"/>
              <w:rPr>
                <w:rFonts w:ascii="Arial" w:hAnsi="Arial"/>
              </w:rPr>
            </w:pPr>
            <w:r w:rsidRPr="00503643">
              <w:rPr>
                <w:rFonts w:ascii="Arial" w:hAnsi="Arial"/>
              </w:rPr>
              <w:t>RR = 0.25 (95% CI 0.03, 2.20)</w:t>
            </w:r>
          </w:p>
        </w:tc>
        <w:tc>
          <w:tcPr>
            <w:tcW w:w="2551" w:type="dxa"/>
          </w:tcPr>
          <w:p w:rsidR="0075777C" w:rsidRPr="00503643" w:rsidRDefault="0075777C" w:rsidP="007E59EC">
            <w:pPr>
              <w:pStyle w:val="TableText0"/>
              <w:spacing w:before="20" w:after="20"/>
              <w:rPr>
                <w:rFonts w:ascii="Arial" w:hAnsi="Arial"/>
              </w:rPr>
            </w:pPr>
            <w:r w:rsidRPr="00503643">
              <w:rPr>
                <w:rFonts w:ascii="Arial" w:hAnsi="Arial"/>
              </w:rPr>
              <w:t xml:space="preserve">Fewer patients had WHO FC worsening when treated with an ERA compared with placebo, but the </w:t>
            </w:r>
            <w:r w:rsidR="00D84687" w:rsidRPr="00503643">
              <w:rPr>
                <w:rFonts w:ascii="Arial" w:hAnsi="Arial"/>
              </w:rPr>
              <w:t>95% CI indicates</w:t>
            </w:r>
            <w:r w:rsidRPr="00503643">
              <w:rPr>
                <w:rFonts w:ascii="Arial" w:hAnsi="Arial"/>
              </w:rPr>
              <w:t xml:space="preserve"> that there could also be </w:t>
            </w:r>
            <w:r w:rsidR="007E59EC" w:rsidRPr="00503643">
              <w:rPr>
                <w:rFonts w:ascii="Arial" w:hAnsi="Arial"/>
              </w:rPr>
              <w:t>the opposite</w:t>
            </w:r>
            <w:r w:rsidRPr="00503643">
              <w:rPr>
                <w:rFonts w:ascii="Arial" w:hAnsi="Arial"/>
              </w:rPr>
              <w:t xml:space="preserve"> effect</w:t>
            </w:r>
          </w:p>
        </w:tc>
        <w:tc>
          <w:tcPr>
            <w:tcW w:w="1134" w:type="dxa"/>
          </w:tcPr>
          <w:p w:rsidR="00437968" w:rsidRPr="00503643" w:rsidRDefault="00437968" w:rsidP="00437968">
            <w:pPr>
              <w:pStyle w:val="TableText0"/>
              <w:spacing w:before="20" w:after="20"/>
              <w:rPr>
                <w:rFonts w:ascii="Arial" w:hAnsi="Arial"/>
              </w:rPr>
            </w:pPr>
            <w:r w:rsidRPr="00503643">
              <w:rPr>
                <w:rFonts w:ascii="Arial" w:hAnsi="Arial"/>
              </w:rPr>
              <w:t>Low</w:t>
            </w:r>
          </w:p>
          <w:p w:rsidR="00437968" w:rsidRPr="00503643" w:rsidRDefault="00437968" w:rsidP="00437968">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color w:val="C00000"/>
              </w:rPr>
              <w:t>⨀⨀</w:t>
            </w:r>
          </w:p>
          <w:p w:rsidR="0075777C" w:rsidRPr="00503643" w:rsidRDefault="0075777C" w:rsidP="00BC5A2B">
            <w:pPr>
              <w:pStyle w:val="TableText0"/>
              <w:spacing w:before="20" w:after="20"/>
              <w:rPr>
                <w:rFonts w:ascii="Arial" w:hAnsi="Arial"/>
              </w:rPr>
            </w:pPr>
            <w:r w:rsidRPr="00503643">
              <w:rPr>
                <w:rFonts w:ascii="Arial" w:hAnsi="Arial"/>
              </w:rPr>
              <w:t>Important</w:t>
            </w:r>
          </w:p>
        </w:tc>
      </w:tr>
      <w:tr w:rsidR="00796F18" w:rsidRPr="006316DF" w:rsidTr="00796F18">
        <w:tc>
          <w:tcPr>
            <w:tcW w:w="1560" w:type="dxa"/>
          </w:tcPr>
          <w:p w:rsidR="00796F18" w:rsidRPr="00503643" w:rsidRDefault="00796F18" w:rsidP="00796F18">
            <w:pPr>
              <w:pStyle w:val="TableText0"/>
              <w:spacing w:before="20" w:after="20"/>
              <w:rPr>
                <w:rFonts w:ascii="Arial" w:hAnsi="Arial"/>
              </w:rPr>
            </w:pPr>
            <w:r w:rsidRPr="00503643">
              <w:rPr>
                <w:rFonts w:ascii="Arial" w:hAnsi="Arial"/>
              </w:rPr>
              <w:t>Change in 6MWD</w:t>
            </w:r>
            <w:r w:rsidR="00FC3493" w:rsidRPr="00503643">
              <w:rPr>
                <w:rFonts w:ascii="Arial" w:hAnsi="Arial"/>
              </w:rPr>
              <w:t xml:space="preserve"> from baseline</w:t>
            </w:r>
          </w:p>
        </w:tc>
        <w:tc>
          <w:tcPr>
            <w:tcW w:w="1275" w:type="dxa"/>
          </w:tcPr>
          <w:p w:rsidR="00796F18" w:rsidRPr="00503643" w:rsidRDefault="00796F18" w:rsidP="00796F18">
            <w:pPr>
              <w:pStyle w:val="TableText0"/>
              <w:spacing w:before="20" w:after="20"/>
              <w:rPr>
                <w:rFonts w:ascii="Arial" w:hAnsi="Arial"/>
              </w:rPr>
            </w:pPr>
            <w:r w:rsidRPr="00503643">
              <w:rPr>
                <w:rFonts w:ascii="Arial" w:hAnsi="Arial"/>
              </w:rPr>
              <w:t>N=154</w:t>
            </w:r>
          </w:p>
          <w:p w:rsidR="00796F18" w:rsidRPr="00503643" w:rsidRDefault="00796F18" w:rsidP="001F1FDD">
            <w:pPr>
              <w:pStyle w:val="TableText0"/>
              <w:spacing w:before="20" w:after="20"/>
              <w:rPr>
                <w:rFonts w:ascii="Arial" w:hAnsi="Arial"/>
              </w:rPr>
            </w:pPr>
            <w:r w:rsidRPr="00503643">
              <w:rPr>
                <w:rFonts w:ascii="Arial" w:hAnsi="Arial"/>
              </w:rPr>
              <w:t>k=</w:t>
            </w:r>
            <w:r w:rsidR="00EA33A7" w:rsidRPr="00503643">
              <w:rPr>
                <w:rFonts w:ascii="Arial" w:hAnsi="Arial"/>
              </w:rPr>
              <w:t>3</w:t>
            </w:r>
            <w:r w:rsidRPr="00503643">
              <w:rPr>
                <w:rFonts w:ascii="Arial" w:hAnsi="Arial"/>
              </w:rPr>
              <w:t xml:space="preserve"> RCT</w:t>
            </w:r>
            <w:r w:rsidR="001F1FDD" w:rsidRPr="00503643">
              <w:rPr>
                <w:rFonts w:ascii="Arial" w:hAnsi="Arial"/>
              </w:rPr>
              <w:t>s</w:t>
            </w:r>
          </w:p>
        </w:tc>
        <w:tc>
          <w:tcPr>
            <w:tcW w:w="1701" w:type="dxa"/>
          </w:tcPr>
          <w:p w:rsidR="00796F18" w:rsidRPr="00503643" w:rsidRDefault="00796F18" w:rsidP="00796F18">
            <w:pPr>
              <w:pStyle w:val="TableText0"/>
              <w:spacing w:before="20" w:after="20"/>
              <w:rPr>
                <w:rFonts w:ascii="Arial" w:hAnsi="Arial"/>
              </w:rPr>
            </w:pPr>
            <w:r w:rsidRPr="00503643">
              <w:rPr>
                <w:rFonts w:ascii="Arial" w:hAnsi="Arial"/>
              </w:rPr>
              <w:t>Risk of bias: 0</w:t>
            </w:r>
          </w:p>
          <w:p w:rsidR="00796F18" w:rsidRPr="00503643" w:rsidRDefault="00796F18" w:rsidP="00796F18">
            <w:pPr>
              <w:pStyle w:val="TableText0"/>
              <w:spacing w:before="20" w:after="20"/>
              <w:rPr>
                <w:rFonts w:ascii="Arial" w:hAnsi="Arial"/>
              </w:rPr>
            </w:pPr>
            <w:r w:rsidRPr="00503643">
              <w:rPr>
                <w:rFonts w:ascii="Arial" w:hAnsi="Arial"/>
              </w:rPr>
              <w:t>Inconsistency: 0</w:t>
            </w:r>
          </w:p>
          <w:p w:rsidR="00796F18" w:rsidRPr="00503643" w:rsidRDefault="00796F18" w:rsidP="00796F18">
            <w:pPr>
              <w:pStyle w:val="TableText0"/>
              <w:spacing w:before="20" w:after="20"/>
              <w:rPr>
                <w:rFonts w:ascii="Arial" w:hAnsi="Arial"/>
              </w:rPr>
            </w:pPr>
            <w:r w:rsidRPr="00503643">
              <w:rPr>
                <w:rFonts w:ascii="Arial" w:hAnsi="Arial"/>
              </w:rPr>
              <w:t xml:space="preserve">Indirectness: </w:t>
            </w:r>
            <w:r w:rsidR="00963EDC" w:rsidRPr="00503643">
              <w:rPr>
                <w:rFonts w:ascii="Arial" w:hAnsi="Arial"/>
              </w:rPr>
              <w:t>−1</w:t>
            </w:r>
          </w:p>
          <w:p w:rsidR="00796F18" w:rsidRPr="00503643" w:rsidRDefault="00796F18" w:rsidP="00796F18">
            <w:pPr>
              <w:pStyle w:val="TableText0"/>
              <w:spacing w:before="20" w:after="20"/>
              <w:rPr>
                <w:rFonts w:ascii="Arial" w:hAnsi="Arial"/>
              </w:rPr>
            </w:pPr>
            <w:r w:rsidRPr="00503643">
              <w:rPr>
                <w:rFonts w:ascii="Arial" w:hAnsi="Arial"/>
              </w:rPr>
              <w:t>Imprecision: 0</w:t>
            </w:r>
          </w:p>
          <w:p w:rsidR="00796F18" w:rsidRPr="00503643" w:rsidRDefault="00796F18" w:rsidP="00796F18">
            <w:pPr>
              <w:pStyle w:val="TableText0"/>
              <w:spacing w:before="20" w:after="20"/>
              <w:rPr>
                <w:rFonts w:ascii="Arial" w:hAnsi="Arial"/>
              </w:rPr>
            </w:pPr>
            <w:r w:rsidRPr="00503643">
              <w:rPr>
                <w:rFonts w:ascii="Arial" w:hAnsi="Arial"/>
              </w:rPr>
              <w:t>Publication bias: 0</w:t>
            </w:r>
          </w:p>
          <w:p w:rsidR="00796F18" w:rsidRPr="00503643" w:rsidRDefault="00796F18" w:rsidP="00796F18">
            <w:pPr>
              <w:pStyle w:val="TableText0"/>
              <w:spacing w:before="20" w:after="20"/>
              <w:rPr>
                <w:rFonts w:ascii="Arial" w:hAnsi="Arial"/>
              </w:rPr>
            </w:pPr>
            <w:r w:rsidRPr="00503643">
              <w:rPr>
                <w:rFonts w:ascii="Arial" w:hAnsi="Arial"/>
              </w:rPr>
              <w:t>Association: 0</w:t>
            </w:r>
          </w:p>
        </w:tc>
        <w:tc>
          <w:tcPr>
            <w:tcW w:w="1413" w:type="dxa"/>
          </w:tcPr>
          <w:p w:rsidR="00796F18" w:rsidRPr="00503643" w:rsidRDefault="00FA2050" w:rsidP="00FA2050">
            <w:pPr>
              <w:pStyle w:val="TableText0"/>
              <w:spacing w:before="20" w:after="20"/>
              <w:rPr>
                <w:rFonts w:ascii="Arial" w:hAnsi="Arial"/>
              </w:rPr>
            </w:pPr>
            <w:r w:rsidRPr="00503643">
              <w:rPr>
                <w:rFonts w:ascii="Arial" w:hAnsi="Arial"/>
              </w:rPr>
              <w:t>R</w:t>
            </w:r>
            <w:r w:rsidR="00796F18" w:rsidRPr="00503643">
              <w:rPr>
                <w:rFonts w:ascii="Arial" w:hAnsi="Arial"/>
              </w:rPr>
              <w:t>ange 25.7</w:t>
            </w:r>
            <w:r w:rsidR="009B6434" w:rsidRPr="00503643">
              <w:rPr>
                <w:rFonts w:ascii="Arial" w:hAnsi="Arial"/>
              </w:rPr>
              <w:t>−</w:t>
            </w:r>
            <w:r w:rsidR="00796F18" w:rsidRPr="00503643">
              <w:rPr>
                <w:rFonts w:ascii="Arial" w:hAnsi="Arial"/>
              </w:rPr>
              <w:t>40.0</w:t>
            </w:r>
            <w:r w:rsidRPr="00503643">
              <w:rPr>
                <w:rFonts w:ascii="Arial" w:hAnsi="Arial"/>
              </w:rPr>
              <w:t> </w:t>
            </w:r>
            <w:r w:rsidR="009B6434" w:rsidRPr="00503643">
              <w:rPr>
                <w:rFonts w:ascii="Arial" w:hAnsi="Arial"/>
              </w:rPr>
              <w:t xml:space="preserve">m </w:t>
            </w:r>
            <w:r w:rsidR="008E6DA8" w:rsidRPr="00503643">
              <w:rPr>
                <w:rFonts w:ascii="Arial" w:hAnsi="Arial"/>
              </w:rPr>
              <w:t>further</w:t>
            </w:r>
          </w:p>
        </w:tc>
        <w:tc>
          <w:tcPr>
            <w:tcW w:w="2551" w:type="dxa"/>
          </w:tcPr>
          <w:p w:rsidR="00796F18" w:rsidRPr="00503643" w:rsidRDefault="00796F18" w:rsidP="00DD704F">
            <w:pPr>
              <w:pStyle w:val="TableText0"/>
              <w:spacing w:before="20" w:after="20"/>
              <w:rPr>
                <w:rFonts w:ascii="Arial" w:hAnsi="Arial"/>
              </w:rPr>
            </w:pPr>
            <w:r w:rsidRPr="00503643">
              <w:rPr>
                <w:rFonts w:ascii="Arial" w:hAnsi="Arial"/>
              </w:rPr>
              <w:t>Patients treated with an ERA had a larger mean improvement in their 6MWD compared with those on placebo</w:t>
            </w:r>
            <w:r w:rsidR="00DD704F" w:rsidRPr="00503643">
              <w:rPr>
                <w:rFonts w:ascii="Arial" w:hAnsi="Arial"/>
              </w:rPr>
              <w:t>,</w:t>
            </w:r>
            <w:r w:rsidR="004C7BB4" w:rsidRPr="00503643">
              <w:rPr>
                <w:rFonts w:ascii="Arial" w:hAnsi="Arial"/>
              </w:rPr>
              <w:t xml:space="preserve"> and the difference </w:t>
            </w:r>
            <w:r w:rsidR="00DD704F" w:rsidRPr="00503643">
              <w:rPr>
                <w:rFonts w:ascii="Arial" w:hAnsi="Arial"/>
              </w:rPr>
              <w:t>could be</w:t>
            </w:r>
            <w:r w:rsidR="004C7BB4" w:rsidRPr="00503643">
              <w:rPr>
                <w:rFonts w:ascii="Arial" w:hAnsi="Arial"/>
              </w:rPr>
              <w:t xml:space="preserve"> clinically important in 2 out of 3 studies</w:t>
            </w:r>
          </w:p>
        </w:tc>
        <w:tc>
          <w:tcPr>
            <w:tcW w:w="1134" w:type="dxa"/>
          </w:tcPr>
          <w:p w:rsidR="00796F18" w:rsidRPr="00503643" w:rsidRDefault="00963EDC" w:rsidP="00796F18">
            <w:pPr>
              <w:pStyle w:val="TableText0"/>
              <w:spacing w:before="20" w:after="20"/>
              <w:rPr>
                <w:rFonts w:ascii="Arial" w:hAnsi="Arial"/>
              </w:rPr>
            </w:pPr>
            <w:r w:rsidRPr="00503643">
              <w:rPr>
                <w:rFonts w:ascii="Arial" w:hAnsi="Arial"/>
              </w:rPr>
              <w:t>Moderate</w:t>
            </w:r>
          </w:p>
          <w:p w:rsidR="00796F18" w:rsidRPr="00503643" w:rsidRDefault="00796F18" w:rsidP="00796F18">
            <w:pPr>
              <w:pStyle w:val="TableText0"/>
              <w:spacing w:before="20" w:after="20"/>
              <w:rPr>
                <w:rFonts w:ascii="Arial" w:hAnsi="Arial"/>
                <w:bCs/>
              </w:rPr>
            </w:pPr>
            <w:r w:rsidRPr="00503643">
              <w:rPr>
                <w:rFonts w:ascii="Cambria Math" w:hAnsi="Cambria Math" w:cs="Cambria Math"/>
                <w:bCs/>
                <w:color w:val="00B050"/>
              </w:rPr>
              <w:t>⨁⨁⨁</w:t>
            </w:r>
            <w:r w:rsidR="00963EDC" w:rsidRPr="00503643">
              <w:rPr>
                <w:rFonts w:ascii="Cambria Math" w:hAnsi="Cambria Math" w:cs="Cambria Math"/>
                <w:color w:val="C00000"/>
              </w:rPr>
              <w:t>⨀</w:t>
            </w:r>
          </w:p>
          <w:p w:rsidR="00796F18" w:rsidRPr="00503643" w:rsidRDefault="00796F18" w:rsidP="00796F18">
            <w:pPr>
              <w:pStyle w:val="TableText0"/>
              <w:spacing w:before="20" w:after="20"/>
              <w:rPr>
                <w:rFonts w:ascii="Arial" w:hAnsi="Arial"/>
              </w:rPr>
            </w:pPr>
            <w:r w:rsidRPr="00503643">
              <w:rPr>
                <w:rFonts w:ascii="Arial" w:hAnsi="Arial"/>
              </w:rPr>
              <w:t>Important</w:t>
            </w:r>
          </w:p>
        </w:tc>
      </w:tr>
      <w:tr w:rsidR="0075777C" w:rsidRPr="006316DF" w:rsidTr="00BC5A2B">
        <w:tc>
          <w:tcPr>
            <w:tcW w:w="1560" w:type="dxa"/>
          </w:tcPr>
          <w:p w:rsidR="0075777C" w:rsidRPr="00503643" w:rsidRDefault="0075777C" w:rsidP="00BC5A2B">
            <w:pPr>
              <w:pStyle w:val="TableText0"/>
              <w:spacing w:before="20" w:after="20"/>
              <w:rPr>
                <w:rFonts w:ascii="Arial" w:hAnsi="Arial"/>
              </w:rPr>
            </w:pPr>
            <w:r w:rsidRPr="00503643">
              <w:rPr>
                <w:rFonts w:ascii="Arial" w:hAnsi="Arial"/>
              </w:rPr>
              <w:t>Change in haemodynamic parameters</w:t>
            </w:r>
            <w:r w:rsidR="00FC3493" w:rsidRPr="00503643">
              <w:rPr>
                <w:rFonts w:ascii="Arial" w:hAnsi="Arial"/>
              </w:rPr>
              <w:t xml:space="preserve"> from baseline</w:t>
            </w:r>
          </w:p>
        </w:tc>
        <w:tc>
          <w:tcPr>
            <w:tcW w:w="1275" w:type="dxa"/>
          </w:tcPr>
          <w:p w:rsidR="0075777C" w:rsidRPr="00503643" w:rsidRDefault="0075777C" w:rsidP="00BC5A2B">
            <w:pPr>
              <w:pStyle w:val="TableText0"/>
              <w:spacing w:before="20" w:after="20"/>
              <w:rPr>
                <w:rFonts w:ascii="Arial" w:hAnsi="Arial"/>
              </w:rPr>
            </w:pPr>
            <w:r w:rsidRPr="00503643">
              <w:rPr>
                <w:rFonts w:ascii="Arial" w:hAnsi="Arial"/>
              </w:rPr>
              <w:t>N=156</w:t>
            </w:r>
          </w:p>
          <w:p w:rsidR="0075777C" w:rsidRPr="00503643" w:rsidRDefault="0075777C" w:rsidP="00BC5A2B">
            <w:pPr>
              <w:pStyle w:val="TableText0"/>
              <w:spacing w:before="20" w:after="20"/>
              <w:rPr>
                <w:rFonts w:ascii="Arial" w:hAnsi="Arial"/>
              </w:rPr>
            </w:pPr>
            <w:r w:rsidRPr="00503643">
              <w:rPr>
                <w:rFonts w:ascii="Arial" w:hAnsi="Arial"/>
              </w:rPr>
              <w:t>k=1 RCT</w:t>
            </w:r>
          </w:p>
        </w:tc>
        <w:tc>
          <w:tcPr>
            <w:tcW w:w="1701" w:type="dxa"/>
          </w:tcPr>
          <w:p w:rsidR="0075777C" w:rsidRPr="00503643" w:rsidRDefault="0075777C" w:rsidP="00BC5A2B">
            <w:pPr>
              <w:pStyle w:val="TableText0"/>
              <w:spacing w:before="20" w:after="20"/>
              <w:rPr>
                <w:rFonts w:ascii="Arial" w:hAnsi="Arial"/>
              </w:rPr>
            </w:pPr>
            <w:r w:rsidRPr="00503643">
              <w:rPr>
                <w:rFonts w:ascii="Arial" w:hAnsi="Arial"/>
              </w:rPr>
              <w:t>Risk of bias: 0</w:t>
            </w:r>
          </w:p>
          <w:p w:rsidR="0075777C" w:rsidRPr="00503643" w:rsidRDefault="0075777C" w:rsidP="00BC5A2B">
            <w:pPr>
              <w:pStyle w:val="TableText0"/>
              <w:spacing w:before="20" w:after="20"/>
              <w:rPr>
                <w:rFonts w:ascii="Arial" w:hAnsi="Arial"/>
              </w:rPr>
            </w:pPr>
            <w:r w:rsidRPr="00503643">
              <w:rPr>
                <w:rFonts w:ascii="Arial" w:hAnsi="Arial"/>
              </w:rPr>
              <w:t>Inconsistency: 0</w:t>
            </w:r>
          </w:p>
          <w:p w:rsidR="0075777C" w:rsidRPr="00503643" w:rsidRDefault="0075777C" w:rsidP="00BC5A2B">
            <w:pPr>
              <w:pStyle w:val="TableText0"/>
              <w:spacing w:before="20" w:after="20"/>
              <w:rPr>
                <w:rFonts w:ascii="Arial" w:hAnsi="Arial"/>
              </w:rPr>
            </w:pPr>
            <w:r w:rsidRPr="00503643">
              <w:rPr>
                <w:rFonts w:ascii="Arial" w:hAnsi="Arial"/>
              </w:rPr>
              <w:t xml:space="preserve">Indirectness: </w:t>
            </w:r>
            <w:r w:rsidR="00963EDC" w:rsidRPr="00503643">
              <w:rPr>
                <w:rFonts w:ascii="Arial" w:hAnsi="Arial"/>
              </w:rPr>
              <w:t>−2</w:t>
            </w:r>
          </w:p>
          <w:p w:rsidR="0075777C" w:rsidRPr="00503643" w:rsidRDefault="0075777C" w:rsidP="00BC5A2B">
            <w:pPr>
              <w:pStyle w:val="TableText0"/>
              <w:spacing w:before="20" w:after="20"/>
              <w:rPr>
                <w:rFonts w:ascii="Arial" w:hAnsi="Arial"/>
              </w:rPr>
            </w:pPr>
            <w:r w:rsidRPr="00503643">
              <w:rPr>
                <w:rFonts w:ascii="Arial" w:hAnsi="Arial"/>
              </w:rPr>
              <w:t>Imprecision: 0</w:t>
            </w:r>
          </w:p>
          <w:p w:rsidR="0075777C" w:rsidRPr="00503643" w:rsidRDefault="0075777C" w:rsidP="00BC5A2B">
            <w:pPr>
              <w:pStyle w:val="TableText0"/>
              <w:spacing w:before="20" w:after="20"/>
              <w:rPr>
                <w:rFonts w:ascii="Arial" w:hAnsi="Arial"/>
              </w:rPr>
            </w:pPr>
            <w:r w:rsidRPr="00503643">
              <w:rPr>
                <w:rFonts w:ascii="Arial" w:hAnsi="Arial"/>
              </w:rPr>
              <w:t>Publication bias: 0</w:t>
            </w:r>
          </w:p>
          <w:p w:rsidR="0075777C" w:rsidRPr="00503643" w:rsidRDefault="0075777C" w:rsidP="00BC5A2B">
            <w:pPr>
              <w:pStyle w:val="TableText0"/>
              <w:spacing w:before="20" w:after="20"/>
              <w:rPr>
                <w:rFonts w:ascii="Arial" w:hAnsi="Arial"/>
              </w:rPr>
            </w:pPr>
            <w:r w:rsidRPr="00503643">
              <w:rPr>
                <w:rFonts w:ascii="Arial" w:hAnsi="Arial"/>
              </w:rPr>
              <w:t>Association: 0</w:t>
            </w:r>
          </w:p>
        </w:tc>
        <w:tc>
          <w:tcPr>
            <w:tcW w:w="1413" w:type="dxa"/>
          </w:tcPr>
          <w:p w:rsidR="0075777C" w:rsidRPr="00503643" w:rsidRDefault="0075777C" w:rsidP="00057A82">
            <w:pPr>
              <w:pStyle w:val="TableText0"/>
              <w:spacing w:before="20" w:after="20"/>
              <w:rPr>
                <w:rFonts w:ascii="Arial" w:hAnsi="Arial"/>
              </w:rPr>
            </w:pPr>
            <w:r w:rsidRPr="00503643">
              <w:rPr>
                <w:rFonts w:ascii="Arial" w:hAnsi="Arial"/>
              </w:rPr>
              <w:t>PVR</w:t>
            </w:r>
            <w:r w:rsidRPr="00503643">
              <w:rPr>
                <w:rFonts w:ascii="Arial" w:hAnsi="Arial"/>
              </w:rPr>
              <w:br/>
              <w:t xml:space="preserve">MD = 23.1% </w:t>
            </w:r>
            <w:r w:rsidR="00057A82" w:rsidRPr="00503643">
              <w:rPr>
                <w:rFonts w:ascii="Arial" w:hAnsi="Arial"/>
              </w:rPr>
              <w:t>i</w:t>
            </w:r>
            <w:r w:rsidR="00FF14C8" w:rsidRPr="00503643">
              <w:rPr>
                <w:rFonts w:ascii="Arial" w:hAnsi="Arial"/>
              </w:rPr>
              <w:t>mprovement (95% CI 8.</w:t>
            </w:r>
            <w:r w:rsidR="00057A82" w:rsidRPr="00503643">
              <w:rPr>
                <w:rFonts w:ascii="Arial" w:hAnsi="Arial"/>
              </w:rPr>
              <w:t>9, 35.1)</w:t>
            </w:r>
          </w:p>
        </w:tc>
        <w:tc>
          <w:tcPr>
            <w:tcW w:w="2551" w:type="dxa"/>
          </w:tcPr>
          <w:p w:rsidR="0075777C" w:rsidRPr="00503643" w:rsidRDefault="0075777C" w:rsidP="00BC5A2B">
            <w:pPr>
              <w:pStyle w:val="TableText0"/>
              <w:spacing w:before="20" w:after="20"/>
              <w:rPr>
                <w:rFonts w:ascii="Arial" w:hAnsi="Arial"/>
              </w:rPr>
            </w:pPr>
            <w:r w:rsidRPr="00503643">
              <w:rPr>
                <w:rFonts w:ascii="Arial" w:hAnsi="Arial"/>
              </w:rPr>
              <w:t xml:space="preserve">Patients treated with an ERA had a larger mean improvement in their haemodynamic parameters compared with those on placebo </w:t>
            </w:r>
          </w:p>
        </w:tc>
        <w:tc>
          <w:tcPr>
            <w:tcW w:w="1134" w:type="dxa"/>
          </w:tcPr>
          <w:p w:rsidR="0075777C" w:rsidRPr="00503643" w:rsidRDefault="00963EDC" w:rsidP="00BC5A2B">
            <w:pPr>
              <w:pStyle w:val="TableText0"/>
              <w:spacing w:before="20" w:after="20"/>
              <w:rPr>
                <w:rFonts w:ascii="Arial" w:hAnsi="Arial"/>
              </w:rPr>
            </w:pPr>
            <w:r w:rsidRPr="00503643">
              <w:rPr>
                <w:rFonts w:ascii="Arial" w:hAnsi="Arial"/>
              </w:rPr>
              <w:t>Low</w:t>
            </w:r>
          </w:p>
          <w:p w:rsidR="0075777C" w:rsidRPr="00503643" w:rsidRDefault="0075777C" w:rsidP="00BC5A2B">
            <w:pPr>
              <w:pStyle w:val="TableText0"/>
              <w:spacing w:before="20" w:after="20"/>
              <w:rPr>
                <w:rFonts w:ascii="Arial" w:hAnsi="Arial"/>
                <w:bCs/>
              </w:rPr>
            </w:pPr>
            <w:r w:rsidRPr="00503643">
              <w:rPr>
                <w:rFonts w:ascii="Cambria Math" w:hAnsi="Cambria Math" w:cs="Cambria Math"/>
                <w:bCs/>
                <w:color w:val="00B050"/>
              </w:rPr>
              <w:t>⨁⨁</w:t>
            </w:r>
            <w:r w:rsidR="00963EDC" w:rsidRPr="00503643">
              <w:rPr>
                <w:rFonts w:ascii="Cambria Math" w:hAnsi="Cambria Math" w:cs="Cambria Math"/>
                <w:color w:val="C00000"/>
              </w:rPr>
              <w:t>⨀⨀</w:t>
            </w:r>
          </w:p>
          <w:p w:rsidR="0075777C" w:rsidRPr="00503643" w:rsidRDefault="0075777C" w:rsidP="00BC5A2B">
            <w:pPr>
              <w:pStyle w:val="TableText0"/>
              <w:spacing w:before="20" w:after="20"/>
              <w:rPr>
                <w:rFonts w:ascii="Arial" w:hAnsi="Arial"/>
              </w:rPr>
            </w:pPr>
            <w:r w:rsidRPr="00503643">
              <w:rPr>
                <w:rFonts w:ascii="Arial" w:hAnsi="Arial"/>
              </w:rPr>
              <w:t>Not important</w:t>
            </w:r>
          </w:p>
        </w:tc>
      </w:tr>
    </w:tbl>
    <w:p w:rsidR="0075777C" w:rsidRPr="006316DF" w:rsidRDefault="0075777C" w:rsidP="00BC5A2B">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BC5A2B">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75777C" w:rsidRPr="006316DF" w:rsidRDefault="0075777C" w:rsidP="00BC5A2B">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7C2D99" w:rsidRPr="006316DF" w:rsidRDefault="007C2D99" w:rsidP="007C2D99">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D2075A" w:rsidRPr="006316DF" w:rsidRDefault="0075777C" w:rsidP="00BC5A2B">
      <w:pPr>
        <w:pStyle w:val="Tablenote"/>
      </w:pPr>
      <w:r>
        <w:t xml:space="preserve">6MWD = 6-minute </w:t>
      </w:r>
      <w:r w:rsidR="0082368E">
        <w:t>walk distance</w:t>
      </w:r>
      <w:r w:rsidR="00B21201">
        <w:t>; ARD</w:t>
      </w:r>
      <w:r>
        <w:t xml:space="preserve"> = absolute risk </w:t>
      </w:r>
      <w:r w:rsidR="00B21201">
        <w:t>difference</w:t>
      </w:r>
      <w:r>
        <w: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D2075A" w:rsidRPr="00DC16A3">
        <w:t xml:space="preserve">; </w:t>
      </w:r>
      <w:r w:rsidR="00D2075A">
        <w:t xml:space="preserve">k = number of studies; </w:t>
      </w:r>
      <w:r>
        <w:t xml:space="preserve">MD = mean difference; N = number of patients; </w:t>
      </w:r>
      <w:r w:rsidRPr="00D65221">
        <w:t>PVR</w:t>
      </w:r>
      <w:r>
        <w:t xml:space="preserve"> = p</w:t>
      </w:r>
      <w:r w:rsidRPr="00D65221">
        <w:t xml:space="preserve">ulmonary </w:t>
      </w:r>
      <w:r>
        <w:t>v</w:t>
      </w:r>
      <w:r w:rsidRPr="00D65221">
        <w:t xml:space="preserve">ascular </w:t>
      </w:r>
      <w:r>
        <w:t>r</w:t>
      </w:r>
      <w:r w:rsidRPr="00D65221">
        <w:t>esistance</w:t>
      </w:r>
      <w:r>
        <w:t>; RCT = randomised controlled trial; RR = relative risk; WHO = World Health Organization</w:t>
      </w:r>
    </w:p>
    <w:p w:rsidR="0075777C" w:rsidRPr="006316DF" w:rsidRDefault="0075777C" w:rsidP="0075777C">
      <w:pPr>
        <w:pStyle w:val="Heading5"/>
      </w:pPr>
      <w:r w:rsidRPr="006316DF">
        <w:t>Safety</w:t>
      </w:r>
    </w:p>
    <w:p w:rsidR="0075777C" w:rsidRPr="002856B6" w:rsidRDefault="00F9638D" w:rsidP="002856B6">
      <w:r w:rsidRPr="00F9638D">
        <w:t xml:space="preserve">No conclusions about the comparative safety of an </w:t>
      </w:r>
      <w:r>
        <w:t>ERA medication</w:t>
      </w:r>
      <w:r w:rsidRPr="00F9638D">
        <w:t xml:space="preserve"> versus placebo in patients with WHO FC I/II PAH </w:t>
      </w:r>
      <w:proofErr w:type="gramStart"/>
      <w:r w:rsidRPr="00F9638D">
        <w:t>could be made</w:t>
      </w:r>
      <w:proofErr w:type="gramEnd"/>
      <w:r w:rsidRPr="00F9638D">
        <w:t xml:space="preserve"> due to a lack of evidence.</w:t>
      </w:r>
    </w:p>
    <w:p w:rsidR="0075777C" w:rsidRPr="006316DF" w:rsidRDefault="00441F08" w:rsidP="0075777C">
      <w:pPr>
        <w:pStyle w:val="Heading4"/>
      </w:pPr>
      <w:r>
        <w:t>4.5.1.2</w:t>
      </w:r>
      <w:r>
        <w:tab/>
      </w:r>
      <w:r w:rsidR="0075777C">
        <w:t>PDE-5 inhibitor</w:t>
      </w:r>
      <w:r w:rsidR="0075777C" w:rsidRPr="006316DF">
        <w:t xml:space="preserve"> versus placebo</w:t>
      </w:r>
    </w:p>
    <w:p w:rsidR="0075777C" w:rsidRPr="006316DF" w:rsidRDefault="0075777C" w:rsidP="0075777C">
      <w:pPr>
        <w:pStyle w:val="Heading5"/>
      </w:pPr>
      <w:r w:rsidRPr="006316DF">
        <w:t>Clinical effectiveness</w:t>
      </w:r>
    </w:p>
    <w:p w:rsidR="0075777C" w:rsidRPr="006316DF"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the outcomes when comparing a </w:t>
      </w:r>
      <w:r>
        <w:t>PDE-5 inhibitor</w:t>
      </w:r>
      <w:r w:rsidRPr="006316DF">
        <w:t xml:space="preserve"> with placebo </w:t>
      </w:r>
      <w:proofErr w:type="gramStart"/>
      <w:r w:rsidRPr="006316DF">
        <w:t xml:space="preserve">are </w:t>
      </w:r>
      <w:r w:rsidRPr="00BB76F5">
        <w:t>reported</w:t>
      </w:r>
      <w:proofErr w:type="gramEnd"/>
      <w:r w:rsidRPr="00BB76F5">
        <w:t xml:space="preserve"> in </w:t>
      </w:r>
      <w:r w:rsidR="003951FA" w:rsidRPr="00F52145">
        <w:rPr>
          <w:rFonts w:eastAsia="Times New Roman"/>
          <w:bCs/>
          <w:szCs w:val="18"/>
        </w:rPr>
        <w:t xml:space="preserve">Table </w:t>
      </w:r>
      <w:r w:rsidR="003951FA" w:rsidRPr="00F52145">
        <w:rPr>
          <w:rFonts w:eastAsia="Times New Roman"/>
          <w:bCs/>
          <w:noProof/>
          <w:szCs w:val="18"/>
        </w:rPr>
        <w:t>4.147</w:t>
      </w:r>
      <w:r w:rsidRPr="00BB76F5">
        <w:t xml:space="preserve"> in Appendix </w:t>
      </w:r>
      <w:r w:rsidR="00DA2636">
        <w:t>4</w:t>
      </w:r>
      <w:r w:rsidR="001B552D">
        <w:t>C</w:t>
      </w:r>
      <w:r w:rsidRPr="00BB76F5">
        <w:t>.</w:t>
      </w:r>
      <w:r w:rsidRPr="006316DF">
        <w:t xml:space="preserve"> A summary of these results </w:t>
      </w:r>
      <w:proofErr w:type="gramStart"/>
      <w:r w:rsidRPr="006316DF">
        <w:t>is provided</w:t>
      </w:r>
      <w:proofErr w:type="gramEnd"/>
      <w:r w:rsidRPr="006316DF">
        <w:t xml:space="preserve"> in </w:t>
      </w:r>
      <w:r w:rsidR="003951FA">
        <w:t xml:space="preserve">Table </w:t>
      </w:r>
      <w:r w:rsidR="003951FA">
        <w:rPr>
          <w:noProof/>
        </w:rPr>
        <w:t>4.121</w:t>
      </w:r>
      <w:r w:rsidRPr="006316DF">
        <w:t xml:space="preserve">. The evidence base for the critical outcome of all-cause mortality </w:t>
      </w:r>
      <w:proofErr w:type="gramStart"/>
      <w:r w:rsidRPr="006316DF">
        <w:t>is derived</w:t>
      </w:r>
      <w:proofErr w:type="gramEnd"/>
      <w:r w:rsidRPr="006316DF">
        <w:t xml:space="preserve"> from </w:t>
      </w:r>
      <w:r>
        <w:t>two</w:t>
      </w:r>
      <w:r w:rsidRPr="006316DF">
        <w:t xml:space="preserve"> observational cohort stud</w:t>
      </w:r>
      <w:r>
        <w:t>ies</w:t>
      </w:r>
      <w:r w:rsidRPr="006316DF">
        <w:t xml:space="preserve"> and is of very low quality (GRADE </w:t>
      </w:r>
      <w:r w:rsidRPr="008727D6">
        <w:rPr>
          <w:rFonts w:ascii="Cambria Math" w:eastAsia="Times New Roman" w:hAnsi="Cambria Math" w:cs="Cambria Math"/>
          <w:bCs/>
          <w:color w:val="00B050"/>
        </w:rPr>
        <w:t>⨁</w:t>
      </w:r>
      <w:r w:rsidRPr="008727D6">
        <w:rPr>
          <w:rFonts w:ascii="Cambria Math" w:eastAsia="Times New Roman" w:hAnsi="Cambria Math" w:cs="Cambria Math"/>
          <w:bCs/>
          <w:color w:val="C00000"/>
        </w:rPr>
        <w:t>⨀⨀⨀</w:t>
      </w:r>
      <w:r w:rsidRPr="006316DF">
        <w:t xml:space="preserve">). Thus, although the </w:t>
      </w:r>
      <w:r w:rsidRPr="00362C8C">
        <w:t xml:space="preserve">RR </w:t>
      </w:r>
      <w:r w:rsidRPr="006316DF">
        <w:t xml:space="preserve">favours </w:t>
      </w:r>
      <w:r>
        <w:t>PDE-5 inhibitor</w:t>
      </w:r>
      <w:r w:rsidRPr="006316DF">
        <w:t xml:space="preserve"> over conventional therapy, the true effect is </w:t>
      </w:r>
      <w:r>
        <w:t>uncertain</w:t>
      </w:r>
      <w:r w:rsidRPr="0080120D">
        <w:t xml:space="preserve"> </w:t>
      </w:r>
      <w:r>
        <w:t>as</w:t>
      </w:r>
      <w:r w:rsidRPr="0080120D">
        <w:t xml:space="preserve"> the </w:t>
      </w:r>
      <w:r w:rsidR="00D84687">
        <w:t>95% CI indicates</w:t>
      </w:r>
      <w:r w:rsidRPr="0080120D">
        <w:t xml:space="preserve"> that there may also be no or the opposite effect.</w:t>
      </w:r>
    </w:p>
    <w:p w:rsidR="0075777C" w:rsidRPr="00796F18" w:rsidRDefault="0075777C" w:rsidP="0075777C">
      <w:r w:rsidRPr="006316DF">
        <w:t xml:space="preserve">The evidence base </w:t>
      </w:r>
      <w:r>
        <w:t xml:space="preserve">presented </w:t>
      </w:r>
      <w:r w:rsidRPr="006316DF">
        <w:t xml:space="preserve">for </w:t>
      </w:r>
      <w:r>
        <w:t xml:space="preserve">important outcomes of improved or worsened WHO FC </w:t>
      </w:r>
      <w:proofErr w:type="gramStart"/>
      <w:r w:rsidRPr="006316DF">
        <w:t>w</w:t>
      </w:r>
      <w:r>
        <w:t>as</w:t>
      </w:r>
      <w:r w:rsidRPr="006316DF">
        <w:t xml:space="preserve"> considered</w:t>
      </w:r>
      <w:proofErr w:type="gramEnd"/>
      <w:r w:rsidRPr="006316DF">
        <w:t xml:space="preserve"> to be of </w:t>
      </w:r>
      <w:r w:rsidR="00FC3493">
        <w:t>low</w:t>
      </w:r>
      <w:r w:rsidRPr="006316DF">
        <w:t xml:space="preserve"> quality (GRADE </w:t>
      </w:r>
      <w:r w:rsidRPr="008727D6">
        <w:rPr>
          <w:rFonts w:ascii="Cambria Math" w:eastAsia="Times New Roman" w:hAnsi="Cambria Math" w:cs="Tahoma"/>
          <w:bCs/>
          <w:color w:val="00B050"/>
        </w:rPr>
        <w:t>⨁⨁</w:t>
      </w:r>
      <w:r w:rsidR="00FC3493" w:rsidRPr="008727D6">
        <w:rPr>
          <w:rFonts w:ascii="Cambria Math" w:eastAsia="Times New Roman" w:hAnsi="Cambria Math" w:cs="Cambria Math"/>
          <w:bCs/>
          <w:color w:val="C00000"/>
        </w:rPr>
        <w:t>⨀⨀</w:t>
      </w:r>
      <w:r w:rsidRPr="00796F18">
        <w:t xml:space="preserve">). Thus, the true effect of treating WHO FC I/II PAH with a PDE-5 inhibitor compared with a placebo is </w:t>
      </w:r>
      <w:r w:rsidR="00FC3493">
        <w:t>uncertain</w:t>
      </w:r>
      <w:r w:rsidRPr="00796F18">
        <w:t xml:space="preserve">. The estimates suggested there was no difference in the proportion of patients whose WHO FC either improved or worsened, indicating that PDE-5 inhibitor may be equally as effective as placebo with respect to changing the WHO FC of patients with WHO FC I/II PAH. However, the wide 95% CIs </w:t>
      </w:r>
      <w:r w:rsidR="00FC3493">
        <w:t>and small study size indicate the</w:t>
      </w:r>
      <w:r w:rsidRPr="00796F18">
        <w:t xml:space="preserve"> study was likely underpowered to detect a difference.</w:t>
      </w:r>
    </w:p>
    <w:p w:rsidR="0075777C" w:rsidRPr="006316DF" w:rsidRDefault="00BC5A2B" w:rsidP="0075777C">
      <w:r w:rsidRPr="00BC5A2B">
        <w:t>Thus, there is considerable uncertainty as to whether the use of a PDE-5 inhibitor medication to treat patients with WHO F</w:t>
      </w:r>
      <w:r w:rsidR="00796F18">
        <w:t>C I/II PAH would be beneficial.</w:t>
      </w:r>
    </w:p>
    <w:p w:rsidR="0075777C" w:rsidRPr="006316DF" w:rsidRDefault="00272F8F" w:rsidP="00BC5A2B">
      <w:pPr>
        <w:pStyle w:val="Caption"/>
        <w:rPr>
          <w:noProof/>
          <w:snapToGrid w:val="0"/>
        </w:rPr>
      </w:pPr>
      <w:bookmarkStart w:id="346" w:name="_Ref501368586"/>
      <w:bookmarkStart w:id="347" w:name="_Toc38360418"/>
      <w:r>
        <w:t>Table 4.</w:t>
      </w:r>
      <w:r w:rsidR="003951FA">
        <w:rPr>
          <w:noProof/>
        </w:rPr>
        <w:t>121</w:t>
      </w:r>
      <w:bookmarkEnd w:id="346"/>
      <w:r w:rsidR="00BC5A2B">
        <w:tab/>
      </w:r>
      <w:r w:rsidR="0075777C" w:rsidRPr="006316DF">
        <w:rPr>
          <w:noProof/>
          <w:snapToGrid w:val="0"/>
        </w:rPr>
        <w:t xml:space="preserve">Balance of clinical benefits and harms of </w:t>
      </w:r>
      <w:r w:rsidR="007E59EC">
        <w:rPr>
          <w:noProof/>
          <w:snapToGrid w:val="0"/>
        </w:rPr>
        <w:t xml:space="preserve">a </w:t>
      </w:r>
      <w:r w:rsidR="0075777C">
        <w:rPr>
          <w:noProof/>
          <w:snapToGrid w:val="0"/>
        </w:rPr>
        <w:t>PDE-5 inhibitor</w:t>
      </w:r>
      <w:r w:rsidR="0075777C" w:rsidRPr="006316DF">
        <w:rPr>
          <w:noProof/>
          <w:snapToGrid w:val="0"/>
        </w:rPr>
        <w:t>, relative to placebo or conventional therapy</w:t>
      </w:r>
      <w:bookmarkEnd w:id="347"/>
    </w:p>
    <w:tbl>
      <w:tblPr>
        <w:tblStyle w:val="TableGrid"/>
        <w:tblW w:w="9634" w:type="dxa"/>
        <w:tblLayout w:type="fixed"/>
        <w:tblLook w:val="04A0" w:firstRow="1" w:lastRow="0" w:firstColumn="1" w:lastColumn="0" w:noHBand="0" w:noVBand="1"/>
        <w:tblCaption w:val="Balance of clinical benefits and harms of a PDE-5 inhibitor, relative to placebo or conventional therapy"/>
      </w:tblPr>
      <w:tblGrid>
        <w:gridCol w:w="1560"/>
        <w:gridCol w:w="1275"/>
        <w:gridCol w:w="1701"/>
        <w:gridCol w:w="1555"/>
        <w:gridCol w:w="2409"/>
        <w:gridCol w:w="1134"/>
      </w:tblGrid>
      <w:tr w:rsidR="0075777C" w:rsidRPr="00BC5A2B" w:rsidTr="00796F18">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503643" w:rsidRDefault="0075777C" w:rsidP="00BC5A2B">
            <w:pPr>
              <w:pStyle w:val="TableText0"/>
              <w:spacing w:before="20" w:after="20"/>
              <w:rPr>
                <w:rFonts w:ascii="Arial" w:hAnsi="Arial"/>
                <w:b/>
                <w:noProof/>
              </w:rPr>
            </w:pPr>
            <w:r w:rsidRPr="00503643">
              <w:rPr>
                <w:rFonts w:ascii="Arial" w:hAnsi="Arial"/>
                <w:b/>
                <w:noProof/>
              </w:rPr>
              <w:t xml:space="preserve">Outcomes </w:t>
            </w:r>
          </w:p>
        </w:tc>
        <w:tc>
          <w:tcPr>
            <w:tcW w:w="1275" w:type="dxa"/>
          </w:tcPr>
          <w:p w:rsidR="0075777C" w:rsidRPr="00503643" w:rsidRDefault="0075777C" w:rsidP="00BC5A2B">
            <w:pPr>
              <w:pStyle w:val="TableText0"/>
              <w:spacing w:before="20" w:after="20"/>
              <w:rPr>
                <w:rFonts w:ascii="Arial" w:hAnsi="Arial"/>
                <w:b/>
                <w:noProof/>
              </w:rPr>
            </w:pPr>
            <w:r w:rsidRPr="00503643">
              <w:rPr>
                <w:rFonts w:ascii="Arial" w:hAnsi="Arial"/>
                <w:b/>
                <w:noProof/>
              </w:rPr>
              <w:t>Participants (studies)</w:t>
            </w:r>
          </w:p>
        </w:tc>
        <w:tc>
          <w:tcPr>
            <w:tcW w:w="1701" w:type="dxa"/>
          </w:tcPr>
          <w:p w:rsidR="0075777C" w:rsidRPr="00503643" w:rsidRDefault="0075777C" w:rsidP="00BC5A2B">
            <w:pPr>
              <w:pStyle w:val="TableText0"/>
              <w:spacing w:before="20" w:after="20"/>
              <w:rPr>
                <w:rFonts w:ascii="Arial" w:hAnsi="Arial"/>
                <w:b/>
                <w:noProof/>
              </w:rPr>
            </w:pPr>
            <w:r w:rsidRPr="00503643">
              <w:rPr>
                <w:rFonts w:ascii="Arial" w:hAnsi="Arial"/>
                <w:b/>
                <w:noProof/>
              </w:rPr>
              <w:t>Quality of evidence</w:t>
            </w:r>
          </w:p>
        </w:tc>
        <w:tc>
          <w:tcPr>
            <w:tcW w:w="1555" w:type="dxa"/>
          </w:tcPr>
          <w:p w:rsidR="0075777C" w:rsidRPr="00503643" w:rsidRDefault="0075777C" w:rsidP="00BC5A2B">
            <w:pPr>
              <w:pStyle w:val="TableText0"/>
              <w:spacing w:before="20" w:after="20"/>
              <w:rPr>
                <w:rFonts w:ascii="Arial" w:hAnsi="Arial"/>
                <w:b/>
                <w:noProof/>
              </w:rPr>
            </w:pPr>
            <w:r w:rsidRPr="00503643">
              <w:rPr>
                <w:rFonts w:ascii="Arial" w:hAnsi="Arial"/>
                <w:b/>
                <w:noProof/>
              </w:rPr>
              <w:t>Results</w:t>
            </w:r>
          </w:p>
        </w:tc>
        <w:tc>
          <w:tcPr>
            <w:tcW w:w="2409" w:type="dxa"/>
          </w:tcPr>
          <w:p w:rsidR="0075777C" w:rsidRPr="00503643" w:rsidRDefault="0075777C" w:rsidP="00BC5A2B">
            <w:pPr>
              <w:pStyle w:val="TableText0"/>
              <w:spacing w:before="20" w:after="20"/>
              <w:rPr>
                <w:rFonts w:ascii="Arial" w:hAnsi="Arial"/>
                <w:b/>
                <w:noProof/>
              </w:rPr>
            </w:pPr>
            <w:r w:rsidRPr="00503643">
              <w:rPr>
                <w:rFonts w:ascii="Arial" w:hAnsi="Arial"/>
                <w:b/>
                <w:noProof/>
              </w:rPr>
              <w:t>Interpretation</w:t>
            </w:r>
          </w:p>
        </w:tc>
        <w:tc>
          <w:tcPr>
            <w:tcW w:w="1134" w:type="dxa"/>
          </w:tcPr>
          <w:p w:rsidR="0075777C" w:rsidRPr="00503643" w:rsidRDefault="0075777C" w:rsidP="00BC5A2B">
            <w:pPr>
              <w:pStyle w:val="TableText0"/>
              <w:spacing w:before="20" w:after="20"/>
              <w:rPr>
                <w:rFonts w:ascii="Arial" w:hAnsi="Arial"/>
                <w:b/>
                <w:noProof/>
              </w:rPr>
            </w:pPr>
            <w:r w:rsidRPr="00503643">
              <w:rPr>
                <w:rFonts w:ascii="Arial" w:hAnsi="Arial"/>
                <w:b/>
                <w:noProof/>
              </w:rPr>
              <w:t>GRADE</w:t>
            </w:r>
            <w:r w:rsidR="008E6DA8" w:rsidRPr="00503643">
              <w:rPr>
                <w:rFonts w:ascii="Arial" w:hAnsi="Arial"/>
                <w:b/>
                <w:noProof/>
                <w:vertAlign w:val="superscript"/>
              </w:rPr>
              <w:t>a</w:t>
            </w:r>
          </w:p>
          <w:p w:rsidR="0075777C" w:rsidRPr="00503643" w:rsidRDefault="0075777C" w:rsidP="00BC5A2B">
            <w:pPr>
              <w:pStyle w:val="TableText0"/>
              <w:spacing w:before="20" w:after="20"/>
              <w:rPr>
                <w:rFonts w:ascii="Arial" w:hAnsi="Arial"/>
                <w:b/>
                <w:noProof/>
              </w:rPr>
            </w:pPr>
            <w:r w:rsidRPr="00503643">
              <w:rPr>
                <w:rFonts w:ascii="Arial" w:hAnsi="Arial"/>
                <w:b/>
                <w:noProof/>
              </w:rPr>
              <w:t>Importance</w:t>
            </w:r>
          </w:p>
        </w:tc>
      </w:tr>
      <w:tr w:rsidR="0075777C" w:rsidRPr="006316DF" w:rsidTr="00796F18">
        <w:tc>
          <w:tcPr>
            <w:tcW w:w="1560" w:type="dxa"/>
          </w:tcPr>
          <w:p w:rsidR="0075777C" w:rsidRPr="00503643" w:rsidRDefault="0075777C" w:rsidP="00BC5A2B">
            <w:pPr>
              <w:pStyle w:val="TableText0"/>
              <w:spacing w:before="20" w:after="20"/>
              <w:rPr>
                <w:rFonts w:ascii="Arial" w:hAnsi="Arial"/>
              </w:rPr>
            </w:pPr>
            <w:r w:rsidRPr="00503643">
              <w:rPr>
                <w:rFonts w:ascii="Arial" w:hAnsi="Arial"/>
              </w:rPr>
              <w:t>All-cause mortality</w:t>
            </w:r>
          </w:p>
        </w:tc>
        <w:tc>
          <w:tcPr>
            <w:tcW w:w="1275" w:type="dxa"/>
          </w:tcPr>
          <w:p w:rsidR="0075777C" w:rsidRPr="00503643" w:rsidRDefault="0075777C" w:rsidP="00BC5A2B">
            <w:pPr>
              <w:pStyle w:val="TableText0"/>
              <w:spacing w:before="20" w:after="20"/>
              <w:rPr>
                <w:rFonts w:ascii="Arial" w:hAnsi="Arial"/>
              </w:rPr>
            </w:pPr>
            <w:r w:rsidRPr="00503643">
              <w:rPr>
                <w:rFonts w:ascii="Arial" w:hAnsi="Arial"/>
              </w:rPr>
              <w:t>N=76</w:t>
            </w:r>
          </w:p>
          <w:p w:rsidR="0075777C" w:rsidRPr="00503643" w:rsidRDefault="0075777C" w:rsidP="00BC5A2B">
            <w:pPr>
              <w:pStyle w:val="TableText0"/>
              <w:spacing w:before="20" w:after="20"/>
              <w:rPr>
                <w:rFonts w:ascii="Arial" w:hAnsi="Arial"/>
              </w:rPr>
            </w:pPr>
            <w:r w:rsidRPr="00503643">
              <w:rPr>
                <w:rFonts w:ascii="Arial" w:hAnsi="Arial"/>
              </w:rPr>
              <w:t>k=2 cohort</w:t>
            </w:r>
          </w:p>
        </w:tc>
        <w:tc>
          <w:tcPr>
            <w:tcW w:w="1701" w:type="dxa"/>
          </w:tcPr>
          <w:p w:rsidR="0075777C" w:rsidRPr="00503643" w:rsidRDefault="0075777C" w:rsidP="00BC5A2B">
            <w:pPr>
              <w:pStyle w:val="TableText0"/>
              <w:spacing w:before="20" w:after="20"/>
              <w:rPr>
                <w:rFonts w:ascii="Arial" w:hAnsi="Arial"/>
              </w:rPr>
            </w:pPr>
            <w:r w:rsidRPr="00503643">
              <w:rPr>
                <w:rFonts w:ascii="Arial" w:hAnsi="Arial"/>
              </w:rPr>
              <w:t>Risk of bias: −1</w:t>
            </w:r>
          </w:p>
          <w:p w:rsidR="0075777C" w:rsidRPr="00503643" w:rsidRDefault="0075777C" w:rsidP="00BC5A2B">
            <w:pPr>
              <w:pStyle w:val="TableText0"/>
              <w:spacing w:before="20" w:after="20"/>
              <w:rPr>
                <w:rFonts w:ascii="Arial" w:hAnsi="Arial"/>
              </w:rPr>
            </w:pPr>
            <w:r w:rsidRPr="00503643">
              <w:rPr>
                <w:rFonts w:ascii="Arial" w:hAnsi="Arial"/>
              </w:rPr>
              <w:t>Inconsistency: 0</w:t>
            </w:r>
          </w:p>
          <w:p w:rsidR="0075777C" w:rsidRPr="00503643" w:rsidRDefault="0075777C" w:rsidP="00BC5A2B">
            <w:pPr>
              <w:pStyle w:val="TableText0"/>
              <w:spacing w:before="20" w:after="20"/>
              <w:rPr>
                <w:rFonts w:ascii="Arial" w:hAnsi="Arial"/>
              </w:rPr>
            </w:pPr>
            <w:r w:rsidRPr="00503643">
              <w:rPr>
                <w:rFonts w:ascii="Arial" w:hAnsi="Arial"/>
              </w:rPr>
              <w:t>Indirectness: 0</w:t>
            </w:r>
          </w:p>
          <w:p w:rsidR="0075777C" w:rsidRPr="00503643" w:rsidRDefault="0075777C" w:rsidP="00BC5A2B">
            <w:pPr>
              <w:pStyle w:val="TableText0"/>
              <w:spacing w:before="20" w:after="20"/>
              <w:rPr>
                <w:rFonts w:ascii="Arial" w:hAnsi="Arial"/>
              </w:rPr>
            </w:pPr>
            <w:r w:rsidRPr="00503643">
              <w:rPr>
                <w:rFonts w:ascii="Arial" w:hAnsi="Arial"/>
              </w:rPr>
              <w:t>Imprecision: −1</w:t>
            </w:r>
          </w:p>
          <w:p w:rsidR="0075777C" w:rsidRPr="00503643" w:rsidRDefault="0075777C" w:rsidP="00BC5A2B">
            <w:pPr>
              <w:pStyle w:val="TableText0"/>
              <w:spacing w:before="20" w:after="20"/>
              <w:rPr>
                <w:rFonts w:ascii="Arial" w:hAnsi="Arial"/>
              </w:rPr>
            </w:pPr>
            <w:r w:rsidRPr="00503643">
              <w:rPr>
                <w:rFonts w:ascii="Arial" w:hAnsi="Arial"/>
              </w:rPr>
              <w:t>Publication bias: 0</w:t>
            </w:r>
          </w:p>
          <w:p w:rsidR="0075777C" w:rsidRPr="00503643" w:rsidRDefault="0075777C" w:rsidP="00BC5A2B">
            <w:pPr>
              <w:pStyle w:val="TableText0"/>
              <w:spacing w:before="20" w:after="20"/>
              <w:rPr>
                <w:rFonts w:ascii="Arial" w:hAnsi="Arial"/>
              </w:rPr>
            </w:pPr>
            <w:r w:rsidRPr="00503643">
              <w:rPr>
                <w:rFonts w:ascii="Arial" w:hAnsi="Arial"/>
              </w:rPr>
              <w:t>Association: +1</w:t>
            </w:r>
          </w:p>
        </w:tc>
        <w:tc>
          <w:tcPr>
            <w:tcW w:w="1555" w:type="dxa"/>
          </w:tcPr>
          <w:p w:rsidR="0075777C" w:rsidRPr="00503643" w:rsidRDefault="0075777C" w:rsidP="00BC5A2B">
            <w:pPr>
              <w:pStyle w:val="TableText0"/>
              <w:spacing w:before="20" w:after="20"/>
              <w:rPr>
                <w:rFonts w:ascii="Arial" w:hAnsi="Arial"/>
              </w:rPr>
            </w:pPr>
            <w:r w:rsidRPr="00503643">
              <w:rPr>
                <w:rFonts w:ascii="Arial" w:eastAsiaTheme="minorEastAsia" w:hAnsi="Arial"/>
              </w:rPr>
              <w:t>RR = 0.32 (95% CI 0.05, 1.90)</w:t>
            </w:r>
          </w:p>
        </w:tc>
        <w:tc>
          <w:tcPr>
            <w:tcW w:w="2409" w:type="dxa"/>
          </w:tcPr>
          <w:p w:rsidR="0075777C" w:rsidRPr="00503643" w:rsidRDefault="0075777C" w:rsidP="00BC5A2B">
            <w:pPr>
              <w:pStyle w:val="TableText0"/>
              <w:spacing w:before="20" w:after="20"/>
              <w:rPr>
                <w:rFonts w:ascii="Arial" w:hAnsi="Arial"/>
              </w:rPr>
            </w:pPr>
            <w:r w:rsidRPr="00503643">
              <w:rPr>
                <w:rFonts w:ascii="Arial" w:hAnsi="Arial"/>
              </w:rPr>
              <w:t xml:space="preserve">Fewer patients died from any cause when treated with a PDE-5 inhibitor compared with placebo, but the </w:t>
            </w:r>
            <w:r w:rsidR="00D84687" w:rsidRPr="00503643">
              <w:rPr>
                <w:rFonts w:ascii="Arial" w:hAnsi="Arial"/>
              </w:rPr>
              <w:t>95% CI indicates</w:t>
            </w:r>
            <w:r w:rsidRPr="00503643">
              <w:rPr>
                <w:rFonts w:ascii="Arial" w:hAnsi="Arial"/>
              </w:rPr>
              <w:t xml:space="preserve"> that there may also be no or the opposite effect.</w:t>
            </w:r>
          </w:p>
        </w:tc>
        <w:tc>
          <w:tcPr>
            <w:tcW w:w="1134" w:type="dxa"/>
          </w:tcPr>
          <w:p w:rsidR="0075777C" w:rsidRPr="00503643" w:rsidRDefault="0075777C" w:rsidP="00BC5A2B">
            <w:pPr>
              <w:pStyle w:val="TableText0"/>
              <w:spacing w:before="20" w:after="20"/>
              <w:rPr>
                <w:rFonts w:ascii="Arial" w:hAnsi="Arial"/>
                <w:bCs/>
              </w:rPr>
            </w:pPr>
            <w:r w:rsidRPr="00503643">
              <w:rPr>
                <w:rFonts w:ascii="Arial" w:hAnsi="Arial"/>
                <w:bCs/>
              </w:rPr>
              <w:t>Very low</w:t>
            </w:r>
          </w:p>
          <w:p w:rsidR="0075777C" w:rsidRPr="00503643" w:rsidRDefault="0075777C" w:rsidP="00BC5A2B">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bCs/>
                <w:color w:val="C00000"/>
              </w:rPr>
              <w:t>⨀⨀⨀</w:t>
            </w:r>
          </w:p>
          <w:p w:rsidR="0075777C" w:rsidRPr="00503643" w:rsidRDefault="0075777C" w:rsidP="00BC5A2B">
            <w:pPr>
              <w:pStyle w:val="TableText0"/>
              <w:spacing w:before="20" w:after="20"/>
              <w:rPr>
                <w:rFonts w:ascii="Arial" w:hAnsi="Arial"/>
              </w:rPr>
            </w:pPr>
            <w:r w:rsidRPr="00503643">
              <w:rPr>
                <w:rFonts w:ascii="Arial" w:hAnsi="Arial"/>
              </w:rPr>
              <w:t>Critical</w:t>
            </w:r>
          </w:p>
        </w:tc>
      </w:tr>
      <w:tr w:rsidR="00FC3493" w:rsidRPr="006316DF" w:rsidTr="00796F18">
        <w:tc>
          <w:tcPr>
            <w:tcW w:w="1560" w:type="dxa"/>
          </w:tcPr>
          <w:p w:rsidR="00FC3493" w:rsidRPr="00503643" w:rsidRDefault="00FC3493" w:rsidP="00FC3493">
            <w:pPr>
              <w:pStyle w:val="TableText0"/>
              <w:spacing w:before="20" w:after="20"/>
              <w:rPr>
                <w:rFonts w:ascii="Arial" w:hAnsi="Arial"/>
              </w:rPr>
            </w:pPr>
            <w:r w:rsidRPr="00503643">
              <w:rPr>
                <w:rFonts w:ascii="Arial" w:hAnsi="Arial"/>
              </w:rPr>
              <w:t>Improved WHO FC</w:t>
            </w:r>
          </w:p>
        </w:tc>
        <w:tc>
          <w:tcPr>
            <w:tcW w:w="1275" w:type="dxa"/>
          </w:tcPr>
          <w:p w:rsidR="00FC3493" w:rsidRPr="00503643" w:rsidRDefault="00FC3493" w:rsidP="00FC3493">
            <w:pPr>
              <w:pStyle w:val="TableText0"/>
              <w:spacing w:before="20" w:after="20"/>
              <w:rPr>
                <w:rFonts w:ascii="Arial" w:hAnsi="Arial"/>
              </w:rPr>
            </w:pPr>
            <w:r w:rsidRPr="00503643">
              <w:rPr>
                <w:rFonts w:ascii="Arial" w:hAnsi="Arial"/>
              </w:rPr>
              <w:t>N=22</w:t>
            </w:r>
          </w:p>
          <w:p w:rsidR="00FC3493" w:rsidRPr="00503643" w:rsidRDefault="00FC3493" w:rsidP="00FC3493">
            <w:pPr>
              <w:pStyle w:val="TableText0"/>
              <w:spacing w:before="20" w:after="20"/>
              <w:rPr>
                <w:rFonts w:ascii="Arial" w:hAnsi="Arial"/>
              </w:rPr>
            </w:pPr>
            <w:r w:rsidRPr="00503643">
              <w:rPr>
                <w:rFonts w:ascii="Arial" w:hAnsi="Arial"/>
              </w:rPr>
              <w:t>k=1 RCT</w:t>
            </w:r>
          </w:p>
        </w:tc>
        <w:tc>
          <w:tcPr>
            <w:tcW w:w="1701" w:type="dxa"/>
          </w:tcPr>
          <w:p w:rsidR="00FC3493" w:rsidRPr="00503643" w:rsidRDefault="00FC3493" w:rsidP="00FC3493">
            <w:pPr>
              <w:pStyle w:val="TableText0"/>
              <w:spacing w:before="20" w:after="20"/>
              <w:rPr>
                <w:rFonts w:ascii="Arial" w:hAnsi="Arial"/>
              </w:rPr>
            </w:pPr>
            <w:r w:rsidRPr="00503643">
              <w:rPr>
                <w:rFonts w:ascii="Arial" w:hAnsi="Arial"/>
              </w:rPr>
              <w:t>Risk of bias: 0</w:t>
            </w:r>
          </w:p>
          <w:p w:rsidR="00FC3493" w:rsidRPr="00503643" w:rsidRDefault="00FC3493" w:rsidP="00FC3493">
            <w:pPr>
              <w:pStyle w:val="TableText0"/>
              <w:spacing w:before="20" w:after="20"/>
              <w:rPr>
                <w:rFonts w:ascii="Arial" w:hAnsi="Arial"/>
              </w:rPr>
            </w:pPr>
            <w:r w:rsidRPr="00503643">
              <w:rPr>
                <w:rFonts w:ascii="Arial" w:hAnsi="Arial"/>
              </w:rPr>
              <w:t>Inconsistency: 0</w:t>
            </w:r>
          </w:p>
          <w:p w:rsidR="00FC3493" w:rsidRPr="00503643" w:rsidRDefault="00FC3493" w:rsidP="00FC3493">
            <w:pPr>
              <w:pStyle w:val="TableText0"/>
              <w:spacing w:before="20" w:after="20"/>
              <w:rPr>
                <w:rFonts w:ascii="Arial" w:hAnsi="Arial"/>
              </w:rPr>
            </w:pPr>
            <w:r w:rsidRPr="00503643">
              <w:rPr>
                <w:rFonts w:ascii="Arial" w:hAnsi="Arial"/>
              </w:rPr>
              <w:t>Indirectness: 0</w:t>
            </w:r>
          </w:p>
          <w:p w:rsidR="00FC3493" w:rsidRPr="00503643" w:rsidRDefault="00FC3493" w:rsidP="00FC3493">
            <w:pPr>
              <w:pStyle w:val="TableText0"/>
              <w:spacing w:before="20" w:after="20"/>
              <w:rPr>
                <w:rFonts w:ascii="Arial" w:hAnsi="Arial"/>
              </w:rPr>
            </w:pPr>
            <w:r w:rsidRPr="00503643">
              <w:rPr>
                <w:rFonts w:ascii="Arial" w:hAnsi="Arial"/>
              </w:rPr>
              <w:t>Imprecision: −2</w:t>
            </w:r>
          </w:p>
          <w:p w:rsidR="00FC3493" w:rsidRPr="00503643" w:rsidRDefault="00FC3493" w:rsidP="00FC3493">
            <w:pPr>
              <w:pStyle w:val="TableText0"/>
              <w:spacing w:before="20" w:after="20"/>
              <w:rPr>
                <w:rFonts w:ascii="Arial" w:hAnsi="Arial"/>
              </w:rPr>
            </w:pPr>
            <w:r w:rsidRPr="00503643">
              <w:rPr>
                <w:rFonts w:ascii="Arial" w:hAnsi="Arial"/>
              </w:rPr>
              <w:t>Publication bias: 0</w:t>
            </w:r>
          </w:p>
          <w:p w:rsidR="00FC3493" w:rsidRPr="00503643" w:rsidRDefault="00FC3493" w:rsidP="00FC3493">
            <w:pPr>
              <w:pStyle w:val="TableText0"/>
              <w:spacing w:before="20" w:after="20"/>
              <w:rPr>
                <w:rFonts w:ascii="Arial" w:hAnsi="Arial"/>
              </w:rPr>
            </w:pPr>
            <w:r w:rsidRPr="00503643">
              <w:rPr>
                <w:rFonts w:ascii="Arial" w:hAnsi="Arial"/>
              </w:rPr>
              <w:t>Association: 0</w:t>
            </w:r>
          </w:p>
        </w:tc>
        <w:tc>
          <w:tcPr>
            <w:tcW w:w="1555" w:type="dxa"/>
          </w:tcPr>
          <w:p w:rsidR="00FC3493" w:rsidRPr="00503643" w:rsidRDefault="00FC3493" w:rsidP="00FC3493">
            <w:pPr>
              <w:pStyle w:val="TableText0"/>
              <w:spacing w:before="20" w:after="20"/>
              <w:rPr>
                <w:rFonts w:ascii="Arial" w:hAnsi="Arial"/>
              </w:rPr>
            </w:pPr>
            <w:r w:rsidRPr="00503643">
              <w:rPr>
                <w:rFonts w:ascii="Arial" w:hAnsi="Arial"/>
              </w:rPr>
              <w:t>RR = 1.00 (95% CI 0.07, 15.00)</w:t>
            </w:r>
          </w:p>
        </w:tc>
        <w:tc>
          <w:tcPr>
            <w:tcW w:w="2409" w:type="dxa"/>
          </w:tcPr>
          <w:p w:rsidR="00FC3493" w:rsidRPr="00503643" w:rsidRDefault="00FC3493" w:rsidP="00FC3493">
            <w:pPr>
              <w:pStyle w:val="TableText0"/>
              <w:spacing w:before="20" w:after="20"/>
              <w:rPr>
                <w:rFonts w:ascii="Arial" w:hAnsi="Arial"/>
              </w:rPr>
            </w:pPr>
            <w:r w:rsidRPr="00503643">
              <w:rPr>
                <w:rFonts w:ascii="Arial" w:hAnsi="Arial"/>
              </w:rPr>
              <w:t xml:space="preserve">The same proportion of patients improved their WHO FC taking a PDE-5 inhibitor compared with placebo, </w:t>
            </w:r>
            <w:r w:rsidR="00DD704F" w:rsidRPr="00503643">
              <w:rPr>
                <w:rFonts w:ascii="Arial" w:hAnsi="Arial"/>
              </w:rPr>
              <w:t>but the wide 95% CI indicates that the study was underpowered for this outcome</w:t>
            </w:r>
          </w:p>
        </w:tc>
        <w:tc>
          <w:tcPr>
            <w:tcW w:w="1134" w:type="dxa"/>
          </w:tcPr>
          <w:p w:rsidR="00FC3493" w:rsidRPr="00503643" w:rsidRDefault="00FC3493" w:rsidP="00FC3493">
            <w:pPr>
              <w:pStyle w:val="TableText0"/>
              <w:spacing w:before="20" w:after="20"/>
              <w:rPr>
                <w:rFonts w:ascii="Arial" w:hAnsi="Arial"/>
              </w:rPr>
            </w:pPr>
            <w:r w:rsidRPr="00503643">
              <w:rPr>
                <w:rFonts w:ascii="Arial" w:hAnsi="Arial"/>
              </w:rPr>
              <w:t>Low</w:t>
            </w:r>
          </w:p>
          <w:p w:rsidR="00FC3493" w:rsidRPr="00503643" w:rsidRDefault="00FC3493" w:rsidP="00FC3493">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color w:val="C00000"/>
              </w:rPr>
              <w:t>⨀⨀</w:t>
            </w:r>
          </w:p>
          <w:p w:rsidR="00FC3493" w:rsidRPr="00503643" w:rsidRDefault="00FC3493" w:rsidP="00FC3493">
            <w:pPr>
              <w:pStyle w:val="TableText0"/>
              <w:spacing w:before="20" w:after="20"/>
              <w:rPr>
                <w:rFonts w:ascii="Arial" w:hAnsi="Arial"/>
              </w:rPr>
            </w:pPr>
            <w:r w:rsidRPr="00503643">
              <w:rPr>
                <w:rFonts w:ascii="Arial" w:hAnsi="Arial"/>
              </w:rPr>
              <w:t>Important</w:t>
            </w:r>
          </w:p>
        </w:tc>
      </w:tr>
      <w:tr w:rsidR="00FC3493" w:rsidRPr="006316DF" w:rsidTr="00796F18">
        <w:tc>
          <w:tcPr>
            <w:tcW w:w="1560" w:type="dxa"/>
          </w:tcPr>
          <w:p w:rsidR="00FC3493" w:rsidRPr="00503643" w:rsidRDefault="00FC3493" w:rsidP="00FC3493">
            <w:pPr>
              <w:pStyle w:val="TableText0"/>
              <w:spacing w:before="20" w:after="20"/>
              <w:rPr>
                <w:rFonts w:ascii="Arial" w:hAnsi="Arial"/>
              </w:rPr>
            </w:pPr>
            <w:r w:rsidRPr="00503643">
              <w:rPr>
                <w:rFonts w:ascii="Arial" w:hAnsi="Arial"/>
              </w:rPr>
              <w:t>Worsened WHO FC</w:t>
            </w:r>
          </w:p>
        </w:tc>
        <w:tc>
          <w:tcPr>
            <w:tcW w:w="1275" w:type="dxa"/>
          </w:tcPr>
          <w:p w:rsidR="00FC3493" w:rsidRPr="00503643" w:rsidRDefault="00FC3493" w:rsidP="00FC3493">
            <w:pPr>
              <w:pStyle w:val="TableText0"/>
              <w:spacing w:before="20" w:after="20"/>
              <w:rPr>
                <w:rFonts w:ascii="Arial" w:hAnsi="Arial"/>
              </w:rPr>
            </w:pPr>
            <w:r w:rsidRPr="00503643">
              <w:rPr>
                <w:rFonts w:ascii="Arial" w:hAnsi="Arial"/>
              </w:rPr>
              <w:t>N=22</w:t>
            </w:r>
          </w:p>
          <w:p w:rsidR="00FC3493" w:rsidRPr="00503643" w:rsidRDefault="00FC3493" w:rsidP="00FC3493">
            <w:pPr>
              <w:pStyle w:val="TableText0"/>
              <w:spacing w:before="20" w:after="20"/>
              <w:rPr>
                <w:rFonts w:ascii="Arial" w:hAnsi="Arial"/>
              </w:rPr>
            </w:pPr>
            <w:r w:rsidRPr="00503643">
              <w:rPr>
                <w:rFonts w:ascii="Arial" w:hAnsi="Arial"/>
              </w:rPr>
              <w:t>k=1 RCT</w:t>
            </w:r>
          </w:p>
        </w:tc>
        <w:tc>
          <w:tcPr>
            <w:tcW w:w="1701" w:type="dxa"/>
          </w:tcPr>
          <w:p w:rsidR="00FC3493" w:rsidRPr="00503643" w:rsidRDefault="00FC3493" w:rsidP="00FC3493">
            <w:pPr>
              <w:pStyle w:val="TableText0"/>
              <w:spacing w:before="20" w:after="20"/>
              <w:rPr>
                <w:rFonts w:ascii="Arial" w:hAnsi="Arial"/>
              </w:rPr>
            </w:pPr>
            <w:r w:rsidRPr="00503643">
              <w:rPr>
                <w:rFonts w:ascii="Arial" w:hAnsi="Arial"/>
              </w:rPr>
              <w:t>Risk of bias: 0</w:t>
            </w:r>
          </w:p>
          <w:p w:rsidR="00FC3493" w:rsidRPr="00503643" w:rsidRDefault="00FC3493" w:rsidP="00FC3493">
            <w:pPr>
              <w:pStyle w:val="TableText0"/>
              <w:spacing w:before="20" w:after="20"/>
              <w:rPr>
                <w:rFonts w:ascii="Arial" w:hAnsi="Arial"/>
              </w:rPr>
            </w:pPr>
            <w:r w:rsidRPr="00503643">
              <w:rPr>
                <w:rFonts w:ascii="Arial" w:hAnsi="Arial"/>
              </w:rPr>
              <w:t>Inconsistency: 0</w:t>
            </w:r>
          </w:p>
          <w:p w:rsidR="00FC3493" w:rsidRPr="00503643" w:rsidRDefault="00FC3493" w:rsidP="00FC3493">
            <w:pPr>
              <w:pStyle w:val="TableText0"/>
              <w:spacing w:before="20" w:after="20"/>
              <w:rPr>
                <w:rFonts w:ascii="Arial" w:hAnsi="Arial"/>
              </w:rPr>
            </w:pPr>
            <w:r w:rsidRPr="00503643">
              <w:rPr>
                <w:rFonts w:ascii="Arial" w:hAnsi="Arial"/>
              </w:rPr>
              <w:t>Indirectness: 0</w:t>
            </w:r>
          </w:p>
          <w:p w:rsidR="00FC3493" w:rsidRPr="00503643" w:rsidRDefault="00FC3493" w:rsidP="00FC3493">
            <w:pPr>
              <w:pStyle w:val="TableText0"/>
              <w:spacing w:before="20" w:after="20"/>
              <w:rPr>
                <w:rFonts w:ascii="Arial" w:hAnsi="Arial"/>
              </w:rPr>
            </w:pPr>
            <w:r w:rsidRPr="00503643">
              <w:rPr>
                <w:rFonts w:ascii="Arial" w:hAnsi="Arial"/>
              </w:rPr>
              <w:t>Imprecision: −2</w:t>
            </w:r>
          </w:p>
          <w:p w:rsidR="00FC3493" w:rsidRPr="00503643" w:rsidRDefault="00FC3493" w:rsidP="00FC3493">
            <w:pPr>
              <w:pStyle w:val="TableText0"/>
              <w:spacing w:before="20" w:after="20"/>
              <w:rPr>
                <w:rFonts w:ascii="Arial" w:hAnsi="Arial"/>
              </w:rPr>
            </w:pPr>
            <w:r w:rsidRPr="00503643">
              <w:rPr>
                <w:rFonts w:ascii="Arial" w:hAnsi="Arial"/>
              </w:rPr>
              <w:t>Publication bias: 0</w:t>
            </w:r>
          </w:p>
          <w:p w:rsidR="00FC3493" w:rsidRPr="00503643" w:rsidRDefault="00FC3493" w:rsidP="00FC3493">
            <w:pPr>
              <w:pStyle w:val="TableText0"/>
              <w:spacing w:before="20" w:after="20"/>
              <w:rPr>
                <w:rFonts w:ascii="Arial" w:hAnsi="Arial"/>
              </w:rPr>
            </w:pPr>
            <w:r w:rsidRPr="00503643">
              <w:rPr>
                <w:rFonts w:ascii="Arial" w:hAnsi="Arial"/>
              </w:rPr>
              <w:t>Association:</w:t>
            </w:r>
          </w:p>
        </w:tc>
        <w:tc>
          <w:tcPr>
            <w:tcW w:w="1555" w:type="dxa"/>
          </w:tcPr>
          <w:p w:rsidR="00FC3493" w:rsidRPr="00503643" w:rsidRDefault="00FC3493" w:rsidP="00FC3493">
            <w:pPr>
              <w:pStyle w:val="TableText0"/>
              <w:spacing w:before="20" w:after="20"/>
              <w:rPr>
                <w:rFonts w:ascii="Arial" w:hAnsi="Arial"/>
              </w:rPr>
            </w:pPr>
            <w:r w:rsidRPr="00503643">
              <w:rPr>
                <w:rFonts w:ascii="Arial" w:hAnsi="Arial"/>
              </w:rPr>
              <w:t>Not estimable</w:t>
            </w:r>
          </w:p>
        </w:tc>
        <w:tc>
          <w:tcPr>
            <w:tcW w:w="2409" w:type="dxa"/>
          </w:tcPr>
          <w:p w:rsidR="00FC3493" w:rsidRPr="00503643" w:rsidRDefault="00FC3493" w:rsidP="00FC3493">
            <w:pPr>
              <w:pStyle w:val="TableText0"/>
              <w:spacing w:before="20" w:after="20"/>
              <w:rPr>
                <w:rFonts w:ascii="Arial" w:hAnsi="Arial"/>
              </w:rPr>
            </w:pPr>
            <w:r w:rsidRPr="00503643">
              <w:rPr>
                <w:rFonts w:ascii="Arial" w:hAnsi="Arial"/>
              </w:rPr>
              <w:t>The WHO FC did not worsen for any patient during the study period</w:t>
            </w:r>
          </w:p>
        </w:tc>
        <w:tc>
          <w:tcPr>
            <w:tcW w:w="1134" w:type="dxa"/>
          </w:tcPr>
          <w:p w:rsidR="00FC3493" w:rsidRPr="00503643" w:rsidRDefault="00FC3493" w:rsidP="00FC3493">
            <w:pPr>
              <w:pStyle w:val="TableText0"/>
              <w:spacing w:before="20" w:after="20"/>
              <w:rPr>
                <w:rFonts w:ascii="Arial" w:hAnsi="Arial"/>
              </w:rPr>
            </w:pPr>
            <w:r w:rsidRPr="00503643">
              <w:rPr>
                <w:rFonts w:ascii="Arial" w:hAnsi="Arial"/>
              </w:rPr>
              <w:t>Low</w:t>
            </w:r>
          </w:p>
          <w:p w:rsidR="00FC3493" w:rsidRPr="00503643" w:rsidRDefault="00FC3493" w:rsidP="00FC3493">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bCs/>
                <w:color w:val="C00000"/>
              </w:rPr>
              <w:t>⨀⨀</w:t>
            </w:r>
          </w:p>
          <w:p w:rsidR="00FC3493" w:rsidRPr="00503643" w:rsidRDefault="00FC3493" w:rsidP="00FC3493">
            <w:pPr>
              <w:pStyle w:val="TableText0"/>
              <w:spacing w:before="20" w:after="20"/>
              <w:rPr>
                <w:rFonts w:ascii="Arial" w:hAnsi="Arial"/>
              </w:rPr>
            </w:pPr>
            <w:r w:rsidRPr="00503643">
              <w:rPr>
                <w:rFonts w:ascii="Arial" w:hAnsi="Arial"/>
              </w:rPr>
              <w:t>Important</w:t>
            </w:r>
          </w:p>
        </w:tc>
      </w:tr>
      <w:tr w:rsidR="00FC3493" w:rsidRPr="006316DF" w:rsidTr="00796F18">
        <w:tc>
          <w:tcPr>
            <w:tcW w:w="1560" w:type="dxa"/>
          </w:tcPr>
          <w:p w:rsidR="00FC3493" w:rsidRPr="00503643" w:rsidRDefault="00FC3493" w:rsidP="00FC3493">
            <w:pPr>
              <w:pStyle w:val="TableText0"/>
              <w:spacing w:before="20" w:after="20"/>
              <w:rPr>
                <w:rFonts w:ascii="Arial" w:hAnsi="Arial"/>
              </w:rPr>
            </w:pPr>
            <w:r w:rsidRPr="00503643">
              <w:rPr>
                <w:rFonts w:ascii="Arial" w:hAnsi="Arial"/>
              </w:rPr>
              <w:t>Change in 6MWD from baseline</w:t>
            </w:r>
          </w:p>
        </w:tc>
        <w:tc>
          <w:tcPr>
            <w:tcW w:w="1275" w:type="dxa"/>
          </w:tcPr>
          <w:p w:rsidR="00FC3493" w:rsidRPr="00503643" w:rsidRDefault="00FC3493" w:rsidP="00FC3493">
            <w:pPr>
              <w:pStyle w:val="TableText0"/>
              <w:spacing w:before="20" w:after="20"/>
              <w:rPr>
                <w:rFonts w:ascii="Arial" w:hAnsi="Arial"/>
              </w:rPr>
            </w:pPr>
            <w:r w:rsidRPr="00503643">
              <w:rPr>
                <w:rFonts w:ascii="Arial" w:hAnsi="Arial"/>
              </w:rPr>
              <w:t>N=73</w:t>
            </w:r>
          </w:p>
          <w:p w:rsidR="00FC3493" w:rsidRPr="00503643" w:rsidRDefault="00FC3493" w:rsidP="00FC3493">
            <w:pPr>
              <w:pStyle w:val="TableText0"/>
              <w:spacing w:before="20" w:after="20"/>
              <w:rPr>
                <w:rFonts w:ascii="Arial" w:hAnsi="Arial"/>
              </w:rPr>
            </w:pPr>
            <w:r w:rsidRPr="00503643">
              <w:rPr>
                <w:rFonts w:ascii="Arial" w:hAnsi="Arial"/>
              </w:rPr>
              <w:t>k=2 RCTs</w:t>
            </w:r>
          </w:p>
        </w:tc>
        <w:tc>
          <w:tcPr>
            <w:tcW w:w="1701" w:type="dxa"/>
          </w:tcPr>
          <w:p w:rsidR="00FC3493" w:rsidRPr="00503643" w:rsidRDefault="00FC3493" w:rsidP="00FC3493">
            <w:pPr>
              <w:pStyle w:val="TableText0"/>
              <w:spacing w:before="20" w:after="20"/>
              <w:rPr>
                <w:rFonts w:ascii="Arial" w:hAnsi="Arial"/>
              </w:rPr>
            </w:pPr>
            <w:r w:rsidRPr="00503643">
              <w:rPr>
                <w:rFonts w:ascii="Arial" w:hAnsi="Arial"/>
              </w:rPr>
              <w:t>Risk of bias: −1</w:t>
            </w:r>
          </w:p>
          <w:p w:rsidR="00FC3493" w:rsidRPr="00503643" w:rsidRDefault="00FC3493" w:rsidP="00FC3493">
            <w:pPr>
              <w:pStyle w:val="TableText0"/>
              <w:spacing w:before="20" w:after="20"/>
              <w:rPr>
                <w:rFonts w:ascii="Arial" w:hAnsi="Arial"/>
              </w:rPr>
            </w:pPr>
            <w:r w:rsidRPr="00503643">
              <w:rPr>
                <w:rFonts w:ascii="Arial" w:hAnsi="Arial"/>
              </w:rPr>
              <w:t>Inconsistency: 0</w:t>
            </w:r>
          </w:p>
          <w:p w:rsidR="00FC3493" w:rsidRPr="00503643" w:rsidRDefault="00FC3493" w:rsidP="00FC3493">
            <w:pPr>
              <w:pStyle w:val="TableText0"/>
              <w:spacing w:before="20" w:after="20"/>
              <w:rPr>
                <w:rFonts w:ascii="Arial" w:hAnsi="Arial"/>
              </w:rPr>
            </w:pPr>
            <w:r w:rsidRPr="00503643">
              <w:rPr>
                <w:rFonts w:ascii="Arial" w:hAnsi="Arial"/>
              </w:rPr>
              <w:t>Indirectness: −1</w:t>
            </w:r>
          </w:p>
          <w:p w:rsidR="00FC3493" w:rsidRPr="00503643" w:rsidRDefault="00FC3493" w:rsidP="00FC3493">
            <w:pPr>
              <w:pStyle w:val="TableText0"/>
              <w:spacing w:before="20" w:after="20"/>
              <w:rPr>
                <w:rFonts w:ascii="Arial" w:hAnsi="Arial"/>
              </w:rPr>
            </w:pPr>
            <w:r w:rsidRPr="00503643">
              <w:rPr>
                <w:rFonts w:ascii="Arial" w:hAnsi="Arial"/>
              </w:rPr>
              <w:t>Imprecision: 0</w:t>
            </w:r>
          </w:p>
          <w:p w:rsidR="00FC3493" w:rsidRPr="00503643" w:rsidRDefault="00FC3493" w:rsidP="00FC3493">
            <w:pPr>
              <w:pStyle w:val="TableText0"/>
              <w:spacing w:before="20" w:after="20"/>
              <w:rPr>
                <w:rFonts w:ascii="Arial" w:hAnsi="Arial"/>
              </w:rPr>
            </w:pPr>
            <w:r w:rsidRPr="00503643">
              <w:rPr>
                <w:rFonts w:ascii="Arial" w:hAnsi="Arial"/>
              </w:rPr>
              <w:t>Publication bias: 0</w:t>
            </w:r>
          </w:p>
          <w:p w:rsidR="00FC3493" w:rsidRPr="00503643" w:rsidRDefault="00FC3493" w:rsidP="00FC3493">
            <w:pPr>
              <w:pStyle w:val="TableText0"/>
              <w:spacing w:before="20" w:after="20"/>
              <w:rPr>
                <w:rFonts w:ascii="Arial" w:hAnsi="Arial"/>
              </w:rPr>
            </w:pPr>
            <w:r w:rsidRPr="00503643">
              <w:rPr>
                <w:rFonts w:ascii="Arial" w:hAnsi="Arial"/>
              </w:rPr>
              <w:t>Association: 0</w:t>
            </w:r>
          </w:p>
        </w:tc>
        <w:tc>
          <w:tcPr>
            <w:tcW w:w="1555" w:type="dxa"/>
          </w:tcPr>
          <w:p w:rsidR="00FC3493" w:rsidRPr="00503643" w:rsidRDefault="00FC3493" w:rsidP="00FC3493">
            <w:pPr>
              <w:pStyle w:val="TableText0"/>
              <w:spacing w:before="20" w:after="20"/>
              <w:rPr>
                <w:rFonts w:ascii="Arial" w:hAnsi="Arial"/>
              </w:rPr>
            </w:pPr>
            <w:r w:rsidRPr="00503643">
              <w:rPr>
                <w:rFonts w:ascii="Arial" w:eastAsiaTheme="minorEastAsia" w:hAnsi="Arial"/>
              </w:rPr>
              <w:t>Range 10.8−50.2 m further</w:t>
            </w:r>
          </w:p>
        </w:tc>
        <w:tc>
          <w:tcPr>
            <w:tcW w:w="2409" w:type="dxa"/>
          </w:tcPr>
          <w:p w:rsidR="00FC3493" w:rsidRPr="00503643" w:rsidRDefault="00FC3493" w:rsidP="00FC3493">
            <w:pPr>
              <w:pStyle w:val="TableText0"/>
              <w:spacing w:before="20" w:after="20"/>
              <w:rPr>
                <w:rFonts w:ascii="Arial" w:hAnsi="Arial"/>
              </w:rPr>
            </w:pPr>
            <w:r w:rsidRPr="00503643">
              <w:rPr>
                <w:rFonts w:ascii="Arial" w:hAnsi="Arial"/>
              </w:rPr>
              <w:t>Patients treated with a PDE-5 inhibitor had a larger improvement in 6MWD compared with those on placebo</w:t>
            </w:r>
            <w:r w:rsidR="00DD704F" w:rsidRPr="00503643">
              <w:rPr>
                <w:rFonts w:ascii="Arial" w:hAnsi="Arial"/>
              </w:rPr>
              <w:t>, and the difference was clinically important in 1 study</w:t>
            </w:r>
          </w:p>
        </w:tc>
        <w:tc>
          <w:tcPr>
            <w:tcW w:w="1134" w:type="dxa"/>
          </w:tcPr>
          <w:p w:rsidR="00FC3493" w:rsidRPr="00503643" w:rsidRDefault="00FC3493" w:rsidP="00FC3493">
            <w:pPr>
              <w:pStyle w:val="TableText0"/>
              <w:spacing w:before="20" w:after="20"/>
              <w:rPr>
                <w:rFonts w:ascii="Arial" w:hAnsi="Arial"/>
              </w:rPr>
            </w:pPr>
            <w:r w:rsidRPr="00503643">
              <w:rPr>
                <w:rFonts w:ascii="Arial" w:hAnsi="Arial"/>
              </w:rPr>
              <w:t>Low</w:t>
            </w:r>
          </w:p>
          <w:p w:rsidR="00FC3493" w:rsidRPr="00503643" w:rsidRDefault="00FC3493" w:rsidP="00FC3493">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color w:val="C00000"/>
              </w:rPr>
              <w:t>⨀</w:t>
            </w:r>
            <w:r w:rsidRPr="00503643">
              <w:rPr>
                <w:rFonts w:ascii="Cambria Math" w:hAnsi="Cambria Math" w:cs="Cambria Math"/>
                <w:bCs/>
                <w:color w:val="C00000"/>
              </w:rPr>
              <w:t>⨀</w:t>
            </w:r>
          </w:p>
          <w:p w:rsidR="00FC3493" w:rsidRPr="00503643" w:rsidRDefault="00FC3493" w:rsidP="00FC3493">
            <w:pPr>
              <w:pStyle w:val="TableText0"/>
              <w:spacing w:before="20" w:after="20"/>
              <w:rPr>
                <w:rFonts w:ascii="Arial" w:hAnsi="Arial"/>
              </w:rPr>
            </w:pPr>
            <w:r w:rsidRPr="00503643">
              <w:rPr>
                <w:rFonts w:ascii="Arial" w:hAnsi="Arial"/>
              </w:rPr>
              <w:t>Important</w:t>
            </w:r>
          </w:p>
        </w:tc>
      </w:tr>
    </w:tbl>
    <w:p w:rsidR="0075777C" w:rsidRPr="006316DF" w:rsidRDefault="0075777C" w:rsidP="00BC5A2B">
      <w:pPr>
        <w:pStyle w:val="Tablenote"/>
      </w:pPr>
      <w:proofErr w:type="gramStart"/>
      <w:r w:rsidRPr="006316DF">
        <w:rPr>
          <w:vertAlign w:val="superscript"/>
        </w:rPr>
        <w:t>a</w:t>
      </w:r>
      <w:proofErr w:type="gramEnd"/>
      <w:r w:rsidRPr="006316DF">
        <w:rPr>
          <w:vertAlign w:val="superscript"/>
        </w:rPr>
        <w:t xml:space="preserve"> </w:t>
      </w:r>
      <w:r w:rsidRPr="006316DF">
        <w:t>GRADE Working Group grades of evidence</w:t>
      </w:r>
      <w:r w:rsidR="001D34EE" w:rsidRPr="001D34EE">
        <w:rPr>
          <w:noProof/>
          <w:vertAlign w:val="superscript"/>
        </w:rPr>
        <w:t>1</w:t>
      </w:r>
    </w:p>
    <w:p w:rsidR="007C2D99" w:rsidRPr="006316DF" w:rsidRDefault="007C2D99" w:rsidP="007C2D99">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75777C" w:rsidRDefault="0075777C" w:rsidP="00BC5A2B">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Very low quality:</w:t>
      </w:r>
      <w:r w:rsidRPr="006316DF">
        <w:t xml:space="preserve"> We have very little confidence in the effect estimate: The true effect is likely to be substantially different from the estimate of effect</w:t>
      </w:r>
    </w:p>
    <w:p w:rsidR="0075777C" w:rsidRPr="006316DF" w:rsidRDefault="0075777C" w:rsidP="00BC5A2B">
      <w:pPr>
        <w:pStyle w:val="Tablenote"/>
      </w:pPr>
      <w:r>
        <w:t xml:space="preserve">6MWD = 6-minute </w:t>
      </w:r>
      <w:r w:rsidR="0082368E">
        <w:t>walk distance</w:t>
      </w:r>
      <w:r>
        <w:t xml:space="preserve">; CI = confidence interval; FC = functional class; </w:t>
      </w:r>
      <w:r w:rsidR="00385E5A">
        <w:t>GRADE = grading of recommendations assessment, development and evaluation</w:t>
      </w:r>
      <w:r w:rsidR="001D34EE" w:rsidRPr="001D34EE">
        <w:rPr>
          <w:noProof/>
          <w:vertAlign w:val="superscript"/>
        </w:rPr>
        <w:t>1</w:t>
      </w:r>
      <w:r w:rsidR="008E6DA8" w:rsidRPr="00DC16A3">
        <w:t xml:space="preserve">; </w:t>
      </w:r>
      <w:r w:rsidR="008E6DA8">
        <w:t xml:space="preserve">k = number of studies; </w:t>
      </w:r>
      <w:r>
        <w:t>N = number of patients; PDE-5 = p</w:t>
      </w:r>
      <w:r w:rsidRPr="00107676">
        <w:t>hosphodiesterase</w:t>
      </w:r>
      <w:r>
        <w:t xml:space="preserve"> type 5; RCT = randomised controlled trial; RR = relative risk; WHO = World Health Organization</w:t>
      </w:r>
    </w:p>
    <w:p w:rsidR="0075777C" w:rsidRDefault="0075777C" w:rsidP="0075777C">
      <w:pPr>
        <w:pStyle w:val="Heading5"/>
      </w:pPr>
      <w:r w:rsidRPr="006316DF">
        <w:t>Safety</w:t>
      </w:r>
    </w:p>
    <w:p w:rsidR="0075777C" w:rsidRPr="00CF2F31" w:rsidRDefault="00F9638D" w:rsidP="0075777C">
      <w:r w:rsidRPr="00F9638D">
        <w:t xml:space="preserve">No conclusions about the comparative safety of a PDE-5 inhibitor versus placebo in patients with WHO FC I/II PAH </w:t>
      </w:r>
      <w:proofErr w:type="gramStart"/>
      <w:r w:rsidRPr="00F9638D">
        <w:t>could be made</w:t>
      </w:r>
      <w:proofErr w:type="gramEnd"/>
      <w:r w:rsidRPr="00F9638D">
        <w:t xml:space="preserve"> due to a lack of evidence.</w:t>
      </w:r>
    </w:p>
    <w:p w:rsidR="0075777C" w:rsidRPr="006316DF" w:rsidRDefault="00441F08" w:rsidP="0075777C">
      <w:pPr>
        <w:pStyle w:val="Heading4"/>
      </w:pPr>
      <w:r>
        <w:t>4.5.1.3</w:t>
      </w:r>
      <w:r>
        <w:tab/>
      </w:r>
      <w:r w:rsidR="0075777C" w:rsidRPr="006316DF">
        <w:t>Prostanoid versus placebo</w:t>
      </w:r>
    </w:p>
    <w:p w:rsidR="0075777C" w:rsidRDefault="00F9638D" w:rsidP="0075777C">
      <w:r w:rsidRPr="00F9638D">
        <w:t>There was no evidence to inform on the safety and effectiveness of prostanoids in treating patients with WHO FC I/II PAH.</w:t>
      </w:r>
    </w:p>
    <w:p w:rsidR="0075777C" w:rsidRPr="006316DF" w:rsidRDefault="000E0079" w:rsidP="0075777C">
      <w:pPr>
        <w:pStyle w:val="Heading4"/>
      </w:pPr>
      <w:r>
        <w:t>4.5.1.4</w:t>
      </w:r>
      <w:r>
        <w:tab/>
      </w:r>
      <w:proofErr w:type="gramStart"/>
      <w:r w:rsidR="0075777C">
        <w:t>sGC</w:t>
      </w:r>
      <w:proofErr w:type="gramEnd"/>
      <w:r w:rsidR="0075777C">
        <w:t xml:space="preserve"> stimulator</w:t>
      </w:r>
      <w:r w:rsidR="0075777C" w:rsidRPr="006A4CC2">
        <w:t xml:space="preserve"> </w:t>
      </w:r>
      <w:r w:rsidR="0075777C" w:rsidRPr="006316DF">
        <w:t>versus placebo</w:t>
      </w:r>
    </w:p>
    <w:p w:rsidR="0075777C" w:rsidRPr="006316DF" w:rsidRDefault="0075777C" w:rsidP="0075777C">
      <w:pPr>
        <w:pStyle w:val="Heading5"/>
      </w:pPr>
      <w:r w:rsidRPr="006316DF">
        <w:t>Clinical effectiveness</w:t>
      </w:r>
    </w:p>
    <w:p w:rsidR="0075777C" w:rsidRPr="00796F18" w:rsidRDefault="0075777C" w:rsidP="0075777C">
      <w:r w:rsidRPr="006316DF">
        <w:t xml:space="preserve">The evidence for the </w:t>
      </w:r>
      <w:r>
        <w:t>sGC stimulators</w:t>
      </w:r>
      <w:r w:rsidRPr="006A4CC2">
        <w:t xml:space="preserve"> </w:t>
      </w:r>
      <w:r w:rsidRPr="006316DF">
        <w:t>comes from a single RCT</w:t>
      </w:r>
      <w:r w:rsidR="001D34EE" w:rsidRPr="001D34EE">
        <w:rPr>
          <w:noProof/>
          <w:vertAlign w:val="superscript"/>
        </w:rPr>
        <w:t>23</w:t>
      </w:r>
      <w:r w:rsidRPr="006316DF">
        <w:t>. The GRADE</w:t>
      </w:r>
      <w:r w:rsidR="001D34EE" w:rsidRPr="001D34EE">
        <w:rPr>
          <w:noProof/>
          <w:vertAlign w:val="superscript"/>
        </w:rPr>
        <w:t>1</w:t>
      </w:r>
      <w:r w:rsidRPr="006316DF">
        <w:t xml:space="preserve"> assessments of the outcomes when comparing a </w:t>
      </w:r>
      <w:r>
        <w:t>sGC stimulator</w:t>
      </w:r>
      <w:r w:rsidRPr="006A4CC2">
        <w:t xml:space="preserve"> </w:t>
      </w:r>
      <w:r w:rsidRPr="006316DF">
        <w:t xml:space="preserve">with placebo are reported in </w:t>
      </w:r>
      <w:r w:rsidR="002046A0">
        <w:rPr>
          <w:noProof/>
          <w:color w:val="000000"/>
          <w:highlight w:val="black"/>
        </w:rPr>
        <w:t>'''''''''' '''''''''</w:t>
      </w:r>
      <w:r>
        <w:t xml:space="preserve"> </w:t>
      </w:r>
      <w:r w:rsidR="00DA2636">
        <w:t>in Appendix 4</w:t>
      </w:r>
      <w:r w:rsidR="001B552D">
        <w:t>C</w:t>
      </w:r>
      <w:r w:rsidRPr="006316DF">
        <w:t xml:space="preserve">. A summary of these results </w:t>
      </w:r>
      <w:proofErr w:type="gramStart"/>
      <w:r w:rsidRPr="006316DF">
        <w:t>is provided</w:t>
      </w:r>
      <w:proofErr w:type="gramEnd"/>
      <w:r w:rsidRPr="006316DF">
        <w:t xml:space="preserve"> in </w:t>
      </w:r>
      <w:r w:rsidR="00FB0A80">
        <w:t>Table 4.122</w:t>
      </w:r>
      <w:r w:rsidRPr="006316DF">
        <w:t xml:space="preserve">. The evidence base for all outcomes </w:t>
      </w:r>
      <w:proofErr w:type="gramStart"/>
      <w:r w:rsidRPr="006316DF">
        <w:t>was considered</w:t>
      </w:r>
      <w:proofErr w:type="gramEnd"/>
      <w:r w:rsidRPr="006316DF">
        <w:t xml:space="preserve"> to be of high quality (GRADE </w:t>
      </w:r>
      <w:r w:rsidRPr="008727D6">
        <w:rPr>
          <w:rFonts w:ascii="Cambria Math" w:eastAsia="Times New Roman" w:hAnsi="Cambria Math" w:cs="Tahoma"/>
          <w:bCs/>
          <w:color w:val="00B050"/>
        </w:rPr>
        <w:t>⨁⨁⨁⨁</w:t>
      </w:r>
      <w:r w:rsidRPr="00796F18">
        <w:t xml:space="preserve">). Thus, the true effect of treating WHO FC I/II PAH with </w:t>
      </w:r>
      <w:proofErr w:type="gramStart"/>
      <w:r w:rsidRPr="00796F18">
        <w:t>an</w:t>
      </w:r>
      <w:proofErr w:type="gramEnd"/>
      <w:r w:rsidRPr="00796F18">
        <w:t xml:space="preserve"> </w:t>
      </w:r>
      <w:r w:rsidR="00F05E1B">
        <w:t>sGC stimulator</w:t>
      </w:r>
      <w:r w:rsidRPr="00796F18">
        <w:t xml:space="preserve"> compared with placebo is likely to be close to the reported point estimate.</w:t>
      </w:r>
    </w:p>
    <w:p w:rsidR="0075777C" w:rsidRPr="00F05153" w:rsidRDefault="0075777C" w:rsidP="0075777C">
      <w:r w:rsidRPr="00F05153">
        <w:t xml:space="preserve">When taking GRADE into account, the evidence favouring the use of a sGC stimulator over placebo </w:t>
      </w:r>
      <w:r w:rsidR="002046A0">
        <w:rPr>
          <w:noProof/>
          <w:color w:val="000000"/>
          <w:highlight w:val="black"/>
        </w:rPr>
        <w:t>'''''''' '''''''''''''''''''''' '''''''''''''''''' '''''' ''''''''' '''''''' ''''''''''''''''''' '''' '''''''''''''''''''''' ''''''''''''''''''' ''''' '''''''''' '''''</w:t>
      </w:r>
      <w:r w:rsidRPr="00F05153">
        <w:t xml:space="preserve">. There was also </w:t>
      </w:r>
      <w:r w:rsidR="002046A0">
        <w:rPr>
          <w:noProof/>
          <w:color w:val="000000"/>
          <w:highlight w:val="black"/>
        </w:rPr>
        <w:t>''' '''''''''''''''' ''''''''''''''''''''</w:t>
      </w:r>
      <w:r w:rsidRPr="00F05153">
        <w:t xml:space="preserve"> placebo-adjusted mean difference </w:t>
      </w:r>
      <w:r w:rsidR="002046A0">
        <w:rPr>
          <w:noProof/>
          <w:color w:val="000000"/>
          <w:highlight w:val="black"/>
        </w:rPr>
        <w:t>'''' '''''''''''''''''''''''''''</w:t>
      </w:r>
      <w:r w:rsidRPr="00F05153">
        <w:t xml:space="preserve"> of the haemodynamic parameter, PVR. There was </w:t>
      </w:r>
      <w:r w:rsidR="002046A0">
        <w:rPr>
          <w:noProof/>
          <w:color w:val="000000"/>
          <w:highlight w:val="black"/>
        </w:rPr>
        <w:t>''''''' ''''''''''''''''</w:t>
      </w:r>
      <w:r w:rsidRPr="00F05153">
        <w:t xml:space="preserve"> to determine whether treatment with </w:t>
      </w:r>
      <w:proofErr w:type="gramStart"/>
      <w:r w:rsidRPr="00F05153">
        <w:t>an</w:t>
      </w:r>
      <w:proofErr w:type="gramEnd"/>
      <w:r w:rsidRPr="00F05153">
        <w:t xml:space="preserve"> sGC stimulator prevents hospitalisation. This was also true for preventing mortality </w:t>
      </w:r>
      <w:r w:rsidR="002046A0">
        <w:rPr>
          <w:noProof/>
          <w:color w:val="000000"/>
          <w:highlight w:val="black"/>
        </w:rPr>
        <w:t>''''' ''''''''' '''''''</w:t>
      </w:r>
      <w:r w:rsidRPr="00F05153">
        <w:t xml:space="preserve"> </w:t>
      </w:r>
      <w:r w:rsidR="002046A0">
        <w:rPr>
          <w:noProof/>
          <w:color w:val="000000"/>
          <w:highlight w:val="black"/>
        </w:rPr>
        <w:t>'''''''''''' '''''' ''''''' '''''''''''''''''' ''''''''''''''''''''' ''''''''</w:t>
      </w:r>
      <w:r w:rsidRPr="00F05153">
        <w:t xml:space="preserve"> over the 12-week study period. There was </w:t>
      </w:r>
      <w:r w:rsidR="002046A0">
        <w:rPr>
          <w:noProof/>
          <w:color w:val="000000"/>
          <w:highlight w:val="black"/>
        </w:rPr>
        <w:t xml:space="preserve">'''''''''' ''''''''''''''''''''''' ''''''' '''' '''''' ''''''''' ''''''' </w:t>
      </w:r>
      <w:r w:rsidRPr="00F05153">
        <w:t>for the remaining outcomes. Giv</w:t>
      </w:r>
      <w:r w:rsidR="00B050ED" w:rsidRPr="00F05153">
        <w:t>en the short study period of 12 </w:t>
      </w:r>
      <w:r w:rsidRPr="00F05153">
        <w:t xml:space="preserve">weeks, the study was </w:t>
      </w:r>
      <w:r w:rsidR="002046A0">
        <w:rPr>
          <w:noProof/>
          <w:color w:val="000000"/>
          <w:highlight w:val="black"/>
        </w:rPr>
        <w:t>'''''''''' ''''''''' ''''''''''''''''''''''''''' ''''' '''''''''''' ''' ''''''''' ''''''''''' ''''' '''' ''''''''''''''''''</w:t>
      </w:r>
      <w:r w:rsidRPr="00F05153">
        <w:t>.</w:t>
      </w:r>
    </w:p>
    <w:p w:rsidR="0075777C" w:rsidRPr="006316DF" w:rsidRDefault="00796F18" w:rsidP="0075777C">
      <w:r w:rsidRPr="00F05153">
        <w:t xml:space="preserve">Thus, there is </w:t>
      </w:r>
      <w:r w:rsidR="002046A0">
        <w:rPr>
          <w:noProof/>
          <w:color w:val="000000"/>
          <w:highlight w:val="black"/>
        </w:rPr>
        <w:t>'''''''''''''''''''''''' ''''''''''''''''''''''''</w:t>
      </w:r>
      <w:r w:rsidRPr="00F05153">
        <w:t xml:space="preserve"> as to whether the use of a sGC stimulator medication to treat patients with WHO FC I/II PAH </w:t>
      </w:r>
      <w:r w:rsidR="002046A0">
        <w:rPr>
          <w:noProof/>
          <w:color w:val="000000"/>
          <w:highlight w:val="black"/>
        </w:rPr>
        <w:t>''' ''''''''''''''''''</w:t>
      </w:r>
      <w:r w:rsidRPr="00F05153">
        <w:t>.</w:t>
      </w:r>
    </w:p>
    <w:p w:rsidR="005E60A7" w:rsidRDefault="005E60A7">
      <w:pPr>
        <w:spacing w:before="0" w:line="240" w:lineRule="auto"/>
        <w:rPr>
          <w:rFonts w:ascii="Arial" w:hAnsi="Arial"/>
          <w:b/>
          <w:iCs/>
          <w:sz w:val="20"/>
          <w:szCs w:val="18"/>
        </w:rPr>
      </w:pPr>
      <w:bookmarkStart w:id="348" w:name="_Ref501370028"/>
      <w:r>
        <w:br w:type="page"/>
      </w:r>
    </w:p>
    <w:p w:rsidR="0075777C" w:rsidRPr="006316DF" w:rsidRDefault="00272F8F" w:rsidP="00BC5A2B">
      <w:pPr>
        <w:pStyle w:val="Caption"/>
        <w:rPr>
          <w:noProof/>
          <w:snapToGrid w:val="0"/>
        </w:rPr>
      </w:pPr>
      <w:bookmarkStart w:id="349" w:name="_Toc38360419"/>
      <w:r>
        <w:t>Table 4.</w:t>
      </w:r>
      <w:r w:rsidR="003951FA">
        <w:rPr>
          <w:noProof/>
        </w:rPr>
        <w:t>122</w:t>
      </w:r>
      <w:bookmarkEnd w:id="348"/>
      <w:r w:rsidR="00796F18">
        <w:tab/>
      </w:r>
      <w:r w:rsidR="0075777C" w:rsidRPr="006316DF">
        <w:rPr>
          <w:noProof/>
          <w:snapToGrid w:val="0"/>
        </w:rPr>
        <w:t xml:space="preserve">Balance of clinical benefits and harms of </w:t>
      </w:r>
      <w:r w:rsidR="007E59EC">
        <w:rPr>
          <w:noProof/>
          <w:snapToGrid w:val="0"/>
        </w:rPr>
        <w:t xml:space="preserve">a </w:t>
      </w:r>
      <w:r w:rsidR="0075777C">
        <w:rPr>
          <w:noProof/>
          <w:snapToGrid w:val="0"/>
        </w:rPr>
        <w:t>sGC stimulator</w:t>
      </w:r>
      <w:r w:rsidR="0075777C" w:rsidRPr="006316DF">
        <w:rPr>
          <w:noProof/>
          <w:snapToGrid w:val="0"/>
        </w:rPr>
        <w:t>, relative to placebo</w:t>
      </w:r>
      <w:bookmarkEnd w:id="349"/>
    </w:p>
    <w:tbl>
      <w:tblPr>
        <w:tblStyle w:val="TableGrid"/>
        <w:tblW w:w="9634" w:type="dxa"/>
        <w:tblLayout w:type="fixed"/>
        <w:tblLook w:val="04A0" w:firstRow="1" w:lastRow="0" w:firstColumn="1" w:lastColumn="0" w:noHBand="0" w:noVBand="1"/>
        <w:tblCaption w:val="Balance of clinical benefits and harms of a sGC stimulator, relative to placebo"/>
      </w:tblPr>
      <w:tblGrid>
        <w:gridCol w:w="1560"/>
        <w:gridCol w:w="1275"/>
        <w:gridCol w:w="1701"/>
        <w:gridCol w:w="1555"/>
        <w:gridCol w:w="2409"/>
        <w:gridCol w:w="1134"/>
      </w:tblGrid>
      <w:tr w:rsidR="0075777C" w:rsidRPr="00796F18" w:rsidTr="00796F18">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503643" w:rsidRDefault="0075777C" w:rsidP="00796F18">
            <w:pPr>
              <w:pStyle w:val="TableText0"/>
              <w:spacing w:before="20" w:after="20"/>
              <w:rPr>
                <w:rFonts w:ascii="Arial" w:hAnsi="Arial"/>
                <w:b/>
                <w:noProof/>
              </w:rPr>
            </w:pPr>
            <w:r w:rsidRPr="00503643">
              <w:rPr>
                <w:rFonts w:ascii="Arial" w:hAnsi="Arial"/>
                <w:b/>
                <w:noProof/>
              </w:rPr>
              <w:t xml:space="preserve">Outcomes </w:t>
            </w:r>
          </w:p>
        </w:tc>
        <w:tc>
          <w:tcPr>
            <w:tcW w:w="1275" w:type="dxa"/>
          </w:tcPr>
          <w:p w:rsidR="0075777C" w:rsidRPr="00503643" w:rsidRDefault="0075777C" w:rsidP="00796F18">
            <w:pPr>
              <w:pStyle w:val="TableText0"/>
              <w:spacing w:before="20" w:after="20"/>
              <w:rPr>
                <w:rFonts w:ascii="Arial" w:hAnsi="Arial"/>
                <w:b/>
                <w:noProof/>
              </w:rPr>
            </w:pPr>
            <w:r w:rsidRPr="00503643">
              <w:rPr>
                <w:rFonts w:ascii="Arial" w:hAnsi="Arial"/>
                <w:b/>
                <w:noProof/>
              </w:rPr>
              <w:t>Participants (studies)</w:t>
            </w:r>
          </w:p>
        </w:tc>
        <w:tc>
          <w:tcPr>
            <w:tcW w:w="1701" w:type="dxa"/>
          </w:tcPr>
          <w:p w:rsidR="0075777C" w:rsidRPr="00503643" w:rsidRDefault="0075777C" w:rsidP="00796F18">
            <w:pPr>
              <w:pStyle w:val="TableText0"/>
              <w:spacing w:before="20" w:after="20"/>
              <w:rPr>
                <w:rFonts w:ascii="Arial" w:hAnsi="Arial"/>
                <w:b/>
                <w:noProof/>
              </w:rPr>
            </w:pPr>
            <w:r w:rsidRPr="00503643">
              <w:rPr>
                <w:rFonts w:ascii="Arial" w:hAnsi="Arial"/>
                <w:b/>
                <w:noProof/>
              </w:rPr>
              <w:t>Quality of evidence</w:t>
            </w:r>
          </w:p>
        </w:tc>
        <w:tc>
          <w:tcPr>
            <w:tcW w:w="1555" w:type="dxa"/>
          </w:tcPr>
          <w:p w:rsidR="0075777C" w:rsidRPr="00503643" w:rsidRDefault="0075777C" w:rsidP="00796F18">
            <w:pPr>
              <w:pStyle w:val="TableText0"/>
              <w:spacing w:before="20" w:after="20"/>
              <w:rPr>
                <w:rFonts w:ascii="Arial" w:hAnsi="Arial"/>
                <w:b/>
                <w:noProof/>
              </w:rPr>
            </w:pPr>
            <w:r w:rsidRPr="00503643">
              <w:rPr>
                <w:rFonts w:ascii="Arial" w:hAnsi="Arial"/>
                <w:b/>
                <w:noProof/>
              </w:rPr>
              <w:t>Results</w:t>
            </w:r>
          </w:p>
        </w:tc>
        <w:tc>
          <w:tcPr>
            <w:tcW w:w="2409" w:type="dxa"/>
          </w:tcPr>
          <w:p w:rsidR="0075777C" w:rsidRPr="00503643" w:rsidRDefault="0075777C" w:rsidP="00796F18">
            <w:pPr>
              <w:pStyle w:val="TableText0"/>
              <w:spacing w:before="20" w:after="20"/>
              <w:rPr>
                <w:rFonts w:ascii="Arial" w:hAnsi="Arial"/>
                <w:b/>
                <w:noProof/>
              </w:rPr>
            </w:pPr>
            <w:r w:rsidRPr="00503643">
              <w:rPr>
                <w:rFonts w:ascii="Arial" w:hAnsi="Arial"/>
                <w:b/>
                <w:noProof/>
              </w:rPr>
              <w:t>Interpretation</w:t>
            </w:r>
          </w:p>
        </w:tc>
        <w:tc>
          <w:tcPr>
            <w:tcW w:w="1134" w:type="dxa"/>
          </w:tcPr>
          <w:p w:rsidR="0075777C" w:rsidRPr="00503643" w:rsidRDefault="0075777C" w:rsidP="00796F18">
            <w:pPr>
              <w:pStyle w:val="TableText0"/>
              <w:spacing w:before="20" w:after="20"/>
              <w:rPr>
                <w:rFonts w:ascii="Arial" w:hAnsi="Arial"/>
                <w:b/>
                <w:noProof/>
              </w:rPr>
            </w:pPr>
            <w:r w:rsidRPr="00503643">
              <w:rPr>
                <w:rFonts w:ascii="Arial" w:hAnsi="Arial"/>
                <w:b/>
                <w:noProof/>
              </w:rPr>
              <w:t>GRADE</w:t>
            </w:r>
            <w:r w:rsidR="008E6DA8" w:rsidRPr="00503643">
              <w:rPr>
                <w:rFonts w:ascii="Arial" w:hAnsi="Arial"/>
                <w:b/>
                <w:noProof/>
                <w:vertAlign w:val="superscript"/>
              </w:rPr>
              <w:t>a</w:t>
            </w:r>
          </w:p>
          <w:p w:rsidR="0075777C" w:rsidRPr="00503643" w:rsidRDefault="0075777C" w:rsidP="00796F18">
            <w:pPr>
              <w:pStyle w:val="TableText0"/>
              <w:spacing w:before="20" w:after="20"/>
              <w:rPr>
                <w:rFonts w:ascii="Arial" w:hAnsi="Arial"/>
                <w:b/>
                <w:noProof/>
              </w:rPr>
            </w:pPr>
            <w:r w:rsidRPr="00503643">
              <w:rPr>
                <w:rFonts w:ascii="Arial" w:hAnsi="Arial"/>
                <w:b/>
                <w:noProof/>
              </w:rPr>
              <w:t>Importance</w:t>
            </w:r>
          </w:p>
        </w:tc>
      </w:tr>
      <w:tr w:rsidR="00FC3493" w:rsidRPr="006316DF" w:rsidTr="00796F18">
        <w:tc>
          <w:tcPr>
            <w:tcW w:w="1560" w:type="dxa"/>
          </w:tcPr>
          <w:p w:rsidR="00FC3493" w:rsidRPr="00503643" w:rsidRDefault="00FC3493" w:rsidP="00FC3493">
            <w:pPr>
              <w:pStyle w:val="TableText0"/>
              <w:spacing w:before="20" w:after="20"/>
              <w:rPr>
                <w:rFonts w:ascii="Arial" w:hAnsi="Arial"/>
              </w:rPr>
            </w:pPr>
            <w:r w:rsidRPr="00503643">
              <w:rPr>
                <w:rFonts w:ascii="Arial" w:hAnsi="Arial"/>
              </w:rPr>
              <w:t xml:space="preserve">Clinical worsening </w:t>
            </w:r>
          </w:p>
        </w:tc>
        <w:tc>
          <w:tcPr>
            <w:tcW w:w="1275" w:type="dxa"/>
          </w:tcPr>
          <w:p w:rsidR="00FC3493" w:rsidRPr="00503643" w:rsidRDefault="00FC3493" w:rsidP="00FC3493">
            <w:pPr>
              <w:pStyle w:val="TableText0"/>
              <w:spacing w:before="20" w:after="20"/>
              <w:rPr>
                <w:rFonts w:ascii="Arial" w:hAnsi="Arial"/>
              </w:rPr>
            </w:pPr>
            <w:r w:rsidRPr="00503643">
              <w:rPr>
                <w:rFonts w:ascii="Arial" w:hAnsi="Arial"/>
              </w:rPr>
              <w:t>N=107</w:t>
            </w:r>
          </w:p>
          <w:p w:rsidR="00FC3493" w:rsidRPr="00503643" w:rsidRDefault="00FC3493" w:rsidP="00FC3493">
            <w:pPr>
              <w:pStyle w:val="TableText0"/>
              <w:spacing w:before="20" w:after="20"/>
              <w:rPr>
                <w:rFonts w:ascii="Arial" w:hAnsi="Arial"/>
              </w:rPr>
            </w:pPr>
            <w:r w:rsidRPr="00503643">
              <w:rPr>
                <w:rFonts w:ascii="Arial" w:hAnsi="Arial"/>
              </w:rPr>
              <w:t>k=1 RCT</w:t>
            </w:r>
          </w:p>
        </w:tc>
        <w:tc>
          <w:tcPr>
            <w:tcW w:w="1701" w:type="dxa"/>
          </w:tcPr>
          <w:p w:rsidR="00FC3493" w:rsidRPr="00503643" w:rsidRDefault="00FC3493" w:rsidP="00FC3493">
            <w:pPr>
              <w:pStyle w:val="TableText0"/>
              <w:spacing w:before="20" w:after="20"/>
              <w:rPr>
                <w:rFonts w:ascii="Arial" w:hAnsi="Arial"/>
              </w:rPr>
            </w:pPr>
            <w:r w:rsidRPr="00503643">
              <w:rPr>
                <w:rFonts w:ascii="Arial" w:hAnsi="Arial"/>
              </w:rPr>
              <w:t>Risk of bias: 0</w:t>
            </w:r>
          </w:p>
          <w:p w:rsidR="00FC3493" w:rsidRPr="00503643" w:rsidRDefault="00FC3493" w:rsidP="00FC3493">
            <w:pPr>
              <w:pStyle w:val="TableText0"/>
              <w:spacing w:before="20" w:after="20"/>
              <w:rPr>
                <w:rFonts w:ascii="Arial" w:hAnsi="Arial"/>
              </w:rPr>
            </w:pPr>
            <w:r w:rsidRPr="00503643">
              <w:rPr>
                <w:rFonts w:ascii="Arial" w:hAnsi="Arial"/>
              </w:rPr>
              <w:t>Inconsistency: 0</w:t>
            </w:r>
          </w:p>
          <w:p w:rsidR="00FC3493" w:rsidRPr="00503643" w:rsidRDefault="00FC3493" w:rsidP="00FC3493">
            <w:pPr>
              <w:pStyle w:val="TableText0"/>
              <w:spacing w:before="20" w:after="20"/>
              <w:rPr>
                <w:rFonts w:ascii="Arial" w:hAnsi="Arial"/>
              </w:rPr>
            </w:pPr>
            <w:r w:rsidRPr="00503643">
              <w:rPr>
                <w:rFonts w:ascii="Arial" w:hAnsi="Arial"/>
              </w:rPr>
              <w:t>Indirectness: 0</w:t>
            </w:r>
          </w:p>
          <w:p w:rsidR="00FC3493" w:rsidRPr="00503643" w:rsidRDefault="00FC3493" w:rsidP="00FC3493">
            <w:pPr>
              <w:pStyle w:val="TableText0"/>
              <w:spacing w:before="20" w:after="20"/>
              <w:rPr>
                <w:rFonts w:ascii="Arial" w:hAnsi="Arial"/>
              </w:rPr>
            </w:pPr>
            <w:r w:rsidRPr="00503643">
              <w:rPr>
                <w:rFonts w:ascii="Arial" w:hAnsi="Arial"/>
              </w:rPr>
              <w:t>Imprecision: −2</w:t>
            </w:r>
          </w:p>
          <w:p w:rsidR="00FC3493" w:rsidRPr="00503643" w:rsidRDefault="00FC3493" w:rsidP="00FC3493">
            <w:pPr>
              <w:pStyle w:val="TableText0"/>
              <w:spacing w:before="20" w:after="20"/>
              <w:rPr>
                <w:rFonts w:ascii="Arial" w:hAnsi="Arial"/>
              </w:rPr>
            </w:pPr>
            <w:r w:rsidRPr="00503643">
              <w:rPr>
                <w:rFonts w:ascii="Arial" w:hAnsi="Arial"/>
              </w:rPr>
              <w:t>Publication bias: 0</w:t>
            </w:r>
          </w:p>
          <w:p w:rsidR="00FC3493" w:rsidRPr="00503643" w:rsidRDefault="00FC3493" w:rsidP="00FC3493">
            <w:pPr>
              <w:pStyle w:val="TableText0"/>
              <w:spacing w:before="20" w:after="20"/>
              <w:rPr>
                <w:rFonts w:ascii="Arial" w:hAnsi="Arial"/>
              </w:rPr>
            </w:pPr>
            <w:r w:rsidRPr="00503643">
              <w:rPr>
                <w:rFonts w:ascii="Arial" w:hAnsi="Arial"/>
              </w:rPr>
              <w:t>Association: 0</w:t>
            </w:r>
          </w:p>
        </w:tc>
        <w:tc>
          <w:tcPr>
            <w:tcW w:w="1555" w:type="dxa"/>
          </w:tcPr>
          <w:p w:rsidR="00FC3493" w:rsidRPr="00503643" w:rsidRDefault="002046A0" w:rsidP="00FC3493">
            <w:pPr>
              <w:pStyle w:val="TableText0"/>
              <w:spacing w:before="20" w:after="20"/>
              <w:rPr>
                <w:rFonts w:ascii="Arial" w:hAnsi="Arial"/>
                <w:highlight w:val="black"/>
              </w:rPr>
            </w:pPr>
            <w:r w:rsidRPr="00503643">
              <w:rPr>
                <w:rFonts w:ascii="Arial" w:hAnsi="Arial"/>
                <w:noProof/>
                <w:color w:val="000000"/>
                <w:highlight w:val="black"/>
              </w:rPr>
              <w:t>'''''''' '''' '''''''''' ''''''''''' '''''' '''''''''''' '''''''''''''</w:t>
            </w:r>
          </w:p>
        </w:tc>
        <w:tc>
          <w:tcPr>
            <w:tcW w:w="2409" w:type="dxa"/>
          </w:tcPr>
          <w:p w:rsidR="00FC3493" w:rsidRPr="00503643" w:rsidRDefault="002046A0" w:rsidP="00FC3493">
            <w:pPr>
              <w:pStyle w:val="TableText0"/>
              <w:spacing w:before="20" w:after="20"/>
              <w:rPr>
                <w:rFonts w:ascii="Arial" w:hAnsi="Arial"/>
                <w:highlight w:val="black"/>
              </w:rPr>
            </w:pPr>
            <w:r w:rsidRPr="00503643">
              <w:rPr>
                <w:rFonts w:ascii="Arial" w:hAnsi="Arial"/>
                <w:noProof/>
                <w:color w:val="000000"/>
                <w:highlight w:val="black"/>
              </w:rPr>
              <w:t>'''''''''''''' ''''''''''''''''''''' '''''''''' ''''''''''' '''''''' ''''''''''''''' ''''''''''''' ''''''''''''''''' '''''''''' ''' '''''''''' ''''''''''''''''''''''' ''''''''''''''''''''''' ''''''''' '''''''''''''''''' '''''''' '''''''' '''''''''' '''''' '''''''''''''''''''''' '''''''' ''''''''''' '''''''''' ''''''''''' '''''' ''''''' '''''' '''''''' '''''''''''''''''''' ''''''''''''''</w:t>
            </w:r>
          </w:p>
        </w:tc>
        <w:tc>
          <w:tcPr>
            <w:tcW w:w="1134" w:type="dxa"/>
          </w:tcPr>
          <w:p w:rsidR="00FC3493" w:rsidRPr="00503643" w:rsidRDefault="00FC3493" w:rsidP="00FC3493">
            <w:pPr>
              <w:pStyle w:val="TableText0"/>
              <w:spacing w:before="20" w:after="20"/>
              <w:rPr>
                <w:rFonts w:ascii="Arial" w:hAnsi="Arial"/>
              </w:rPr>
            </w:pPr>
            <w:r w:rsidRPr="00503643">
              <w:rPr>
                <w:rFonts w:ascii="Arial" w:hAnsi="Arial"/>
              </w:rPr>
              <w:t>Low</w:t>
            </w:r>
          </w:p>
          <w:p w:rsidR="00FC3493" w:rsidRPr="00503643" w:rsidRDefault="00FC3493" w:rsidP="00FC3493">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color w:val="C00000"/>
              </w:rPr>
              <w:t>⨀⨀</w:t>
            </w:r>
          </w:p>
          <w:p w:rsidR="00FC3493" w:rsidRPr="00503643" w:rsidRDefault="00FC3493" w:rsidP="00FC3493">
            <w:pPr>
              <w:pStyle w:val="TableText0"/>
              <w:spacing w:before="20" w:after="20"/>
              <w:rPr>
                <w:rFonts w:ascii="Arial" w:hAnsi="Arial"/>
              </w:rPr>
            </w:pPr>
            <w:r w:rsidRPr="00503643">
              <w:rPr>
                <w:rFonts w:ascii="Arial" w:hAnsi="Arial"/>
              </w:rPr>
              <w:t>Critical</w:t>
            </w:r>
          </w:p>
        </w:tc>
      </w:tr>
      <w:tr w:rsidR="0075777C" w:rsidRPr="006316DF" w:rsidTr="00796F18">
        <w:tc>
          <w:tcPr>
            <w:tcW w:w="1560" w:type="dxa"/>
          </w:tcPr>
          <w:p w:rsidR="0075777C" w:rsidRPr="00503643" w:rsidRDefault="0075777C" w:rsidP="00796F18">
            <w:pPr>
              <w:pStyle w:val="TableText0"/>
              <w:spacing w:before="20" w:after="20"/>
              <w:rPr>
                <w:rFonts w:ascii="Arial" w:hAnsi="Arial"/>
              </w:rPr>
            </w:pPr>
            <w:r w:rsidRPr="00503643">
              <w:rPr>
                <w:rFonts w:ascii="Arial" w:hAnsi="Arial"/>
              </w:rPr>
              <w:t>All-cause mortality</w:t>
            </w:r>
          </w:p>
        </w:tc>
        <w:tc>
          <w:tcPr>
            <w:tcW w:w="1275" w:type="dxa"/>
          </w:tcPr>
          <w:p w:rsidR="0075777C" w:rsidRPr="00503643" w:rsidRDefault="0075777C" w:rsidP="00796F18">
            <w:pPr>
              <w:pStyle w:val="TableText0"/>
              <w:spacing w:before="20" w:after="20"/>
              <w:rPr>
                <w:rFonts w:ascii="Arial" w:hAnsi="Arial"/>
              </w:rPr>
            </w:pPr>
            <w:r w:rsidRPr="00503643">
              <w:rPr>
                <w:rFonts w:ascii="Arial" w:hAnsi="Arial"/>
              </w:rPr>
              <w:t>N=107</w:t>
            </w:r>
          </w:p>
          <w:p w:rsidR="0075777C" w:rsidRPr="00503643" w:rsidRDefault="0075777C" w:rsidP="00796F18">
            <w:pPr>
              <w:pStyle w:val="TableText0"/>
              <w:spacing w:before="20" w:after="20"/>
              <w:rPr>
                <w:rFonts w:ascii="Arial" w:hAnsi="Arial"/>
              </w:rPr>
            </w:pPr>
            <w:r w:rsidRPr="00503643">
              <w:rPr>
                <w:rFonts w:ascii="Arial" w:hAnsi="Arial"/>
              </w:rPr>
              <w:t>k=1 RCT</w:t>
            </w:r>
          </w:p>
        </w:tc>
        <w:tc>
          <w:tcPr>
            <w:tcW w:w="1701" w:type="dxa"/>
          </w:tcPr>
          <w:p w:rsidR="0075777C" w:rsidRPr="00503643" w:rsidRDefault="0075777C" w:rsidP="00796F18">
            <w:pPr>
              <w:pStyle w:val="TableText0"/>
              <w:spacing w:before="20" w:after="20"/>
              <w:rPr>
                <w:rFonts w:ascii="Arial" w:hAnsi="Arial"/>
              </w:rPr>
            </w:pPr>
            <w:r w:rsidRPr="00503643">
              <w:rPr>
                <w:rFonts w:ascii="Arial" w:hAnsi="Arial"/>
              </w:rPr>
              <w:t>Risk of bias: 0</w:t>
            </w:r>
          </w:p>
          <w:p w:rsidR="0075777C" w:rsidRPr="00503643" w:rsidRDefault="0075777C" w:rsidP="00796F18">
            <w:pPr>
              <w:pStyle w:val="TableText0"/>
              <w:spacing w:before="20" w:after="20"/>
              <w:rPr>
                <w:rFonts w:ascii="Arial" w:hAnsi="Arial"/>
              </w:rPr>
            </w:pPr>
            <w:r w:rsidRPr="00503643">
              <w:rPr>
                <w:rFonts w:ascii="Arial" w:hAnsi="Arial"/>
              </w:rPr>
              <w:t>Inconsistency: 0</w:t>
            </w:r>
          </w:p>
          <w:p w:rsidR="0075777C" w:rsidRPr="00503643" w:rsidRDefault="0075777C" w:rsidP="00796F18">
            <w:pPr>
              <w:pStyle w:val="TableText0"/>
              <w:spacing w:before="20" w:after="20"/>
              <w:rPr>
                <w:rFonts w:ascii="Arial" w:hAnsi="Arial"/>
              </w:rPr>
            </w:pPr>
            <w:r w:rsidRPr="00503643">
              <w:rPr>
                <w:rFonts w:ascii="Arial" w:hAnsi="Arial"/>
              </w:rPr>
              <w:t>Indirectness: 0</w:t>
            </w:r>
          </w:p>
          <w:p w:rsidR="00FC3493" w:rsidRPr="00503643" w:rsidRDefault="0075777C" w:rsidP="00796F18">
            <w:pPr>
              <w:pStyle w:val="TableText0"/>
              <w:spacing w:before="20" w:after="20"/>
              <w:rPr>
                <w:rFonts w:ascii="Arial" w:hAnsi="Arial"/>
              </w:rPr>
            </w:pPr>
            <w:r w:rsidRPr="00503643">
              <w:rPr>
                <w:rFonts w:ascii="Arial" w:hAnsi="Arial"/>
              </w:rPr>
              <w:t>Imprecision: 0</w:t>
            </w:r>
          </w:p>
          <w:p w:rsidR="0075777C" w:rsidRPr="00503643" w:rsidRDefault="0075777C" w:rsidP="00796F18">
            <w:pPr>
              <w:pStyle w:val="TableText0"/>
              <w:spacing w:before="20" w:after="20"/>
              <w:rPr>
                <w:rFonts w:ascii="Arial" w:hAnsi="Arial"/>
              </w:rPr>
            </w:pPr>
            <w:r w:rsidRPr="00503643">
              <w:rPr>
                <w:rFonts w:ascii="Arial" w:hAnsi="Arial"/>
              </w:rPr>
              <w:t>Publication bias: 0</w:t>
            </w:r>
          </w:p>
          <w:p w:rsidR="0075777C" w:rsidRPr="00503643" w:rsidRDefault="0075777C" w:rsidP="00796F18">
            <w:pPr>
              <w:pStyle w:val="TableText0"/>
              <w:spacing w:before="20" w:after="20"/>
              <w:rPr>
                <w:rFonts w:ascii="Arial" w:hAnsi="Arial"/>
              </w:rPr>
            </w:pPr>
            <w:r w:rsidRPr="00503643">
              <w:rPr>
                <w:rFonts w:ascii="Arial" w:hAnsi="Arial"/>
              </w:rPr>
              <w:t>Association: 0</w:t>
            </w:r>
          </w:p>
        </w:tc>
        <w:tc>
          <w:tcPr>
            <w:tcW w:w="1555" w:type="dxa"/>
          </w:tcPr>
          <w:p w:rsidR="0075777C" w:rsidRPr="00503643" w:rsidRDefault="002046A0" w:rsidP="004B668A">
            <w:pPr>
              <w:pStyle w:val="TableText0"/>
              <w:spacing w:before="20" w:after="20"/>
              <w:rPr>
                <w:rFonts w:ascii="Arial" w:hAnsi="Arial"/>
                <w:highlight w:val="black"/>
              </w:rPr>
            </w:pPr>
            <w:r w:rsidRPr="00503643">
              <w:rPr>
                <w:rFonts w:ascii="Arial" w:eastAsiaTheme="minorEastAsia" w:hAnsi="Arial"/>
                <w:noProof/>
                <w:color w:val="000000"/>
                <w:highlight w:val="black"/>
              </w:rPr>
              <w:t>'''''''''''' ''' ''''''''''''' ''''''''''''' '''''' ''''''''''''' '''''''''</w:t>
            </w:r>
          </w:p>
        </w:tc>
        <w:tc>
          <w:tcPr>
            <w:tcW w:w="2409" w:type="dxa"/>
          </w:tcPr>
          <w:p w:rsidR="0075777C" w:rsidRPr="00503643" w:rsidRDefault="002046A0" w:rsidP="00796F18">
            <w:pPr>
              <w:pStyle w:val="TableText0"/>
              <w:spacing w:before="20" w:after="20"/>
              <w:rPr>
                <w:rFonts w:ascii="Arial" w:hAnsi="Arial"/>
                <w:highlight w:val="black"/>
              </w:rPr>
            </w:pPr>
            <w:r w:rsidRPr="00503643">
              <w:rPr>
                <w:rFonts w:ascii="Arial" w:hAnsi="Arial"/>
                <w:noProof/>
                <w:color w:val="000000"/>
                <w:highlight w:val="black"/>
              </w:rPr>
              <w:t>'''''''''' '''''''' '''''''''''''''' '''''''''' ''''' '''''''' '''''''''''''' '''''''''''''''''''''' '''''''''''''' ''''''''' ''''''''' '''''''''''''''''''''' ''''''''' '''''''' ''''''''''''''''''''''' ''''''''''''''''''''''''' ''''' '''' '''''''''''</w:t>
            </w:r>
          </w:p>
        </w:tc>
        <w:tc>
          <w:tcPr>
            <w:tcW w:w="1134" w:type="dxa"/>
          </w:tcPr>
          <w:p w:rsidR="0075777C" w:rsidRPr="00503643" w:rsidRDefault="0075777C" w:rsidP="00796F18">
            <w:pPr>
              <w:pStyle w:val="TableText0"/>
              <w:spacing w:before="20" w:after="20"/>
              <w:rPr>
                <w:rFonts w:ascii="Arial" w:hAnsi="Arial"/>
              </w:rPr>
            </w:pPr>
            <w:r w:rsidRPr="00503643">
              <w:rPr>
                <w:rFonts w:ascii="Arial" w:hAnsi="Arial"/>
              </w:rPr>
              <w:t>High</w:t>
            </w:r>
          </w:p>
          <w:p w:rsidR="0075777C" w:rsidRPr="00503643" w:rsidRDefault="0075777C" w:rsidP="00796F18">
            <w:pPr>
              <w:pStyle w:val="TableText0"/>
              <w:spacing w:before="20" w:after="20"/>
              <w:rPr>
                <w:rFonts w:ascii="Arial" w:hAnsi="Arial"/>
                <w:bCs/>
              </w:rPr>
            </w:pPr>
            <w:r w:rsidRPr="00503643">
              <w:rPr>
                <w:rFonts w:ascii="Cambria Math" w:hAnsi="Cambria Math" w:cs="Cambria Math"/>
                <w:bCs/>
                <w:color w:val="00B050"/>
              </w:rPr>
              <w:t>⨁⨁⨁⨁</w:t>
            </w:r>
          </w:p>
          <w:p w:rsidR="0075777C" w:rsidRPr="00503643" w:rsidRDefault="0075777C" w:rsidP="00796F18">
            <w:pPr>
              <w:pStyle w:val="TableText0"/>
              <w:spacing w:before="20" w:after="20"/>
              <w:rPr>
                <w:rFonts w:ascii="Arial" w:hAnsi="Arial"/>
              </w:rPr>
            </w:pPr>
            <w:r w:rsidRPr="00503643">
              <w:rPr>
                <w:rFonts w:ascii="Arial" w:hAnsi="Arial"/>
              </w:rPr>
              <w:t>Critical</w:t>
            </w:r>
          </w:p>
        </w:tc>
      </w:tr>
      <w:tr w:rsidR="0075777C" w:rsidRPr="006316DF" w:rsidTr="00796F18">
        <w:tc>
          <w:tcPr>
            <w:tcW w:w="1560" w:type="dxa"/>
          </w:tcPr>
          <w:p w:rsidR="0075777C" w:rsidRPr="00503643" w:rsidRDefault="0075777C" w:rsidP="00796F18">
            <w:pPr>
              <w:pStyle w:val="TableText0"/>
              <w:spacing w:before="20" w:after="20"/>
              <w:rPr>
                <w:rFonts w:ascii="Arial" w:hAnsi="Arial"/>
              </w:rPr>
            </w:pPr>
            <w:r w:rsidRPr="00503643">
              <w:rPr>
                <w:rFonts w:ascii="Arial" w:hAnsi="Arial"/>
              </w:rPr>
              <w:t>Hospitalisation</w:t>
            </w:r>
            <w:r w:rsidR="00086A04" w:rsidRPr="00503643">
              <w:rPr>
                <w:rFonts w:ascii="Arial" w:hAnsi="Arial"/>
              </w:rPr>
              <w:t xml:space="preserve"> due to </w:t>
            </w:r>
            <w:r w:rsidR="00FC3493" w:rsidRPr="00503643">
              <w:rPr>
                <w:rFonts w:ascii="Arial" w:hAnsi="Arial"/>
              </w:rPr>
              <w:t xml:space="preserve">worsening </w:t>
            </w:r>
            <w:r w:rsidR="00086A04" w:rsidRPr="00503643">
              <w:rPr>
                <w:rFonts w:ascii="Arial" w:hAnsi="Arial"/>
              </w:rPr>
              <w:t>PAH</w:t>
            </w:r>
          </w:p>
        </w:tc>
        <w:tc>
          <w:tcPr>
            <w:tcW w:w="1275" w:type="dxa"/>
          </w:tcPr>
          <w:p w:rsidR="0075777C" w:rsidRPr="00503643" w:rsidRDefault="0075777C" w:rsidP="00796F18">
            <w:pPr>
              <w:pStyle w:val="TableText0"/>
              <w:spacing w:before="20" w:after="20"/>
              <w:rPr>
                <w:rFonts w:ascii="Arial" w:hAnsi="Arial"/>
              </w:rPr>
            </w:pPr>
            <w:r w:rsidRPr="00503643">
              <w:rPr>
                <w:rFonts w:ascii="Arial" w:hAnsi="Arial"/>
              </w:rPr>
              <w:t>N=107</w:t>
            </w:r>
          </w:p>
          <w:p w:rsidR="0075777C" w:rsidRPr="00503643" w:rsidRDefault="0075777C" w:rsidP="00796F18">
            <w:pPr>
              <w:pStyle w:val="TableText0"/>
              <w:spacing w:before="20" w:after="20"/>
              <w:rPr>
                <w:rFonts w:ascii="Arial" w:hAnsi="Arial"/>
              </w:rPr>
            </w:pPr>
            <w:r w:rsidRPr="00503643">
              <w:rPr>
                <w:rFonts w:ascii="Arial" w:hAnsi="Arial"/>
              </w:rPr>
              <w:t>k=1 RCT</w:t>
            </w:r>
          </w:p>
        </w:tc>
        <w:tc>
          <w:tcPr>
            <w:tcW w:w="1701" w:type="dxa"/>
          </w:tcPr>
          <w:p w:rsidR="0075777C" w:rsidRPr="00503643" w:rsidRDefault="0075777C" w:rsidP="00796F18">
            <w:pPr>
              <w:pStyle w:val="TableText0"/>
              <w:spacing w:before="20" w:after="20"/>
              <w:rPr>
                <w:rFonts w:ascii="Arial" w:hAnsi="Arial"/>
              </w:rPr>
            </w:pPr>
            <w:r w:rsidRPr="00503643">
              <w:rPr>
                <w:rFonts w:ascii="Arial" w:hAnsi="Arial"/>
              </w:rPr>
              <w:t>Risk of bias: 0</w:t>
            </w:r>
          </w:p>
          <w:p w:rsidR="0075777C" w:rsidRPr="00503643" w:rsidRDefault="0075777C" w:rsidP="00796F18">
            <w:pPr>
              <w:pStyle w:val="TableText0"/>
              <w:spacing w:before="20" w:after="20"/>
              <w:rPr>
                <w:rFonts w:ascii="Arial" w:hAnsi="Arial"/>
              </w:rPr>
            </w:pPr>
            <w:r w:rsidRPr="00503643">
              <w:rPr>
                <w:rFonts w:ascii="Arial" w:hAnsi="Arial"/>
              </w:rPr>
              <w:t>Inconsistency: 0</w:t>
            </w:r>
          </w:p>
          <w:p w:rsidR="0075777C" w:rsidRPr="00503643" w:rsidRDefault="0075777C" w:rsidP="00796F18">
            <w:pPr>
              <w:pStyle w:val="TableText0"/>
              <w:spacing w:before="20" w:after="20"/>
              <w:rPr>
                <w:rFonts w:ascii="Arial" w:hAnsi="Arial"/>
              </w:rPr>
            </w:pPr>
            <w:r w:rsidRPr="00503643">
              <w:rPr>
                <w:rFonts w:ascii="Arial" w:hAnsi="Arial"/>
              </w:rPr>
              <w:t>Indirectness: 0</w:t>
            </w:r>
          </w:p>
          <w:p w:rsidR="0075777C" w:rsidRPr="00503643" w:rsidRDefault="0075777C" w:rsidP="00796F18">
            <w:pPr>
              <w:pStyle w:val="TableText0"/>
              <w:spacing w:before="20" w:after="20"/>
              <w:rPr>
                <w:rFonts w:ascii="Arial" w:hAnsi="Arial"/>
              </w:rPr>
            </w:pPr>
            <w:r w:rsidRPr="00503643">
              <w:rPr>
                <w:rFonts w:ascii="Arial" w:hAnsi="Arial"/>
              </w:rPr>
              <w:t>Imprecision: 0</w:t>
            </w:r>
          </w:p>
          <w:p w:rsidR="0075777C" w:rsidRPr="00503643" w:rsidRDefault="0075777C" w:rsidP="00796F18">
            <w:pPr>
              <w:pStyle w:val="TableText0"/>
              <w:spacing w:before="20" w:after="20"/>
              <w:rPr>
                <w:rFonts w:ascii="Arial" w:hAnsi="Arial"/>
              </w:rPr>
            </w:pPr>
            <w:r w:rsidRPr="00503643">
              <w:rPr>
                <w:rFonts w:ascii="Arial" w:hAnsi="Arial"/>
              </w:rPr>
              <w:t>Publication bias: 0</w:t>
            </w:r>
          </w:p>
          <w:p w:rsidR="0075777C" w:rsidRPr="00503643" w:rsidRDefault="0075777C" w:rsidP="00796F18">
            <w:pPr>
              <w:pStyle w:val="TableText0"/>
              <w:spacing w:before="20" w:after="20"/>
              <w:rPr>
                <w:rFonts w:ascii="Arial" w:hAnsi="Arial"/>
              </w:rPr>
            </w:pPr>
            <w:r w:rsidRPr="00503643">
              <w:rPr>
                <w:rFonts w:ascii="Arial" w:hAnsi="Arial"/>
              </w:rPr>
              <w:t>Association: 0</w:t>
            </w:r>
          </w:p>
        </w:tc>
        <w:tc>
          <w:tcPr>
            <w:tcW w:w="1555" w:type="dxa"/>
          </w:tcPr>
          <w:p w:rsidR="0075777C" w:rsidRPr="00503643" w:rsidRDefault="002046A0" w:rsidP="00796F18">
            <w:pPr>
              <w:pStyle w:val="TableText0"/>
              <w:spacing w:before="20" w:after="20"/>
              <w:rPr>
                <w:rFonts w:ascii="Arial" w:hAnsi="Arial"/>
                <w:highlight w:val="black"/>
              </w:rPr>
            </w:pPr>
            <w:r w:rsidRPr="00503643">
              <w:rPr>
                <w:rFonts w:ascii="Arial" w:hAnsi="Arial"/>
                <w:noProof/>
                <w:color w:val="000000"/>
                <w:highlight w:val="black"/>
              </w:rPr>
              <w:t>'''''''' ''''''''''''''''''''''''</w:t>
            </w:r>
          </w:p>
        </w:tc>
        <w:tc>
          <w:tcPr>
            <w:tcW w:w="2409" w:type="dxa"/>
          </w:tcPr>
          <w:p w:rsidR="0075777C" w:rsidRPr="00503643" w:rsidRDefault="002046A0" w:rsidP="00796F18">
            <w:pPr>
              <w:pStyle w:val="TableText0"/>
              <w:spacing w:before="20" w:after="20"/>
              <w:rPr>
                <w:rFonts w:ascii="Arial" w:hAnsi="Arial"/>
                <w:highlight w:val="black"/>
              </w:rPr>
            </w:pPr>
            <w:r w:rsidRPr="00503643">
              <w:rPr>
                <w:rFonts w:ascii="Arial" w:hAnsi="Arial"/>
                <w:noProof/>
                <w:color w:val="000000"/>
                <w:highlight w:val="black"/>
              </w:rPr>
              <w:t>''''''' '''''''''''''''''''' ''''''''''' ''''''''''''''''''''''''''''' ''''''''''''''' ''''''''' ''''''''''''' '''''''''''''''</w:t>
            </w:r>
          </w:p>
        </w:tc>
        <w:tc>
          <w:tcPr>
            <w:tcW w:w="1134" w:type="dxa"/>
          </w:tcPr>
          <w:p w:rsidR="0075777C" w:rsidRPr="00503643" w:rsidRDefault="0075777C" w:rsidP="00796F18">
            <w:pPr>
              <w:pStyle w:val="TableText0"/>
              <w:spacing w:before="20" w:after="20"/>
              <w:rPr>
                <w:rFonts w:ascii="Arial" w:hAnsi="Arial"/>
              </w:rPr>
            </w:pPr>
            <w:r w:rsidRPr="00503643">
              <w:rPr>
                <w:rFonts w:ascii="Arial" w:hAnsi="Arial"/>
              </w:rPr>
              <w:t>High</w:t>
            </w:r>
          </w:p>
          <w:p w:rsidR="0075777C" w:rsidRPr="00503643" w:rsidRDefault="0075777C" w:rsidP="00796F18">
            <w:pPr>
              <w:pStyle w:val="TableText0"/>
              <w:spacing w:before="20" w:after="20"/>
              <w:rPr>
                <w:rFonts w:ascii="Arial" w:hAnsi="Arial"/>
                <w:bCs/>
              </w:rPr>
            </w:pPr>
            <w:r w:rsidRPr="00503643">
              <w:rPr>
                <w:rFonts w:ascii="Cambria Math" w:hAnsi="Cambria Math" w:cs="Cambria Math"/>
                <w:bCs/>
                <w:color w:val="00B050"/>
              </w:rPr>
              <w:t>⨁⨁⨁⨁</w:t>
            </w:r>
          </w:p>
          <w:p w:rsidR="0075777C" w:rsidRPr="00503643" w:rsidRDefault="000647C6" w:rsidP="00796F18">
            <w:pPr>
              <w:pStyle w:val="TableText0"/>
              <w:spacing w:before="20" w:after="20"/>
              <w:rPr>
                <w:rFonts w:ascii="Arial" w:hAnsi="Arial"/>
              </w:rPr>
            </w:pPr>
            <w:r w:rsidRPr="00503643">
              <w:rPr>
                <w:rFonts w:ascii="Arial" w:hAnsi="Arial"/>
              </w:rPr>
              <w:t>Important</w:t>
            </w:r>
          </w:p>
        </w:tc>
      </w:tr>
      <w:tr w:rsidR="0075777C" w:rsidRPr="006316DF" w:rsidTr="00796F18">
        <w:tc>
          <w:tcPr>
            <w:tcW w:w="1560" w:type="dxa"/>
          </w:tcPr>
          <w:p w:rsidR="0075777C" w:rsidRPr="00503643" w:rsidRDefault="0075777C" w:rsidP="00796F18">
            <w:pPr>
              <w:pStyle w:val="TableText0"/>
              <w:spacing w:before="20" w:after="20"/>
              <w:rPr>
                <w:rFonts w:ascii="Arial" w:hAnsi="Arial"/>
              </w:rPr>
            </w:pPr>
            <w:r w:rsidRPr="00503643">
              <w:rPr>
                <w:rFonts w:ascii="Arial" w:hAnsi="Arial"/>
              </w:rPr>
              <w:t>Improved WHO FC</w:t>
            </w:r>
          </w:p>
        </w:tc>
        <w:tc>
          <w:tcPr>
            <w:tcW w:w="1275" w:type="dxa"/>
          </w:tcPr>
          <w:p w:rsidR="0075777C" w:rsidRPr="00503643" w:rsidRDefault="0075777C" w:rsidP="00796F18">
            <w:pPr>
              <w:pStyle w:val="TableText0"/>
              <w:spacing w:before="20" w:after="20"/>
              <w:rPr>
                <w:rFonts w:ascii="Arial" w:hAnsi="Arial"/>
              </w:rPr>
            </w:pPr>
            <w:r w:rsidRPr="00503643">
              <w:rPr>
                <w:rFonts w:ascii="Arial" w:hAnsi="Arial"/>
              </w:rPr>
              <w:t>N=107</w:t>
            </w:r>
          </w:p>
          <w:p w:rsidR="0075777C" w:rsidRPr="00503643" w:rsidRDefault="0075777C" w:rsidP="00796F18">
            <w:pPr>
              <w:pStyle w:val="TableText0"/>
              <w:spacing w:before="20" w:after="20"/>
              <w:rPr>
                <w:rFonts w:ascii="Arial" w:hAnsi="Arial"/>
              </w:rPr>
            </w:pPr>
            <w:r w:rsidRPr="00503643">
              <w:rPr>
                <w:rFonts w:ascii="Arial" w:hAnsi="Arial"/>
              </w:rPr>
              <w:t>k=1 RCT</w:t>
            </w:r>
          </w:p>
        </w:tc>
        <w:tc>
          <w:tcPr>
            <w:tcW w:w="1701" w:type="dxa"/>
          </w:tcPr>
          <w:p w:rsidR="0075777C" w:rsidRPr="00503643" w:rsidRDefault="0075777C" w:rsidP="00796F18">
            <w:pPr>
              <w:pStyle w:val="TableText0"/>
              <w:spacing w:before="20" w:after="20"/>
              <w:rPr>
                <w:rFonts w:ascii="Arial" w:hAnsi="Arial"/>
              </w:rPr>
            </w:pPr>
            <w:r w:rsidRPr="00503643">
              <w:rPr>
                <w:rFonts w:ascii="Arial" w:hAnsi="Arial"/>
              </w:rPr>
              <w:t>Risk of bias: 0</w:t>
            </w:r>
          </w:p>
          <w:p w:rsidR="0075777C" w:rsidRPr="00503643" w:rsidRDefault="0075777C" w:rsidP="00796F18">
            <w:pPr>
              <w:pStyle w:val="TableText0"/>
              <w:spacing w:before="20" w:after="20"/>
              <w:rPr>
                <w:rFonts w:ascii="Arial" w:hAnsi="Arial"/>
              </w:rPr>
            </w:pPr>
            <w:r w:rsidRPr="00503643">
              <w:rPr>
                <w:rFonts w:ascii="Arial" w:hAnsi="Arial"/>
              </w:rPr>
              <w:t>Inconsistency: 0</w:t>
            </w:r>
          </w:p>
          <w:p w:rsidR="0075777C" w:rsidRPr="00503643" w:rsidRDefault="0075777C" w:rsidP="00796F18">
            <w:pPr>
              <w:pStyle w:val="TableText0"/>
              <w:spacing w:before="20" w:after="20"/>
              <w:rPr>
                <w:rFonts w:ascii="Arial" w:hAnsi="Arial"/>
              </w:rPr>
            </w:pPr>
            <w:r w:rsidRPr="00503643">
              <w:rPr>
                <w:rFonts w:ascii="Arial" w:hAnsi="Arial"/>
              </w:rPr>
              <w:t>Indirectness: 0</w:t>
            </w:r>
          </w:p>
          <w:p w:rsidR="0075777C" w:rsidRPr="00503643" w:rsidRDefault="0075777C" w:rsidP="00796F18">
            <w:pPr>
              <w:pStyle w:val="TableText0"/>
              <w:spacing w:before="20" w:after="20"/>
              <w:rPr>
                <w:rFonts w:ascii="Arial" w:hAnsi="Arial"/>
              </w:rPr>
            </w:pPr>
            <w:r w:rsidRPr="00503643">
              <w:rPr>
                <w:rFonts w:ascii="Arial" w:hAnsi="Arial"/>
              </w:rPr>
              <w:t>Imprecision: −1</w:t>
            </w:r>
          </w:p>
          <w:p w:rsidR="0075777C" w:rsidRPr="00503643" w:rsidRDefault="0075777C" w:rsidP="00796F18">
            <w:pPr>
              <w:pStyle w:val="TableText0"/>
              <w:spacing w:before="20" w:after="20"/>
              <w:rPr>
                <w:rFonts w:ascii="Arial" w:hAnsi="Arial"/>
              </w:rPr>
            </w:pPr>
            <w:r w:rsidRPr="00503643">
              <w:rPr>
                <w:rFonts w:ascii="Arial" w:hAnsi="Arial"/>
              </w:rPr>
              <w:t>Publication bias: 0</w:t>
            </w:r>
          </w:p>
          <w:p w:rsidR="0075777C" w:rsidRPr="00503643" w:rsidRDefault="008B0C36" w:rsidP="00796F18">
            <w:pPr>
              <w:pStyle w:val="TableText0"/>
              <w:spacing w:before="20" w:after="20"/>
              <w:rPr>
                <w:rFonts w:ascii="Arial" w:hAnsi="Arial"/>
              </w:rPr>
            </w:pPr>
            <w:r w:rsidRPr="00503643">
              <w:rPr>
                <w:rFonts w:ascii="Arial" w:hAnsi="Arial"/>
              </w:rPr>
              <w:t>Association: 0</w:t>
            </w:r>
          </w:p>
        </w:tc>
        <w:tc>
          <w:tcPr>
            <w:tcW w:w="1555" w:type="dxa"/>
          </w:tcPr>
          <w:p w:rsidR="0075777C" w:rsidRPr="00503643" w:rsidRDefault="002046A0" w:rsidP="00796F18">
            <w:pPr>
              <w:pStyle w:val="TableText0"/>
              <w:spacing w:before="20" w:after="20"/>
              <w:rPr>
                <w:rFonts w:ascii="Arial" w:hAnsi="Arial"/>
                <w:highlight w:val="black"/>
              </w:rPr>
            </w:pPr>
            <w:r w:rsidRPr="00503643">
              <w:rPr>
                <w:rFonts w:ascii="Arial" w:hAnsi="Arial"/>
                <w:noProof/>
                <w:color w:val="000000"/>
                <w:highlight w:val="black"/>
              </w:rPr>
              <w:t>'''''''' '''' '''''''''' '''''''''''''' '''''' ''''''''''' ''''''''''''</w:t>
            </w:r>
          </w:p>
        </w:tc>
        <w:tc>
          <w:tcPr>
            <w:tcW w:w="2409" w:type="dxa"/>
          </w:tcPr>
          <w:p w:rsidR="0075777C" w:rsidRPr="00503643" w:rsidRDefault="002046A0" w:rsidP="00796F18">
            <w:pPr>
              <w:pStyle w:val="TableText0"/>
              <w:spacing w:before="20" w:after="20"/>
              <w:rPr>
                <w:rFonts w:ascii="Arial" w:hAnsi="Arial"/>
                <w:highlight w:val="black"/>
              </w:rPr>
            </w:pPr>
            <w:r w:rsidRPr="00503643">
              <w:rPr>
                <w:rFonts w:ascii="Arial" w:hAnsi="Arial"/>
                <w:noProof/>
                <w:color w:val="000000"/>
                <w:highlight w:val="black"/>
              </w:rPr>
              <w:t>'''''''''''''''' '''''''''''''''''''' ''''''''''''''''''''''' '''''''''' '''''''''''''' ''''''' ''''''''''''' ''''''''''''''''' '''''''''' '''' '''''''''' '''''''''''''''''''''''' '''''''''''''''''''''''' '''''''''' ''''''''''''''''''''' '''''''' ''''''' '''''''''' ''''''' ''''''''''''''''''' '''''''''' ''''''''''''' ''''''''''' ''''''''' '''''' ''''''' '''''' '''''''' ''''''''''''''''''''' ''''''''''''''</w:t>
            </w:r>
          </w:p>
        </w:tc>
        <w:tc>
          <w:tcPr>
            <w:tcW w:w="1134" w:type="dxa"/>
          </w:tcPr>
          <w:p w:rsidR="008B0C36" w:rsidRPr="00503643" w:rsidRDefault="008B0C36" w:rsidP="008B0C36">
            <w:pPr>
              <w:pStyle w:val="TableText0"/>
              <w:spacing w:before="20" w:after="20"/>
              <w:rPr>
                <w:rFonts w:ascii="Arial" w:hAnsi="Arial"/>
              </w:rPr>
            </w:pPr>
            <w:r w:rsidRPr="00503643">
              <w:rPr>
                <w:rFonts w:ascii="Arial" w:hAnsi="Arial"/>
              </w:rPr>
              <w:t>Moderate</w:t>
            </w:r>
          </w:p>
          <w:p w:rsidR="008B0C36" w:rsidRPr="00503643" w:rsidRDefault="008B0C36" w:rsidP="008B0C36">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color w:val="C00000"/>
              </w:rPr>
              <w:t>⨀</w:t>
            </w:r>
          </w:p>
          <w:p w:rsidR="0075777C" w:rsidRPr="00503643" w:rsidRDefault="0075777C" w:rsidP="00796F18">
            <w:pPr>
              <w:pStyle w:val="TableText0"/>
              <w:spacing w:before="20" w:after="20"/>
              <w:rPr>
                <w:rFonts w:ascii="Arial" w:hAnsi="Arial"/>
              </w:rPr>
            </w:pPr>
            <w:r w:rsidRPr="00503643">
              <w:rPr>
                <w:rFonts w:ascii="Arial" w:hAnsi="Arial"/>
              </w:rPr>
              <w:t>Important</w:t>
            </w:r>
          </w:p>
        </w:tc>
      </w:tr>
      <w:tr w:rsidR="0075777C" w:rsidRPr="006316DF" w:rsidTr="00796F18">
        <w:tc>
          <w:tcPr>
            <w:tcW w:w="1560" w:type="dxa"/>
          </w:tcPr>
          <w:p w:rsidR="0075777C" w:rsidRPr="00503643" w:rsidRDefault="0075777C" w:rsidP="00796F18">
            <w:pPr>
              <w:pStyle w:val="TableText0"/>
              <w:spacing w:before="20" w:after="20"/>
              <w:rPr>
                <w:rFonts w:ascii="Arial" w:hAnsi="Arial"/>
              </w:rPr>
            </w:pPr>
            <w:r w:rsidRPr="00503643">
              <w:rPr>
                <w:rFonts w:ascii="Arial" w:hAnsi="Arial"/>
              </w:rPr>
              <w:t>Worsened WHO FC</w:t>
            </w:r>
          </w:p>
        </w:tc>
        <w:tc>
          <w:tcPr>
            <w:tcW w:w="1275" w:type="dxa"/>
          </w:tcPr>
          <w:p w:rsidR="0075777C" w:rsidRPr="00503643" w:rsidRDefault="0075777C" w:rsidP="00796F18">
            <w:pPr>
              <w:pStyle w:val="TableText0"/>
              <w:spacing w:before="20" w:after="20"/>
              <w:rPr>
                <w:rFonts w:ascii="Arial" w:hAnsi="Arial"/>
              </w:rPr>
            </w:pPr>
            <w:r w:rsidRPr="00503643">
              <w:rPr>
                <w:rFonts w:ascii="Arial" w:hAnsi="Arial"/>
              </w:rPr>
              <w:t>N=107</w:t>
            </w:r>
          </w:p>
          <w:p w:rsidR="0075777C" w:rsidRPr="00503643" w:rsidRDefault="0075777C" w:rsidP="00796F18">
            <w:pPr>
              <w:pStyle w:val="TableText0"/>
              <w:spacing w:before="20" w:after="20"/>
              <w:rPr>
                <w:rFonts w:ascii="Arial" w:hAnsi="Arial"/>
              </w:rPr>
            </w:pPr>
            <w:r w:rsidRPr="00503643">
              <w:rPr>
                <w:rFonts w:ascii="Arial" w:hAnsi="Arial"/>
              </w:rPr>
              <w:t>k=1 RCT</w:t>
            </w:r>
          </w:p>
        </w:tc>
        <w:tc>
          <w:tcPr>
            <w:tcW w:w="1701" w:type="dxa"/>
          </w:tcPr>
          <w:p w:rsidR="0075777C" w:rsidRPr="00503643" w:rsidRDefault="0075777C" w:rsidP="00796F18">
            <w:pPr>
              <w:pStyle w:val="TableText0"/>
              <w:spacing w:before="20" w:after="20"/>
              <w:rPr>
                <w:rFonts w:ascii="Arial" w:hAnsi="Arial"/>
              </w:rPr>
            </w:pPr>
            <w:r w:rsidRPr="00503643">
              <w:rPr>
                <w:rFonts w:ascii="Arial" w:hAnsi="Arial"/>
              </w:rPr>
              <w:t>Risk of bias: 0</w:t>
            </w:r>
          </w:p>
          <w:p w:rsidR="0075777C" w:rsidRPr="00503643" w:rsidRDefault="0075777C" w:rsidP="00796F18">
            <w:pPr>
              <w:pStyle w:val="TableText0"/>
              <w:spacing w:before="20" w:after="20"/>
              <w:rPr>
                <w:rFonts w:ascii="Arial" w:hAnsi="Arial"/>
              </w:rPr>
            </w:pPr>
            <w:r w:rsidRPr="00503643">
              <w:rPr>
                <w:rFonts w:ascii="Arial" w:hAnsi="Arial"/>
              </w:rPr>
              <w:t>Inconsistency: 0</w:t>
            </w:r>
          </w:p>
          <w:p w:rsidR="0075777C" w:rsidRPr="00503643" w:rsidRDefault="0075777C" w:rsidP="00796F18">
            <w:pPr>
              <w:pStyle w:val="TableText0"/>
              <w:spacing w:before="20" w:after="20"/>
              <w:rPr>
                <w:rFonts w:ascii="Arial" w:hAnsi="Arial"/>
              </w:rPr>
            </w:pPr>
            <w:r w:rsidRPr="00503643">
              <w:rPr>
                <w:rFonts w:ascii="Arial" w:hAnsi="Arial"/>
              </w:rPr>
              <w:t>Indirectness: 0</w:t>
            </w:r>
          </w:p>
          <w:p w:rsidR="0075777C" w:rsidRPr="00503643" w:rsidRDefault="0075777C" w:rsidP="00796F18">
            <w:pPr>
              <w:pStyle w:val="TableText0"/>
              <w:spacing w:before="20" w:after="20"/>
              <w:rPr>
                <w:rFonts w:ascii="Arial" w:hAnsi="Arial"/>
              </w:rPr>
            </w:pPr>
            <w:r w:rsidRPr="00503643">
              <w:rPr>
                <w:rFonts w:ascii="Arial" w:hAnsi="Arial"/>
              </w:rPr>
              <w:t>Imprecision: 0</w:t>
            </w:r>
          </w:p>
          <w:p w:rsidR="0075777C" w:rsidRPr="00503643" w:rsidRDefault="0075777C" w:rsidP="00796F18">
            <w:pPr>
              <w:pStyle w:val="TableText0"/>
              <w:spacing w:before="20" w:after="20"/>
              <w:rPr>
                <w:rFonts w:ascii="Arial" w:hAnsi="Arial"/>
              </w:rPr>
            </w:pPr>
            <w:r w:rsidRPr="00503643">
              <w:rPr>
                <w:rFonts w:ascii="Arial" w:hAnsi="Arial"/>
              </w:rPr>
              <w:t>Publication bias: 0</w:t>
            </w:r>
          </w:p>
          <w:p w:rsidR="0075777C" w:rsidRPr="00503643" w:rsidRDefault="0075777C" w:rsidP="00796F18">
            <w:pPr>
              <w:pStyle w:val="TableText0"/>
              <w:spacing w:before="20" w:after="20"/>
              <w:rPr>
                <w:rFonts w:ascii="Arial" w:hAnsi="Arial"/>
              </w:rPr>
            </w:pPr>
            <w:r w:rsidRPr="00503643">
              <w:rPr>
                <w:rFonts w:ascii="Arial" w:hAnsi="Arial"/>
              </w:rPr>
              <w:t>Association: +2</w:t>
            </w:r>
          </w:p>
        </w:tc>
        <w:tc>
          <w:tcPr>
            <w:tcW w:w="1555" w:type="dxa"/>
          </w:tcPr>
          <w:p w:rsidR="0075777C" w:rsidRPr="00503643" w:rsidRDefault="002046A0" w:rsidP="00796F18">
            <w:pPr>
              <w:pStyle w:val="TableText0"/>
              <w:spacing w:before="20" w:after="20"/>
              <w:rPr>
                <w:rFonts w:ascii="Arial" w:hAnsi="Arial"/>
              </w:rPr>
            </w:pPr>
            <w:r w:rsidRPr="00503643">
              <w:rPr>
                <w:rFonts w:ascii="Arial" w:hAnsi="Arial"/>
                <w:noProof/>
                <w:color w:val="000000"/>
                <w:highlight w:val="black"/>
              </w:rPr>
              <w:t>''''''' ''' '''''''''' ''''''''''' '''''' '''''''''''' ''''''''''</w:t>
            </w:r>
            <w:r w:rsidR="0075777C" w:rsidRPr="00503643">
              <w:rPr>
                <w:rFonts w:ascii="Arial" w:hAnsi="Arial"/>
              </w:rPr>
              <w:t>)</w:t>
            </w:r>
          </w:p>
        </w:tc>
        <w:tc>
          <w:tcPr>
            <w:tcW w:w="2409" w:type="dxa"/>
          </w:tcPr>
          <w:p w:rsidR="0075777C" w:rsidRPr="00503643" w:rsidRDefault="002046A0" w:rsidP="00796F18">
            <w:pPr>
              <w:pStyle w:val="TableText0"/>
              <w:spacing w:before="20" w:after="20"/>
              <w:rPr>
                <w:rFonts w:ascii="Arial" w:hAnsi="Arial"/>
                <w:highlight w:val="black"/>
              </w:rPr>
            </w:pPr>
            <w:r w:rsidRPr="00503643">
              <w:rPr>
                <w:rFonts w:ascii="Arial" w:hAnsi="Arial"/>
                <w:noProof/>
                <w:color w:val="000000"/>
                <w:highlight w:val="black"/>
              </w:rPr>
              <w:t>''''''''''''''''''''''''''''' ''''''''''''' ''''''''''''''''' '''''''' '''''''''''''''''''''' ''''''''''''' ''''''' '''''''''''' '''''''''''''''' ''''''''''' ''' ''''''''''' '''''''''''''''''''''''' ''''''''''''''''''''''''' ''''''''' ''''''''''''''''''''</w:t>
            </w:r>
          </w:p>
        </w:tc>
        <w:tc>
          <w:tcPr>
            <w:tcW w:w="1134" w:type="dxa"/>
          </w:tcPr>
          <w:p w:rsidR="0075777C" w:rsidRPr="00503643" w:rsidRDefault="0075777C" w:rsidP="00796F18">
            <w:pPr>
              <w:pStyle w:val="TableText0"/>
              <w:spacing w:before="20" w:after="20"/>
              <w:rPr>
                <w:rFonts w:ascii="Arial" w:hAnsi="Arial"/>
              </w:rPr>
            </w:pPr>
            <w:r w:rsidRPr="00503643">
              <w:rPr>
                <w:rFonts w:ascii="Arial" w:hAnsi="Arial"/>
              </w:rPr>
              <w:t>High</w:t>
            </w:r>
          </w:p>
          <w:p w:rsidR="0075777C" w:rsidRPr="00503643" w:rsidRDefault="0075777C" w:rsidP="00796F18">
            <w:pPr>
              <w:pStyle w:val="TableText0"/>
              <w:spacing w:before="20" w:after="20"/>
              <w:rPr>
                <w:rFonts w:ascii="Arial" w:hAnsi="Arial"/>
                <w:bCs/>
              </w:rPr>
            </w:pPr>
            <w:r w:rsidRPr="00503643">
              <w:rPr>
                <w:rFonts w:ascii="Cambria Math" w:hAnsi="Cambria Math" w:cs="Cambria Math"/>
                <w:bCs/>
                <w:color w:val="00B050"/>
              </w:rPr>
              <w:t>⨁⨁⨁⨁</w:t>
            </w:r>
          </w:p>
          <w:p w:rsidR="0075777C" w:rsidRPr="00503643" w:rsidRDefault="0075777C" w:rsidP="00796F18">
            <w:pPr>
              <w:pStyle w:val="TableText0"/>
              <w:spacing w:before="20" w:after="20"/>
              <w:rPr>
                <w:rFonts w:ascii="Arial" w:hAnsi="Arial"/>
              </w:rPr>
            </w:pPr>
            <w:r w:rsidRPr="00503643">
              <w:rPr>
                <w:rFonts w:ascii="Arial" w:hAnsi="Arial"/>
              </w:rPr>
              <w:t>Important</w:t>
            </w:r>
          </w:p>
        </w:tc>
      </w:tr>
      <w:tr w:rsidR="00FC3493" w:rsidRPr="006316DF" w:rsidTr="000647C6">
        <w:tc>
          <w:tcPr>
            <w:tcW w:w="1560" w:type="dxa"/>
          </w:tcPr>
          <w:p w:rsidR="00FC3493" w:rsidRPr="00503643" w:rsidRDefault="00FC3493" w:rsidP="00FC3493">
            <w:pPr>
              <w:pStyle w:val="TableText0"/>
              <w:spacing w:before="20" w:after="20"/>
              <w:rPr>
                <w:rFonts w:ascii="Arial" w:hAnsi="Arial"/>
              </w:rPr>
            </w:pPr>
            <w:r w:rsidRPr="00503643">
              <w:rPr>
                <w:rFonts w:ascii="Arial" w:hAnsi="Arial"/>
              </w:rPr>
              <w:t>Change in 6MWD from baseline</w:t>
            </w:r>
          </w:p>
        </w:tc>
        <w:tc>
          <w:tcPr>
            <w:tcW w:w="1275" w:type="dxa"/>
          </w:tcPr>
          <w:p w:rsidR="00FC3493" w:rsidRPr="00503643" w:rsidRDefault="00FC3493" w:rsidP="00FC3493">
            <w:pPr>
              <w:pStyle w:val="TableText0"/>
              <w:spacing w:before="20" w:after="20"/>
              <w:rPr>
                <w:rFonts w:ascii="Arial" w:hAnsi="Arial"/>
              </w:rPr>
            </w:pPr>
            <w:r w:rsidRPr="00503643">
              <w:rPr>
                <w:rFonts w:ascii="Arial" w:hAnsi="Arial"/>
              </w:rPr>
              <w:t>N=107</w:t>
            </w:r>
          </w:p>
          <w:p w:rsidR="00FC3493" w:rsidRPr="00503643" w:rsidRDefault="00FC3493" w:rsidP="00FC3493">
            <w:pPr>
              <w:pStyle w:val="TableText0"/>
              <w:spacing w:before="20" w:after="20"/>
              <w:rPr>
                <w:rFonts w:ascii="Arial" w:hAnsi="Arial"/>
              </w:rPr>
            </w:pPr>
            <w:r w:rsidRPr="00503643">
              <w:rPr>
                <w:rFonts w:ascii="Arial" w:hAnsi="Arial"/>
              </w:rPr>
              <w:t>k=1 RCT</w:t>
            </w:r>
          </w:p>
        </w:tc>
        <w:tc>
          <w:tcPr>
            <w:tcW w:w="1701" w:type="dxa"/>
          </w:tcPr>
          <w:p w:rsidR="00FC3493" w:rsidRPr="00503643" w:rsidRDefault="00FC3493" w:rsidP="00FC3493">
            <w:pPr>
              <w:pStyle w:val="TableText0"/>
              <w:spacing w:before="20" w:after="20"/>
              <w:rPr>
                <w:rFonts w:ascii="Arial" w:hAnsi="Arial"/>
              </w:rPr>
            </w:pPr>
            <w:r w:rsidRPr="00503643">
              <w:rPr>
                <w:rFonts w:ascii="Arial" w:hAnsi="Arial"/>
              </w:rPr>
              <w:t>Risk of bias: 0</w:t>
            </w:r>
          </w:p>
          <w:p w:rsidR="00FC3493" w:rsidRPr="00503643" w:rsidRDefault="00FC3493" w:rsidP="00FC3493">
            <w:pPr>
              <w:pStyle w:val="TableText0"/>
              <w:spacing w:before="20" w:after="20"/>
              <w:rPr>
                <w:rFonts w:ascii="Arial" w:hAnsi="Arial"/>
              </w:rPr>
            </w:pPr>
            <w:r w:rsidRPr="00503643">
              <w:rPr>
                <w:rFonts w:ascii="Arial" w:hAnsi="Arial"/>
              </w:rPr>
              <w:t>Inconsistency: 0</w:t>
            </w:r>
          </w:p>
          <w:p w:rsidR="00FC3493" w:rsidRPr="00503643" w:rsidRDefault="00FC3493" w:rsidP="00FC3493">
            <w:pPr>
              <w:pStyle w:val="TableText0"/>
              <w:spacing w:before="20" w:after="20"/>
              <w:rPr>
                <w:rFonts w:ascii="Arial" w:hAnsi="Arial"/>
              </w:rPr>
            </w:pPr>
            <w:r w:rsidRPr="00503643">
              <w:rPr>
                <w:rFonts w:ascii="Arial" w:hAnsi="Arial"/>
              </w:rPr>
              <w:t>Indirectness: −1</w:t>
            </w:r>
          </w:p>
          <w:p w:rsidR="00FC3493" w:rsidRPr="00503643" w:rsidRDefault="00FC3493" w:rsidP="00FC3493">
            <w:pPr>
              <w:pStyle w:val="TableText0"/>
              <w:spacing w:before="20" w:after="20"/>
              <w:rPr>
                <w:rFonts w:ascii="Arial" w:hAnsi="Arial"/>
              </w:rPr>
            </w:pPr>
            <w:r w:rsidRPr="00503643">
              <w:rPr>
                <w:rFonts w:ascii="Arial" w:hAnsi="Arial"/>
              </w:rPr>
              <w:t>Imprecision: 0</w:t>
            </w:r>
          </w:p>
          <w:p w:rsidR="00FC3493" w:rsidRPr="00503643" w:rsidRDefault="00FC3493" w:rsidP="00FC3493">
            <w:pPr>
              <w:pStyle w:val="TableText0"/>
              <w:spacing w:before="20" w:after="20"/>
              <w:rPr>
                <w:rFonts w:ascii="Arial" w:hAnsi="Arial"/>
              </w:rPr>
            </w:pPr>
            <w:r w:rsidRPr="00503643">
              <w:rPr>
                <w:rFonts w:ascii="Arial" w:hAnsi="Arial"/>
              </w:rPr>
              <w:t>Publication bias: 0</w:t>
            </w:r>
          </w:p>
          <w:p w:rsidR="00FC3493" w:rsidRPr="00503643" w:rsidRDefault="00FC3493" w:rsidP="00FC3493">
            <w:pPr>
              <w:pStyle w:val="TableText0"/>
              <w:spacing w:before="20" w:after="20"/>
              <w:rPr>
                <w:rFonts w:ascii="Arial" w:hAnsi="Arial"/>
              </w:rPr>
            </w:pPr>
            <w:r w:rsidRPr="00503643">
              <w:rPr>
                <w:rFonts w:ascii="Arial" w:hAnsi="Arial"/>
              </w:rPr>
              <w:t>Association: 0</w:t>
            </w:r>
          </w:p>
        </w:tc>
        <w:tc>
          <w:tcPr>
            <w:tcW w:w="1555" w:type="dxa"/>
          </w:tcPr>
          <w:p w:rsidR="00FC3493" w:rsidRPr="00503643" w:rsidRDefault="002046A0" w:rsidP="00FC3493">
            <w:pPr>
              <w:pStyle w:val="TableText0"/>
              <w:spacing w:before="20" w:after="20"/>
              <w:rPr>
                <w:rFonts w:ascii="Arial" w:hAnsi="Arial"/>
              </w:rPr>
            </w:pPr>
            <w:r w:rsidRPr="00503643">
              <w:rPr>
                <w:rFonts w:ascii="Arial" w:hAnsi="Arial"/>
                <w:noProof/>
                <w:color w:val="000000"/>
                <w:highlight w:val="black"/>
              </w:rPr>
              <w:t xml:space="preserve">''''''''' ''' '''''''''''''''' ''''''''''''' '''''' </w:t>
            </w:r>
            <w:r w:rsidRPr="00503643">
              <w:rPr>
                <w:rFonts w:ascii="Arial" w:hAnsi="Arial"/>
                <w:noProof/>
                <w:color w:val="000000"/>
                <w:highlight w:val="black"/>
              </w:rPr>
              <w:br/>
              <w:t>''''''''''''''' ''''''''''''</w:t>
            </w:r>
          </w:p>
        </w:tc>
        <w:tc>
          <w:tcPr>
            <w:tcW w:w="2409" w:type="dxa"/>
          </w:tcPr>
          <w:p w:rsidR="00FC3493" w:rsidRPr="00503643" w:rsidRDefault="002046A0" w:rsidP="00FC3493">
            <w:pPr>
              <w:pStyle w:val="TableText0"/>
              <w:spacing w:before="20" w:after="20"/>
              <w:rPr>
                <w:rFonts w:ascii="Arial" w:hAnsi="Arial"/>
                <w:highlight w:val="black"/>
              </w:rPr>
            </w:pPr>
            <w:r w:rsidRPr="00503643">
              <w:rPr>
                <w:rFonts w:ascii="Arial" w:hAnsi="Arial"/>
                <w:noProof/>
                <w:color w:val="000000"/>
                <w:highlight w:val="black"/>
              </w:rPr>
              <w:t>''''''''''''''''''''' '''''''''''''''' ''''''''''' '''' '''''''''' ''''''''''''''''''''''' '''''''' '''' '''''''''''' '''''''''''' ''''''''''''''''''''''''''''' '''' ''''''''''''''' ''''''''''''''''''''''' '''''''''' '''''''''''' ''''''' '''''''''''''''''''''' ''''''' ''''''' '''''''''''''''''''''''' '''''''''' ''''''' ''''''''''''''''''' '''''''''''''''''''''</w:t>
            </w:r>
          </w:p>
        </w:tc>
        <w:tc>
          <w:tcPr>
            <w:tcW w:w="1134" w:type="dxa"/>
          </w:tcPr>
          <w:p w:rsidR="00FC3493" w:rsidRPr="00503643" w:rsidRDefault="00FC3493" w:rsidP="00FC3493">
            <w:pPr>
              <w:pStyle w:val="TableText0"/>
              <w:spacing w:before="20" w:after="20"/>
              <w:rPr>
                <w:rFonts w:ascii="Arial" w:hAnsi="Arial"/>
              </w:rPr>
            </w:pPr>
            <w:r w:rsidRPr="00503643">
              <w:rPr>
                <w:rFonts w:ascii="Arial" w:hAnsi="Arial"/>
              </w:rPr>
              <w:t>Moderate</w:t>
            </w:r>
          </w:p>
          <w:p w:rsidR="00FC3493" w:rsidRPr="00503643" w:rsidRDefault="00FC3493" w:rsidP="00FC3493">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color w:val="C00000"/>
              </w:rPr>
              <w:t>⨀</w:t>
            </w:r>
          </w:p>
          <w:p w:rsidR="00FC3493" w:rsidRPr="00503643" w:rsidRDefault="00FC3493" w:rsidP="00FC3493">
            <w:pPr>
              <w:pStyle w:val="TableText0"/>
              <w:spacing w:before="20" w:after="20"/>
              <w:rPr>
                <w:rFonts w:ascii="Arial" w:hAnsi="Arial"/>
              </w:rPr>
            </w:pPr>
            <w:r w:rsidRPr="00503643">
              <w:rPr>
                <w:rFonts w:ascii="Arial" w:hAnsi="Arial"/>
              </w:rPr>
              <w:t>Important</w:t>
            </w:r>
          </w:p>
        </w:tc>
      </w:tr>
      <w:tr w:rsidR="00FC3493" w:rsidRPr="006316DF" w:rsidTr="000647C6">
        <w:tc>
          <w:tcPr>
            <w:tcW w:w="1560" w:type="dxa"/>
          </w:tcPr>
          <w:p w:rsidR="00FC3493" w:rsidRPr="00503643" w:rsidRDefault="00FC3493" w:rsidP="00FC3493">
            <w:pPr>
              <w:pStyle w:val="TableText0"/>
              <w:spacing w:before="20" w:after="20"/>
              <w:rPr>
                <w:rFonts w:ascii="Arial" w:hAnsi="Arial"/>
              </w:rPr>
            </w:pPr>
            <w:r w:rsidRPr="00503643">
              <w:rPr>
                <w:rFonts w:ascii="Arial" w:hAnsi="Arial"/>
              </w:rPr>
              <w:t>Change in QoL from baseline</w:t>
            </w:r>
          </w:p>
        </w:tc>
        <w:tc>
          <w:tcPr>
            <w:tcW w:w="1275" w:type="dxa"/>
          </w:tcPr>
          <w:p w:rsidR="00FC3493" w:rsidRPr="00503643" w:rsidRDefault="00FC3493" w:rsidP="00FC3493">
            <w:pPr>
              <w:pStyle w:val="TableText0"/>
              <w:spacing w:before="20" w:after="20"/>
              <w:rPr>
                <w:rFonts w:ascii="Arial" w:hAnsi="Arial"/>
              </w:rPr>
            </w:pPr>
            <w:r w:rsidRPr="00503643">
              <w:rPr>
                <w:rFonts w:ascii="Arial" w:hAnsi="Arial"/>
              </w:rPr>
              <w:t>N=107</w:t>
            </w:r>
          </w:p>
          <w:p w:rsidR="00FC3493" w:rsidRPr="00503643" w:rsidRDefault="00FC3493" w:rsidP="00FC3493">
            <w:pPr>
              <w:pStyle w:val="TableText0"/>
              <w:spacing w:before="20" w:after="20"/>
              <w:rPr>
                <w:rFonts w:ascii="Arial" w:hAnsi="Arial"/>
              </w:rPr>
            </w:pPr>
            <w:r w:rsidRPr="00503643">
              <w:rPr>
                <w:rFonts w:ascii="Arial" w:hAnsi="Arial"/>
              </w:rPr>
              <w:t>k=1 RCT</w:t>
            </w:r>
          </w:p>
        </w:tc>
        <w:tc>
          <w:tcPr>
            <w:tcW w:w="1701" w:type="dxa"/>
          </w:tcPr>
          <w:p w:rsidR="00FC3493" w:rsidRPr="00503643" w:rsidRDefault="00FC3493" w:rsidP="00FC3493">
            <w:pPr>
              <w:pStyle w:val="TableText0"/>
              <w:spacing w:before="20" w:after="20"/>
              <w:rPr>
                <w:rFonts w:ascii="Arial" w:hAnsi="Arial"/>
              </w:rPr>
            </w:pPr>
            <w:r w:rsidRPr="00503643">
              <w:rPr>
                <w:rFonts w:ascii="Arial" w:hAnsi="Arial"/>
              </w:rPr>
              <w:t>Risk of bias: 0</w:t>
            </w:r>
          </w:p>
          <w:p w:rsidR="00FC3493" w:rsidRPr="00503643" w:rsidRDefault="00FC3493" w:rsidP="00FC3493">
            <w:pPr>
              <w:pStyle w:val="TableText0"/>
              <w:spacing w:before="20" w:after="20"/>
              <w:rPr>
                <w:rFonts w:ascii="Arial" w:hAnsi="Arial"/>
              </w:rPr>
            </w:pPr>
            <w:r w:rsidRPr="00503643">
              <w:rPr>
                <w:rFonts w:ascii="Arial" w:hAnsi="Arial"/>
              </w:rPr>
              <w:t>Inconsistency: 0</w:t>
            </w:r>
          </w:p>
          <w:p w:rsidR="00FC3493" w:rsidRPr="00503643" w:rsidRDefault="00FC3493" w:rsidP="00FC3493">
            <w:pPr>
              <w:pStyle w:val="TableText0"/>
              <w:spacing w:before="20" w:after="20"/>
              <w:rPr>
                <w:rFonts w:ascii="Arial" w:hAnsi="Arial"/>
              </w:rPr>
            </w:pPr>
            <w:r w:rsidRPr="00503643">
              <w:rPr>
                <w:rFonts w:ascii="Arial" w:hAnsi="Arial"/>
              </w:rPr>
              <w:t>Indirectness: 0</w:t>
            </w:r>
          </w:p>
          <w:p w:rsidR="00FC3493" w:rsidRPr="00503643" w:rsidRDefault="00FC3493" w:rsidP="00FC3493">
            <w:pPr>
              <w:pStyle w:val="TableText0"/>
              <w:spacing w:before="20" w:after="20"/>
              <w:rPr>
                <w:rFonts w:ascii="Arial" w:hAnsi="Arial"/>
              </w:rPr>
            </w:pPr>
            <w:r w:rsidRPr="00503643">
              <w:rPr>
                <w:rFonts w:ascii="Arial" w:hAnsi="Arial"/>
              </w:rPr>
              <w:t>Imprecision: 0</w:t>
            </w:r>
          </w:p>
          <w:p w:rsidR="00FC3493" w:rsidRPr="00503643" w:rsidRDefault="00FC3493" w:rsidP="00FC3493">
            <w:pPr>
              <w:pStyle w:val="TableText0"/>
              <w:spacing w:before="20" w:after="20"/>
              <w:rPr>
                <w:rFonts w:ascii="Arial" w:hAnsi="Arial"/>
              </w:rPr>
            </w:pPr>
            <w:r w:rsidRPr="00503643">
              <w:rPr>
                <w:rFonts w:ascii="Arial" w:hAnsi="Arial"/>
              </w:rPr>
              <w:t>Publication bias: 0</w:t>
            </w:r>
          </w:p>
          <w:p w:rsidR="00FC3493" w:rsidRPr="00503643" w:rsidRDefault="00FC3493" w:rsidP="00FC3493">
            <w:pPr>
              <w:pStyle w:val="TableText0"/>
              <w:spacing w:before="20" w:after="20"/>
              <w:rPr>
                <w:rFonts w:ascii="Arial" w:hAnsi="Arial"/>
              </w:rPr>
            </w:pPr>
            <w:r w:rsidRPr="00503643">
              <w:rPr>
                <w:rFonts w:ascii="Arial" w:hAnsi="Arial"/>
              </w:rPr>
              <w:t>Association: 0</w:t>
            </w:r>
          </w:p>
        </w:tc>
        <w:tc>
          <w:tcPr>
            <w:tcW w:w="1555" w:type="dxa"/>
          </w:tcPr>
          <w:p w:rsidR="00FC3493" w:rsidRPr="00503643" w:rsidRDefault="002046A0" w:rsidP="00FC3493">
            <w:pPr>
              <w:pStyle w:val="TableText0"/>
              <w:spacing w:before="20" w:after="20"/>
              <w:rPr>
                <w:rFonts w:ascii="Arial" w:hAnsi="Arial"/>
                <w:highlight w:val="black"/>
              </w:rPr>
            </w:pPr>
            <w:r w:rsidRPr="00503643">
              <w:rPr>
                <w:rFonts w:ascii="Arial" w:hAnsi="Arial"/>
                <w:noProof/>
                <w:color w:val="000000"/>
                <w:highlight w:val="black"/>
              </w:rPr>
              <w:t>''''''''''''''''''''</w:t>
            </w:r>
            <w:r w:rsidRPr="00503643">
              <w:rPr>
                <w:rFonts w:ascii="Arial" w:hAnsi="Arial"/>
                <w:noProof/>
                <w:color w:val="000000"/>
                <w:highlight w:val="black"/>
              </w:rPr>
              <w:br/>
              <w:t>''''''''' ''' ''''''''''''' '''''''''''' ''''''''''''''''''''''''''''''</w:t>
            </w:r>
          </w:p>
          <w:p w:rsidR="00FC3493" w:rsidRPr="00503643" w:rsidRDefault="002046A0" w:rsidP="00FC3493">
            <w:pPr>
              <w:pStyle w:val="TableText0"/>
              <w:spacing w:before="20" w:after="20"/>
              <w:rPr>
                <w:rFonts w:ascii="Arial" w:hAnsi="Arial"/>
                <w:highlight w:val="black"/>
              </w:rPr>
            </w:pPr>
            <w:r w:rsidRPr="00503643">
              <w:rPr>
                <w:rFonts w:ascii="Arial" w:hAnsi="Arial"/>
                <w:noProof/>
                <w:color w:val="000000"/>
                <w:highlight w:val="black"/>
              </w:rPr>
              <w:t>''''''''''''</w:t>
            </w:r>
            <w:r w:rsidRPr="00503643">
              <w:rPr>
                <w:rFonts w:ascii="Arial" w:hAnsi="Arial"/>
                <w:noProof/>
                <w:color w:val="000000"/>
                <w:highlight w:val="black"/>
              </w:rPr>
              <w:br/>
              <w:t>''''''''' '''' '''''''''' '''''''''' '''''''''''''''''''''''''''''''</w:t>
            </w:r>
          </w:p>
        </w:tc>
        <w:tc>
          <w:tcPr>
            <w:tcW w:w="2409" w:type="dxa"/>
          </w:tcPr>
          <w:p w:rsidR="00FC3493" w:rsidRPr="00503643" w:rsidRDefault="002046A0" w:rsidP="00FC3493">
            <w:pPr>
              <w:pStyle w:val="TableText0"/>
              <w:spacing w:before="20" w:after="20"/>
              <w:rPr>
                <w:rFonts w:ascii="Arial" w:hAnsi="Arial"/>
                <w:highlight w:val="black"/>
              </w:rPr>
            </w:pPr>
            <w:r w:rsidRPr="00503643">
              <w:rPr>
                <w:rFonts w:ascii="Arial" w:hAnsi="Arial"/>
                <w:noProof/>
                <w:color w:val="000000"/>
                <w:highlight w:val="black"/>
              </w:rPr>
              <w:t>'''''''''''''''''''' '''''''''''''''''' '''''''''' ''' ''''''''''' '''''''''''''''''''''''' '''''''' '''' '''''''''''' '''''''''''' ''''''''''''''''''''''''''''' ''''' '''''''''' ''''''''''''''''''''' ''''''''' ''''''''''''' ''''''' ''''''''''''''''''</w:t>
            </w:r>
          </w:p>
        </w:tc>
        <w:tc>
          <w:tcPr>
            <w:tcW w:w="1134" w:type="dxa"/>
          </w:tcPr>
          <w:p w:rsidR="00FC3493" w:rsidRPr="00503643" w:rsidRDefault="00FC3493" w:rsidP="00FC3493">
            <w:pPr>
              <w:pStyle w:val="TableText0"/>
              <w:spacing w:before="20" w:after="20"/>
              <w:rPr>
                <w:rFonts w:ascii="Arial" w:hAnsi="Arial"/>
              </w:rPr>
            </w:pPr>
            <w:r w:rsidRPr="00503643">
              <w:rPr>
                <w:rFonts w:ascii="Arial" w:hAnsi="Arial"/>
              </w:rPr>
              <w:t>High</w:t>
            </w:r>
          </w:p>
          <w:p w:rsidR="00FC3493" w:rsidRPr="00503643" w:rsidRDefault="00FC3493" w:rsidP="00FC3493">
            <w:pPr>
              <w:pStyle w:val="TableText0"/>
              <w:spacing w:before="20" w:after="20"/>
              <w:rPr>
                <w:rFonts w:ascii="Arial" w:hAnsi="Arial"/>
                <w:bCs/>
              </w:rPr>
            </w:pPr>
            <w:r w:rsidRPr="00503643">
              <w:rPr>
                <w:rFonts w:ascii="Cambria Math" w:hAnsi="Cambria Math" w:cs="Cambria Math"/>
                <w:bCs/>
                <w:color w:val="00B050"/>
              </w:rPr>
              <w:t>⨁⨁⨁⨁</w:t>
            </w:r>
          </w:p>
          <w:p w:rsidR="00FC3493" w:rsidRPr="00503643" w:rsidRDefault="00FC3493" w:rsidP="00FC3493">
            <w:pPr>
              <w:pStyle w:val="TableText0"/>
              <w:spacing w:before="20" w:after="20"/>
              <w:rPr>
                <w:rFonts w:ascii="Arial" w:hAnsi="Arial"/>
              </w:rPr>
            </w:pPr>
            <w:r w:rsidRPr="00503643">
              <w:rPr>
                <w:rFonts w:ascii="Arial" w:hAnsi="Arial"/>
              </w:rPr>
              <w:t>Important</w:t>
            </w:r>
          </w:p>
        </w:tc>
      </w:tr>
      <w:tr w:rsidR="00FC3493" w:rsidRPr="006316DF" w:rsidTr="00796F18">
        <w:tc>
          <w:tcPr>
            <w:tcW w:w="1560" w:type="dxa"/>
          </w:tcPr>
          <w:p w:rsidR="00FC3493" w:rsidRPr="00503643" w:rsidRDefault="00FC3493" w:rsidP="00FC3493">
            <w:pPr>
              <w:pStyle w:val="TableText0"/>
              <w:spacing w:before="20" w:after="20"/>
              <w:rPr>
                <w:rFonts w:ascii="Arial" w:hAnsi="Arial"/>
              </w:rPr>
            </w:pPr>
            <w:r w:rsidRPr="00503643">
              <w:rPr>
                <w:rFonts w:ascii="Arial" w:hAnsi="Arial"/>
              </w:rPr>
              <w:t>Change in haemodynamic parameters from baseline</w:t>
            </w:r>
          </w:p>
        </w:tc>
        <w:tc>
          <w:tcPr>
            <w:tcW w:w="1275" w:type="dxa"/>
          </w:tcPr>
          <w:p w:rsidR="00FC3493" w:rsidRPr="00503643" w:rsidRDefault="00FC3493" w:rsidP="00FC3493">
            <w:pPr>
              <w:pStyle w:val="TableText0"/>
              <w:spacing w:before="20" w:after="20"/>
              <w:rPr>
                <w:rFonts w:ascii="Arial" w:hAnsi="Arial"/>
              </w:rPr>
            </w:pPr>
            <w:r w:rsidRPr="00503643">
              <w:rPr>
                <w:rFonts w:ascii="Arial" w:hAnsi="Arial"/>
              </w:rPr>
              <w:t>N=107</w:t>
            </w:r>
          </w:p>
          <w:p w:rsidR="00FC3493" w:rsidRPr="00503643" w:rsidRDefault="00FC3493" w:rsidP="00FC3493">
            <w:pPr>
              <w:pStyle w:val="TableText0"/>
              <w:spacing w:before="20" w:after="20"/>
              <w:rPr>
                <w:rFonts w:ascii="Arial" w:hAnsi="Arial"/>
              </w:rPr>
            </w:pPr>
            <w:r w:rsidRPr="00503643">
              <w:rPr>
                <w:rFonts w:ascii="Arial" w:hAnsi="Arial"/>
              </w:rPr>
              <w:t>k=1 RCT</w:t>
            </w:r>
          </w:p>
        </w:tc>
        <w:tc>
          <w:tcPr>
            <w:tcW w:w="1701" w:type="dxa"/>
          </w:tcPr>
          <w:p w:rsidR="00FC3493" w:rsidRPr="00503643" w:rsidRDefault="00FC3493" w:rsidP="00FC3493">
            <w:pPr>
              <w:pStyle w:val="TableText0"/>
              <w:spacing w:before="20" w:after="20"/>
              <w:rPr>
                <w:rFonts w:ascii="Arial" w:hAnsi="Arial"/>
              </w:rPr>
            </w:pPr>
            <w:r w:rsidRPr="00503643">
              <w:rPr>
                <w:rFonts w:ascii="Arial" w:hAnsi="Arial"/>
              </w:rPr>
              <w:t>Risk of bias: 0</w:t>
            </w:r>
          </w:p>
          <w:p w:rsidR="00FC3493" w:rsidRPr="00503643" w:rsidRDefault="00FC3493" w:rsidP="00FC3493">
            <w:pPr>
              <w:pStyle w:val="TableText0"/>
              <w:spacing w:before="20" w:after="20"/>
              <w:rPr>
                <w:rFonts w:ascii="Arial" w:hAnsi="Arial"/>
              </w:rPr>
            </w:pPr>
            <w:r w:rsidRPr="00503643">
              <w:rPr>
                <w:rFonts w:ascii="Arial" w:hAnsi="Arial"/>
              </w:rPr>
              <w:t>Inconsistency: 0</w:t>
            </w:r>
          </w:p>
          <w:p w:rsidR="00FC3493" w:rsidRPr="00503643" w:rsidRDefault="00FC3493" w:rsidP="00FC3493">
            <w:pPr>
              <w:pStyle w:val="TableText0"/>
              <w:spacing w:before="20" w:after="20"/>
              <w:rPr>
                <w:rFonts w:ascii="Arial" w:hAnsi="Arial"/>
              </w:rPr>
            </w:pPr>
            <w:r w:rsidRPr="00503643">
              <w:rPr>
                <w:rFonts w:ascii="Arial" w:hAnsi="Arial"/>
              </w:rPr>
              <w:t>Indirectness: −2</w:t>
            </w:r>
          </w:p>
          <w:p w:rsidR="00FC3493" w:rsidRPr="00503643" w:rsidRDefault="00FC3493" w:rsidP="00FC3493">
            <w:pPr>
              <w:pStyle w:val="TableText0"/>
              <w:spacing w:before="20" w:after="20"/>
              <w:rPr>
                <w:rFonts w:ascii="Arial" w:hAnsi="Arial"/>
              </w:rPr>
            </w:pPr>
            <w:r w:rsidRPr="00503643">
              <w:rPr>
                <w:rFonts w:ascii="Arial" w:hAnsi="Arial"/>
              </w:rPr>
              <w:t>Imprecision: 0</w:t>
            </w:r>
          </w:p>
          <w:p w:rsidR="00FC3493" w:rsidRPr="00503643" w:rsidRDefault="00FC3493" w:rsidP="00FC3493">
            <w:pPr>
              <w:pStyle w:val="TableText0"/>
              <w:spacing w:before="20" w:after="20"/>
              <w:rPr>
                <w:rFonts w:ascii="Arial" w:hAnsi="Arial"/>
              </w:rPr>
            </w:pPr>
            <w:r w:rsidRPr="00503643">
              <w:rPr>
                <w:rFonts w:ascii="Arial" w:hAnsi="Arial"/>
              </w:rPr>
              <w:t>Publication bias: 0</w:t>
            </w:r>
          </w:p>
          <w:p w:rsidR="00FC3493" w:rsidRPr="00503643" w:rsidRDefault="00FC3493" w:rsidP="00FC3493">
            <w:pPr>
              <w:pStyle w:val="TableText0"/>
              <w:spacing w:before="20" w:after="20"/>
              <w:rPr>
                <w:rFonts w:ascii="Arial" w:hAnsi="Arial"/>
              </w:rPr>
            </w:pPr>
            <w:r w:rsidRPr="00503643">
              <w:rPr>
                <w:rFonts w:ascii="Arial" w:hAnsi="Arial"/>
              </w:rPr>
              <w:t>Association: +1</w:t>
            </w:r>
          </w:p>
        </w:tc>
        <w:tc>
          <w:tcPr>
            <w:tcW w:w="1555" w:type="dxa"/>
          </w:tcPr>
          <w:p w:rsidR="00FC3493" w:rsidRPr="00503643" w:rsidRDefault="002046A0" w:rsidP="00FC3493">
            <w:pPr>
              <w:pStyle w:val="TableText0"/>
              <w:spacing w:before="20" w:after="20"/>
              <w:rPr>
                <w:rFonts w:ascii="Arial" w:hAnsi="Arial"/>
                <w:highlight w:val="black"/>
              </w:rPr>
            </w:pPr>
            <w:r w:rsidRPr="00503643">
              <w:rPr>
                <w:rFonts w:ascii="Arial" w:hAnsi="Arial"/>
                <w:noProof/>
                <w:color w:val="000000"/>
                <w:highlight w:val="black"/>
              </w:rPr>
              <w:t>''''''''''''</w:t>
            </w:r>
            <w:r w:rsidRPr="00503643">
              <w:rPr>
                <w:rFonts w:ascii="Arial" w:hAnsi="Arial"/>
                <w:noProof/>
                <w:color w:val="000000"/>
                <w:highlight w:val="black"/>
              </w:rPr>
              <w:br/>
              <w:t>''''''' ''' '''''''''''''''' '''''''''''''''''''''''''''</w:t>
            </w:r>
          </w:p>
        </w:tc>
        <w:tc>
          <w:tcPr>
            <w:tcW w:w="2409" w:type="dxa"/>
          </w:tcPr>
          <w:p w:rsidR="00FC3493" w:rsidRPr="00503643" w:rsidRDefault="002046A0" w:rsidP="00FC3493">
            <w:pPr>
              <w:pStyle w:val="TableText0"/>
              <w:spacing w:before="20" w:after="20"/>
              <w:rPr>
                <w:rFonts w:ascii="Arial" w:hAnsi="Arial"/>
                <w:highlight w:val="black"/>
              </w:rPr>
            </w:pPr>
            <w:r w:rsidRPr="00503643">
              <w:rPr>
                <w:rFonts w:ascii="Arial" w:hAnsi="Arial"/>
                <w:noProof/>
                <w:color w:val="000000"/>
                <w:highlight w:val="black"/>
              </w:rPr>
              <w:t>'''''''''''''''''' ''''''''''''''' '''''''''' ''' ''''''''''' ''''''''''''''''''''' '''''''' ''' ''''''''''''''' ''''''''''''''' '''''''''''''''''''''''''''''''' '''' '''''''''''''''''''''''''''''''''' '''''''''''''''''''''''''''' '''''''''''''''''''''''''' '''''''''' '''''''''''' ''''''' '''''''''''''''''</w:t>
            </w:r>
          </w:p>
        </w:tc>
        <w:tc>
          <w:tcPr>
            <w:tcW w:w="1134" w:type="dxa"/>
          </w:tcPr>
          <w:p w:rsidR="00FC3493" w:rsidRPr="00503643" w:rsidRDefault="00FC3493" w:rsidP="00FC3493">
            <w:pPr>
              <w:pStyle w:val="TableText0"/>
              <w:spacing w:before="20" w:after="20"/>
              <w:rPr>
                <w:rFonts w:ascii="Arial" w:hAnsi="Arial"/>
              </w:rPr>
            </w:pPr>
            <w:r w:rsidRPr="00503643">
              <w:rPr>
                <w:rFonts w:ascii="Arial" w:hAnsi="Arial"/>
              </w:rPr>
              <w:t>Moderate</w:t>
            </w:r>
          </w:p>
          <w:p w:rsidR="00FC3493" w:rsidRPr="00503643" w:rsidRDefault="00FC3493" w:rsidP="00FC3493">
            <w:pPr>
              <w:pStyle w:val="TableText0"/>
              <w:spacing w:before="20" w:after="20"/>
              <w:rPr>
                <w:rFonts w:ascii="Arial" w:hAnsi="Arial"/>
                <w:bCs/>
              </w:rPr>
            </w:pPr>
            <w:r w:rsidRPr="00503643">
              <w:rPr>
                <w:rFonts w:ascii="Cambria Math" w:hAnsi="Cambria Math" w:cs="Cambria Math"/>
                <w:bCs/>
                <w:color w:val="00B050"/>
              </w:rPr>
              <w:t>⨁⨁⨁</w:t>
            </w:r>
            <w:r w:rsidRPr="00503643">
              <w:rPr>
                <w:rFonts w:ascii="Cambria Math" w:hAnsi="Cambria Math" w:cs="Cambria Math"/>
                <w:color w:val="C00000"/>
              </w:rPr>
              <w:t>⨀</w:t>
            </w:r>
          </w:p>
          <w:p w:rsidR="00FC3493" w:rsidRPr="00503643" w:rsidRDefault="00FC3493" w:rsidP="00FC3493">
            <w:pPr>
              <w:pStyle w:val="TableText0"/>
              <w:spacing w:before="20" w:after="20"/>
              <w:rPr>
                <w:rFonts w:ascii="Arial" w:hAnsi="Arial"/>
              </w:rPr>
            </w:pPr>
            <w:r w:rsidRPr="00503643">
              <w:rPr>
                <w:rFonts w:ascii="Arial" w:hAnsi="Arial"/>
              </w:rPr>
              <w:t>Not important</w:t>
            </w:r>
          </w:p>
        </w:tc>
      </w:tr>
    </w:tbl>
    <w:p w:rsidR="0075777C" w:rsidRDefault="0075777C" w:rsidP="00796F18">
      <w:pPr>
        <w:pStyle w:val="Tablenote"/>
      </w:pPr>
      <w:proofErr w:type="gramStart"/>
      <w:r w:rsidRPr="006316DF">
        <w:rPr>
          <w:vertAlign w:val="superscript"/>
        </w:rPr>
        <w:t>a</w:t>
      </w:r>
      <w:proofErr w:type="gramEnd"/>
      <w:r w:rsidRPr="006316DF">
        <w:rPr>
          <w:vertAlign w:val="superscript"/>
        </w:rPr>
        <w:t xml:space="preserve"> </w:t>
      </w:r>
      <w:r w:rsidRPr="006316DF">
        <w:t>GRADE W</w:t>
      </w:r>
      <w:r>
        <w:t>orking Group grades of evidence</w:t>
      </w:r>
      <w:r w:rsidR="001D34EE" w:rsidRPr="001D34EE">
        <w:rPr>
          <w:noProof/>
          <w:vertAlign w:val="superscript"/>
        </w:rPr>
        <w:t>1</w:t>
      </w:r>
    </w:p>
    <w:p w:rsidR="0017449B" w:rsidRDefault="0017449B" w:rsidP="0017449B">
      <w:pPr>
        <w:pStyle w:val="Tablenote"/>
      </w:pPr>
      <w:proofErr w:type="gramStart"/>
      <w:r>
        <w:rPr>
          <w:vertAlign w:val="superscript"/>
        </w:rPr>
        <w:t>b</w:t>
      </w:r>
      <w:proofErr w:type="gramEnd"/>
      <w:r>
        <w:rPr>
          <w:vertAlign w:val="superscript"/>
        </w:rPr>
        <w:t xml:space="preserve"> </w:t>
      </w:r>
      <w:r>
        <w:t xml:space="preserve">EQ-5D utility scores range from </w:t>
      </w:r>
      <w:r w:rsidRPr="00C569DB">
        <w:t>−</w:t>
      </w:r>
      <w:r>
        <w:t>0.59 to 1.00. A higher score represents better QoL.</w:t>
      </w:r>
    </w:p>
    <w:p w:rsidR="0017449B" w:rsidRPr="006316DF" w:rsidRDefault="0017449B" w:rsidP="00796F18">
      <w:pPr>
        <w:pStyle w:val="Tablenote"/>
      </w:pPr>
      <w:proofErr w:type="gramStart"/>
      <w:r>
        <w:rPr>
          <w:vertAlign w:val="superscript"/>
        </w:rPr>
        <w:t>c</w:t>
      </w:r>
      <w:proofErr w:type="gramEnd"/>
      <w:r>
        <w:rPr>
          <w:vertAlign w:val="superscript"/>
        </w:rPr>
        <w:t xml:space="preserve"> </w:t>
      </w:r>
      <w:r>
        <w:t>LPH total scores range from 0 to 105. A higher score indicates poorer QoL.</w:t>
      </w:r>
    </w:p>
    <w:p w:rsidR="0075777C" w:rsidRPr="006316DF" w:rsidRDefault="0075777C" w:rsidP="00796F18">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7C2D99" w:rsidRPr="006316DF" w:rsidRDefault="007C2D99" w:rsidP="007C2D99">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CF5BBF" w:rsidRPr="006316DF" w:rsidRDefault="00CF5BBF" w:rsidP="00CF5BBF">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75777C" w:rsidRPr="006316DF" w:rsidRDefault="0075777C" w:rsidP="00796F18">
      <w:pPr>
        <w:pStyle w:val="Tablenote"/>
      </w:pPr>
      <w:proofErr w:type="gramStart"/>
      <w:r>
        <w:t xml:space="preserve">6MWD = 6-minute </w:t>
      </w:r>
      <w:r w:rsidR="0082368E">
        <w:t>walk distance</w:t>
      </w:r>
      <w:r w:rsidR="00B21201">
        <w:t>; ARD</w:t>
      </w:r>
      <w:r>
        <w:t xml:space="preserve"> = absolute risk </w:t>
      </w:r>
      <w:r w:rsidR="00B21201">
        <w:t>difference</w:t>
      </w:r>
      <w:r>
        <w:t xml:space="preserve">; CI = confidence interval; </w:t>
      </w:r>
      <w:r w:rsidR="00572AE9">
        <w:t xml:space="preserve">EQ-5D = EuroQol 5 </w:t>
      </w:r>
      <w:r w:rsidRPr="00C65B42">
        <w:t xml:space="preserve">dimension; </w:t>
      </w:r>
      <w:r>
        <w:t xml:space="preserve">FC = functional class; </w:t>
      </w:r>
      <w:r w:rsidR="00385E5A">
        <w:t>GRADE = grading of recommendations assessment, development and evaluation</w:t>
      </w:r>
      <w:r w:rsidR="001D34EE" w:rsidRPr="001D34EE">
        <w:rPr>
          <w:noProof/>
          <w:vertAlign w:val="superscript"/>
        </w:rPr>
        <w:t>1</w:t>
      </w:r>
      <w:r w:rsidR="008E6DA8" w:rsidRPr="008E6DA8">
        <w:t xml:space="preserve">; k = number of studies; </w:t>
      </w:r>
      <w:r w:rsidRPr="00C65B42">
        <w:t xml:space="preserve">LPH = living with pulmonary hypertension; </w:t>
      </w:r>
      <w:r>
        <w:t xml:space="preserve">MD = mean difference; N = number of patients; </w:t>
      </w:r>
      <w:r w:rsidRPr="008D4A39">
        <w:t xml:space="preserve">PVR = pulmonary vascular resistance; </w:t>
      </w:r>
      <w:r>
        <w:t>QoL = quality of life; RCT = randomised controlled trial; RR = relative risk; sGC stimulator = s</w:t>
      </w:r>
      <w:r w:rsidRPr="004412D0">
        <w:t>oluble guanylate cyclase</w:t>
      </w:r>
      <w:r>
        <w:t>; WHO = World Health Organization</w:t>
      </w:r>
      <w:proofErr w:type="gramEnd"/>
    </w:p>
    <w:p w:rsidR="0075777C" w:rsidRPr="006316DF" w:rsidRDefault="0075777C" w:rsidP="0075777C">
      <w:pPr>
        <w:pStyle w:val="Heading5"/>
      </w:pPr>
      <w:r w:rsidRPr="006316DF">
        <w:t>Safety</w:t>
      </w:r>
    </w:p>
    <w:p w:rsidR="005A20F4" w:rsidRPr="005A20F4" w:rsidRDefault="00F9638D" w:rsidP="0075777C">
      <w:r w:rsidRPr="00F9638D">
        <w:t xml:space="preserve">No conclusions about the comparative safety of a sGC stimulator versus placebo in patients with WHO FC I/II PAH </w:t>
      </w:r>
      <w:proofErr w:type="gramStart"/>
      <w:r w:rsidRPr="00F9638D">
        <w:t>could be made</w:t>
      </w:r>
      <w:proofErr w:type="gramEnd"/>
      <w:r w:rsidRPr="00F9638D">
        <w:t xml:space="preserve"> due to a lack of evidence</w:t>
      </w:r>
      <w:r w:rsidR="002856B6">
        <w:t>.</w:t>
      </w:r>
    </w:p>
    <w:p w:rsidR="005A20F4" w:rsidRDefault="005A20F4" w:rsidP="005A20F4">
      <w:pPr>
        <w:pStyle w:val="Heading3"/>
      </w:pPr>
      <w:bookmarkStart w:id="350" w:name="_Toc38360288"/>
      <w:r>
        <w:t>New evidence of effectiveness and safety of monotherapy in WHO FC III and IV</w:t>
      </w:r>
      <w:bookmarkEnd w:id="350"/>
      <w:r>
        <w:t xml:space="preserve"> </w:t>
      </w:r>
    </w:p>
    <w:p w:rsidR="005A20F4" w:rsidRDefault="002856B6" w:rsidP="00796F18">
      <w:r>
        <w:t xml:space="preserve">No new evidence </w:t>
      </w:r>
      <w:proofErr w:type="gramStart"/>
      <w:r>
        <w:t>was identified</w:t>
      </w:r>
      <w:proofErr w:type="gramEnd"/>
      <w:r>
        <w:t>.</w:t>
      </w:r>
    </w:p>
    <w:p w:rsidR="005A20F4" w:rsidRDefault="005A20F4" w:rsidP="005A20F4">
      <w:pPr>
        <w:pStyle w:val="Heading3"/>
      </w:pPr>
      <w:bookmarkStart w:id="351" w:name="_Toc38360289"/>
      <w:r>
        <w:t>Effectiveness and safety of dual combination therapy</w:t>
      </w:r>
      <w:bookmarkEnd w:id="351"/>
    </w:p>
    <w:p w:rsidR="0075777C" w:rsidRPr="006316DF" w:rsidRDefault="000E0079" w:rsidP="0075777C">
      <w:pPr>
        <w:pStyle w:val="Heading4"/>
      </w:pPr>
      <w:r>
        <w:t>4.5.3.1</w:t>
      </w:r>
      <w:r>
        <w:tab/>
      </w:r>
      <w:r w:rsidR="0075777C" w:rsidRPr="006316DF">
        <w:t xml:space="preserve">ERA </w:t>
      </w:r>
      <w:r w:rsidR="0075777C" w:rsidRPr="00EF6A61">
        <w:t>in addition to PDE-5 inhibitor</w:t>
      </w:r>
    </w:p>
    <w:p w:rsidR="0075777C" w:rsidRPr="00107676" w:rsidRDefault="0075777C" w:rsidP="0075777C">
      <w:pPr>
        <w:pStyle w:val="Heading5"/>
      </w:pPr>
      <w:r w:rsidRPr="00107676">
        <w:t>Clinical effectiveness</w:t>
      </w:r>
    </w:p>
    <w:p w:rsidR="0075777C" w:rsidRDefault="0075777C" w:rsidP="0075777C">
      <w:r>
        <w:t xml:space="preserve">Of the four trials that provided the evidence base for </w:t>
      </w:r>
      <w:r w:rsidRPr="000522D6">
        <w:t xml:space="preserve">comparing </w:t>
      </w:r>
      <w:r>
        <w:t xml:space="preserve">the effectiveness of </w:t>
      </w:r>
      <w:r w:rsidRPr="000522D6">
        <w:t>an ERA in addition to PDE-5 inhibitor</w:t>
      </w:r>
      <w:r>
        <w:t xml:space="preserve"> compared with</w:t>
      </w:r>
      <w:r w:rsidRPr="000522D6">
        <w:t xml:space="preserve"> PDE-5 inhibitor monotherapy</w:t>
      </w:r>
      <w:r>
        <w:t>, three trials enrolled patients on stable PDE-5 inhibitor monotherapy (sequential combination therapy) and one trial (AMBITION) enrolled treatment naïve patients (initial combination therapy). There were no statistically significant differences between the outcomes for patients receiving initial combination therapy versus monotherapy for the AMBITION trial compared with the other three trials</w:t>
      </w:r>
      <w:r w:rsidRPr="00BE19DA">
        <w:t xml:space="preserve"> with patients receiving sequential combination therapy</w:t>
      </w:r>
      <w:r>
        <w:t xml:space="preserve"> versus monotherapy.</w:t>
      </w:r>
      <w:r w:rsidRPr="001A61AD">
        <w:t xml:space="preserve"> Two </w:t>
      </w:r>
      <w:r>
        <w:t>RCTs also included subgroup analys</w:t>
      </w:r>
      <w:r w:rsidR="006A201F">
        <w:t>e</w:t>
      </w:r>
      <w:r>
        <w:t>s for</w:t>
      </w:r>
      <w:r w:rsidRPr="001A61AD">
        <w:t xml:space="preserve"> </w:t>
      </w:r>
      <w:r>
        <w:t xml:space="preserve">patients with WHO FC III/IV PAH, and two RCTs included </w:t>
      </w:r>
      <w:r w:rsidRPr="00A14F28">
        <w:t>subgroup analys</w:t>
      </w:r>
      <w:r w:rsidR="006A201F">
        <w:t>e</w:t>
      </w:r>
      <w:r w:rsidRPr="00A14F28">
        <w:t>s for patients with</w:t>
      </w:r>
      <w:r>
        <w:t xml:space="preserve"> different PAH aetiologies.</w:t>
      </w:r>
    </w:p>
    <w:p w:rsidR="0075777C"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w:t>
      </w:r>
      <w:r>
        <w:t>effectiveness</w:t>
      </w:r>
      <w:r w:rsidRPr="006316DF">
        <w:t xml:space="preserve"> outcomes when comparing an ERA </w:t>
      </w:r>
      <w:r w:rsidRPr="00BB3BB5">
        <w:t xml:space="preserve">in addition to PDE-5 inhibitor, relative to PDE-5 inhibitor monotherapy </w:t>
      </w:r>
      <w:proofErr w:type="gramStart"/>
      <w:r w:rsidRPr="006316DF">
        <w:t>are reported</w:t>
      </w:r>
      <w:proofErr w:type="gramEnd"/>
      <w:r w:rsidRPr="006316DF">
        <w:t xml:space="preserve"> in</w:t>
      </w:r>
      <w:r>
        <w:t xml:space="preserve"> </w:t>
      </w:r>
      <w:r w:rsidR="003951FA" w:rsidRPr="00F05153">
        <w:t>Table 4.</w:t>
      </w:r>
      <w:r w:rsidR="003951FA">
        <w:rPr>
          <w:noProof/>
        </w:rPr>
        <w:t>149</w:t>
      </w:r>
      <w:r>
        <w:t xml:space="preserve"> to </w:t>
      </w:r>
      <w:r w:rsidR="003951FA" w:rsidRPr="00F05153">
        <w:t>Table 4.</w:t>
      </w:r>
      <w:r w:rsidR="003951FA">
        <w:rPr>
          <w:noProof/>
        </w:rPr>
        <w:t>151</w:t>
      </w:r>
      <w:r>
        <w:t xml:space="preserve"> </w:t>
      </w:r>
      <w:r w:rsidRPr="006316DF">
        <w:t xml:space="preserve">in Appendix </w:t>
      </w:r>
      <w:r w:rsidR="00DA2636">
        <w:t>4</w:t>
      </w:r>
      <w:r w:rsidR="001B552D">
        <w:t>C</w:t>
      </w:r>
      <w:r>
        <w:t>.</w:t>
      </w:r>
      <w:r w:rsidRPr="00B73C5B">
        <w:t xml:space="preserve"> </w:t>
      </w:r>
      <w:r w:rsidRPr="006316DF">
        <w:t xml:space="preserve">The evidence for the </w:t>
      </w:r>
      <w:r>
        <w:t xml:space="preserve">effectiveness </w:t>
      </w:r>
      <w:r w:rsidRPr="006316DF">
        <w:t xml:space="preserve">outcomes </w:t>
      </w:r>
      <w:r>
        <w:t xml:space="preserve">for all PAH patients is summarised </w:t>
      </w:r>
      <w:r w:rsidRPr="006316DF">
        <w:t>in</w:t>
      </w:r>
      <w:r>
        <w:t xml:space="preserve"> </w:t>
      </w:r>
      <w:r w:rsidR="003951FA" w:rsidRPr="00F05153">
        <w:t>Table 4.</w:t>
      </w:r>
      <w:r w:rsidR="003951FA">
        <w:rPr>
          <w:noProof/>
        </w:rPr>
        <w:t>123</w:t>
      </w:r>
      <w:r>
        <w:t>.</w:t>
      </w:r>
    </w:p>
    <w:p w:rsidR="0075777C" w:rsidRPr="00246B68" w:rsidRDefault="0075777C" w:rsidP="0075777C">
      <w:r>
        <w:t xml:space="preserve">All outcomes </w:t>
      </w:r>
      <w:proofErr w:type="gramStart"/>
      <w:r>
        <w:t xml:space="preserve">were </w:t>
      </w:r>
      <w:r w:rsidRPr="006316DF">
        <w:t>considered</w:t>
      </w:r>
      <w:proofErr w:type="gramEnd"/>
      <w:r w:rsidRPr="006316DF">
        <w:t xml:space="preserve"> to be of </w:t>
      </w:r>
      <w:r>
        <w:t>high</w:t>
      </w:r>
      <w:r w:rsidRPr="006316DF">
        <w:t xml:space="preserve"> quality (GRADE </w:t>
      </w:r>
      <w:r w:rsidRPr="008727D6">
        <w:rPr>
          <w:rFonts w:ascii="Cambria Math" w:eastAsia="Times New Roman" w:hAnsi="Cambria Math" w:cs="Tahoma"/>
          <w:bCs/>
          <w:color w:val="00B050"/>
        </w:rPr>
        <w:t>⨁⨁⨁⨁</w:t>
      </w:r>
      <w:r w:rsidRPr="00246B68">
        <w:t>), except for all-cause mortality (</w:t>
      </w:r>
      <w:r w:rsidR="00BD512F">
        <w:t xml:space="preserve">moderate </w:t>
      </w:r>
      <w:r w:rsidRPr="00246B68">
        <w:t xml:space="preserve">GRADE </w:t>
      </w:r>
      <w:r w:rsidR="00920393" w:rsidRPr="00E564DD">
        <w:rPr>
          <w:rFonts w:ascii="Cambria Math" w:hAnsi="Cambria Math"/>
          <w:color w:val="00B050"/>
        </w:rPr>
        <w:t>⨁⨁⨁</w:t>
      </w:r>
      <w:r w:rsidR="00920393" w:rsidRPr="00E564DD">
        <w:rPr>
          <w:rFonts w:ascii="Cambria Math" w:hAnsi="Cambria Math"/>
          <w:color w:val="C00000"/>
        </w:rPr>
        <w:t>⨀</w:t>
      </w:r>
      <w:r w:rsidRPr="00246B68">
        <w:t>)</w:t>
      </w:r>
      <w:r w:rsidR="00BD512F">
        <w:t xml:space="preserve"> and c</w:t>
      </w:r>
      <w:r w:rsidR="00BD512F" w:rsidRPr="00BD512F">
        <w:t>hange in 6MWD</w:t>
      </w:r>
      <w:r w:rsidR="00BD512F">
        <w:t xml:space="preserve"> </w:t>
      </w:r>
      <w:r w:rsidR="00BD512F" w:rsidRPr="00246B68">
        <w:t>(</w:t>
      </w:r>
      <w:r w:rsidR="00BD512F">
        <w:t xml:space="preserve">low </w:t>
      </w:r>
      <w:r w:rsidR="00BD512F" w:rsidRPr="00246B68">
        <w:t xml:space="preserve">GRADE </w:t>
      </w:r>
      <w:r w:rsidR="00BD512F" w:rsidRPr="00E564DD">
        <w:rPr>
          <w:rFonts w:ascii="Cambria Math" w:hAnsi="Cambria Math"/>
          <w:color w:val="00B050"/>
        </w:rPr>
        <w:t>⨁⨁</w:t>
      </w:r>
      <w:r w:rsidR="00BD512F" w:rsidRPr="00E564DD">
        <w:rPr>
          <w:rFonts w:ascii="Cambria Math" w:hAnsi="Cambria Math"/>
          <w:color w:val="C00000"/>
        </w:rPr>
        <w:t>⨀⨀</w:t>
      </w:r>
      <w:r w:rsidR="00BD512F" w:rsidRPr="00246B68">
        <w:t>)</w:t>
      </w:r>
      <w:r w:rsidRPr="00246B68">
        <w:t>. Thus, the true effect of treating WHO FC I/II PAH with an ERA in addition to PDE-5 inhibitor, relative to PDE-5 inhibitor monotherapy is likely to be close to the reported point estimate. However, the possibility of the true estimate being close to t</w:t>
      </w:r>
      <w:r w:rsidR="00DA2636">
        <w:t xml:space="preserve">he 95% CIs </w:t>
      </w:r>
      <w:proofErr w:type="gramStart"/>
      <w:r w:rsidR="00DA2636">
        <w:t>cannot be ruled out</w:t>
      </w:r>
      <w:proofErr w:type="gramEnd"/>
      <w:r w:rsidR="00DA2636">
        <w:t>.</w:t>
      </w:r>
    </w:p>
    <w:p w:rsidR="0075777C" w:rsidRPr="00F05153" w:rsidRDefault="0075777C" w:rsidP="0075777C">
      <w:r w:rsidRPr="00F05153">
        <w:t xml:space="preserve">When taking the whole body of evidence into account, </w:t>
      </w:r>
      <w:r w:rsidR="002046A0">
        <w:rPr>
          <w:noProof/>
          <w:color w:val="000000"/>
          <w:highlight w:val="black"/>
        </w:rPr>
        <w:t>'''''''''''''''''''''' ''''''''''</w:t>
      </w:r>
      <w:r w:rsidRPr="00F05153">
        <w:t xml:space="preserve"> patients experienced </w:t>
      </w:r>
      <w:r w:rsidR="002046A0">
        <w:rPr>
          <w:noProof/>
          <w:color w:val="000000"/>
          <w:highlight w:val="black"/>
        </w:rPr>
        <w:t>''''''''''''' ''''''''''''''''''''</w:t>
      </w:r>
      <w:r w:rsidRPr="00F05153">
        <w:t xml:space="preserve"> </w:t>
      </w:r>
      <w:r w:rsidR="00116EDA" w:rsidRPr="00F05153">
        <w:t xml:space="preserve">and PHA-related hospitalisation </w:t>
      </w:r>
      <w:r w:rsidRPr="00F05153">
        <w:t xml:space="preserve">when taking combination therapy compared with monotherapy. </w:t>
      </w:r>
      <w:r w:rsidR="00F42EBF" w:rsidRPr="00F05153">
        <w:t>T</w:t>
      </w:r>
      <w:r w:rsidRPr="00F05153">
        <w:t xml:space="preserve">he </w:t>
      </w:r>
      <w:r w:rsidR="00F42EBF" w:rsidRPr="00F05153">
        <w:t xml:space="preserve">differences between combination therapy and monotherapy </w:t>
      </w:r>
      <w:r w:rsidR="002046A0">
        <w:rPr>
          <w:noProof/>
          <w:color w:val="000000"/>
          <w:highlight w:val="black"/>
        </w:rPr>
        <w:t>'''''' '''''''' ''''''''''</w:t>
      </w:r>
      <w:r w:rsidR="00F42EBF" w:rsidRPr="00F05153">
        <w:t xml:space="preserve"> </w:t>
      </w:r>
      <w:r w:rsidR="002046A0">
        <w:rPr>
          <w:noProof/>
          <w:color w:val="000000"/>
          <w:highlight w:val="black"/>
        </w:rPr>
        <w:t>'''''''''''''''' '''''''''''''''''''''' ''''' '''''''''''''''' '''''''''''''''''</w:t>
      </w:r>
      <w:r w:rsidRPr="00F05153">
        <w:t xml:space="preserve">, and </w:t>
      </w:r>
      <w:r w:rsidR="0001351C" w:rsidRPr="00F05153">
        <w:t xml:space="preserve">there was little difference in </w:t>
      </w:r>
      <w:r w:rsidRPr="00F05153">
        <w:t>improved or worsened WHO FC</w:t>
      </w:r>
      <w:r w:rsidR="0001351C" w:rsidRPr="00F05153">
        <w:t xml:space="preserve"> between treatment arms</w:t>
      </w:r>
      <w:r w:rsidRPr="00F05153">
        <w:t xml:space="preserve">. </w:t>
      </w:r>
      <w:r w:rsidR="009411F3" w:rsidRPr="00F05153">
        <w:t>However, t</w:t>
      </w:r>
      <w:r w:rsidRPr="00F05153">
        <w:t xml:space="preserve">he range of values in the 95% CIs included clinically relevant values favouring combination therapy over monotherapy, except for worsened WHO FC, which also had values favouring monotherapy. Thus, the true effect could not be determined for these outcomes. The mean differences in </w:t>
      </w:r>
      <w:r w:rsidR="002046A0">
        <w:rPr>
          <w:noProof/>
          <w:color w:val="000000"/>
          <w:highlight w:val="black"/>
        </w:rPr>
        <w:t xml:space="preserve">'''''''''''' </w:t>
      </w:r>
      <w:r w:rsidRPr="00F05153">
        <w:t xml:space="preserve">and QoL </w:t>
      </w:r>
      <w:r w:rsidR="002046A0">
        <w:rPr>
          <w:noProof/>
          <w:color w:val="000000"/>
          <w:highlight w:val="black"/>
        </w:rPr>
        <w:t>''''''''''''''''' '''''''''''''''''''''' '''''''''''''' '''''''' ''''''''''''''''''''''''''''</w:t>
      </w:r>
      <w:r w:rsidRPr="00F05153">
        <w:t xml:space="preserve">, but </w:t>
      </w:r>
      <w:r w:rsidR="002046A0">
        <w:rPr>
          <w:noProof/>
          <w:color w:val="000000"/>
          <w:highlight w:val="black"/>
        </w:rPr>
        <w:t>''''''''''' '''''' '''''''''''''''' '''''''''''''''''''</w:t>
      </w:r>
      <w:r w:rsidRPr="00F05153">
        <w:t>.</w:t>
      </w:r>
    </w:p>
    <w:p w:rsidR="0075777C" w:rsidRPr="00F05153" w:rsidRDefault="0075777C" w:rsidP="0075777C">
      <w:r w:rsidRPr="00F05153">
        <w:t xml:space="preserve">Thus, there </w:t>
      </w:r>
      <w:r w:rsidR="00246B68" w:rsidRPr="00F05153">
        <w:t xml:space="preserve">is </w:t>
      </w:r>
      <w:r w:rsidR="00CA6CD8" w:rsidRPr="00F05153">
        <w:t>some evidence to suggest that</w:t>
      </w:r>
      <w:r w:rsidRPr="00F05153">
        <w:t xml:space="preserve"> </w:t>
      </w:r>
      <w:r w:rsidR="00246B68" w:rsidRPr="00F05153">
        <w:t xml:space="preserve">the </w:t>
      </w:r>
      <w:r w:rsidRPr="00F05153">
        <w:t>use of an ERA in addition to PDE-5 inhibitor, relative to PDE-5 inhibitor monotherapy to treat PAH patie</w:t>
      </w:r>
      <w:r w:rsidR="002856B6">
        <w:t>nts is likely to be beneficial.</w:t>
      </w:r>
    </w:p>
    <w:p w:rsidR="0075777C" w:rsidRPr="00F05153" w:rsidRDefault="00272F8F" w:rsidP="00BC5A2B">
      <w:pPr>
        <w:pStyle w:val="Caption"/>
      </w:pPr>
      <w:bookmarkStart w:id="352" w:name="_Ref505765462"/>
      <w:bookmarkStart w:id="353" w:name="_Toc38360420"/>
      <w:r w:rsidRPr="00F05153">
        <w:t>Table 4.</w:t>
      </w:r>
      <w:r w:rsidR="003951FA">
        <w:rPr>
          <w:noProof/>
        </w:rPr>
        <w:t>123</w:t>
      </w:r>
      <w:bookmarkEnd w:id="352"/>
      <w:r w:rsidR="00796F18" w:rsidRPr="00F05153">
        <w:tab/>
      </w:r>
      <w:r w:rsidR="0075777C" w:rsidRPr="00F05153">
        <w:t xml:space="preserve">Balance of clinical benefits of </w:t>
      </w:r>
      <w:r w:rsidR="004B668A" w:rsidRPr="00F05153">
        <w:t xml:space="preserve">an </w:t>
      </w:r>
      <w:r w:rsidR="0075777C" w:rsidRPr="00F05153">
        <w:t xml:space="preserve">ERA in addition to </w:t>
      </w:r>
      <w:r w:rsidR="004B668A" w:rsidRPr="00F05153">
        <w:t xml:space="preserve">a </w:t>
      </w:r>
      <w:r w:rsidR="0075777C" w:rsidRPr="00F05153">
        <w:t>PDE-5 inhibitor, relative to PDE-5 inhibitor monotherapy in all PAH patients</w:t>
      </w:r>
      <w:bookmarkEnd w:id="353"/>
    </w:p>
    <w:tbl>
      <w:tblPr>
        <w:tblStyle w:val="TableGrid"/>
        <w:tblW w:w="9634" w:type="dxa"/>
        <w:tblLayout w:type="fixed"/>
        <w:tblLook w:val="04A0" w:firstRow="1" w:lastRow="0" w:firstColumn="1" w:lastColumn="0" w:noHBand="0" w:noVBand="1"/>
        <w:tblCaption w:val="Balance of clinical benefits of an ERA in addition to a PDE-5 inhibitor, relative to PDE-5 inhibitor monotherapy in all PAH patients"/>
      </w:tblPr>
      <w:tblGrid>
        <w:gridCol w:w="1560"/>
        <w:gridCol w:w="1275"/>
        <w:gridCol w:w="1701"/>
        <w:gridCol w:w="1413"/>
        <w:gridCol w:w="2551"/>
        <w:gridCol w:w="1134"/>
      </w:tblGrid>
      <w:tr w:rsidR="0075777C" w:rsidRPr="00F05153" w:rsidTr="00246B68">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F05153" w:rsidRDefault="0075777C" w:rsidP="000647C6">
            <w:pPr>
              <w:pStyle w:val="Tabletext"/>
              <w:rPr>
                <w:b/>
                <w:noProof/>
              </w:rPr>
            </w:pPr>
            <w:r w:rsidRPr="00F05153">
              <w:rPr>
                <w:b/>
                <w:noProof/>
              </w:rPr>
              <w:t xml:space="preserve">Outcomes </w:t>
            </w:r>
          </w:p>
        </w:tc>
        <w:tc>
          <w:tcPr>
            <w:tcW w:w="1275" w:type="dxa"/>
          </w:tcPr>
          <w:p w:rsidR="0075777C" w:rsidRPr="00F05153" w:rsidRDefault="0075777C" w:rsidP="000647C6">
            <w:pPr>
              <w:pStyle w:val="Tabletext"/>
              <w:rPr>
                <w:b/>
                <w:noProof/>
              </w:rPr>
            </w:pPr>
            <w:r w:rsidRPr="00F05153">
              <w:rPr>
                <w:b/>
                <w:noProof/>
              </w:rPr>
              <w:t>Participants (studies)</w:t>
            </w:r>
          </w:p>
        </w:tc>
        <w:tc>
          <w:tcPr>
            <w:tcW w:w="1701" w:type="dxa"/>
          </w:tcPr>
          <w:p w:rsidR="0075777C" w:rsidRPr="00F05153" w:rsidRDefault="0075777C" w:rsidP="000647C6">
            <w:pPr>
              <w:pStyle w:val="Tabletext"/>
              <w:rPr>
                <w:b/>
                <w:noProof/>
              </w:rPr>
            </w:pPr>
            <w:r w:rsidRPr="00F05153">
              <w:rPr>
                <w:b/>
                <w:noProof/>
              </w:rPr>
              <w:t>Quality of evidence</w:t>
            </w:r>
          </w:p>
        </w:tc>
        <w:tc>
          <w:tcPr>
            <w:tcW w:w="1413" w:type="dxa"/>
          </w:tcPr>
          <w:p w:rsidR="0075777C" w:rsidRPr="00F05153" w:rsidRDefault="0075777C" w:rsidP="000647C6">
            <w:pPr>
              <w:pStyle w:val="Tabletext"/>
              <w:rPr>
                <w:b/>
                <w:noProof/>
              </w:rPr>
            </w:pPr>
            <w:r w:rsidRPr="00F05153">
              <w:rPr>
                <w:b/>
                <w:noProof/>
              </w:rPr>
              <w:t>Results</w:t>
            </w:r>
          </w:p>
        </w:tc>
        <w:tc>
          <w:tcPr>
            <w:tcW w:w="2551" w:type="dxa"/>
          </w:tcPr>
          <w:p w:rsidR="0075777C" w:rsidRPr="00F05153" w:rsidRDefault="0075777C" w:rsidP="000647C6">
            <w:pPr>
              <w:pStyle w:val="Tabletext"/>
              <w:rPr>
                <w:b/>
                <w:noProof/>
              </w:rPr>
            </w:pPr>
            <w:r w:rsidRPr="00F05153">
              <w:rPr>
                <w:b/>
                <w:noProof/>
              </w:rPr>
              <w:t>Interpretation</w:t>
            </w:r>
          </w:p>
        </w:tc>
        <w:tc>
          <w:tcPr>
            <w:tcW w:w="1134" w:type="dxa"/>
          </w:tcPr>
          <w:p w:rsidR="0075777C" w:rsidRPr="00F05153" w:rsidRDefault="0075777C" w:rsidP="000647C6">
            <w:pPr>
              <w:pStyle w:val="Tabletext"/>
              <w:rPr>
                <w:b/>
                <w:noProof/>
              </w:rPr>
            </w:pPr>
            <w:r w:rsidRPr="00F05153">
              <w:rPr>
                <w:b/>
                <w:noProof/>
              </w:rPr>
              <w:t>GRADE</w:t>
            </w:r>
            <w:r w:rsidR="008E6DA8" w:rsidRPr="00F05153">
              <w:rPr>
                <w:b/>
                <w:noProof/>
                <w:vertAlign w:val="superscript"/>
              </w:rPr>
              <w:t>a</w:t>
            </w:r>
          </w:p>
          <w:p w:rsidR="0075777C" w:rsidRPr="00F05153" w:rsidRDefault="0075777C" w:rsidP="000647C6">
            <w:pPr>
              <w:pStyle w:val="Tabletext"/>
              <w:rPr>
                <w:b/>
                <w:noProof/>
              </w:rPr>
            </w:pPr>
            <w:r w:rsidRPr="00F05153">
              <w:rPr>
                <w:b/>
                <w:noProof/>
              </w:rPr>
              <w:t>Importance</w:t>
            </w:r>
          </w:p>
        </w:tc>
      </w:tr>
      <w:tr w:rsidR="0075777C" w:rsidRPr="00F05153" w:rsidTr="00246B68">
        <w:tc>
          <w:tcPr>
            <w:tcW w:w="1560" w:type="dxa"/>
          </w:tcPr>
          <w:p w:rsidR="0075777C" w:rsidRPr="00F05153" w:rsidRDefault="0075777C" w:rsidP="000647C6">
            <w:pPr>
              <w:pStyle w:val="Tabletext"/>
            </w:pPr>
            <w:r w:rsidRPr="00F05153">
              <w:t xml:space="preserve">Clinical worsening </w:t>
            </w:r>
          </w:p>
        </w:tc>
        <w:tc>
          <w:tcPr>
            <w:tcW w:w="1275" w:type="dxa"/>
          </w:tcPr>
          <w:p w:rsidR="0075777C" w:rsidRPr="00F05153" w:rsidRDefault="0075777C" w:rsidP="000647C6">
            <w:pPr>
              <w:pStyle w:val="Tabletext"/>
            </w:pPr>
            <w:r w:rsidRPr="00F05153">
              <w:t>N=1,124</w:t>
            </w:r>
          </w:p>
          <w:p w:rsidR="0075777C" w:rsidRPr="00F05153" w:rsidRDefault="0075777C" w:rsidP="000647C6">
            <w:pPr>
              <w:pStyle w:val="Tabletext"/>
            </w:pPr>
            <w:r w:rsidRPr="00F05153">
              <w:t>k=4 RCTs</w:t>
            </w:r>
          </w:p>
        </w:tc>
        <w:tc>
          <w:tcPr>
            <w:tcW w:w="1701" w:type="dxa"/>
          </w:tcPr>
          <w:p w:rsidR="0075777C" w:rsidRPr="00F05153" w:rsidRDefault="0075777C" w:rsidP="000647C6">
            <w:pPr>
              <w:pStyle w:val="Tabletext"/>
            </w:pPr>
            <w:r w:rsidRPr="00F05153">
              <w:t>Risk of bias: 0</w:t>
            </w:r>
          </w:p>
          <w:p w:rsidR="0075777C" w:rsidRPr="00F05153" w:rsidRDefault="0075777C" w:rsidP="000647C6">
            <w:pPr>
              <w:pStyle w:val="Tabletext"/>
            </w:pPr>
            <w:r w:rsidRPr="00F05153">
              <w:t>Inconsistency: 0</w:t>
            </w:r>
          </w:p>
          <w:p w:rsidR="0075777C" w:rsidRPr="00F05153" w:rsidRDefault="0075777C" w:rsidP="000647C6">
            <w:pPr>
              <w:pStyle w:val="Tabletext"/>
            </w:pPr>
            <w:r w:rsidRPr="00F05153">
              <w:t>Indirectness: 0</w:t>
            </w:r>
          </w:p>
          <w:p w:rsidR="0075777C" w:rsidRPr="00F05153" w:rsidRDefault="0075777C" w:rsidP="000647C6">
            <w:pPr>
              <w:pStyle w:val="Tabletext"/>
            </w:pPr>
            <w:r w:rsidRPr="00F05153">
              <w:t>Imprecision: 0</w:t>
            </w:r>
          </w:p>
          <w:p w:rsidR="0075777C" w:rsidRPr="00F05153" w:rsidRDefault="0075777C" w:rsidP="000647C6">
            <w:pPr>
              <w:pStyle w:val="Tabletext"/>
            </w:pPr>
            <w:r w:rsidRPr="00F05153">
              <w:t>Publication bias: 0</w:t>
            </w:r>
          </w:p>
          <w:p w:rsidR="0075777C" w:rsidRPr="00F05153" w:rsidRDefault="0075777C" w:rsidP="000647C6">
            <w:pPr>
              <w:pStyle w:val="Tabletext"/>
            </w:pPr>
            <w:r w:rsidRPr="00F05153">
              <w:t>Association: +1</w:t>
            </w:r>
          </w:p>
        </w:tc>
        <w:tc>
          <w:tcPr>
            <w:tcW w:w="1413" w:type="dxa"/>
          </w:tcPr>
          <w:p w:rsidR="0075777C" w:rsidRPr="002046A0" w:rsidRDefault="002046A0" w:rsidP="000647C6">
            <w:pPr>
              <w:pStyle w:val="Tabletext"/>
              <w:rPr>
                <w:highlight w:val="black"/>
              </w:rPr>
            </w:pPr>
            <w:r>
              <w:rPr>
                <w:noProof/>
                <w:color w:val="000000"/>
                <w:highlight w:val="black"/>
              </w:rPr>
              <w:t>'''''''''''''''''' '''''''' ''' ''''''''''' ''''''''''''' ''''' ''''''''''''' '''''''''''''</w:t>
            </w:r>
          </w:p>
        </w:tc>
        <w:tc>
          <w:tcPr>
            <w:tcW w:w="2551" w:type="dxa"/>
          </w:tcPr>
          <w:p w:rsidR="0075777C" w:rsidRPr="002046A0" w:rsidRDefault="002046A0" w:rsidP="000647C6">
            <w:pPr>
              <w:pStyle w:val="Tabletext"/>
              <w:rPr>
                <w:highlight w:val="black"/>
              </w:rPr>
            </w:pPr>
            <w:r>
              <w:rPr>
                <w:noProof/>
                <w:color w:val="000000"/>
                <w:highlight w:val="black"/>
              </w:rPr>
              <w:t>'''''''''''''''''''''''''''' '''''''''''''' '''''''''''''''''''' '''''' '''''''''''''''''''''''''' ''''''''''''''''' '''''''''''''''''''''''''''''' '''''''''''''''' '''''''''''''''''''''''' '''''''''''''''''''''' '''''''''' '''''''''''''''''''''''''''''</w:t>
            </w:r>
          </w:p>
        </w:tc>
        <w:tc>
          <w:tcPr>
            <w:tcW w:w="1134" w:type="dxa"/>
          </w:tcPr>
          <w:p w:rsidR="0075777C" w:rsidRPr="00F05153" w:rsidRDefault="0075777C" w:rsidP="000647C6">
            <w:pPr>
              <w:pStyle w:val="Tabletext"/>
            </w:pPr>
            <w:r w:rsidRPr="00F05153">
              <w:t>High</w:t>
            </w:r>
          </w:p>
          <w:p w:rsidR="0075777C" w:rsidRPr="00F05153" w:rsidRDefault="0075777C" w:rsidP="000647C6">
            <w:pPr>
              <w:pStyle w:val="Tabletext"/>
              <w:rPr>
                <w:rFonts w:cs="Cambria Math"/>
                <w:bCs/>
              </w:rPr>
            </w:pPr>
            <w:r w:rsidRPr="00F05153">
              <w:rPr>
                <w:rFonts w:ascii="Cambria Math" w:hAnsi="Cambria Math" w:cs="Cambria Math"/>
                <w:bCs/>
                <w:color w:val="00B050"/>
              </w:rPr>
              <w:t>⨁⨁⨁⨁</w:t>
            </w:r>
          </w:p>
          <w:p w:rsidR="0075777C" w:rsidRPr="00F05153" w:rsidRDefault="0075777C" w:rsidP="000647C6">
            <w:pPr>
              <w:pStyle w:val="Tabletext"/>
            </w:pPr>
            <w:r w:rsidRPr="00F05153">
              <w:rPr>
                <w:rFonts w:cs="Cambria Math"/>
                <w:bCs/>
              </w:rPr>
              <w:t xml:space="preserve">Critical </w:t>
            </w:r>
          </w:p>
        </w:tc>
      </w:tr>
      <w:tr w:rsidR="00920393" w:rsidRPr="00F05153" w:rsidTr="00920393">
        <w:tc>
          <w:tcPr>
            <w:tcW w:w="1560" w:type="dxa"/>
          </w:tcPr>
          <w:p w:rsidR="00920393" w:rsidRPr="00F05153" w:rsidRDefault="00920393" w:rsidP="00920393">
            <w:pPr>
              <w:pStyle w:val="Tabletext"/>
            </w:pPr>
            <w:r w:rsidRPr="00F05153">
              <w:t>All-cause mortality</w:t>
            </w:r>
          </w:p>
        </w:tc>
        <w:tc>
          <w:tcPr>
            <w:tcW w:w="1275" w:type="dxa"/>
          </w:tcPr>
          <w:p w:rsidR="00920393" w:rsidRPr="00F05153" w:rsidRDefault="00920393" w:rsidP="00920393">
            <w:pPr>
              <w:pStyle w:val="Tabletext"/>
            </w:pPr>
            <w:r w:rsidRPr="00F05153">
              <w:t>N=1</w:t>
            </w:r>
            <w:r w:rsidR="009F446F" w:rsidRPr="00F05153">
              <w:t>124</w:t>
            </w:r>
          </w:p>
          <w:p w:rsidR="00920393" w:rsidRPr="00F05153" w:rsidRDefault="00920393" w:rsidP="00920393">
            <w:pPr>
              <w:pStyle w:val="Tabletext"/>
            </w:pPr>
            <w:r w:rsidRPr="00F05153">
              <w:t>k=4 RCTs</w:t>
            </w:r>
          </w:p>
        </w:tc>
        <w:tc>
          <w:tcPr>
            <w:tcW w:w="1701" w:type="dxa"/>
          </w:tcPr>
          <w:p w:rsidR="00920393" w:rsidRPr="00F05153" w:rsidRDefault="00920393" w:rsidP="00920393">
            <w:pPr>
              <w:pStyle w:val="Tabletext"/>
            </w:pPr>
            <w:r w:rsidRPr="00F05153">
              <w:t>Risk of bias: 0</w:t>
            </w:r>
          </w:p>
          <w:p w:rsidR="00920393" w:rsidRPr="00F05153" w:rsidRDefault="00920393" w:rsidP="00920393">
            <w:pPr>
              <w:pStyle w:val="Tabletext"/>
            </w:pPr>
            <w:r w:rsidRPr="00F05153">
              <w:t>Inconsistency: −1</w:t>
            </w:r>
          </w:p>
          <w:p w:rsidR="00920393" w:rsidRPr="00F05153" w:rsidRDefault="00920393" w:rsidP="00920393">
            <w:pPr>
              <w:pStyle w:val="Tabletext"/>
            </w:pPr>
            <w:r w:rsidRPr="00F05153">
              <w:t>Indirectness: 0</w:t>
            </w:r>
          </w:p>
          <w:p w:rsidR="00920393" w:rsidRPr="00F05153" w:rsidRDefault="00920393" w:rsidP="00920393">
            <w:pPr>
              <w:pStyle w:val="Tabletext"/>
            </w:pPr>
            <w:r w:rsidRPr="00F05153">
              <w:t>Imprecision: 0</w:t>
            </w:r>
          </w:p>
          <w:p w:rsidR="00920393" w:rsidRPr="00F05153" w:rsidRDefault="00920393" w:rsidP="00920393">
            <w:pPr>
              <w:pStyle w:val="Tabletext"/>
            </w:pPr>
            <w:r w:rsidRPr="00F05153">
              <w:t>Publication bias: 0</w:t>
            </w:r>
          </w:p>
          <w:p w:rsidR="00920393" w:rsidRPr="00F05153" w:rsidRDefault="00920393" w:rsidP="00920393">
            <w:pPr>
              <w:pStyle w:val="Tabletext"/>
            </w:pPr>
            <w:r w:rsidRPr="00F05153">
              <w:t>Association: 0</w:t>
            </w:r>
          </w:p>
        </w:tc>
        <w:tc>
          <w:tcPr>
            <w:tcW w:w="1413" w:type="dxa"/>
          </w:tcPr>
          <w:p w:rsidR="00920393" w:rsidRPr="002046A0" w:rsidRDefault="002046A0" w:rsidP="009F446F">
            <w:pPr>
              <w:pStyle w:val="Tabletext"/>
              <w:rPr>
                <w:highlight w:val="black"/>
              </w:rPr>
            </w:pPr>
            <w:r>
              <w:rPr>
                <w:noProof/>
                <w:color w:val="000000"/>
                <w:highlight w:val="black"/>
              </w:rPr>
              <w:t>''''''''''''''''' '''''''' ''' '''''''''''' ''''''''''' '''''' ''''''''''' '''''''''''''</w:t>
            </w:r>
          </w:p>
        </w:tc>
        <w:tc>
          <w:tcPr>
            <w:tcW w:w="2551" w:type="dxa"/>
          </w:tcPr>
          <w:p w:rsidR="00920393" w:rsidRPr="002046A0" w:rsidRDefault="002046A0" w:rsidP="004B668A">
            <w:pPr>
              <w:pStyle w:val="Tabletext"/>
              <w:rPr>
                <w:highlight w:val="black"/>
              </w:rPr>
            </w:pPr>
            <w:r>
              <w:rPr>
                <w:noProof/>
                <w:color w:val="000000"/>
                <w:highlight w:val="black"/>
              </w:rPr>
              <w:t>'''''''''''''' ''''''''''''''''' '''''''''' ''''''''''' ''''''''' '''''''''''''' ''''''''' ''''''''''''''''''''''''''' '''''''''''''''''''' ''''''''''''''''''''' '''''''''' '''''''''''''''''''''''''''''''''' ''''''' '''''''' ''''''''''' ''''' ''''''''''''''''''''' ''''''''' '''''''''''''' ''''''''''' ''''''''''' '''''' '''''' '''''''''''''''</w:t>
            </w:r>
          </w:p>
        </w:tc>
        <w:tc>
          <w:tcPr>
            <w:tcW w:w="1134" w:type="dxa"/>
            <w:tcBorders>
              <w:top w:val="single" w:sz="4" w:space="0" w:color="auto"/>
              <w:left w:val="single" w:sz="4" w:space="0" w:color="auto"/>
              <w:bottom w:val="single" w:sz="4" w:space="0" w:color="auto"/>
              <w:right w:val="single" w:sz="4" w:space="0" w:color="auto"/>
            </w:tcBorders>
          </w:tcPr>
          <w:p w:rsidR="00920393" w:rsidRPr="00F05153" w:rsidRDefault="00920393" w:rsidP="00920393">
            <w:pPr>
              <w:pStyle w:val="Tabletext"/>
              <w:rPr>
                <w:rFonts w:eastAsia="Times New Roman"/>
              </w:rPr>
            </w:pPr>
            <w:r w:rsidRPr="00F05153">
              <w:rPr>
                <w:rFonts w:eastAsia="Times New Roman"/>
              </w:rPr>
              <w:t>Moderate</w:t>
            </w:r>
          </w:p>
          <w:p w:rsidR="00920393" w:rsidRPr="00F05153" w:rsidRDefault="00920393" w:rsidP="00920393">
            <w:pPr>
              <w:pStyle w:val="Tabletext"/>
              <w:rPr>
                <w:rFonts w:ascii="Cambria Math" w:eastAsia="Times New Roman" w:hAnsi="Cambria Math"/>
              </w:rPr>
            </w:pPr>
            <w:r w:rsidRPr="00F05153">
              <w:rPr>
                <w:rFonts w:ascii="Cambria Math" w:eastAsia="Times New Roman" w:hAnsi="Cambria Math"/>
                <w:color w:val="00B050"/>
              </w:rPr>
              <w:t>⨁⨁⨁</w:t>
            </w:r>
            <w:r w:rsidRPr="00F05153">
              <w:rPr>
                <w:rFonts w:ascii="Cambria Math" w:eastAsia="Times New Roman" w:hAnsi="Cambria Math"/>
                <w:color w:val="C00000"/>
              </w:rPr>
              <w:t>⨀</w:t>
            </w:r>
          </w:p>
          <w:p w:rsidR="00920393" w:rsidRPr="00F05153" w:rsidRDefault="00920393" w:rsidP="00920393">
            <w:pPr>
              <w:pStyle w:val="Tabletext"/>
            </w:pPr>
            <w:r w:rsidRPr="00F05153">
              <w:rPr>
                <w:rFonts w:cs="Tahoma"/>
              </w:rPr>
              <w:t>Critical</w:t>
            </w:r>
          </w:p>
        </w:tc>
      </w:tr>
      <w:tr w:rsidR="0075777C" w:rsidRPr="00F05153" w:rsidTr="00246B68">
        <w:tc>
          <w:tcPr>
            <w:tcW w:w="1560" w:type="dxa"/>
          </w:tcPr>
          <w:p w:rsidR="0075777C" w:rsidRPr="00F05153" w:rsidRDefault="0075777C" w:rsidP="00C84392">
            <w:pPr>
              <w:pStyle w:val="Tabletext"/>
            </w:pPr>
            <w:r w:rsidRPr="00F05153">
              <w:t>Hospitalisation</w:t>
            </w:r>
            <w:r w:rsidR="00E26A38" w:rsidRPr="00F05153">
              <w:t xml:space="preserve"> </w:t>
            </w:r>
            <w:r w:rsidR="00C84392" w:rsidRPr="00F05153">
              <w:t xml:space="preserve">due to </w:t>
            </w:r>
            <w:r w:rsidR="00CF5BBF" w:rsidRPr="00F05153">
              <w:t xml:space="preserve">worsening </w:t>
            </w:r>
            <w:r w:rsidR="00C84392" w:rsidRPr="00F05153">
              <w:t>PAH</w:t>
            </w:r>
          </w:p>
        </w:tc>
        <w:tc>
          <w:tcPr>
            <w:tcW w:w="1275" w:type="dxa"/>
          </w:tcPr>
          <w:p w:rsidR="0075777C" w:rsidRPr="00F05153" w:rsidRDefault="0075777C" w:rsidP="000647C6">
            <w:pPr>
              <w:pStyle w:val="Tabletext"/>
            </w:pPr>
            <w:r w:rsidRPr="00F05153">
              <w:t>N=</w:t>
            </w:r>
            <w:r w:rsidR="009F446F" w:rsidRPr="00F05153">
              <w:t>7</w:t>
            </w:r>
            <w:r w:rsidRPr="00F05153">
              <w:t>6</w:t>
            </w:r>
            <w:r w:rsidR="009F446F" w:rsidRPr="00F05153">
              <w:t>1</w:t>
            </w:r>
          </w:p>
          <w:p w:rsidR="0075777C" w:rsidRPr="00F05153" w:rsidRDefault="0075777C" w:rsidP="000647C6">
            <w:pPr>
              <w:pStyle w:val="Tabletext"/>
            </w:pPr>
            <w:r w:rsidRPr="00F05153">
              <w:t>k=2 RCTs</w:t>
            </w:r>
          </w:p>
        </w:tc>
        <w:tc>
          <w:tcPr>
            <w:tcW w:w="1701" w:type="dxa"/>
          </w:tcPr>
          <w:p w:rsidR="0075777C" w:rsidRPr="00F05153" w:rsidRDefault="0075777C" w:rsidP="000647C6">
            <w:pPr>
              <w:pStyle w:val="Tabletext"/>
            </w:pPr>
            <w:r w:rsidRPr="00F05153">
              <w:t>Risk of bias: 0</w:t>
            </w:r>
          </w:p>
          <w:p w:rsidR="0075777C" w:rsidRPr="00F05153" w:rsidRDefault="0075777C" w:rsidP="000647C6">
            <w:pPr>
              <w:pStyle w:val="Tabletext"/>
            </w:pPr>
            <w:r w:rsidRPr="00F05153">
              <w:t>Inconsistency: 0</w:t>
            </w:r>
          </w:p>
          <w:p w:rsidR="0075777C" w:rsidRPr="00F05153" w:rsidRDefault="0075777C" w:rsidP="000647C6">
            <w:pPr>
              <w:pStyle w:val="Tabletext"/>
            </w:pPr>
            <w:r w:rsidRPr="00F05153">
              <w:t>Indirectness: 0</w:t>
            </w:r>
          </w:p>
          <w:p w:rsidR="0075777C" w:rsidRPr="00F05153" w:rsidRDefault="0075777C" w:rsidP="000647C6">
            <w:pPr>
              <w:pStyle w:val="Tabletext"/>
            </w:pPr>
            <w:r w:rsidRPr="00F05153">
              <w:t>Imprecision: 0</w:t>
            </w:r>
          </w:p>
          <w:p w:rsidR="0075777C" w:rsidRPr="00F05153" w:rsidRDefault="0075777C" w:rsidP="000647C6">
            <w:pPr>
              <w:pStyle w:val="Tabletext"/>
            </w:pPr>
            <w:r w:rsidRPr="00F05153">
              <w:t>Publication bias: 0</w:t>
            </w:r>
          </w:p>
          <w:p w:rsidR="0075777C" w:rsidRPr="00F05153" w:rsidRDefault="0075777C" w:rsidP="00F42EBF">
            <w:pPr>
              <w:pStyle w:val="Tabletext"/>
            </w:pPr>
            <w:r w:rsidRPr="00F05153">
              <w:t xml:space="preserve">Association: </w:t>
            </w:r>
            <w:r w:rsidR="00F42EBF" w:rsidRPr="00F05153">
              <w:t>+1</w:t>
            </w:r>
          </w:p>
        </w:tc>
        <w:tc>
          <w:tcPr>
            <w:tcW w:w="1413" w:type="dxa"/>
          </w:tcPr>
          <w:p w:rsidR="0075777C" w:rsidRPr="00F05153" w:rsidRDefault="0075777C" w:rsidP="00EE4DF7">
            <w:pPr>
              <w:pStyle w:val="Tabletext"/>
            </w:pPr>
            <w:r w:rsidRPr="00F05153">
              <w:t>Pooled RR = 0.</w:t>
            </w:r>
            <w:r w:rsidR="00EE4DF7" w:rsidRPr="00F05153">
              <w:t>67</w:t>
            </w:r>
            <w:r w:rsidRPr="00F05153">
              <w:t xml:space="preserve"> (95% CI 0.</w:t>
            </w:r>
            <w:r w:rsidR="00EE4DF7" w:rsidRPr="00F05153">
              <w:t>4</w:t>
            </w:r>
            <w:r w:rsidRPr="00F05153">
              <w:t>5, 0</w:t>
            </w:r>
            <w:r w:rsidR="00EE4DF7" w:rsidRPr="00F05153">
              <w:t>.9</w:t>
            </w:r>
            <w:r w:rsidRPr="00F05153">
              <w:t>8)</w:t>
            </w:r>
          </w:p>
        </w:tc>
        <w:tc>
          <w:tcPr>
            <w:tcW w:w="2551" w:type="dxa"/>
          </w:tcPr>
          <w:p w:rsidR="0075777C" w:rsidRPr="00F05153" w:rsidRDefault="00767852" w:rsidP="00767852">
            <w:pPr>
              <w:pStyle w:val="Tabletext"/>
            </w:pPr>
            <w:r w:rsidRPr="00F05153">
              <w:t>Significantly fewer patients on combination therapy were hospitalised compared with monotherapy</w:t>
            </w:r>
          </w:p>
        </w:tc>
        <w:tc>
          <w:tcPr>
            <w:tcW w:w="1134" w:type="dxa"/>
          </w:tcPr>
          <w:p w:rsidR="0075777C" w:rsidRPr="00F05153" w:rsidRDefault="0075777C" w:rsidP="000647C6">
            <w:pPr>
              <w:pStyle w:val="Tabletext"/>
            </w:pPr>
            <w:r w:rsidRPr="00F05153">
              <w:t>High</w:t>
            </w:r>
          </w:p>
          <w:p w:rsidR="0075777C" w:rsidRPr="00F05153" w:rsidRDefault="0075777C" w:rsidP="000647C6">
            <w:pPr>
              <w:pStyle w:val="Tabletext"/>
              <w:rPr>
                <w:rFonts w:cs="Cambria Math"/>
                <w:bCs/>
              </w:rPr>
            </w:pPr>
            <w:r w:rsidRPr="00F05153">
              <w:rPr>
                <w:rFonts w:ascii="Cambria Math" w:hAnsi="Cambria Math" w:cs="Cambria Math"/>
                <w:bCs/>
                <w:color w:val="00B050"/>
              </w:rPr>
              <w:t>⨁⨁⨁⨁</w:t>
            </w:r>
          </w:p>
          <w:p w:rsidR="0075777C" w:rsidRPr="00F05153" w:rsidRDefault="000647C6" w:rsidP="000647C6">
            <w:pPr>
              <w:pStyle w:val="Tabletext"/>
            </w:pPr>
            <w:r w:rsidRPr="00F05153">
              <w:t>Important</w:t>
            </w:r>
          </w:p>
        </w:tc>
      </w:tr>
      <w:tr w:rsidR="0075777C" w:rsidRPr="006316DF" w:rsidTr="00246B68">
        <w:tc>
          <w:tcPr>
            <w:tcW w:w="1560" w:type="dxa"/>
          </w:tcPr>
          <w:p w:rsidR="0075777C" w:rsidRPr="00F05153" w:rsidRDefault="0075777C" w:rsidP="000647C6">
            <w:pPr>
              <w:pStyle w:val="Tabletext"/>
            </w:pPr>
            <w:r w:rsidRPr="00F05153">
              <w:t>Improved WHO FC</w:t>
            </w:r>
          </w:p>
        </w:tc>
        <w:tc>
          <w:tcPr>
            <w:tcW w:w="1275" w:type="dxa"/>
          </w:tcPr>
          <w:p w:rsidR="0075777C" w:rsidRPr="00F05153" w:rsidRDefault="0075777C" w:rsidP="000647C6">
            <w:pPr>
              <w:pStyle w:val="Tabletext"/>
            </w:pPr>
            <w:r w:rsidRPr="00F05153">
              <w:t>N=706</w:t>
            </w:r>
          </w:p>
          <w:p w:rsidR="0075777C" w:rsidRPr="00F05153" w:rsidRDefault="0075777C" w:rsidP="000647C6">
            <w:pPr>
              <w:pStyle w:val="Tabletext"/>
            </w:pPr>
            <w:r w:rsidRPr="00F05153">
              <w:t>k=2 RCTs</w:t>
            </w:r>
          </w:p>
        </w:tc>
        <w:tc>
          <w:tcPr>
            <w:tcW w:w="1701" w:type="dxa"/>
          </w:tcPr>
          <w:p w:rsidR="0075777C" w:rsidRPr="00F05153" w:rsidRDefault="0075777C" w:rsidP="000647C6">
            <w:pPr>
              <w:pStyle w:val="Tabletext"/>
            </w:pPr>
            <w:r w:rsidRPr="00F05153">
              <w:t>Risk of bias: 0</w:t>
            </w:r>
          </w:p>
          <w:p w:rsidR="0075777C" w:rsidRPr="00F05153" w:rsidRDefault="0075777C" w:rsidP="000647C6">
            <w:pPr>
              <w:pStyle w:val="Tabletext"/>
            </w:pPr>
            <w:r w:rsidRPr="00F05153">
              <w:t>Inconsistency: 0</w:t>
            </w:r>
          </w:p>
          <w:p w:rsidR="0075777C" w:rsidRPr="00F05153" w:rsidRDefault="0075777C" w:rsidP="000647C6">
            <w:pPr>
              <w:pStyle w:val="Tabletext"/>
            </w:pPr>
            <w:r w:rsidRPr="00F05153">
              <w:t>Indirectness: 0</w:t>
            </w:r>
          </w:p>
          <w:p w:rsidR="0075777C" w:rsidRPr="00F05153" w:rsidRDefault="0075777C" w:rsidP="000647C6">
            <w:pPr>
              <w:pStyle w:val="Tabletext"/>
            </w:pPr>
            <w:r w:rsidRPr="00F05153">
              <w:t>Imprecision: 0</w:t>
            </w:r>
          </w:p>
          <w:p w:rsidR="0075777C" w:rsidRPr="00F05153" w:rsidRDefault="0075777C" w:rsidP="000647C6">
            <w:pPr>
              <w:pStyle w:val="Tabletext"/>
            </w:pPr>
            <w:r w:rsidRPr="00F05153">
              <w:t>Publication bias: 0</w:t>
            </w:r>
          </w:p>
          <w:p w:rsidR="0075777C" w:rsidRPr="00F05153" w:rsidRDefault="0075777C" w:rsidP="000647C6">
            <w:pPr>
              <w:pStyle w:val="Tabletext"/>
            </w:pPr>
            <w:r w:rsidRPr="00F05153">
              <w:t>Association: 0</w:t>
            </w:r>
          </w:p>
        </w:tc>
        <w:tc>
          <w:tcPr>
            <w:tcW w:w="1413" w:type="dxa"/>
          </w:tcPr>
          <w:p w:rsidR="0075777C" w:rsidRPr="00F05153" w:rsidRDefault="0075777C" w:rsidP="000647C6">
            <w:pPr>
              <w:pStyle w:val="Tabletext"/>
            </w:pPr>
            <w:r w:rsidRPr="00F05153">
              <w:t>Pooled RR = 1.10 (95% CI 0.85, 1.42)</w:t>
            </w:r>
          </w:p>
        </w:tc>
        <w:tc>
          <w:tcPr>
            <w:tcW w:w="2551" w:type="dxa"/>
          </w:tcPr>
          <w:p w:rsidR="0075777C" w:rsidRPr="00F05153" w:rsidRDefault="0075777C" w:rsidP="000647C6">
            <w:pPr>
              <w:pStyle w:val="Tabletext"/>
            </w:pPr>
            <w:r w:rsidRPr="00F05153">
              <w:t>There was little difference in the proportion of patients receiving combination therapy or monotherapy who improved their WHO FC</w:t>
            </w:r>
          </w:p>
        </w:tc>
        <w:tc>
          <w:tcPr>
            <w:tcW w:w="1134" w:type="dxa"/>
          </w:tcPr>
          <w:p w:rsidR="0075777C" w:rsidRPr="00F05153" w:rsidRDefault="0075777C" w:rsidP="000647C6">
            <w:pPr>
              <w:pStyle w:val="Tabletext"/>
            </w:pPr>
            <w:r w:rsidRPr="00F05153">
              <w:t>High</w:t>
            </w:r>
          </w:p>
          <w:p w:rsidR="0075777C" w:rsidRPr="00F05153" w:rsidRDefault="0075777C" w:rsidP="000647C6">
            <w:pPr>
              <w:pStyle w:val="Tabletext"/>
              <w:rPr>
                <w:rFonts w:cs="Cambria Math"/>
                <w:bCs/>
              </w:rPr>
            </w:pPr>
            <w:r w:rsidRPr="00F05153">
              <w:rPr>
                <w:rFonts w:ascii="Cambria Math" w:hAnsi="Cambria Math" w:cs="Cambria Math"/>
                <w:bCs/>
                <w:color w:val="00B050"/>
              </w:rPr>
              <w:t>⨁⨁⨁⨁</w:t>
            </w:r>
          </w:p>
          <w:p w:rsidR="0075777C" w:rsidRPr="006316DF" w:rsidRDefault="0075777C" w:rsidP="000647C6">
            <w:pPr>
              <w:pStyle w:val="Tabletext"/>
            </w:pPr>
            <w:r w:rsidRPr="00F05153">
              <w:t>Important</w:t>
            </w:r>
          </w:p>
        </w:tc>
      </w:tr>
      <w:tr w:rsidR="0075777C" w:rsidRPr="006316DF" w:rsidTr="00246B68">
        <w:tc>
          <w:tcPr>
            <w:tcW w:w="1560" w:type="dxa"/>
          </w:tcPr>
          <w:p w:rsidR="0075777C" w:rsidRPr="006316DF" w:rsidRDefault="0075777C" w:rsidP="000647C6">
            <w:pPr>
              <w:pStyle w:val="Tabletext"/>
            </w:pPr>
            <w:r w:rsidRPr="006316DF">
              <w:t>Worsened WHO FC</w:t>
            </w:r>
          </w:p>
        </w:tc>
        <w:tc>
          <w:tcPr>
            <w:tcW w:w="1275" w:type="dxa"/>
          </w:tcPr>
          <w:p w:rsidR="0075777C" w:rsidRPr="006316DF" w:rsidRDefault="0075777C" w:rsidP="000647C6">
            <w:pPr>
              <w:pStyle w:val="Tabletext"/>
            </w:pPr>
            <w:r>
              <w:t>N=7</w:t>
            </w:r>
            <w:r w:rsidRPr="006316DF">
              <w:t>0</w:t>
            </w:r>
            <w:r>
              <w:t>6</w:t>
            </w:r>
          </w:p>
          <w:p w:rsidR="0075777C" w:rsidRPr="006316DF" w:rsidRDefault="0075777C" w:rsidP="000647C6">
            <w:pPr>
              <w:pStyle w:val="Tabletext"/>
            </w:pPr>
            <w:r w:rsidRPr="006316DF">
              <w:t>k=</w:t>
            </w:r>
            <w:r>
              <w:t>2</w:t>
            </w:r>
            <w:r w:rsidRPr="006316DF">
              <w:t xml:space="preserve"> RCT</w:t>
            </w:r>
            <w:r w:rsidR="004B668A">
              <w:t>s</w:t>
            </w:r>
          </w:p>
        </w:tc>
        <w:tc>
          <w:tcPr>
            <w:tcW w:w="1701" w:type="dxa"/>
          </w:tcPr>
          <w:p w:rsidR="0075777C" w:rsidRPr="006316DF" w:rsidRDefault="0075777C" w:rsidP="000647C6">
            <w:pPr>
              <w:pStyle w:val="Tabletext"/>
            </w:pPr>
            <w:r w:rsidRPr="006316DF">
              <w:t xml:space="preserve">Risk of bias: </w:t>
            </w:r>
            <w:r>
              <w:t>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3" w:type="dxa"/>
          </w:tcPr>
          <w:p w:rsidR="0075777C" w:rsidRPr="002812F2" w:rsidRDefault="0075777C" w:rsidP="000647C6">
            <w:pPr>
              <w:pStyle w:val="Tabletext"/>
            </w:pPr>
            <w:r w:rsidRPr="002812F2">
              <w:t xml:space="preserve">RR = </w:t>
            </w:r>
            <w:r>
              <w:t>1.</w:t>
            </w:r>
            <w:r w:rsidRPr="002812F2">
              <w:t>0</w:t>
            </w:r>
            <w:r>
              <w:t>0</w:t>
            </w:r>
            <w:r w:rsidRPr="002812F2">
              <w:t xml:space="preserve"> (95% CI 0.</w:t>
            </w:r>
            <w:r>
              <w:t>58</w:t>
            </w:r>
            <w:r w:rsidRPr="002812F2">
              <w:t xml:space="preserve">, </w:t>
            </w:r>
            <w:r>
              <w:t>1</w:t>
            </w:r>
            <w:r w:rsidRPr="002812F2">
              <w:t>.</w:t>
            </w:r>
            <w:r>
              <w:t>73</w:t>
            </w:r>
            <w:r w:rsidRPr="002812F2">
              <w:t>)</w:t>
            </w:r>
          </w:p>
        </w:tc>
        <w:tc>
          <w:tcPr>
            <w:tcW w:w="2551" w:type="dxa"/>
          </w:tcPr>
          <w:p w:rsidR="0075777C" w:rsidRPr="002812F2" w:rsidRDefault="0075777C" w:rsidP="000647C6">
            <w:pPr>
              <w:pStyle w:val="Tabletext"/>
            </w:pPr>
            <w:r>
              <w:t>There wa</w:t>
            </w:r>
            <w:r w:rsidRPr="002812F2">
              <w:t xml:space="preserve">s </w:t>
            </w:r>
            <w:r>
              <w:t>no</w:t>
            </w:r>
            <w:r w:rsidRPr="002812F2">
              <w:t xml:space="preserve"> </w:t>
            </w:r>
            <w:r>
              <w:t>difference in the proportion of</w:t>
            </w:r>
            <w:r w:rsidRPr="002812F2">
              <w:t xml:space="preserve"> patients </w:t>
            </w:r>
            <w:r>
              <w:t>receiving combination therapy</w:t>
            </w:r>
            <w:r w:rsidRPr="002812F2">
              <w:t xml:space="preserve"> </w:t>
            </w:r>
            <w:r>
              <w:t xml:space="preserve">or monotherapy who had </w:t>
            </w:r>
            <w:r w:rsidRPr="002812F2">
              <w:t>worsening</w:t>
            </w:r>
            <w:r>
              <w:t xml:space="preserve"> of their </w:t>
            </w:r>
            <w:r w:rsidRPr="002812F2">
              <w:t xml:space="preserve">WHO FC </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t>Important</w:t>
            </w:r>
          </w:p>
        </w:tc>
      </w:tr>
      <w:tr w:rsidR="0075777C" w:rsidRPr="00F05153" w:rsidTr="00246B68">
        <w:tc>
          <w:tcPr>
            <w:tcW w:w="1560" w:type="dxa"/>
          </w:tcPr>
          <w:p w:rsidR="0075777C" w:rsidRPr="00F05153" w:rsidRDefault="0075777C" w:rsidP="000647C6">
            <w:pPr>
              <w:pStyle w:val="Tabletext"/>
            </w:pPr>
            <w:r w:rsidRPr="00F05153">
              <w:t>Change in 6MWD</w:t>
            </w:r>
            <w:r w:rsidR="00CF5BBF" w:rsidRPr="00F05153">
              <w:t xml:space="preserve"> from baseline</w:t>
            </w:r>
          </w:p>
        </w:tc>
        <w:tc>
          <w:tcPr>
            <w:tcW w:w="1275" w:type="dxa"/>
          </w:tcPr>
          <w:p w:rsidR="0075777C" w:rsidRPr="00F05153" w:rsidRDefault="0075777C" w:rsidP="000647C6">
            <w:pPr>
              <w:pStyle w:val="Tabletext"/>
            </w:pPr>
            <w:r w:rsidRPr="00F05153">
              <w:t>N=1,046</w:t>
            </w:r>
          </w:p>
          <w:p w:rsidR="0075777C" w:rsidRPr="00F05153" w:rsidRDefault="0075777C" w:rsidP="004B668A">
            <w:pPr>
              <w:pStyle w:val="Tabletext"/>
            </w:pPr>
            <w:r w:rsidRPr="00F05153">
              <w:t>k=</w:t>
            </w:r>
            <w:r w:rsidR="004B668A" w:rsidRPr="00F05153">
              <w:t>4</w:t>
            </w:r>
            <w:r w:rsidRPr="00F05153">
              <w:t xml:space="preserve"> RCT</w:t>
            </w:r>
            <w:r w:rsidR="004B668A" w:rsidRPr="00F05153">
              <w:t>s</w:t>
            </w:r>
          </w:p>
        </w:tc>
        <w:tc>
          <w:tcPr>
            <w:tcW w:w="1701" w:type="dxa"/>
          </w:tcPr>
          <w:p w:rsidR="0075777C" w:rsidRPr="00F05153" w:rsidRDefault="0075777C" w:rsidP="000647C6">
            <w:pPr>
              <w:pStyle w:val="Tabletext"/>
            </w:pPr>
            <w:r w:rsidRPr="00F05153">
              <w:t>Risk of bias: 0</w:t>
            </w:r>
          </w:p>
          <w:p w:rsidR="0075777C" w:rsidRPr="00F05153" w:rsidRDefault="0075777C" w:rsidP="000647C6">
            <w:pPr>
              <w:pStyle w:val="Tabletext"/>
            </w:pPr>
            <w:r w:rsidRPr="00F05153">
              <w:t>Inconsistency: 0</w:t>
            </w:r>
          </w:p>
          <w:p w:rsidR="0075777C" w:rsidRPr="00F05153" w:rsidRDefault="0075777C" w:rsidP="000647C6">
            <w:pPr>
              <w:pStyle w:val="Tabletext"/>
            </w:pPr>
            <w:r w:rsidRPr="00F05153">
              <w:t xml:space="preserve">Indirectness: </w:t>
            </w:r>
            <w:r w:rsidR="00F705F8" w:rsidRPr="00F05153">
              <w:t>−1</w:t>
            </w:r>
          </w:p>
          <w:p w:rsidR="0075777C" w:rsidRPr="00F05153" w:rsidRDefault="00B179F1" w:rsidP="000647C6">
            <w:pPr>
              <w:pStyle w:val="Tabletext"/>
            </w:pPr>
            <w:r w:rsidRPr="00F05153">
              <w:t>Imprecision: −1</w:t>
            </w:r>
          </w:p>
          <w:p w:rsidR="0075777C" w:rsidRPr="00F05153" w:rsidRDefault="0075777C" w:rsidP="000647C6">
            <w:pPr>
              <w:pStyle w:val="Tabletext"/>
            </w:pPr>
            <w:r w:rsidRPr="00F05153">
              <w:t>Publication bias: 0</w:t>
            </w:r>
          </w:p>
          <w:p w:rsidR="0075777C" w:rsidRPr="00F05153" w:rsidRDefault="0075777C" w:rsidP="000647C6">
            <w:pPr>
              <w:pStyle w:val="Tabletext"/>
            </w:pPr>
            <w:r w:rsidRPr="00F05153">
              <w:t>Association: 0</w:t>
            </w:r>
          </w:p>
        </w:tc>
        <w:tc>
          <w:tcPr>
            <w:tcW w:w="1413" w:type="dxa"/>
          </w:tcPr>
          <w:p w:rsidR="0075777C" w:rsidRPr="00F05153" w:rsidRDefault="00FA2050" w:rsidP="007A3E34">
            <w:pPr>
              <w:pStyle w:val="Tabletext"/>
            </w:pPr>
            <w:r w:rsidRPr="00F05153">
              <w:t>R</w:t>
            </w:r>
            <w:r w:rsidR="0075777C" w:rsidRPr="00F05153">
              <w:t>ange 17.3</w:t>
            </w:r>
            <w:r w:rsidR="009B6434" w:rsidRPr="00F05153">
              <w:t xml:space="preserve"> m less to </w:t>
            </w:r>
            <w:r w:rsidR="0075777C" w:rsidRPr="00F05153">
              <w:t>26.3</w:t>
            </w:r>
            <w:r w:rsidR="007A3E34" w:rsidRPr="00F05153">
              <w:t xml:space="preserve"> m further</w:t>
            </w:r>
          </w:p>
        </w:tc>
        <w:tc>
          <w:tcPr>
            <w:tcW w:w="2551" w:type="dxa"/>
          </w:tcPr>
          <w:p w:rsidR="0075777C" w:rsidRPr="00F05153" w:rsidRDefault="006B2E03" w:rsidP="006B2E03">
            <w:pPr>
              <w:pStyle w:val="Tabletext"/>
            </w:pPr>
            <w:r w:rsidRPr="00F05153">
              <w:t>In 3 out of 4 studies, p</w:t>
            </w:r>
            <w:r w:rsidR="0075777C" w:rsidRPr="00F05153">
              <w:t>atients on combination therapy had a larger mean improvement in their 6MWD than those on monotherapy</w:t>
            </w:r>
            <w:r w:rsidR="002046A0">
              <w:rPr>
                <w:noProof/>
                <w:color w:val="000000"/>
                <w:highlight w:val="black"/>
              </w:rPr>
              <w:t>'' '''''''' '''''''' ''''''''''''''''''''''' '''''''''' '''''''' ''''''''''''''''''''' ''''''''''''''''''''''''</w:t>
            </w:r>
          </w:p>
        </w:tc>
        <w:tc>
          <w:tcPr>
            <w:tcW w:w="1134" w:type="dxa"/>
          </w:tcPr>
          <w:p w:rsidR="0075777C" w:rsidRPr="00F05153" w:rsidRDefault="00B179F1" w:rsidP="000647C6">
            <w:pPr>
              <w:pStyle w:val="Tabletext"/>
            </w:pPr>
            <w:r w:rsidRPr="00F05153">
              <w:t>Low</w:t>
            </w:r>
          </w:p>
          <w:p w:rsidR="0075777C" w:rsidRPr="00F05153" w:rsidRDefault="0075777C" w:rsidP="000647C6">
            <w:pPr>
              <w:pStyle w:val="Tabletext"/>
              <w:rPr>
                <w:rFonts w:cs="Cambria Math"/>
                <w:bCs/>
              </w:rPr>
            </w:pPr>
            <w:r w:rsidRPr="00F05153">
              <w:rPr>
                <w:rFonts w:ascii="Cambria Math" w:hAnsi="Cambria Math" w:cs="Cambria Math"/>
                <w:bCs/>
                <w:color w:val="00B050"/>
              </w:rPr>
              <w:t>⨁⨁</w:t>
            </w:r>
            <w:r w:rsidR="00B179F1" w:rsidRPr="00F05153">
              <w:rPr>
                <w:rFonts w:ascii="Cambria Math" w:hAnsi="Cambria Math" w:cs="Cambria Math"/>
                <w:color w:val="C00000"/>
              </w:rPr>
              <w:t>⨀</w:t>
            </w:r>
            <w:r w:rsidR="00F705F8" w:rsidRPr="00F05153">
              <w:rPr>
                <w:rFonts w:ascii="Cambria Math" w:hAnsi="Cambria Math" w:cs="Cambria Math"/>
                <w:color w:val="C00000"/>
              </w:rPr>
              <w:t>⨀</w:t>
            </w:r>
          </w:p>
          <w:p w:rsidR="0075777C" w:rsidRPr="00F05153" w:rsidRDefault="000647C6" w:rsidP="000647C6">
            <w:pPr>
              <w:pStyle w:val="Tabletext"/>
            </w:pPr>
            <w:r w:rsidRPr="00F05153">
              <w:t>I</w:t>
            </w:r>
            <w:r w:rsidR="0075777C" w:rsidRPr="00F05153">
              <w:t>mportant</w:t>
            </w:r>
          </w:p>
        </w:tc>
      </w:tr>
      <w:tr w:rsidR="0075777C" w:rsidRPr="00F05153" w:rsidTr="00246B68">
        <w:tc>
          <w:tcPr>
            <w:tcW w:w="1560" w:type="dxa"/>
          </w:tcPr>
          <w:p w:rsidR="0075777C" w:rsidRPr="00F05153" w:rsidRDefault="0075777C" w:rsidP="000647C6">
            <w:pPr>
              <w:pStyle w:val="Tabletext"/>
            </w:pPr>
            <w:r w:rsidRPr="00F05153">
              <w:t>Change in QoL</w:t>
            </w:r>
            <w:r w:rsidR="00CF5BBF" w:rsidRPr="00F05153">
              <w:t xml:space="preserve"> from baseline</w:t>
            </w:r>
          </w:p>
        </w:tc>
        <w:tc>
          <w:tcPr>
            <w:tcW w:w="1275" w:type="dxa"/>
          </w:tcPr>
          <w:p w:rsidR="0075777C" w:rsidRPr="00F05153" w:rsidRDefault="0075777C" w:rsidP="000647C6">
            <w:pPr>
              <w:pStyle w:val="Tabletext"/>
            </w:pPr>
            <w:r w:rsidRPr="00F05153">
              <w:t>N=299</w:t>
            </w:r>
          </w:p>
          <w:p w:rsidR="0075777C" w:rsidRPr="00F05153" w:rsidRDefault="0075777C" w:rsidP="000647C6">
            <w:pPr>
              <w:pStyle w:val="Tabletext"/>
            </w:pPr>
            <w:r w:rsidRPr="00F05153">
              <w:t>k=1 RCT</w:t>
            </w:r>
          </w:p>
        </w:tc>
        <w:tc>
          <w:tcPr>
            <w:tcW w:w="1701" w:type="dxa"/>
          </w:tcPr>
          <w:p w:rsidR="0075777C" w:rsidRPr="00F05153" w:rsidRDefault="0075777C" w:rsidP="000647C6">
            <w:pPr>
              <w:pStyle w:val="Tabletext"/>
            </w:pPr>
            <w:r w:rsidRPr="00F05153">
              <w:t>Risk of bias: 0</w:t>
            </w:r>
          </w:p>
          <w:p w:rsidR="0075777C" w:rsidRPr="00F05153" w:rsidRDefault="0075777C" w:rsidP="000647C6">
            <w:pPr>
              <w:pStyle w:val="Tabletext"/>
            </w:pPr>
            <w:r w:rsidRPr="00F05153">
              <w:t>Inconsistency: 0</w:t>
            </w:r>
          </w:p>
          <w:p w:rsidR="0075777C" w:rsidRPr="00F05153" w:rsidRDefault="0075777C" w:rsidP="000647C6">
            <w:pPr>
              <w:pStyle w:val="Tabletext"/>
            </w:pPr>
            <w:r w:rsidRPr="00F05153">
              <w:t>Indirectness: 0</w:t>
            </w:r>
          </w:p>
          <w:p w:rsidR="0075777C" w:rsidRPr="00F05153" w:rsidRDefault="0075777C" w:rsidP="000647C6">
            <w:pPr>
              <w:pStyle w:val="Tabletext"/>
            </w:pPr>
            <w:r w:rsidRPr="00F05153">
              <w:t>Imprecision: 0</w:t>
            </w:r>
          </w:p>
          <w:p w:rsidR="0075777C" w:rsidRPr="00F05153" w:rsidRDefault="0075777C" w:rsidP="000647C6">
            <w:pPr>
              <w:pStyle w:val="Tabletext"/>
            </w:pPr>
            <w:r w:rsidRPr="00F05153">
              <w:t>Publication bias: 0</w:t>
            </w:r>
          </w:p>
          <w:p w:rsidR="0075777C" w:rsidRPr="00F05153" w:rsidRDefault="0075777C" w:rsidP="000647C6">
            <w:pPr>
              <w:pStyle w:val="Tabletext"/>
            </w:pPr>
            <w:r w:rsidRPr="00F05153">
              <w:t>Association: 0</w:t>
            </w:r>
          </w:p>
        </w:tc>
        <w:tc>
          <w:tcPr>
            <w:tcW w:w="1413" w:type="dxa"/>
          </w:tcPr>
          <w:p w:rsidR="0075777C" w:rsidRPr="00F05153" w:rsidRDefault="0075777C" w:rsidP="000647C6">
            <w:pPr>
              <w:pStyle w:val="Tabletext"/>
            </w:pPr>
            <w:r w:rsidRPr="00F05153">
              <w:t>SF-36</w:t>
            </w:r>
            <w:r w:rsidR="004B668A" w:rsidRPr="00F05153">
              <w:t xml:space="preserve"> physical component</w:t>
            </w:r>
            <w:r w:rsidR="0017449B" w:rsidRPr="00F05153">
              <w:t xml:space="preserve"> </w:t>
            </w:r>
            <w:r w:rsidR="0017449B" w:rsidRPr="00F05153">
              <w:rPr>
                <w:vertAlign w:val="superscript"/>
              </w:rPr>
              <w:t>b</w:t>
            </w:r>
            <w:r w:rsidRPr="00F05153">
              <w:br/>
              <w:t>MD = 1.4 point improvement</w:t>
            </w:r>
          </w:p>
          <w:p w:rsidR="0075777C" w:rsidRPr="00F05153" w:rsidRDefault="0075777C" w:rsidP="000647C6">
            <w:pPr>
              <w:pStyle w:val="Tabletext"/>
            </w:pPr>
            <w:r w:rsidRPr="00F05153">
              <w:t>(95% CI 0, 2.9)</w:t>
            </w:r>
          </w:p>
        </w:tc>
        <w:tc>
          <w:tcPr>
            <w:tcW w:w="2551" w:type="dxa"/>
          </w:tcPr>
          <w:p w:rsidR="0075777C" w:rsidRPr="00F05153" w:rsidRDefault="0075777C" w:rsidP="000647C6">
            <w:pPr>
              <w:pStyle w:val="Tabletext"/>
            </w:pPr>
            <w:r w:rsidRPr="00F05153">
              <w:t>Patients on combination therapy had a larger mean improvement in their QoL than those on monotherapy</w:t>
            </w:r>
          </w:p>
        </w:tc>
        <w:tc>
          <w:tcPr>
            <w:tcW w:w="1134" w:type="dxa"/>
          </w:tcPr>
          <w:p w:rsidR="0075777C" w:rsidRPr="00F05153" w:rsidRDefault="0075777C" w:rsidP="000647C6">
            <w:pPr>
              <w:pStyle w:val="Tabletext"/>
            </w:pPr>
            <w:r w:rsidRPr="00F05153">
              <w:t>High</w:t>
            </w:r>
          </w:p>
          <w:p w:rsidR="0075777C" w:rsidRPr="00F05153" w:rsidRDefault="0075777C" w:rsidP="000647C6">
            <w:pPr>
              <w:pStyle w:val="Tabletext"/>
              <w:rPr>
                <w:rFonts w:cs="Cambria Math"/>
                <w:bCs/>
              </w:rPr>
            </w:pPr>
            <w:r w:rsidRPr="00F05153">
              <w:rPr>
                <w:rFonts w:ascii="Cambria Math" w:hAnsi="Cambria Math" w:cs="Cambria Math"/>
                <w:bCs/>
                <w:color w:val="00B050"/>
              </w:rPr>
              <w:t>⨁⨁⨁⨁</w:t>
            </w:r>
          </w:p>
          <w:p w:rsidR="0075777C" w:rsidRPr="00F05153" w:rsidRDefault="000647C6" w:rsidP="000647C6">
            <w:pPr>
              <w:pStyle w:val="Tabletext"/>
            </w:pPr>
            <w:r w:rsidRPr="00F05153">
              <w:t>I</w:t>
            </w:r>
            <w:r w:rsidR="0075777C" w:rsidRPr="00F05153">
              <w:t>mportant</w:t>
            </w:r>
          </w:p>
        </w:tc>
      </w:tr>
    </w:tbl>
    <w:p w:rsidR="0075777C" w:rsidRPr="00F05153" w:rsidRDefault="0075777C" w:rsidP="00246B68">
      <w:pPr>
        <w:pStyle w:val="Tablenote"/>
      </w:pPr>
      <w:proofErr w:type="gramStart"/>
      <w:r w:rsidRPr="00F05153">
        <w:rPr>
          <w:vertAlign w:val="superscript"/>
        </w:rPr>
        <w:t>a</w:t>
      </w:r>
      <w:proofErr w:type="gramEnd"/>
      <w:r w:rsidRPr="00F05153">
        <w:rPr>
          <w:vertAlign w:val="superscript"/>
        </w:rPr>
        <w:t xml:space="preserve"> </w:t>
      </w:r>
      <w:r w:rsidRPr="00F05153">
        <w:t xml:space="preserve">GRADE Working Group grades of evidence </w:t>
      </w:r>
      <w:r w:rsidR="001D34EE" w:rsidRPr="00F05153">
        <w:rPr>
          <w:noProof/>
          <w:vertAlign w:val="superscript"/>
        </w:rPr>
        <w:t>1</w:t>
      </w:r>
    </w:p>
    <w:p w:rsidR="0017449B" w:rsidRPr="00F05153" w:rsidRDefault="0017449B" w:rsidP="00246B68">
      <w:pPr>
        <w:pStyle w:val="Tablenote"/>
      </w:pPr>
      <w:proofErr w:type="gramStart"/>
      <w:r w:rsidRPr="00F05153">
        <w:rPr>
          <w:vertAlign w:val="superscript"/>
        </w:rPr>
        <w:t>b</w:t>
      </w:r>
      <w:proofErr w:type="gramEnd"/>
      <w:r w:rsidRPr="00F05153">
        <w:t xml:space="preserve"> SF-36 physical component summary scores range from 0 to 100. A higher score indicates better QoL. </w:t>
      </w:r>
    </w:p>
    <w:p w:rsidR="0075777C" w:rsidRPr="00F05153" w:rsidRDefault="0075777C" w:rsidP="00246B68">
      <w:pPr>
        <w:pStyle w:val="Tablenote"/>
      </w:pPr>
      <w:r w:rsidRPr="00F05153">
        <w:rPr>
          <w:rFonts w:ascii="Cambria Math" w:hAnsi="Cambria Math" w:cs="Cambria Math"/>
          <w:color w:val="00B050"/>
        </w:rPr>
        <w:t>⨁⨁⨁⨁</w:t>
      </w:r>
      <w:r w:rsidRPr="00F05153">
        <w:rPr>
          <w:color w:val="00B050"/>
        </w:rPr>
        <w:t xml:space="preserve"> </w:t>
      </w:r>
      <w:r w:rsidRPr="00F05153">
        <w:rPr>
          <w:b/>
        </w:rPr>
        <w:t>High quality:</w:t>
      </w:r>
      <w:r w:rsidRPr="00F05153">
        <w:t xml:space="preserve"> We are very confident that the true effect lies close to that of the estimate of effect</w:t>
      </w:r>
    </w:p>
    <w:p w:rsidR="00C83CA7" w:rsidRPr="00F05153" w:rsidRDefault="00C83CA7" w:rsidP="00C83CA7">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Moderate quality:</w:t>
      </w:r>
      <w:r w:rsidRPr="00F05153">
        <w:t xml:space="preserve"> We are moderately confident in the effect estimate: The true effect is likely to be close to the estimate of the effect, but there is a possibility that it is substantially different</w:t>
      </w:r>
    </w:p>
    <w:p w:rsidR="00B179F1" w:rsidRPr="00F05153" w:rsidRDefault="00B179F1" w:rsidP="00B179F1">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Low quality:</w:t>
      </w:r>
      <w:r w:rsidRPr="00F05153">
        <w:t xml:space="preserve"> Our confidence in the effect estimate is limited: The true effect may be substantially different from the estimate of the effect</w:t>
      </w:r>
    </w:p>
    <w:p w:rsidR="008E6DA8" w:rsidRPr="00F05153" w:rsidRDefault="0075777C" w:rsidP="00246B68">
      <w:pPr>
        <w:pStyle w:val="Tablenote"/>
      </w:pPr>
      <w:r w:rsidRPr="00F05153">
        <w:t xml:space="preserve">6MWD = 6-minute </w:t>
      </w:r>
      <w:r w:rsidR="0082368E" w:rsidRPr="00F05153">
        <w:t>walk distance</w:t>
      </w:r>
      <w:r w:rsidRPr="00F05153">
        <w:t xml:space="preserve">; CI = confidence interval; ERA = endothelin receptor antagonist; FC = functional class; </w:t>
      </w:r>
      <w:r w:rsidR="00385E5A" w:rsidRPr="00F05153">
        <w:t>GRADE = grading of recommendations assessment, development and evaluation</w:t>
      </w:r>
      <w:r w:rsidR="001D34EE" w:rsidRPr="00F05153">
        <w:rPr>
          <w:noProof/>
          <w:vertAlign w:val="superscript"/>
        </w:rPr>
        <w:t>1</w:t>
      </w:r>
      <w:r w:rsidR="008E6DA8" w:rsidRPr="00F05153">
        <w:t xml:space="preserve">; k = number of studies; </w:t>
      </w:r>
      <w:r w:rsidRPr="00F05153">
        <w:t xml:space="preserve">MD = mean difference; N = number of patients; </w:t>
      </w:r>
      <w:r w:rsidR="008E6DA8" w:rsidRPr="00F05153">
        <w:t xml:space="preserve">PAH = pulmonary arterial hypertension; </w:t>
      </w:r>
      <w:r w:rsidRPr="00F05153">
        <w:t>PDE-5 = phosphodiesterase type-5; QoL = quality of life; RCT = randomised controlled trial; RR = relative risk; SF-36 = short form 36; WHO = World Health Organization</w:t>
      </w:r>
    </w:p>
    <w:p w:rsidR="0075777C" w:rsidRPr="00F05153" w:rsidRDefault="0075777C" w:rsidP="00FB0A80">
      <w:pPr>
        <w:spacing w:before="0" w:line="240" w:lineRule="auto"/>
      </w:pPr>
      <w:r w:rsidRPr="00F05153">
        <w:t>The evidence for the two outcomes reported for patients with WHO FC III/IV PAH is summarised in</w:t>
      </w:r>
      <w:r w:rsidR="00FB0A80" w:rsidRPr="00F05153">
        <w:t xml:space="preserve"> Table 4.124</w:t>
      </w:r>
      <w:r w:rsidRPr="00F05153">
        <w:t xml:space="preserve">. Both critical outcomes </w:t>
      </w:r>
      <w:proofErr w:type="gramStart"/>
      <w:r w:rsidRPr="00F05153">
        <w:t>were considered</w:t>
      </w:r>
      <w:proofErr w:type="gramEnd"/>
      <w:r w:rsidRPr="00F05153">
        <w:t xml:space="preserve"> to be of high quality (GRADE </w:t>
      </w:r>
      <w:r w:rsidRPr="00F05153">
        <w:rPr>
          <w:rFonts w:ascii="Cambria Math" w:eastAsia="Times New Roman" w:hAnsi="Cambria Math" w:cs="Tahoma"/>
          <w:bCs/>
          <w:color w:val="00B050"/>
        </w:rPr>
        <w:t>⨁⨁⨁⨁</w:t>
      </w:r>
      <w:r w:rsidRPr="00F05153">
        <w:t xml:space="preserve">). Thus, the true effect of treating WHO FC III/IV PAH with an ERA in addition to PDE-5 inhibitor, relative to PDE-5 inhibitor monotherapy is likely to be close </w:t>
      </w:r>
      <w:r w:rsidR="002856B6">
        <w:t>to the reported point estimate.</w:t>
      </w:r>
    </w:p>
    <w:p w:rsidR="0075777C" w:rsidRPr="00F05153" w:rsidRDefault="0075777C" w:rsidP="0075777C">
      <w:r w:rsidRPr="00F05153">
        <w:t xml:space="preserve">When taking the whole body of evidence into account, </w:t>
      </w:r>
      <w:r w:rsidR="002046A0">
        <w:rPr>
          <w:noProof/>
          <w:color w:val="000000"/>
          <w:highlight w:val="black"/>
        </w:rPr>
        <w:t>''''''''''''</w:t>
      </w:r>
      <w:r w:rsidRPr="00F05153">
        <w:t xml:space="preserve"> patients experienced clinical worsening when taking combination therapy compared with monotherapy. This </w:t>
      </w:r>
      <w:r w:rsidR="002046A0">
        <w:rPr>
          <w:noProof/>
          <w:color w:val="000000"/>
          <w:highlight w:val="black"/>
        </w:rPr>
        <w:t>''''''''''''' ''''''''''''''' '''''''''''''''' '''''''''''''''''''' '''''''''''' ''''''''' ''''' ''' ''''''''''</w:t>
      </w:r>
      <w:r w:rsidRPr="00F05153">
        <w:t xml:space="preserve">. Although the point estimate for all-cause mortality was </w:t>
      </w:r>
      <w:r w:rsidR="002046A0">
        <w:rPr>
          <w:noProof/>
          <w:color w:val="000000"/>
          <w:highlight w:val="black"/>
        </w:rPr>
        <w:t>'''''''' '''''''''''''''' ''''''''''''''''''</w:t>
      </w:r>
      <w:r w:rsidRPr="00F05153">
        <w:t xml:space="preserve">, it </w:t>
      </w:r>
      <w:r w:rsidR="002046A0">
        <w:rPr>
          <w:noProof/>
          <w:color w:val="000000"/>
          <w:highlight w:val="black"/>
        </w:rPr>
        <w:t>''''''''''''''''' '''''''''''''''''''''' '''''''''''''''' '''''''' '''''''''''''''''''''''''''</w:t>
      </w:r>
      <w:r w:rsidRPr="00F05153">
        <w:t>. However</w:t>
      </w:r>
      <w:r w:rsidR="002046A0">
        <w:rPr>
          <w:noProof/>
          <w:color w:val="000000"/>
          <w:highlight w:val="black"/>
        </w:rPr>
        <w:t>'' '''' ''''''' '''''''''''' '''' ''''''''''' ''''''''''''''''''' ''' ''''''' ''''''''' ''''' ''''''''''''''' ''''''''''''''''' ''''''''''''''''' ''''''''''''' '''''''''''''''' ''''''''''' '''''''''''''''''''''''''' '''''''''''''' ''''' '''''''''''''''''''''''''</w:t>
      </w:r>
      <w:r w:rsidRPr="00F05153">
        <w:t xml:space="preserve"> the true effect could not be determined.</w:t>
      </w:r>
    </w:p>
    <w:p w:rsidR="0075777C" w:rsidRDefault="0075777C" w:rsidP="0075777C">
      <w:r w:rsidRPr="00F05153">
        <w:t xml:space="preserve">Thus, </w:t>
      </w:r>
      <w:r w:rsidR="00246B68" w:rsidRPr="00F05153">
        <w:t>there is</w:t>
      </w:r>
      <w:r w:rsidR="00246B68" w:rsidRPr="00DA2636">
        <w:t xml:space="preserve"> </w:t>
      </w:r>
      <w:r w:rsidR="00CA6CD8" w:rsidRPr="00DA2636">
        <w:t xml:space="preserve">some </w:t>
      </w:r>
      <w:r w:rsidR="00246B68" w:rsidRPr="00DA2636">
        <w:t xml:space="preserve">uncertainty as to whether the </w:t>
      </w:r>
      <w:r w:rsidRPr="00DA2636">
        <w:t>use of an ERA in addition to PDE-5 inhibitor, relative to PDE-5 inhibitor monotherapy to treat patients with WHO FC III/IV PAH is likely to be beneficial.</w:t>
      </w:r>
    </w:p>
    <w:p w:rsidR="002856B6" w:rsidRDefault="002856B6">
      <w:pPr>
        <w:spacing w:before="0" w:line="240" w:lineRule="auto"/>
        <w:rPr>
          <w:b/>
          <w:iCs/>
          <w:szCs w:val="18"/>
        </w:rPr>
      </w:pPr>
      <w:bookmarkStart w:id="354" w:name="_Ref505768520"/>
      <w:bookmarkStart w:id="355" w:name="_Toc38360421"/>
      <w:r>
        <w:br w:type="page"/>
      </w:r>
    </w:p>
    <w:p w:rsidR="0075777C" w:rsidRPr="006316DF" w:rsidRDefault="00272F8F" w:rsidP="00BC5A2B">
      <w:pPr>
        <w:pStyle w:val="Caption"/>
      </w:pPr>
      <w:r>
        <w:t>Table 4.</w:t>
      </w:r>
      <w:r w:rsidR="003951FA">
        <w:rPr>
          <w:noProof/>
        </w:rPr>
        <w:t>124</w:t>
      </w:r>
      <w:bookmarkEnd w:id="354"/>
      <w:r w:rsidR="00246B68">
        <w:tab/>
      </w:r>
      <w:r w:rsidR="0075777C" w:rsidRPr="006316DF">
        <w:t xml:space="preserve">Balance of clinical benefits of </w:t>
      </w:r>
      <w:r w:rsidR="004B668A">
        <w:t xml:space="preserve">an </w:t>
      </w:r>
      <w:r w:rsidR="0075777C" w:rsidRPr="006316DF">
        <w:t>ERA</w:t>
      </w:r>
      <w:r w:rsidR="0075777C" w:rsidRPr="00EF6A61">
        <w:t xml:space="preserve"> in addition to </w:t>
      </w:r>
      <w:r w:rsidR="004B668A">
        <w:t xml:space="preserve">a </w:t>
      </w:r>
      <w:r w:rsidR="0075777C" w:rsidRPr="00EF6A61">
        <w:t>PDE-5 inhibitor</w:t>
      </w:r>
      <w:r w:rsidR="0075777C" w:rsidRPr="006316DF">
        <w:t xml:space="preserve">, relative to </w:t>
      </w:r>
      <w:r w:rsidR="0075777C" w:rsidRPr="00EF6A61">
        <w:t>PDE-5 inhibitor</w:t>
      </w:r>
      <w:r w:rsidR="0075777C">
        <w:t xml:space="preserve"> monotherapy in patients</w:t>
      </w:r>
      <w:r w:rsidR="0075777C" w:rsidRPr="00B20802">
        <w:t xml:space="preserve"> with WHO FC III/IV PAH</w:t>
      </w:r>
      <w:bookmarkEnd w:id="355"/>
    </w:p>
    <w:tbl>
      <w:tblPr>
        <w:tblStyle w:val="TableGrid"/>
        <w:tblW w:w="9634" w:type="dxa"/>
        <w:tblLayout w:type="fixed"/>
        <w:tblLook w:val="04A0" w:firstRow="1" w:lastRow="0" w:firstColumn="1" w:lastColumn="0" w:noHBand="0" w:noVBand="1"/>
        <w:tblCaption w:val="Balance of clinical benefits of an ERA in addition to a PDE-5 inhibitor, relative to PDE-5 inhibitor monotherapy in patients with WHO FC III/IV PAH"/>
      </w:tblPr>
      <w:tblGrid>
        <w:gridCol w:w="1560"/>
        <w:gridCol w:w="1275"/>
        <w:gridCol w:w="1701"/>
        <w:gridCol w:w="1413"/>
        <w:gridCol w:w="2551"/>
        <w:gridCol w:w="1134"/>
      </w:tblGrid>
      <w:tr w:rsidR="0075777C" w:rsidRPr="000647C6" w:rsidTr="00E1509D">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3"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8E6DA8" w:rsidRPr="008E6DA8">
              <w:rPr>
                <w:b/>
                <w:noProof/>
                <w:vertAlign w:val="superscript"/>
              </w:rPr>
              <w:t>a</w:t>
            </w:r>
          </w:p>
          <w:p w:rsidR="0075777C" w:rsidRPr="000647C6" w:rsidRDefault="0075777C" w:rsidP="000647C6">
            <w:pPr>
              <w:pStyle w:val="Tabletext"/>
              <w:rPr>
                <w:b/>
                <w:noProof/>
              </w:rPr>
            </w:pPr>
            <w:r w:rsidRPr="000647C6">
              <w:rPr>
                <w:b/>
                <w:noProof/>
              </w:rPr>
              <w:t>Importance</w:t>
            </w:r>
          </w:p>
        </w:tc>
      </w:tr>
      <w:tr w:rsidR="0075777C" w:rsidRPr="00F05153" w:rsidTr="00E1509D">
        <w:tc>
          <w:tcPr>
            <w:tcW w:w="1560" w:type="dxa"/>
          </w:tcPr>
          <w:p w:rsidR="0075777C" w:rsidRPr="00F05153" w:rsidRDefault="0075777C" w:rsidP="000647C6">
            <w:pPr>
              <w:pStyle w:val="Tabletext"/>
            </w:pPr>
            <w:r w:rsidRPr="00F05153">
              <w:t xml:space="preserve">Clinical worsening </w:t>
            </w:r>
          </w:p>
        </w:tc>
        <w:tc>
          <w:tcPr>
            <w:tcW w:w="1275" w:type="dxa"/>
          </w:tcPr>
          <w:p w:rsidR="0075777C" w:rsidRPr="00F05153" w:rsidRDefault="0075777C" w:rsidP="000647C6">
            <w:pPr>
              <w:pStyle w:val="Tabletext"/>
            </w:pPr>
            <w:r w:rsidRPr="00F05153">
              <w:t>N=351</w:t>
            </w:r>
          </w:p>
          <w:p w:rsidR="0075777C" w:rsidRPr="00F05153" w:rsidRDefault="0075777C" w:rsidP="000647C6">
            <w:pPr>
              <w:pStyle w:val="Tabletext"/>
            </w:pPr>
            <w:r w:rsidRPr="00F05153">
              <w:t>k=2 RCTs</w:t>
            </w:r>
          </w:p>
        </w:tc>
        <w:tc>
          <w:tcPr>
            <w:tcW w:w="1701" w:type="dxa"/>
          </w:tcPr>
          <w:p w:rsidR="0075777C" w:rsidRPr="00F05153" w:rsidRDefault="0075777C" w:rsidP="000647C6">
            <w:pPr>
              <w:pStyle w:val="Tabletext"/>
            </w:pPr>
            <w:r w:rsidRPr="00F05153">
              <w:t>Risk of bias: 0</w:t>
            </w:r>
          </w:p>
          <w:p w:rsidR="0075777C" w:rsidRPr="00F05153" w:rsidRDefault="0075777C" w:rsidP="000647C6">
            <w:pPr>
              <w:pStyle w:val="Tabletext"/>
            </w:pPr>
            <w:r w:rsidRPr="00F05153">
              <w:t>Inconsistency: 0</w:t>
            </w:r>
          </w:p>
          <w:p w:rsidR="0075777C" w:rsidRPr="00F05153" w:rsidRDefault="0075777C" w:rsidP="000647C6">
            <w:pPr>
              <w:pStyle w:val="Tabletext"/>
            </w:pPr>
            <w:r w:rsidRPr="00F05153">
              <w:t>Indirectness: 0</w:t>
            </w:r>
          </w:p>
          <w:p w:rsidR="0075777C" w:rsidRPr="00F05153" w:rsidRDefault="0075777C" w:rsidP="000647C6">
            <w:pPr>
              <w:pStyle w:val="Tabletext"/>
            </w:pPr>
            <w:r w:rsidRPr="00F05153">
              <w:t>Imprecision: 0</w:t>
            </w:r>
          </w:p>
          <w:p w:rsidR="0075777C" w:rsidRPr="00F05153" w:rsidRDefault="0075777C" w:rsidP="000647C6">
            <w:pPr>
              <w:pStyle w:val="Tabletext"/>
            </w:pPr>
            <w:r w:rsidRPr="00F05153">
              <w:t>Publication bias: 0</w:t>
            </w:r>
          </w:p>
          <w:p w:rsidR="0075777C" w:rsidRPr="00F05153" w:rsidRDefault="0075777C" w:rsidP="000647C6">
            <w:pPr>
              <w:pStyle w:val="Tabletext"/>
            </w:pPr>
            <w:r w:rsidRPr="00F05153">
              <w:t>Association: +1</w:t>
            </w:r>
          </w:p>
        </w:tc>
        <w:tc>
          <w:tcPr>
            <w:tcW w:w="1413" w:type="dxa"/>
          </w:tcPr>
          <w:p w:rsidR="0075777C" w:rsidRPr="00F05153" w:rsidRDefault="002046A0" w:rsidP="000647C6">
            <w:pPr>
              <w:pStyle w:val="Tabletext"/>
            </w:pPr>
            <w:r>
              <w:rPr>
                <w:noProof/>
                <w:color w:val="000000"/>
                <w:highlight w:val="black"/>
              </w:rPr>
              <w:t>'''''''''''''''''' '''''''' ''' '''''''''''' ''''''''''' '''''' ''''''''''''' '''''''''''</w:t>
            </w:r>
            <w:r w:rsidR="0075777C" w:rsidRPr="00F05153">
              <w:t>)</w:t>
            </w:r>
          </w:p>
        </w:tc>
        <w:tc>
          <w:tcPr>
            <w:tcW w:w="2551" w:type="dxa"/>
          </w:tcPr>
          <w:p w:rsidR="0075777C" w:rsidRPr="002046A0" w:rsidRDefault="002046A0" w:rsidP="000647C6">
            <w:pPr>
              <w:pStyle w:val="Tabletext"/>
              <w:rPr>
                <w:highlight w:val="black"/>
              </w:rPr>
            </w:pPr>
            <w:r>
              <w:rPr>
                <w:noProof/>
                <w:color w:val="000000"/>
                <w:highlight w:val="black"/>
              </w:rPr>
              <w:t>'''''''''''''' '''''''''''''''''' '''''' ''''''''''''''''''''''''''' ''''''''''''''''''' ''''''''''''''''''''''''''''' ''''''''''''''''' '''''''''''''''''''''''' ''''''''''''''''''''''' '''''''''' '''''''''''''''''''''''''''''''''' '''''''' '''''''' '''''''' ''''''''''' ''''''''''''' '''''''''''''''''''' '''''''''''''''''''''''''''''</w:t>
            </w:r>
          </w:p>
        </w:tc>
        <w:tc>
          <w:tcPr>
            <w:tcW w:w="1134" w:type="dxa"/>
          </w:tcPr>
          <w:p w:rsidR="0075777C" w:rsidRPr="00F05153" w:rsidRDefault="0075777C" w:rsidP="000647C6">
            <w:pPr>
              <w:pStyle w:val="Tabletext"/>
            </w:pPr>
            <w:r w:rsidRPr="00F05153">
              <w:t>High</w:t>
            </w:r>
          </w:p>
          <w:p w:rsidR="0075777C" w:rsidRPr="00F05153" w:rsidRDefault="0075777C" w:rsidP="000647C6">
            <w:pPr>
              <w:pStyle w:val="Tabletext"/>
              <w:rPr>
                <w:rFonts w:cs="Cambria Math"/>
                <w:bCs/>
              </w:rPr>
            </w:pPr>
            <w:r w:rsidRPr="00F05153">
              <w:rPr>
                <w:rFonts w:ascii="Cambria Math" w:hAnsi="Cambria Math" w:cs="Cambria Math"/>
                <w:bCs/>
                <w:color w:val="00B050"/>
              </w:rPr>
              <w:t>⨁⨁⨁⨁</w:t>
            </w:r>
          </w:p>
          <w:p w:rsidR="0075777C" w:rsidRPr="00F05153" w:rsidRDefault="0075777C" w:rsidP="000647C6">
            <w:pPr>
              <w:pStyle w:val="Tabletext"/>
            </w:pPr>
            <w:r w:rsidRPr="00F05153">
              <w:rPr>
                <w:rFonts w:cs="Cambria Math"/>
                <w:bCs/>
              </w:rPr>
              <w:t xml:space="preserve">Critical </w:t>
            </w:r>
          </w:p>
        </w:tc>
      </w:tr>
      <w:tr w:rsidR="0075777C" w:rsidRPr="006316DF" w:rsidTr="00E1509D">
        <w:tc>
          <w:tcPr>
            <w:tcW w:w="1560" w:type="dxa"/>
          </w:tcPr>
          <w:p w:rsidR="0075777C" w:rsidRPr="00F05153" w:rsidRDefault="0075777C" w:rsidP="000647C6">
            <w:pPr>
              <w:pStyle w:val="Tabletext"/>
            </w:pPr>
            <w:r w:rsidRPr="00F05153">
              <w:t>All-cause mortality</w:t>
            </w:r>
          </w:p>
        </w:tc>
        <w:tc>
          <w:tcPr>
            <w:tcW w:w="1275" w:type="dxa"/>
          </w:tcPr>
          <w:p w:rsidR="0075777C" w:rsidRPr="00F05153" w:rsidRDefault="0075777C" w:rsidP="000647C6">
            <w:pPr>
              <w:pStyle w:val="Tabletext"/>
            </w:pPr>
            <w:r w:rsidRPr="00F05153">
              <w:t>N=157</w:t>
            </w:r>
          </w:p>
          <w:p w:rsidR="0075777C" w:rsidRPr="00F05153" w:rsidRDefault="0075777C" w:rsidP="000647C6">
            <w:pPr>
              <w:pStyle w:val="Tabletext"/>
            </w:pPr>
            <w:r w:rsidRPr="00F05153">
              <w:t>k=1 RCT</w:t>
            </w:r>
          </w:p>
        </w:tc>
        <w:tc>
          <w:tcPr>
            <w:tcW w:w="1701" w:type="dxa"/>
          </w:tcPr>
          <w:p w:rsidR="0075777C" w:rsidRPr="00F05153" w:rsidRDefault="0075777C" w:rsidP="000647C6">
            <w:pPr>
              <w:pStyle w:val="Tabletext"/>
            </w:pPr>
            <w:r w:rsidRPr="00F05153">
              <w:t>Risk of bias: 0</w:t>
            </w:r>
          </w:p>
          <w:p w:rsidR="0075777C" w:rsidRPr="00F05153" w:rsidRDefault="0075777C" w:rsidP="000647C6">
            <w:pPr>
              <w:pStyle w:val="Tabletext"/>
            </w:pPr>
            <w:r w:rsidRPr="00F05153">
              <w:t>Inconsistency: 0</w:t>
            </w:r>
          </w:p>
          <w:p w:rsidR="0075777C" w:rsidRPr="00F05153" w:rsidRDefault="0075777C" w:rsidP="000647C6">
            <w:pPr>
              <w:pStyle w:val="Tabletext"/>
            </w:pPr>
            <w:r w:rsidRPr="00F05153">
              <w:t>Indirectness: 0</w:t>
            </w:r>
          </w:p>
          <w:p w:rsidR="0075777C" w:rsidRPr="00F05153" w:rsidRDefault="0075777C" w:rsidP="000647C6">
            <w:pPr>
              <w:pStyle w:val="Tabletext"/>
            </w:pPr>
            <w:r w:rsidRPr="00F05153">
              <w:t>Imprecision: 0</w:t>
            </w:r>
          </w:p>
          <w:p w:rsidR="0075777C" w:rsidRPr="00F05153" w:rsidRDefault="0075777C" w:rsidP="000647C6">
            <w:pPr>
              <w:pStyle w:val="Tabletext"/>
            </w:pPr>
            <w:r w:rsidRPr="00F05153">
              <w:t>Publication bias: 0</w:t>
            </w:r>
          </w:p>
          <w:p w:rsidR="0075777C" w:rsidRPr="00F05153" w:rsidRDefault="0075777C" w:rsidP="000647C6">
            <w:pPr>
              <w:pStyle w:val="Tabletext"/>
            </w:pPr>
            <w:r w:rsidRPr="00F05153">
              <w:t>Association: 0</w:t>
            </w:r>
          </w:p>
        </w:tc>
        <w:tc>
          <w:tcPr>
            <w:tcW w:w="1413" w:type="dxa"/>
          </w:tcPr>
          <w:p w:rsidR="0075777C" w:rsidRPr="002046A0" w:rsidRDefault="002046A0" w:rsidP="000647C6">
            <w:pPr>
              <w:pStyle w:val="Tabletext"/>
              <w:rPr>
                <w:highlight w:val="black"/>
              </w:rPr>
            </w:pPr>
            <w:r>
              <w:rPr>
                <w:noProof/>
                <w:color w:val="000000"/>
                <w:highlight w:val="black"/>
              </w:rPr>
              <w:t>'''''''' ''' '''''''''''' ''''''''''''' '''''' '''''''''''' '''''''''''''</w:t>
            </w:r>
          </w:p>
        </w:tc>
        <w:tc>
          <w:tcPr>
            <w:tcW w:w="2551" w:type="dxa"/>
          </w:tcPr>
          <w:p w:rsidR="0075777C" w:rsidRPr="002046A0" w:rsidRDefault="002046A0" w:rsidP="000647C6">
            <w:pPr>
              <w:pStyle w:val="Tabletext"/>
              <w:rPr>
                <w:highlight w:val="black"/>
              </w:rPr>
            </w:pPr>
            <w:r>
              <w:rPr>
                <w:noProof/>
                <w:color w:val="000000"/>
                <w:highlight w:val="black"/>
              </w:rPr>
              <w:t>'''''''''''''' ''''''''''''''''' ''''''''' ''''''''''' '''''''' '''''''''''''''' '''''''''' '''''''''''''''''''''''''' ''''''''''''''''''' ''''''''''''''''''''''' ''''''''' '''''''''''''''''''''''''''''''' '''''''' ''''''' ''''''''''' '''''' ''''''''''''''''''''''' ''''''''' '''''''''''''' ''''''''' '''''''''' '''''' '''''' ''''' '''''''' '''''''''''''''''' '''''''''''''''</w:t>
            </w:r>
          </w:p>
        </w:tc>
        <w:tc>
          <w:tcPr>
            <w:tcW w:w="1134" w:type="dxa"/>
          </w:tcPr>
          <w:p w:rsidR="0075777C" w:rsidRPr="00F05153" w:rsidRDefault="0075777C" w:rsidP="000647C6">
            <w:pPr>
              <w:pStyle w:val="Tabletext"/>
            </w:pPr>
            <w:r w:rsidRPr="00F05153">
              <w:t>High</w:t>
            </w:r>
          </w:p>
          <w:p w:rsidR="0075777C" w:rsidRPr="00F05153" w:rsidRDefault="0075777C" w:rsidP="000647C6">
            <w:pPr>
              <w:pStyle w:val="Tabletext"/>
              <w:rPr>
                <w:rFonts w:cs="Cambria Math"/>
                <w:bCs/>
              </w:rPr>
            </w:pPr>
            <w:r w:rsidRPr="00F05153">
              <w:rPr>
                <w:rFonts w:ascii="Cambria Math" w:hAnsi="Cambria Math" w:cs="Cambria Math"/>
                <w:bCs/>
                <w:color w:val="00B050"/>
              </w:rPr>
              <w:t>⨁⨁⨁⨁</w:t>
            </w:r>
          </w:p>
          <w:p w:rsidR="0075777C" w:rsidRPr="006316DF" w:rsidRDefault="0075777C" w:rsidP="000647C6">
            <w:pPr>
              <w:pStyle w:val="Tabletext"/>
            </w:pPr>
            <w:r w:rsidRPr="00F05153">
              <w:t>Critical</w:t>
            </w:r>
          </w:p>
        </w:tc>
      </w:tr>
    </w:tbl>
    <w:p w:rsidR="0075777C" w:rsidRPr="006316DF" w:rsidRDefault="0075777C" w:rsidP="00246B68">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Default="0075777C" w:rsidP="00246B68">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8E6DA8" w:rsidRDefault="0075777C" w:rsidP="00246B68">
      <w:pPr>
        <w:pStyle w:val="Tablenote"/>
      </w:pPr>
      <w:r>
        <w:t>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753572" w:rsidRPr="00DC16A3">
        <w:t xml:space="preserve">; </w:t>
      </w:r>
      <w:r w:rsidR="00753572">
        <w:t xml:space="preserve">k = number of studies; </w:t>
      </w:r>
      <w:r>
        <w:t xml:space="preserve">N = number of patients; </w:t>
      </w:r>
      <w:r w:rsidRPr="00C65B42">
        <w:t xml:space="preserve">PAH = pulmonary arterial hypertension; </w:t>
      </w:r>
      <w:r w:rsidRPr="009B5AB3">
        <w:t>PDE-5 = phosphodiesterase type-5</w:t>
      </w:r>
      <w:r>
        <w:t>;</w:t>
      </w:r>
      <w:r w:rsidRPr="009B5AB3">
        <w:t xml:space="preserve"> </w:t>
      </w:r>
      <w:r>
        <w:t>RCT = randomised controlled trial; RR = relative risk; WHO = World Health Organization</w:t>
      </w:r>
    </w:p>
    <w:p w:rsidR="0075777C" w:rsidRPr="006316DF" w:rsidRDefault="0075777C" w:rsidP="00FB0A80">
      <w:pPr>
        <w:spacing w:before="0" w:line="240" w:lineRule="auto"/>
      </w:pPr>
      <w:r w:rsidRPr="006316DF">
        <w:t xml:space="preserve">The evidence for </w:t>
      </w:r>
      <w:r>
        <w:t>clinical worsening</w:t>
      </w:r>
      <w:r w:rsidRPr="006316DF">
        <w:t xml:space="preserve"> </w:t>
      </w:r>
      <w:r>
        <w:t xml:space="preserve">for patients </w:t>
      </w:r>
      <w:r w:rsidRPr="002D417A">
        <w:t xml:space="preserve">with different PAH aetiologies </w:t>
      </w:r>
      <w:r>
        <w:t xml:space="preserve">is summarised </w:t>
      </w:r>
      <w:r w:rsidRPr="006316DF">
        <w:t>in</w:t>
      </w:r>
      <w:r w:rsidR="00FB0A80">
        <w:t xml:space="preserve"> Table 4.125</w:t>
      </w:r>
      <w:r>
        <w:t xml:space="preserve">. The evidence provided for this outcome </w:t>
      </w:r>
      <w:proofErr w:type="gramStart"/>
      <w:r>
        <w:t xml:space="preserve">was </w:t>
      </w:r>
      <w:r w:rsidRPr="006316DF">
        <w:t>considered</w:t>
      </w:r>
      <w:proofErr w:type="gramEnd"/>
      <w:r w:rsidRPr="006316DF">
        <w:t xml:space="preserve"> to be of </w:t>
      </w:r>
      <w:r>
        <w:t>high</w:t>
      </w:r>
      <w:r w:rsidRPr="006316DF">
        <w:t xml:space="preserve"> quality (GRADE </w:t>
      </w:r>
      <w:r w:rsidRPr="00920393">
        <w:rPr>
          <w:rFonts w:ascii="Cambria Math" w:eastAsia="Times New Roman" w:hAnsi="Cambria Math" w:cs="Tahoma"/>
          <w:bCs/>
          <w:color w:val="00B050"/>
        </w:rPr>
        <w:t>⨁⨁⨁⨁</w:t>
      </w:r>
      <w:r w:rsidR="00920393">
        <w:t>).</w:t>
      </w:r>
    </w:p>
    <w:p w:rsidR="0075777C" w:rsidRDefault="0075777C" w:rsidP="0075777C">
      <w:r w:rsidRPr="006316DF">
        <w:t xml:space="preserve">When taking </w:t>
      </w:r>
      <w:r>
        <w:t>the whole body of evidence</w:t>
      </w:r>
      <w:r w:rsidRPr="006316DF">
        <w:t xml:space="preserve"> into account, </w:t>
      </w:r>
      <w:r>
        <w:t xml:space="preserve">there was no statistically significant difference in the proportion of </w:t>
      </w:r>
      <w:r w:rsidRPr="006316DF">
        <w:t xml:space="preserve">patients </w:t>
      </w:r>
      <w:r>
        <w:t xml:space="preserve">with different PAH aetiologies who </w:t>
      </w:r>
      <w:r w:rsidRPr="006316DF">
        <w:t>experienc</w:t>
      </w:r>
      <w:r>
        <w:t>ed</w:t>
      </w:r>
      <w:r w:rsidRPr="006316DF">
        <w:t xml:space="preserve"> clinical worsening </w:t>
      </w:r>
      <w:r>
        <w:t>with</w:t>
      </w:r>
      <w:r w:rsidRPr="006316DF">
        <w:t xml:space="preserve"> </w:t>
      </w:r>
      <w:r>
        <w:t>combination therapy or monotherapy treatment</w:t>
      </w:r>
      <w:r w:rsidRPr="006316DF">
        <w:t>. Th</w:t>
      </w:r>
      <w:r w:rsidR="00E35D60">
        <w:t>us, th</w:t>
      </w:r>
      <w:r w:rsidRPr="000522D6">
        <w:t xml:space="preserve">ere </w:t>
      </w:r>
      <w:r>
        <w:t xml:space="preserve">is </w:t>
      </w:r>
      <w:r w:rsidR="00CA6CD8">
        <w:t>some</w:t>
      </w:r>
      <w:r w:rsidR="00E35D60" w:rsidRPr="00E35D60">
        <w:t xml:space="preserve"> uncertainty as to whether </w:t>
      </w:r>
      <w:r>
        <w:t>there is differential effectiveness</w:t>
      </w:r>
      <w:r w:rsidRPr="006316DF">
        <w:t xml:space="preserve"> </w:t>
      </w:r>
      <w:r>
        <w:t>in patients with different PAH aetiologies</w:t>
      </w:r>
      <w:r w:rsidRPr="006316DF">
        <w:t xml:space="preserve"> </w:t>
      </w:r>
      <w:r>
        <w:t xml:space="preserve">treated with </w:t>
      </w:r>
      <w:r w:rsidRPr="006316DF">
        <w:t xml:space="preserve">an ERA </w:t>
      </w:r>
      <w:r w:rsidRPr="000522D6">
        <w:t>in addition to PDE-5 inhibitor, relative to PDE-5 inhibitor monotherapy</w:t>
      </w:r>
      <w:r w:rsidR="002856B6">
        <w:t>.</w:t>
      </w:r>
    </w:p>
    <w:p w:rsidR="005E60A7" w:rsidRDefault="005E60A7">
      <w:pPr>
        <w:spacing w:before="0" w:line="240" w:lineRule="auto"/>
        <w:rPr>
          <w:rFonts w:ascii="Arial" w:hAnsi="Arial"/>
          <w:b/>
          <w:iCs/>
          <w:sz w:val="20"/>
          <w:szCs w:val="18"/>
        </w:rPr>
      </w:pPr>
      <w:bookmarkStart w:id="356" w:name="_Ref505770231"/>
      <w:r>
        <w:br w:type="page"/>
      </w:r>
    </w:p>
    <w:p w:rsidR="0075777C" w:rsidRPr="006316DF" w:rsidRDefault="00272F8F" w:rsidP="00BC5A2B">
      <w:pPr>
        <w:pStyle w:val="Caption"/>
      </w:pPr>
      <w:bookmarkStart w:id="357" w:name="_Toc38360422"/>
      <w:r>
        <w:t>Table 4.</w:t>
      </w:r>
      <w:r w:rsidR="003951FA">
        <w:rPr>
          <w:noProof/>
        </w:rPr>
        <w:t>125</w:t>
      </w:r>
      <w:bookmarkEnd w:id="356"/>
      <w:r w:rsidR="00246B68">
        <w:tab/>
      </w:r>
      <w:r w:rsidR="0075777C" w:rsidRPr="006316DF">
        <w:t xml:space="preserve">Balance of clinical benefits of </w:t>
      </w:r>
      <w:r w:rsidR="004B668A">
        <w:t xml:space="preserve">an </w:t>
      </w:r>
      <w:r w:rsidR="0075777C" w:rsidRPr="006316DF">
        <w:t>ERA</w:t>
      </w:r>
      <w:r w:rsidR="0075777C" w:rsidRPr="00EF6A61">
        <w:t xml:space="preserve"> in addition to </w:t>
      </w:r>
      <w:r w:rsidR="004B668A">
        <w:t xml:space="preserve">a </w:t>
      </w:r>
      <w:r w:rsidR="0075777C" w:rsidRPr="00EF6A61">
        <w:t>PDE-5 inhibitor</w:t>
      </w:r>
      <w:r w:rsidR="0075777C" w:rsidRPr="006316DF">
        <w:t xml:space="preserve">, relative to </w:t>
      </w:r>
      <w:r w:rsidR="0075777C" w:rsidRPr="00EF6A61">
        <w:t>PDE-5 inhibitor</w:t>
      </w:r>
      <w:r w:rsidR="0075777C">
        <w:t xml:space="preserve"> monotherapy in patients</w:t>
      </w:r>
      <w:r w:rsidR="0075777C" w:rsidRPr="00B20802">
        <w:t xml:space="preserve"> with </w:t>
      </w:r>
      <w:r w:rsidR="0075777C" w:rsidRPr="00FE5B04">
        <w:t>different PAH aetiologies</w:t>
      </w:r>
      <w:bookmarkEnd w:id="357"/>
    </w:p>
    <w:tbl>
      <w:tblPr>
        <w:tblStyle w:val="TableGrid"/>
        <w:tblW w:w="9634" w:type="dxa"/>
        <w:tblLayout w:type="fixed"/>
        <w:tblLook w:val="04A0" w:firstRow="1" w:lastRow="0" w:firstColumn="1" w:lastColumn="0" w:noHBand="0" w:noVBand="1"/>
        <w:tblCaption w:val="Balance of clinical benefits of an ERA in addition to a PDE-5 inhibitor, relative to PDE-5 inhibitor monotherapy in patients with different PAH aetiologies"/>
      </w:tblPr>
      <w:tblGrid>
        <w:gridCol w:w="1560"/>
        <w:gridCol w:w="1275"/>
        <w:gridCol w:w="1701"/>
        <w:gridCol w:w="1413"/>
        <w:gridCol w:w="2551"/>
        <w:gridCol w:w="1134"/>
      </w:tblGrid>
      <w:tr w:rsidR="0075777C" w:rsidRPr="000647C6" w:rsidTr="00E35D60">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3"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753572" w:rsidRPr="00753572">
              <w:rPr>
                <w:b/>
                <w:noProof/>
                <w:vertAlign w:val="superscript"/>
              </w:rPr>
              <w:t>a</w:t>
            </w:r>
          </w:p>
          <w:p w:rsidR="0075777C" w:rsidRPr="000647C6" w:rsidRDefault="0075777C" w:rsidP="000647C6">
            <w:pPr>
              <w:pStyle w:val="Tabletext"/>
              <w:rPr>
                <w:b/>
                <w:noProof/>
              </w:rPr>
            </w:pPr>
            <w:r w:rsidRPr="000647C6">
              <w:rPr>
                <w:b/>
                <w:noProof/>
              </w:rPr>
              <w:t>Importance</w:t>
            </w:r>
          </w:p>
        </w:tc>
      </w:tr>
      <w:tr w:rsidR="0075777C" w:rsidRPr="006316DF" w:rsidTr="00E35D60">
        <w:tc>
          <w:tcPr>
            <w:tcW w:w="1560" w:type="dxa"/>
          </w:tcPr>
          <w:p w:rsidR="0075777C" w:rsidRPr="006316DF" w:rsidRDefault="0075777C" w:rsidP="000647C6">
            <w:pPr>
              <w:pStyle w:val="Tabletext"/>
            </w:pPr>
            <w:r w:rsidRPr="00D36FBC">
              <w:t xml:space="preserve">Clinical worsening </w:t>
            </w:r>
            <w:r>
              <w:t>in IPAH/HPAH</w:t>
            </w:r>
          </w:p>
        </w:tc>
        <w:tc>
          <w:tcPr>
            <w:tcW w:w="1275" w:type="dxa"/>
          </w:tcPr>
          <w:p w:rsidR="0075777C" w:rsidRPr="006316DF" w:rsidRDefault="0075777C" w:rsidP="000647C6">
            <w:pPr>
              <w:pStyle w:val="Tabletext"/>
            </w:pPr>
            <w:r w:rsidRPr="006316DF">
              <w:t>N=</w:t>
            </w:r>
            <w:r>
              <w:t>226</w:t>
            </w:r>
          </w:p>
          <w:p w:rsidR="0075777C" w:rsidRPr="006316DF" w:rsidRDefault="0075777C" w:rsidP="000647C6">
            <w:pPr>
              <w:pStyle w:val="Tabletext"/>
            </w:pPr>
            <w:r w:rsidRPr="006316DF">
              <w:t>k=</w:t>
            </w:r>
            <w:r>
              <w:t>1</w:t>
            </w:r>
            <w:r w:rsidRPr="006316DF">
              <w:t xml:space="preserve"> RCT</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+1</w:t>
            </w:r>
          </w:p>
        </w:tc>
        <w:tc>
          <w:tcPr>
            <w:tcW w:w="1413" w:type="dxa"/>
          </w:tcPr>
          <w:p w:rsidR="0075777C" w:rsidRPr="00C622C2" w:rsidRDefault="0075777C" w:rsidP="000647C6">
            <w:pPr>
              <w:pStyle w:val="Tabletext"/>
            </w:pPr>
            <w:r w:rsidRPr="00C622C2">
              <w:t>HR = 0.82 (95% CI 0.55, 1.21)</w:t>
            </w:r>
          </w:p>
        </w:tc>
        <w:tc>
          <w:tcPr>
            <w:tcW w:w="2551" w:type="dxa"/>
          </w:tcPr>
          <w:p w:rsidR="0075777C" w:rsidRPr="00C622C2" w:rsidRDefault="0075777C" w:rsidP="000647C6">
            <w:pPr>
              <w:pStyle w:val="Tabletext"/>
            </w:pPr>
            <w:r>
              <w:t xml:space="preserve">Fewer </w:t>
            </w:r>
            <w:r w:rsidRPr="00C622C2">
              <w:t xml:space="preserve">patients with IPAH/HPAH </w:t>
            </w:r>
            <w:r>
              <w:t xml:space="preserve">on </w:t>
            </w:r>
            <w:r w:rsidRPr="00C622C2">
              <w:t>combination therapy experience</w:t>
            </w:r>
            <w:r>
              <w:t>d</w:t>
            </w:r>
            <w:r w:rsidRPr="00C622C2">
              <w:t xml:space="preserve"> clinical worsening compared with monotherapy, but the </w:t>
            </w:r>
            <w:r w:rsidR="00D84687">
              <w:t>95% CI indicates</w:t>
            </w:r>
            <w:r w:rsidRPr="00C622C2">
              <w:t xml:space="preserve"> that there could be no or the opposite effect</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rPr>
                <w:rFonts w:cs="Cambria Math"/>
                <w:bCs/>
              </w:rPr>
              <w:t xml:space="preserve">Critical </w:t>
            </w:r>
          </w:p>
        </w:tc>
      </w:tr>
      <w:tr w:rsidR="0075777C" w:rsidRPr="006316DF" w:rsidTr="00E35D60">
        <w:tc>
          <w:tcPr>
            <w:tcW w:w="1560" w:type="dxa"/>
          </w:tcPr>
          <w:p w:rsidR="0075777C" w:rsidRPr="006316DF" w:rsidRDefault="0075777C" w:rsidP="000647C6">
            <w:pPr>
              <w:pStyle w:val="Tabletext"/>
            </w:pPr>
            <w:r w:rsidRPr="00D36FBC">
              <w:t xml:space="preserve">Clinical worsening </w:t>
            </w:r>
            <w:r>
              <w:t>in PAH CTD</w:t>
            </w:r>
          </w:p>
        </w:tc>
        <w:tc>
          <w:tcPr>
            <w:tcW w:w="1275" w:type="dxa"/>
          </w:tcPr>
          <w:p w:rsidR="0075777C" w:rsidRPr="006316DF" w:rsidRDefault="0075777C" w:rsidP="000647C6">
            <w:pPr>
              <w:pStyle w:val="Tabletext"/>
            </w:pPr>
            <w:r w:rsidRPr="006316DF">
              <w:t>N=</w:t>
            </w:r>
            <w:r>
              <w:t>231</w:t>
            </w:r>
          </w:p>
          <w:p w:rsidR="0075777C" w:rsidRPr="006316DF" w:rsidRDefault="0075777C" w:rsidP="000647C6">
            <w:pPr>
              <w:pStyle w:val="Tabletext"/>
            </w:pPr>
            <w:r w:rsidRPr="006316DF">
              <w:t>k=</w:t>
            </w:r>
            <w:r>
              <w:t>2</w:t>
            </w:r>
            <w:r w:rsidRPr="006316DF">
              <w:t xml:space="preserve"> RCT</w:t>
            </w:r>
            <w:r>
              <w: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+1</w:t>
            </w:r>
          </w:p>
        </w:tc>
        <w:tc>
          <w:tcPr>
            <w:tcW w:w="1413" w:type="dxa"/>
          </w:tcPr>
          <w:p w:rsidR="0075777C" w:rsidRPr="00C622C2" w:rsidRDefault="0075777C" w:rsidP="000647C6">
            <w:pPr>
              <w:pStyle w:val="Tabletext"/>
            </w:pPr>
            <w:r>
              <w:t xml:space="preserve">Pooled </w:t>
            </w:r>
            <w:r w:rsidRPr="00C622C2">
              <w:t>HR = 0.</w:t>
            </w:r>
            <w:r>
              <w:t>59</w:t>
            </w:r>
            <w:r w:rsidRPr="00C622C2">
              <w:t xml:space="preserve"> (</w:t>
            </w:r>
            <w:r>
              <w:t>range</w:t>
            </w:r>
            <w:r w:rsidRPr="00C622C2">
              <w:t xml:space="preserve"> 0.</w:t>
            </w:r>
            <w:r>
              <w:t>12</w:t>
            </w:r>
            <w:r w:rsidRPr="00C622C2">
              <w:t xml:space="preserve">, </w:t>
            </w:r>
            <w:r>
              <w:t>1</w:t>
            </w:r>
            <w:r w:rsidRPr="00C622C2">
              <w:t>.</w:t>
            </w:r>
            <w:r>
              <w:t>07</w:t>
            </w:r>
            <w:r w:rsidRPr="00C622C2">
              <w:t>)</w:t>
            </w:r>
          </w:p>
        </w:tc>
        <w:tc>
          <w:tcPr>
            <w:tcW w:w="2551" w:type="dxa"/>
          </w:tcPr>
          <w:p w:rsidR="0075777C" w:rsidRPr="00C622C2" w:rsidRDefault="0075777C" w:rsidP="000647C6">
            <w:pPr>
              <w:pStyle w:val="Tabletext"/>
            </w:pPr>
            <w:r>
              <w:t xml:space="preserve">Fewer </w:t>
            </w:r>
            <w:r w:rsidRPr="00C622C2">
              <w:t>patients with PAH</w:t>
            </w:r>
            <w:r>
              <w:t>-CTD</w:t>
            </w:r>
            <w:r w:rsidRPr="00C622C2">
              <w:t xml:space="preserve"> </w:t>
            </w:r>
            <w:r>
              <w:t xml:space="preserve">on </w:t>
            </w:r>
            <w:r w:rsidRPr="00C622C2">
              <w:t>combination the</w:t>
            </w:r>
            <w:r>
              <w:t xml:space="preserve">rapy </w:t>
            </w:r>
            <w:r w:rsidRPr="00C622C2">
              <w:t>experience</w:t>
            </w:r>
            <w:r>
              <w:t>d</w:t>
            </w:r>
            <w:r w:rsidRPr="00C622C2">
              <w:t xml:space="preserve"> clinical worsening </w:t>
            </w:r>
            <w:r>
              <w:t xml:space="preserve">compared with monotherapy, </w:t>
            </w:r>
            <w:r w:rsidRPr="00B96C6F">
              <w:t xml:space="preserve">but </w:t>
            </w:r>
            <w:r w:rsidR="00CF5BBF" w:rsidRPr="00CF5BBF">
              <w:t>this did not quite reach statistical significance</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rPr>
                <w:rFonts w:cs="Cambria Math"/>
                <w:bCs/>
              </w:rPr>
              <w:t xml:space="preserve">Critical </w:t>
            </w:r>
          </w:p>
        </w:tc>
      </w:tr>
      <w:tr w:rsidR="0075777C" w:rsidRPr="006316DF" w:rsidTr="00753572">
        <w:trPr>
          <w:trHeight w:val="1236"/>
        </w:trPr>
        <w:tc>
          <w:tcPr>
            <w:tcW w:w="1560" w:type="dxa"/>
          </w:tcPr>
          <w:p w:rsidR="0075777C" w:rsidRPr="006316DF" w:rsidRDefault="0075777C" w:rsidP="000647C6">
            <w:pPr>
              <w:pStyle w:val="Tabletext"/>
            </w:pPr>
            <w:r w:rsidRPr="00D36FBC">
              <w:t xml:space="preserve">Clinical worsening </w:t>
            </w:r>
            <w:r>
              <w:t>in PAH-CHD</w:t>
            </w:r>
          </w:p>
        </w:tc>
        <w:tc>
          <w:tcPr>
            <w:tcW w:w="1275" w:type="dxa"/>
          </w:tcPr>
          <w:p w:rsidR="0075777C" w:rsidRPr="006316DF" w:rsidRDefault="0075777C" w:rsidP="000647C6">
            <w:pPr>
              <w:pStyle w:val="Tabletext"/>
            </w:pPr>
            <w:r w:rsidRPr="006316DF">
              <w:t>N=</w:t>
            </w:r>
            <w:r>
              <w:t>20</w:t>
            </w:r>
          </w:p>
          <w:p w:rsidR="0075777C" w:rsidRPr="006316DF" w:rsidRDefault="0075777C" w:rsidP="000647C6">
            <w:pPr>
              <w:pStyle w:val="Tabletext"/>
            </w:pPr>
            <w:r w:rsidRPr="006316DF">
              <w:t>k=</w:t>
            </w:r>
            <w:r>
              <w:t>1</w:t>
            </w:r>
            <w:r w:rsidRPr="006316DF">
              <w:t xml:space="preserve"> RCT</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t>I</w:t>
            </w:r>
            <w:r w:rsidR="00CF5BBF">
              <w:t>mprecision: −2</w:t>
            </w:r>
          </w:p>
          <w:p w:rsidR="0075777C" w:rsidRDefault="0075777C" w:rsidP="000647C6">
            <w:pPr>
              <w:pStyle w:val="Tabletext"/>
            </w:pPr>
            <w:r w:rsidRPr="006316DF">
              <w:t>Publication bias: 0</w:t>
            </w:r>
          </w:p>
          <w:p w:rsidR="0075777C" w:rsidRDefault="008B0C36" w:rsidP="000647C6">
            <w:pPr>
              <w:pStyle w:val="Tabletext"/>
            </w:pPr>
            <w:r>
              <w:t>Association: 0</w:t>
            </w:r>
          </w:p>
        </w:tc>
        <w:tc>
          <w:tcPr>
            <w:tcW w:w="1413" w:type="dxa"/>
          </w:tcPr>
          <w:p w:rsidR="0075777C" w:rsidRPr="00C622C2" w:rsidRDefault="0075777C" w:rsidP="000647C6">
            <w:pPr>
              <w:pStyle w:val="Tabletext"/>
            </w:pPr>
            <w:r w:rsidRPr="00C622C2">
              <w:t>HR = 0.</w:t>
            </w:r>
            <w:r>
              <w:t>57</w:t>
            </w:r>
            <w:r w:rsidRPr="00C622C2">
              <w:t xml:space="preserve"> (95% CI 0.</w:t>
            </w:r>
            <w:r>
              <w:t>10</w:t>
            </w:r>
            <w:r w:rsidRPr="00C622C2">
              <w:t xml:space="preserve">, </w:t>
            </w:r>
            <w:r>
              <w:t>3</w:t>
            </w:r>
            <w:r w:rsidRPr="00C622C2">
              <w:t>.1</w:t>
            </w:r>
            <w:r>
              <w:t>7</w:t>
            </w:r>
            <w:r w:rsidRPr="00C622C2">
              <w:t>)</w:t>
            </w:r>
          </w:p>
        </w:tc>
        <w:tc>
          <w:tcPr>
            <w:tcW w:w="2551" w:type="dxa"/>
          </w:tcPr>
          <w:p w:rsidR="0075777C" w:rsidRPr="00C622C2" w:rsidRDefault="0075777C" w:rsidP="005625F4">
            <w:pPr>
              <w:pStyle w:val="Tabletext"/>
            </w:pPr>
            <w:r>
              <w:t xml:space="preserve">Fewer </w:t>
            </w:r>
            <w:r w:rsidRPr="00C622C2">
              <w:t>patients with PAH</w:t>
            </w:r>
            <w:r>
              <w:t>-CHD</w:t>
            </w:r>
            <w:r w:rsidRPr="00C622C2">
              <w:t xml:space="preserve"> </w:t>
            </w:r>
            <w:r>
              <w:t xml:space="preserve">on </w:t>
            </w:r>
            <w:r w:rsidRPr="00C622C2">
              <w:t>combination therapy experience</w:t>
            </w:r>
            <w:r>
              <w:t>d</w:t>
            </w:r>
            <w:r w:rsidRPr="00C622C2">
              <w:t xml:space="preserve"> clinical worsening compared with monotherapy, but the </w:t>
            </w:r>
            <w:r w:rsidR="00D84687">
              <w:t>95% CI indicates</w:t>
            </w:r>
            <w:r w:rsidRPr="00C622C2">
              <w:t xml:space="preserve"> that </w:t>
            </w:r>
            <w:r w:rsidR="00CF5BBF" w:rsidRPr="00CF5BBF">
              <w:t>the study was underpowered for this outcome</w:t>
            </w:r>
          </w:p>
        </w:tc>
        <w:tc>
          <w:tcPr>
            <w:tcW w:w="1134" w:type="dxa"/>
          </w:tcPr>
          <w:p w:rsidR="008B0C36" w:rsidRPr="006316DF" w:rsidRDefault="00CF5BBF" w:rsidP="008B0C36">
            <w:pPr>
              <w:pStyle w:val="Tabletext"/>
            </w:pPr>
            <w:r>
              <w:t>Low</w:t>
            </w:r>
          </w:p>
          <w:p w:rsidR="008B0C36" w:rsidRPr="006316DF" w:rsidRDefault="008B0C36" w:rsidP="008B0C36">
            <w:pPr>
              <w:pStyle w:val="Tabletext"/>
              <w:rPr>
                <w:rFonts w:cs="Cambria Math"/>
                <w:bCs/>
              </w:rPr>
            </w:pPr>
            <w:r w:rsidRPr="006316DF">
              <w:rPr>
                <w:rFonts w:ascii="Cambria Math" w:hAnsi="Cambria Math" w:cs="Cambria Math"/>
                <w:bCs/>
                <w:color w:val="00B050"/>
              </w:rPr>
              <w:t>⨁⨁</w:t>
            </w:r>
            <w:r w:rsidR="00CF5BBF" w:rsidRPr="006316DF">
              <w:rPr>
                <w:rFonts w:ascii="Cambria Math" w:hAnsi="Cambria Math" w:cs="Cambria Math"/>
                <w:color w:val="C00000"/>
              </w:rPr>
              <w:t>⨀</w:t>
            </w:r>
            <w:r w:rsidRPr="006316DF">
              <w:rPr>
                <w:rFonts w:ascii="Cambria Math" w:hAnsi="Cambria Math" w:cs="Cambria Math"/>
                <w:color w:val="C00000"/>
              </w:rPr>
              <w:t>⨀</w:t>
            </w:r>
          </w:p>
          <w:p w:rsidR="0075777C" w:rsidRDefault="0075777C" w:rsidP="000647C6">
            <w:pPr>
              <w:pStyle w:val="Tabletext"/>
            </w:pPr>
            <w:r w:rsidRPr="006316DF">
              <w:rPr>
                <w:rFonts w:cs="Cambria Math"/>
                <w:bCs/>
              </w:rPr>
              <w:t xml:space="preserve">Critical </w:t>
            </w:r>
          </w:p>
        </w:tc>
      </w:tr>
    </w:tbl>
    <w:p w:rsidR="0075777C" w:rsidRPr="006316DF" w:rsidRDefault="0075777C" w:rsidP="00E35D60">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E35D60">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CF5BBF" w:rsidRPr="00E564DD" w:rsidRDefault="00CF5BBF" w:rsidP="00CF5BBF">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Low quality:</w:t>
      </w:r>
      <w:r w:rsidRPr="00E564DD">
        <w:t xml:space="preserve"> Our confidence in the effect estimate is limited: The true effect may be substantially different from the estimate of the effect</w:t>
      </w:r>
    </w:p>
    <w:p w:rsidR="00753572" w:rsidRPr="006316DF" w:rsidRDefault="0075777C" w:rsidP="00E35D60">
      <w:pPr>
        <w:pStyle w:val="Tablenote"/>
      </w:pPr>
      <w:r w:rsidRPr="00822C52">
        <w:t xml:space="preserve">CHD = </w:t>
      </w:r>
      <w:r>
        <w:t xml:space="preserve">associated with </w:t>
      </w:r>
      <w:r w:rsidRPr="00822C52">
        <w:t xml:space="preserve">congenital heart disease; </w:t>
      </w:r>
      <w:r>
        <w:t>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753572" w:rsidRPr="00DC16A3">
        <w:t xml:space="preserve">; </w:t>
      </w:r>
      <w:r w:rsidRPr="00C65B42">
        <w:t xml:space="preserve">HR = hazard ratio; HPAH = heritable PAH; IPAH = idiopathic PAH; </w:t>
      </w:r>
      <w:r w:rsidR="00753572">
        <w:t xml:space="preserve">k = number of studies; </w:t>
      </w:r>
      <w:r>
        <w:t xml:space="preserve">N = number of patients; </w:t>
      </w:r>
      <w:r w:rsidRPr="00C65B42">
        <w:t xml:space="preserve">PAH = pulmonary arterial hypertension; </w:t>
      </w:r>
      <w:r w:rsidR="00774E89">
        <w:t>PAH-</w:t>
      </w:r>
      <w:r w:rsidR="00774E89" w:rsidRPr="00822C52">
        <w:t xml:space="preserve">CTD = </w:t>
      </w:r>
      <w:r w:rsidR="00774E89">
        <w:t xml:space="preserve">PAH associated with </w:t>
      </w:r>
      <w:r w:rsidR="00774E89" w:rsidRPr="00822C52">
        <w:t xml:space="preserve">connective tissue disease; </w:t>
      </w:r>
      <w:r w:rsidRPr="009B5AB3">
        <w:t>PDE-5 = phosphodiesterase type-5</w:t>
      </w:r>
      <w:r>
        <w:t>;</w:t>
      </w:r>
      <w:r w:rsidRPr="009B5AB3">
        <w:t xml:space="preserve"> </w:t>
      </w:r>
      <w:r>
        <w:t>RCT = randomised controlled trial</w:t>
      </w:r>
    </w:p>
    <w:p w:rsidR="0075777C" w:rsidRPr="006316DF" w:rsidRDefault="0075777C" w:rsidP="0075777C">
      <w:pPr>
        <w:pStyle w:val="Heading5"/>
      </w:pPr>
      <w:r w:rsidRPr="006316DF">
        <w:t>Safety</w:t>
      </w:r>
    </w:p>
    <w:p w:rsidR="0075777C"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w:t>
      </w:r>
      <w:r>
        <w:t>safety</w:t>
      </w:r>
      <w:r w:rsidRPr="006316DF">
        <w:t xml:space="preserve"> outcomes when comparing an ERA </w:t>
      </w:r>
      <w:r w:rsidRPr="00BB3BB5">
        <w:t xml:space="preserve">in addition to PDE-5 inhibitor, relative to PDE-5 inhibitor monotherapy </w:t>
      </w:r>
      <w:proofErr w:type="gramStart"/>
      <w:r w:rsidRPr="006316DF">
        <w:t>are reported</w:t>
      </w:r>
      <w:proofErr w:type="gramEnd"/>
      <w:r w:rsidRPr="006316DF">
        <w:t xml:space="preserve"> in</w:t>
      </w:r>
      <w:r>
        <w:t xml:space="preserve"> </w:t>
      </w:r>
      <w:r w:rsidR="003951FA" w:rsidRPr="00F05153">
        <w:t>Table 4.</w:t>
      </w:r>
      <w:r w:rsidR="003951FA">
        <w:rPr>
          <w:noProof/>
        </w:rPr>
        <w:t>152</w:t>
      </w:r>
      <w:r>
        <w:t xml:space="preserve"> and </w:t>
      </w:r>
      <w:r w:rsidR="003951FA" w:rsidRPr="00F05153">
        <w:t>Table 4.</w:t>
      </w:r>
      <w:r w:rsidR="003951FA">
        <w:rPr>
          <w:noProof/>
        </w:rPr>
        <w:t>153</w:t>
      </w:r>
      <w:r>
        <w:t xml:space="preserve"> </w:t>
      </w:r>
      <w:r w:rsidRPr="006316DF">
        <w:t xml:space="preserve">in Appendix </w:t>
      </w:r>
      <w:r w:rsidR="00DA2636">
        <w:t>4</w:t>
      </w:r>
      <w:r w:rsidR="001B552D">
        <w:t>C</w:t>
      </w:r>
      <w:r>
        <w:t xml:space="preserve">. </w:t>
      </w:r>
      <w:r w:rsidRPr="006316DF">
        <w:t xml:space="preserve">The evidence for the </w:t>
      </w:r>
      <w:r>
        <w:t xml:space="preserve">safety </w:t>
      </w:r>
      <w:r w:rsidRPr="006316DF">
        <w:t xml:space="preserve">outcomes </w:t>
      </w:r>
      <w:r>
        <w:t xml:space="preserve">for all PAH patients are summarised </w:t>
      </w:r>
      <w:r w:rsidRPr="006316DF">
        <w:t>in</w:t>
      </w:r>
      <w:r>
        <w:t xml:space="preserve"> </w:t>
      </w:r>
      <w:r w:rsidR="003951FA">
        <w:t>Table 4.</w:t>
      </w:r>
      <w:r w:rsidR="003951FA">
        <w:rPr>
          <w:noProof/>
        </w:rPr>
        <w:t>126</w:t>
      </w:r>
      <w:r>
        <w:t xml:space="preserve">. There were no </w:t>
      </w:r>
      <w:r w:rsidR="00E20AB7">
        <w:t>new safety signal identified</w:t>
      </w:r>
      <w:r>
        <w:t>.</w:t>
      </w:r>
    </w:p>
    <w:p w:rsidR="0075777C" w:rsidRPr="00E35D60" w:rsidRDefault="0075777C" w:rsidP="0075777C">
      <w:r>
        <w:t xml:space="preserve">All outcomes </w:t>
      </w:r>
      <w:proofErr w:type="gramStart"/>
      <w:r>
        <w:t xml:space="preserve">were </w:t>
      </w:r>
      <w:r w:rsidRPr="006316DF">
        <w:t>considered</w:t>
      </w:r>
      <w:proofErr w:type="gramEnd"/>
      <w:r w:rsidRPr="006316DF">
        <w:t xml:space="preserve"> to be of </w:t>
      </w:r>
      <w:r>
        <w:t>high</w:t>
      </w:r>
      <w:r w:rsidRPr="006316DF">
        <w:t xml:space="preserve"> quality (GRADE </w:t>
      </w:r>
      <w:r w:rsidRPr="00920393">
        <w:rPr>
          <w:rFonts w:ascii="Cambria Math" w:eastAsia="Times New Roman" w:hAnsi="Cambria Math" w:cs="Tahoma"/>
          <w:bCs/>
          <w:color w:val="00B050"/>
        </w:rPr>
        <w:t>⨁⨁⨁⨁</w:t>
      </w:r>
      <w:r w:rsidRPr="00E35D60">
        <w:t xml:space="preserve">). Patients were just as likely to experience an AE after starting combination therapy as they were on monotherapy. Patients on combination therapy were significantly less likely to have a serious AE. </w:t>
      </w:r>
      <w:r w:rsidR="00FB01E0">
        <w:t>T</w:t>
      </w:r>
      <w:r w:rsidRPr="00E35D60">
        <w:t xml:space="preserve">he point estimate indicated that patients were more likely to have an AE leading to treatment discontinuation compared with those on monotherapy, but the </w:t>
      </w:r>
      <w:r w:rsidR="00D84687">
        <w:t>95% CI indicates</w:t>
      </w:r>
      <w:r w:rsidRPr="00E35D60">
        <w:t xml:space="preserve"> that there could also be no effect. </w:t>
      </w:r>
      <w:r w:rsidR="008C5CA7">
        <w:t>The comparative safety of ERA plus PDE-5 inhibitor relative to PDE-5 inhibitor monotherapy with regard to AEs of interest of abnormal liver function and decreased haemoglob</w:t>
      </w:r>
      <w:r w:rsidR="001D5973">
        <w:t>in was in different directions.</w:t>
      </w:r>
    </w:p>
    <w:p w:rsidR="0075777C" w:rsidRDefault="0075777C" w:rsidP="0075777C">
      <w:r w:rsidRPr="006316DF">
        <w:t>Th</w:t>
      </w:r>
      <w:r w:rsidR="00E35D60">
        <w:t xml:space="preserve">us, </w:t>
      </w:r>
      <w:r w:rsidR="00FB01E0" w:rsidRPr="00FB01E0">
        <w:t xml:space="preserve">use of an ERA in addition to a PDE-5 inhibitor could be </w:t>
      </w:r>
      <w:r w:rsidR="005625F4">
        <w:t>non-</w:t>
      </w:r>
      <w:r w:rsidR="00FB01E0" w:rsidRPr="00FB01E0">
        <w:t>inferior to PDE-5 inhibitor monotherapy in terms of safety when treating PAH patients.</w:t>
      </w:r>
    </w:p>
    <w:p w:rsidR="0075777C" w:rsidRPr="006316DF" w:rsidRDefault="00272F8F" w:rsidP="00BC5A2B">
      <w:pPr>
        <w:pStyle w:val="Caption"/>
      </w:pPr>
      <w:bookmarkStart w:id="358" w:name="_Ref505771610"/>
      <w:bookmarkStart w:id="359" w:name="_Toc38360423"/>
      <w:r>
        <w:t>Table 4.</w:t>
      </w:r>
      <w:r w:rsidR="003951FA">
        <w:rPr>
          <w:noProof/>
        </w:rPr>
        <w:t>126</w:t>
      </w:r>
      <w:bookmarkEnd w:id="358"/>
      <w:r w:rsidR="00E35D60">
        <w:tab/>
      </w:r>
      <w:r w:rsidR="0075777C" w:rsidRPr="006316DF">
        <w:t xml:space="preserve">Balance of clinical harms of </w:t>
      </w:r>
      <w:r w:rsidR="004B668A">
        <w:t xml:space="preserve">an </w:t>
      </w:r>
      <w:r w:rsidR="0075777C" w:rsidRPr="004A69F0">
        <w:t xml:space="preserve">ERA in addition to </w:t>
      </w:r>
      <w:r w:rsidR="004B668A">
        <w:t xml:space="preserve">a </w:t>
      </w:r>
      <w:r w:rsidR="0075777C" w:rsidRPr="004A69F0">
        <w:t>PDE-5 inhibitor, relative to PDE-5 inhibitor monotherapy</w:t>
      </w:r>
      <w:r w:rsidR="0075777C">
        <w:t xml:space="preserve"> in all patients with PAH</w:t>
      </w:r>
      <w:bookmarkEnd w:id="359"/>
    </w:p>
    <w:tbl>
      <w:tblPr>
        <w:tblStyle w:val="TableGrid"/>
        <w:tblW w:w="9634" w:type="dxa"/>
        <w:tblLayout w:type="fixed"/>
        <w:tblLook w:val="04A0" w:firstRow="1" w:lastRow="0" w:firstColumn="1" w:lastColumn="0" w:noHBand="0" w:noVBand="1"/>
        <w:tblCaption w:val="Balance of clinical harms of an ERA in addition to a PDE-5 inhibitor, relative to PDE-5 inhibitor monotherapy in all patients with PAH"/>
      </w:tblPr>
      <w:tblGrid>
        <w:gridCol w:w="1560"/>
        <w:gridCol w:w="1275"/>
        <w:gridCol w:w="1701"/>
        <w:gridCol w:w="1413"/>
        <w:gridCol w:w="2551"/>
        <w:gridCol w:w="1134"/>
      </w:tblGrid>
      <w:tr w:rsidR="0075777C" w:rsidRPr="000647C6" w:rsidTr="00E35D60">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3"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753572" w:rsidRPr="00753572">
              <w:rPr>
                <w:b/>
                <w:noProof/>
                <w:vertAlign w:val="superscript"/>
              </w:rPr>
              <w:t>a</w:t>
            </w:r>
          </w:p>
          <w:p w:rsidR="0075777C" w:rsidRPr="000647C6" w:rsidRDefault="0075777C" w:rsidP="000647C6">
            <w:pPr>
              <w:pStyle w:val="Tabletext"/>
              <w:rPr>
                <w:b/>
                <w:noProof/>
              </w:rPr>
            </w:pPr>
            <w:r w:rsidRPr="000647C6">
              <w:rPr>
                <w:b/>
                <w:noProof/>
              </w:rPr>
              <w:t>Importance</w:t>
            </w:r>
          </w:p>
        </w:tc>
      </w:tr>
      <w:tr w:rsidR="0075777C" w:rsidRPr="006316DF" w:rsidTr="00E35D60">
        <w:tc>
          <w:tcPr>
            <w:tcW w:w="1560" w:type="dxa"/>
          </w:tcPr>
          <w:p w:rsidR="0075777C" w:rsidRPr="006316DF" w:rsidRDefault="0075777C" w:rsidP="000647C6">
            <w:pPr>
              <w:pStyle w:val="Tabletext"/>
            </w:pPr>
            <w:r>
              <w:t>Any AE</w:t>
            </w:r>
            <w:r w:rsidRPr="006316DF">
              <w:t xml:space="preserve"> </w:t>
            </w:r>
          </w:p>
        </w:tc>
        <w:tc>
          <w:tcPr>
            <w:tcW w:w="1275" w:type="dxa"/>
          </w:tcPr>
          <w:p w:rsidR="0075777C" w:rsidRPr="006316DF" w:rsidRDefault="0075777C" w:rsidP="000647C6">
            <w:pPr>
              <w:pStyle w:val="Tabletext"/>
            </w:pPr>
            <w:r>
              <w:t>N=333</w:t>
            </w:r>
          </w:p>
          <w:p w:rsidR="0075777C" w:rsidRPr="006316DF" w:rsidRDefault="0075777C" w:rsidP="000647C6">
            <w:pPr>
              <w:pStyle w:val="Tabletext"/>
            </w:pPr>
            <w:r w:rsidRPr="006316DF">
              <w:t>k=</w:t>
            </w:r>
            <w:r>
              <w:t>1</w:t>
            </w:r>
            <w:r w:rsidRPr="006316DF">
              <w:t xml:space="preserve"> RCT</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3" w:type="dxa"/>
          </w:tcPr>
          <w:p w:rsidR="0075777C" w:rsidRPr="000E45D6" w:rsidRDefault="0075777C" w:rsidP="000647C6">
            <w:pPr>
              <w:pStyle w:val="Tabletext"/>
            </w:pPr>
            <w:r w:rsidRPr="000E45D6">
              <w:t>RR = 0.</w:t>
            </w:r>
            <w:r>
              <w:t>99</w:t>
            </w:r>
            <w:r w:rsidRPr="000E45D6">
              <w:t xml:space="preserve"> (95% CI 0.</w:t>
            </w:r>
            <w:r>
              <w:t>93</w:t>
            </w:r>
            <w:r w:rsidRPr="000E45D6">
              <w:t xml:space="preserve">, </w:t>
            </w:r>
            <w:r>
              <w:t>1.</w:t>
            </w:r>
            <w:r w:rsidRPr="000E45D6">
              <w:t>06)</w:t>
            </w:r>
          </w:p>
        </w:tc>
        <w:tc>
          <w:tcPr>
            <w:tcW w:w="2551" w:type="dxa"/>
          </w:tcPr>
          <w:p w:rsidR="0075777C" w:rsidRPr="000E45D6" w:rsidRDefault="0075777C" w:rsidP="000647C6">
            <w:pPr>
              <w:pStyle w:val="Tabletext"/>
            </w:pPr>
            <w:r>
              <w:t>T</w:t>
            </w:r>
            <w:r w:rsidRPr="000E45D6">
              <w:t xml:space="preserve">he </w:t>
            </w:r>
            <w:r>
              <w:t>proportion</w:t>
            </w:r>
            <w:r w:rsidRPr="000E45D6">
              <w:t xml:space="preserve"> of patients that experience </w:t>
            </w:r>
            <w:r>
              <w:t>an AE</w:t>
            </w:r>
            <w:r w:rsidRPr="000E45D6">
              <w:t xml:space="preserve"> </w:t>
            </w:r>
            <w:r>
              <w:t>with combination therapy will be similar to the proportion on monotherapy</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t>Important</w:t>
            </w:r>
          </w:p>
        </w:tc>
      </w:tr>
      <w:tr w:rsidR="0075777C" w:rsidRPr="006316DF" w:rsidTr="00E35D60">
        <w:tc>
          <w:tcPr>
            <w:tcW w:w="1560" w:type="dxa"/>
          </w:tcPr>
          <w:p w:rsidR="0075777C" w:rsidRPr="006316DF" w:rsidRDefault="0075777C" w:rsidP="000647C6">
            <w:pPr>
              <w:pStyle w:val="Tabletext"/>
            </w:pPr>
            <w:r>
              <w:t>Serious AEs</w:t>
            </w:r>
          </w:p>
        </w:tc>
        <w:tc>
          <w:tcPr>
            <w:tcW w:w="1275" w:type="dxa"/>
          </w:tcPr>
          <w:p w:rsidR="0075777C" w:rsidRPr="006316DF" w:rsidRDefault="0075777C" w:rsidP="000647C6">
            <w:pPr>
              <w:pStyle w:val="Tabletext"/>
            </w:pPr>
            <w:r w:rsidRPr="006316DF">
              <w:t>N=</w:t>
            </w:r>
            <w:r>
              <w:t>70</w:t>
            </w:r>
            <w:r w:rsidRPr="006316DF">
              <w:t>5</w:t>
            </w:r>
          </w:p>
          <w:p w:rsidR="0075777C" w:rsidRPr="006316DF" w:rsidRDefault="0075777C" w:rsidP="000647C6">
            <w:pPr>
              <w:pStyle w:val="Tabletext"/>
            </w:pPr>
            <w:r w:rsidRPr="006316DF">
              <w:t>k=2 RCTs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3" w:type="dxa"/>
          </w:tcPr>
          <w:p w:rsidR="0075777C" w:rsidRPr="000E45D6" w:rsidRDefault="0075777C" w:rsidP="000647C6">
            <w:pPr>
              <w:pStyle w:val="Tabletext"/>
            </w:pPr>
            <w:r w:rsidRPr="000E45D6">
              <w:t>Pooled RR = 0.8</w:t>
            </w:r>
            <w:r>
              <w:t>2</w:t>
            </w:r>
            <w:r w:rsidRPr="000E45D6">
              <w:t xml:space="preserve"> (95% CI 0.</w:t>
            </w:r>
            <w:r>
              <w:t>69, 0</w:t>
            </w:r>
            <w:r w:rsidRPr="000E45D6">
              <w:t>.9</w:t>
            </w:r>
            <w:r>
              <w:t>6</w:t>
            </w:r>
            <w:r w:rsidRPr="000E45D6">
              <w:t>)</w:t>
            </w:r>
          </w:p>
        </w:tc>
        <w:tc>
          <w:tcPr>
            <w:tcW w:w="2551" w:type="dxa"/>
          </w:tcPr>
          <w:p w:rsidR="0075777C" w:rsidRPr="000E45D6" w:rsidRDefault="0075777C" w:rsidP="006C297E">
            <w:pPr>
              <w:pStyle w:val="Tabletext"/>
            </w:pPr>
            <w:r>
              <w:t>Significantly f</w:t>
            </w:r>
            <w:r w:rsidRPr="000E45D6">
              <w:t xml:space="preserve">ewer patients </w:t>
            </w:r>
            <w:r>
              <w:t>experience</w:t>
            </w:r>
            <w:r w:rsidR="006C297E">
              <w:t>d</w:t>
            </w:r>
            <w:r>
              <w:t xml:space="preserve"> a serious AE </w:t>
            </w:r>
            <w:r w:rsidRPr="000E45D6">
              <w:t xml:space="preserve">with combination therapy compared with </w:t>
            </w:r>
            <w:r>
              <w:t>monotherapy</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t>Important</w:t>
            </w:r>
          </w:p>
        </w:tc>
      </w:tr>
      <w:tr w:rsidR="0075777C" w:rsidRPr="006316DF" w:rsidTr="00E35D60">
        <w:tc>
          <w:tcPr>
            <w:tcW w:w="1560" w:type="dxa"/>
          </w:tcPr>
          <w:p w:rsidR="0075777C" w:rsidRPr="006316DF" w:rsidRDefault="0075777C" w:rsidP="000647C6">
            <w:pPr>
              <w:pStyle w:val="Tabletext"/>
            </w:pPr>
            <w:r w:rsidRPr="000E45D6">
              <w:t>AEs leading to treatment discontinuation</w:t>
            </w:r>
          </w:p>
        </w:tc>
        <w:tc>
          <w:tcPr>
            <w:tcW w:w="1275" w:type="dxa"/>
          </w:tcPr>
          <w:p w:rsidR="0075777C" w:rsidRPr="006316DF" w:rsidRDefault="0075777C" w:rsidP="000647C6">
            <w:pPr>
              <w:pStyle w:val="Tabletext"/>
            </w:pPr>
            <w:r>
              <w:t>N=7</w:t>
            </w:r>
            <w:r w:rsidRPr="006316DF">
              <w:t>0</w:t>
            </w:r>
            <w:r>
              <w:t>5</w:t>
            </w:r>
          </w:p>
          <w:p w:rsidR="0075777C" w:rsidRPr="006316DF" w:rsidRDefault="0075777C" w:rsidP="000647C6">
            <w:pPr>
              <w:pStyle w:val="Tabletext"/>
            </w:pPr>
            <w:r w:rsidRPr="006316DF">
              <w:t>k=</w:t>
            </w:r>
            <w:r>
              <w:t>2</w:t>
            </w:r>
            <w:r w:rsidRPr="006316DF">
              <w:t xml:space="preserve"> RCT</w:t>
            </w:r>
            <w:r>
              <w: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3" w:type="dxa"/>
          </w:tcPr>
          <w:p w:rsidR="0075777C" w:rsidRPr="002812F2" w:rsidRDefault="0075777C" w:rsidP="000647C6">
            <w:pPr>
              <w:pStyle w:val="Tabletext"/>
            </w:pPr>
            <w:r>
              <w:t xml:space="preserve">Pooled </w:t>
            </w:r>
            <w:r w:rsidRPr="002812F2">
              <w:t>RR = 1</w:t>
            </w:r>
            <w:r>
              <w:t>.</w:t>
            </w:r>
            <w:r w:rsidRPr="002812F2">
              <w:t>4</w:t>
            </w:r>
            <w:r>
              <w:t>7</w:t>
            </w:r>
            <w:r w:rsidRPr="002812F2">
              <w:t xml:space="preserve"> (</w:t>
            </w:r>
            <w:r>
              <w:t>95% CI 0.81</w:t>
            </w:r>
            <w:r w:rsidRPr="002812F2">
              <w:t>, 2.</w:t>
            </w:r>
            <w:r>
              <w:t>6</w:t>
            </w:r>
            <w:r w:rsidRPr="002812F2">
              <w:t>6)</w:t>
            </w:r>
          </w:p>
        </w:tc>
        <w:tc>
          <w:tcPr>
            <w:tcW w:w="2551" w:type="dxa"/>
          </w:tcPr>
          <w:p w:rsidR="0075777C" w:rsidRPr="002812F2" w:rsidRDefault="0075777C" w:rsidP="000647C6">
            <w:pPr>
              <w:pStyle w:val="Tabletext"/>
            </w:pPr>
            <w:r>
              <w:t>M</w:t>
            </w:r>
            <w:r w:rsidRPr="002812F2">
              <w:t xml:space="preserve">ore patients </w:t>
            </w:r>
            <w:r>
              <w:t>needed to discontinue treatment due to</w:t>
            </w:r>
            <w:r w:rsidRPr="00424867">
              <w:t xml:space="preserve"> a</w:t>
            </w:r>
            <w:r>
              <w:t>n</w:t>
            </w:r>
            <w:r w:rsidRPr="00424867">
              <w:t xml:space="preserve"> AE with combination th</w:t>
            </w:r>
            <w:r>
              <w:t xml:space="preserve">erapy compared with monotherapy, </w:t>
            </w:r>
            <w:r w:rsidRPr="00424867">
              <w:t xml:space="preserve">but the </w:t>
            </w:r>
            <w:r w:rsidR="00D84687">
              <w:t>95% CI indicates</w:t>
            </w:r>
            <w:r w:rsidRPr="00424867">
              <w:t xml:space="preserve"> that there could also be no </w:t>
            </w:r>
            <w:r>
              <w:t xml:space="preserve">or the opposite </w:t>
            </w:r>
            <w:r w:rsidRPr="00424867">
              <w:t>effect</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t>Important</w:t>
            </w:r>
          </w:p>
        </w:tc>
      </w:tr>
      <w:tr w:rsidR="004B668A" w:rsidRPr="00F05153" w:rsidTr="004B668A">
        <w:tc>
          <w:tcPr>
            <w:tcW w:w="1560" w:type="dxa"/>
          </w:tcPr>
          <w:p w:rsidR="004B668A" w:rsidRPr="00F05153" w:rsidRDefault="004B668A" w:rsidP="009B47AA">
            <w:pPr>
              <w:pStyle w:val="Tabletext"/>
            </w:pPr>
            <w:r w:rsidRPr="00F05153">
              <w:t>Abnormal liver function AEs</w:t>
            </w:r>
          </w:p>
        </w:tc>
        <w:tc>
          <w:tcPr>
            <w:tcW w:w="1275" w:type="dxa"/>
          </w:tcPr>
          <w:p w:rsidR="004B668A" w:rsidRPr="00F05153" w:rsidRDefault="004B668A" w:rsidP="009B47AA">
            <w:pPr>
              <w:pStyle w:val="Tabletext"/>
            </w:pPr>
            <w:r w:rsidRPr="00F05153">
              <w:t>N=307</w:t>
            </w:r>
          </w:p>
          <w:p w:rsidR="004B668A" w:rsidRPr="00F05153" w:rsidRDefault="004B668A" w:rsidP="009B47AA">
            <w:pPr>
              <w:pStyle w:val="Tabletext"/>
            </w:pPr>
            <w:r w:rsidRPr="00F05153">
              <w:t>k=1</w:t>
            </w:r>
            <w:r w:rsidR="00753572" w:rsidRPr="00F05153">
              <w:t xml:space="preserve"> RCT</w:t>
            </w:r>
          </w:p>
        </w:tc>
        <w:tc>
          <w:tcPr>
            <w:tcW w:w="1701" w:type="dxa"/>
          </w:tcPr>
          <w:p w:rsidR="004B668A" w:rsidRPr="00F05153" w:rsidRDefault="004B668A" w:rsidP="009B47AA">
            <w:pPr>
              <w:pStyle w:val="Tabletext"/>
            </w:pPr>
            <w:r w:rsidRPr="00F05153">
              <w:t>Risk of bias: 0</w:t>
            </w:r>
          </w:p>
          <w:p w:rsidR="004B668A" w:rsidRPr="00F05153" w:rsidRDefault="004B668A" w:rsidP="009B47AA">
            <w:pPr>
              <w:pStyle w:val="Tabletext"/>
            </w:pPr>
            <w:r w:rsidRPr="00F05153">
              <w:t>Inconsistency: 0</w:t>
            </w:r>
          </w:p>
          <w:p w:rsidR="004B668A" w:rsidRPr="00F05153" w:rsidRDefault="00CF5BBF" w:rsidP="009B47AA">
            <w:pPr>
              <w:pStyle w:val="Tabletext"/>
            </w:pPr>
            <w:r w:rsidRPr="00F05153">
              <w:t>Indirectness: −1</w:t>
            </w:r>
          </w:p>
          <w:p w:rsidR="004B668A" w:rsidRPr="00F05153" w:rsidRDefault="004B668A" w:rsidP="009B47AA">
            <w:pPr>
              <w:pStyle w:val="Tabletext"/>
            </w:pPr>
            <w:r w:rsidRPr="00F05153">
              <w:t>Imprecision: 0</w:t>
            </w:r>
          </w:p>
          <w:p w:rsidR="004B668A" w:rsidRPr="00F05153" w:rsidRDefault="004B668A" w:rsidP="009B47AA">
            <w:pPr>
              <w:pStyle w:val="Tabletext"/>
            </w:pPr>
            <w:r w:rsidRPr="00F05153">
              <w:t>Publication bias: 0</w:t>
            </w:r>
          </w:p>
          <w:p w:rsidR="004B668A" w:rsidRPr="00F05153" w:rsidRDefault="004B668A" w:rsidP="009B47AA">
            <w:pPr>
              <w:pStyle w:val="Tabletext"/>
            </w:pPr>
            <w:r w:rsidRPr="00F05153">
              <w:t>Association: +1</w:t>
            </w:r>
          </w:p>
        </w:tc>
        <w:tc>
          <w:tcPr>
            <w:tcW w:w="1413" w:type="dxa"/>
          </w:tcPr>
          <w:p w:rsidR="004B668A" w:rsidRPr="002046A0" w:rsidRDefault="002046A0" w:rsidP="009B47AA">
            <w:pPr>
              <w:pStyle w:val="Tabletext"/>
              <w:rPr>
                <w:highlight w:val="black"/>
              </w:rPr>
            </w:pPr>
            <w:r>
              <w:rPr>
                <w:noProof/>
                <w:color w:val="000000"/>
                <w:highlight w:val="black"/>
              </w:rPr>
              <w:t>'''''''' ''' ''''''''''' '''''''''''' '''''' '''''''''''' '''''''''''''</w:t>
            </w:r>
          </w:p>
        </w:tc>
        <w:tc>
          <w:tcPr>
            <w:tcW w:w="2551" w:type="dxa"/>
          </w:tcPr>
          <w:p w:rsidR="004B668A" w:rsidRPr="002046A0" w:rsidRDefault="002046A0" w:rsidP="009B47AA">
            <w:pPr>
              <w:pStyle w:val="Tabletext"/>
              <w:rPr>
                <w:highlight w:val="black"/>
              </w:rPr>
            </w:pPr>
            <w:r>
              <w:rPr>
                <w:noProof/>
                <w:color w:val="000000"/>
                <w:highlight w:val="black"/>
              </w:rPr>
              <w:t>''''''''''''''''''''''''''' ''''''''''''' ''''''''''''''''' ''''''''' '''''''''''''''''''''''' '''''''''' ''''''''''''''''''' ''''''''' '''''''''''''''''''''''''' ''''''''''''''''''' ''''''''''''''''''''''' ''''''''''' ''''''''''''''''''''''''''''''''</w:t>
            </w:r>
          </w:p>
        </w:tc>
        <w:tc>
          <w:tcPr>
            <w:tcW w:w="1134" w:type="dxa"/>
          </w:tcPr>
          <w:p w:rsidR="004B668A" w:rsidRPr="00F05153" w:rsidRDefault="004B668A" w:rsidP="009B47AA">
            <w:pPr>
              <w:pStyle w:val="Tabletext"/>
            </w:pPr>
            <w:r w:rsidRPr="00F05153">
              <w:t>High</w:t>
            </w:r>
          </w:p>
          <w:p w:rsidR="004B668A" w:rsidRPr="00F05153" w:rsidRDefault="004B668A" w:rsidP="009B47AA">
            <w:pPr>
              <w:pStyle w:val="Tabletext"/>
              <w:rPr>
                <w:rFonts w:cs="Cambria Math"/>
                <w:bCs/>
              </w:rPr>
            </w:pPr>
            <w:r w:rsidRPr="00F05153">
              <w:rPr>
                <w:rFonts w:ascii="Cambria Math" w:hAnsi="Cambria Math" w:cs="Cambria Math"/>
                <w:bCs/>
                <w:color w:val="00B050"/>
              </w:rPr>
              <w:t>⨁⨁⨁⨁</w:t>
            </w:r>
          </w:p>
          <w:p w:rsidR="004B668A" w:rsidRPr="00F05153" w:rsidRDefault="004B668A" w:rsidP="009B47AA">
            <w:pPr>
              <w:pStyle w:val="Tabletext"/>
            </w:pPr>
            <w:r w:rsidRPr="00F05153">
              <w:t>Important</w:t>
            </w:r>
          </w:p>
        </w:tc>
      </w:tr>
      <w:tr w:rsidR="00411DA3" w:rsidRPr="006316DF" w:rsidTr="00753572">
        <w:trPr>
          <w:trHeight w:val="1200"/>
        </w:trPr>
        <w:tc>
          <w:tcPr>
            <w:tcW w:w="1560" w:type="dxa"/>
          </w:tcPr>
          <w:p w:rsidR="00411DA3" w:rsidRPr="00F05153" w:rsidRDefault="00411DA3" w:rsidP="00411DA3">
            <w:pPr>
              <w:pStyle w:val="Tabletext"/>
            </w:pPr>
            <w:r w:rsidRPr="00F05153">
              <w:t>Haemoglobin decrease-related AEs</w:t>
            </w:r>
          </w:p>
        </w:tc>
        <w:tc>
          <w:tcPr>
            <w:tcW w:w="1275" w:type="dxa"/>
          </w:tcPr>
          <w:p w:rsidR="00411DA3" w:rsidRPr="00F05153" w:rsidRDefault="00411DA3" w:rsidP="00411DA3">
            <w:pPr>
              <w:pStyle w:val="Tabletext"/>
            </w:pPr>
            <w:r w:rsidRPr="00F05153">
              <w:t>N=307</w:t>
            </w:r>
          </w:p>
          <w:p w:rsidR="00411DA3" w:rsidRPr="00F05153" w:rsidRDefault="00411DA3" w:rsidP="00411DA3">
            <w:pPr>
              <w:pStyle w:val="Tabletext"/>
            </w:pPr>
            <w:r w:rsidRPr="00F05153">
              <w:t>k=1</w:t>
            </w:r>
            <w:r w:rsidR="00753572" w:rsidRPr="00F05153">
              <w:t xml:space="preserve"> RCT</w:t>
            </w:r>
          </w:p>
        </w:tc>
        <w:tc>
          <w:tcPr>
            <w:tcW w:w="1701" w:type="dxa"/>
          </w:tcPr>
          <w:p w:rsidR="00411DA3" w:rsidRPr="00F05153" w:rsidRDefault="00411DA3" w:rsidP="00411DA3">
            <w:pPr>
              <w:pStyle w:val="Tabletext"/>
            </w:pPr>
            <w:r w:rsidRPr="00F05153">
              <w:t>Risk of bias: 0</w:t>
            </w:r>
          </w:p>
          <w:p w:rsidR="00411DA3" w:rsidRPr="00F05153" w:rsidRDefault="00411DA3" w:rsidP="00411DA3">
            <w:pPr>
              <w:pStyle w:val="Tabletext"/>
            </w:pPr>
            <w:r w:rsidRPr="00F05153">
              <w:t>Inconsistency: 0</w:t>
            </w:r>
          </w:p>
          <w:p w:rsidR="00411DA3" w:rsidRPr="00F05153" w:rsidRDefault="00CF5BBF" w:rsidP="00411DA3">
            <w:pPr>
              <w:pStyle w:val="Tabletext"/>
            </w:pPr>
            <w:r w:rsidRPr="00F05153">
              <w:t>Indirectness: −1</w:t>
            </w:r>
          </w:p>
          <w:p w:rsidR="00411DA3" w:rsidRPr="00F05153" w:rsidRDefault="00411DA3" w:rsidP="00411DA3">
            <w:pPr>
              <w:pStyle w:val="Tabletext"/>
            </w:pPr>
            <w:r w:rsidRPr="00F05153">
              <w:t>Imprecision: 0</w:t>
            </w:r>
          </w:p>
          <w:p w:rsidR="00411DA3" w:rsidRPr="00F05153" w:rsidRDefault="00411DA3" w:rsidP="00411DA3">
            <w:pPr>
              <w:pStyle w:val="Tabletext"/>
            </w:pPr>
            <w:r w:rsidRPr="00F05153">
              <w:t>Publication bias: 0</w:t>
            </w:r>
          </w:p>
          <w:p w:rsidR="00411DA3" w:rsidRPr="00F05153" w:rsidRDefault="00411DA3" w:rsidP="00411DA3">
            <w:pPr>
              <w:pStyle w:val="Tabletext"/>
            </w:pPr>
            <w:r w:rsidRPr="00F05153">
              <w:t>Association: +1</w:t>
            </w:r>
          </w:p>
        </w:tc>
        <w:tc>
          <w:tcPr>
            <w:tcW w:w="1413" w:type="dxa"/>
          </w:tcPr>
          <w:p w:rsidR="00411DA3" w:rsidRPr="002046A0" w:rsidRDefault="002046A0" w:rsidP="00411DA3">
            <w:pPr>
              <w:pStyle w:val="Tabletext"/>
              <w:rPr>
                <w:highlight w:val="black"/>
              </w:rPr>
            </w:pPr>
            <w:r>
              <w:rPr>
                <w:noProof/>
                <w:color w:val="000000"/>
                <w:highlight w:val="black"/>
              </w:rPr>
              <w:t>'''''''' ''' ''''''''''' ''''''''' ''' '''''' ''''''''''''' '''''''''''</w:t>
            </w:r>
          </w:p>
        </w:tc>
        <w:tc>
          <w:tcPr>
            <w:tcW w:w="2551" w:type="dxa"/>
          </w:tcPr>
          <w:p w:rsidR="00411DA3" w:rsidRPr="002046A0" w:rsidRDefault="002046A0" w:rsidP="00411DA3">
            <w:pPr>
              <w:pStyle w:val="Tabletext"/>
              <w:rPr>
                <w:highlight w:val="black"/>
              </w:rPr>
            </w:pPr>
            <w:r>
              <w:rPr>
                <w:noProof/>
                <w:color w:val="000000"/>
                <w:highlight w:val="black"/>
              </w:rPr>
              <w:t>''''''''''''''''''''''''''''' ''''''''''''' ''''''''''''''''''' '''''''''' '''''''''''''''''''''' ''''''''''' ''''''''''''''''''' ''''''''''' '''''''''''''''''''''''''''''''' ''''''''''''''''''' '''''''''''''''''''''' ''''''''' '''''''''''''''''''''''''''''''''</w:t>
            </w:r>
          </w:p>
        </w:tc>
        <w:tc>
          <w:tcPr>
            <w:tcW w:w="1134" w:type="dxa"/>
          </w:tcPr>
          <w:p w:rsidR="00411DA3" w:rsidRPr="00F05153" w:rsidRDefault="00411DA3" w:rsidP="00411DA3">
            <w:pPr>
              <w:pStyle w:val="Tabletext"/>
            </w:pPr>
            <w:r w:rsidRPr="00F05153">
              <w:t>High</w:t>
            </w:r>
          </w:p>
          <w:p w:rsidR="00411DA3" w:rsidRPr="00F05153" w:rsidRDefault="00411DA3" w:rsidP="00411DA3">
            <w:pPr>
              <w:pStyle w:val="Tabletext"/>
              <w:rPr>
                <w:rFonts w:cs="Cambria Math"/>
                <w:bCs/>
              </w:rPr>
            </w:pPr>
            <w:r w:rsidRPr="00F05153">
              <w:rPr>
                <w:rFonts w:ascii="Cambria Math" w:hAnsi="Cambria Math" w:cs="Cambria Math"/>
                <w:bCs/>
                <w:color w:val="00B050"/>
              </w:rPr>
              <w:t>⨁⨁⨁⨁</w:t>
            </w:r>
          </w:p>
          <w:p w:rsidR="00411DA3" w:rsidRDefault="00411DA3" w:rsidP="00411DA3">
            <w:pPr>
              <w:pStyle w:val="Tabletext"/>
            </w:pPr>
            <w:r w:rsidRPr="00F05153">
              <w:t>Important</w:t>
            </w:r>
          </w:p>
        </w:tc>
      </w:tr>
    </w:tbl>
    <w:p w:rsidR="0075777C" w:rsidRPr="006316DF" w:rsidRDefault="0075777C" w:rsidP="00E35D60">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Default="0075777C" w:rsidP="00E35D60">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753572" w:rsidRPr="006316DF" w:rsidRDefault="0075777C" w:rsidP="00E35D60">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753572" w:rsidRPr="00DC16A3">
        <w:t xml:space="preserve">; </w:t>
      </w:r>
      <w:r w:rsidR="00753572">
        <w:t xml:space="preserve">k = number of studies; </w:t>
      </w:r>
      <w:r>
        <w:t xml:space="preserve">N = number of patients; </w:t>
      </w:r>
      <w:r w:rsidRPr="00C65B42">
        <w:t xml:space="preserve">PAH = pulmonary arterial hypertension; </w:t>
      </w:r>
      <w:r w:rsidRPr="009B5AB3">
        <w:t>PDE-5 = phosphodiesterase type-5</w:t>
      </w:r>
      <w:r>
        <w:t>;</w:t>
      </w:r>
      <w:r w:rsidRPr="009B5AB3">
        <w:t xml:space="preserve"> </w:t>
      </w:r>
      <w:r>
        <w:t>RCT = randomised controlled trial; RR = relative risk</w:t>
      </w:r>
    </w:p>
    <w:p w:rsidR="0075777C" w:rsidRDefault="0075777C" w:rsidP="0075777C">
      <w:pPr>
        <w:rPr>
          <w:rFonts w:eastAsia="Times New Roman" w:cs="Cambria Math"/>
          <w:bCs/>
        </w:rPr>
      </w:pPr>
      <w:bookmarkStart w:id="360" w:name="_Ref505765560"/>
      <w:r w:rsidRPr="006316DF">
        <w:t xml:space="preserve">The evidence for the </w:t>
      </w:r>
      <w:r>
        <w:t xml:space="preserve">safety </w:t>
      </w:r>
      <w:r w:rsidRPr="006316DF">
        <w:t xml:space="preserve">outcomes </w:t>
      </w:r>
      <w:r>
        <w:t xml:space="preserve">for patients with different PAH aetiologies are summarised </w:t>
      </w:r>
      <w:r w:rsidRPr="006316DF">
        <w:t>in</w:t>
      </w:r>
      <w:r>
        <w:t xml:space="preserve"> </w:t>
      </w:r>
      <w:r w:rsidR="003951FA">
        <w:t>Table 4.</w:t>
      </w:r>
      <w:r w:rsidR="003951FA">
        <w:rPr>
          <w:noProof/>
        </w:rPr>
        <w:t>127</w:t>
      </w:r>
      <w:r>
        <w:t>. A</w:t>
      </w:r>
      <w:r w:rsidR="0001351C">
        <w:t>ny AE and serious AE</w:t>
      </w:r>
      <w:r>
        <w:t xml:space="preserve"> outcomes </w:t>
      </w:r>
      <w:proofErr w:type="gramStart"/>
      <w:r>
        <w:t xml:space="preserve">were </w:t>
      </w:r>
      <w:r w:rsidRPr="006316DF">
        <w:t>considered</w:t>
      </w:r>
      <w:proofErr w:type="gramEnd"/>
      <w:r w:rsidRPr="006316DF">
        <w:t xml:space="preserve"> to be of </w:t>
      </w:r>
      <w:r>
        <w:t>high</w:t>
      </w:r>
      <w:r w:rsidRPr="006316DF">
        <w:t xml:space="preserve"> quality (GRADE </w:t>
      </w:r>
      <w:r w:rsidRPr="00920393">
        <w:rPr>
          <w:rFonts w:ascii="Cambria Math" w:eastAsia="Times New Roman" w:hAnsi="Cambria Math" w:cs="Tahoma"/>
          <w:bCs/>
          <w:color w:val="00B050"/>
        </w:rPr>
        <w:t>⨁⨁⨁⨁</w:t>
      </w:r>
      <w:r w:rsidRPr="00E35D60">
        <w:t>)</w:t>
      </w:r>
      <w:r w:rsidR="0001351C">
        <w:t xml:space="preserve"> and discontinuation of study medication due to an AE was of moderate quality </w:t>
      </w:r>
      <w:r w:rsidR="0001351C" w:rsidRPr="006316DF">
        <w:t xml:space="preserve">(GRADE </w:t>
      </w:r>
      <w:r w:rsidR="0001351C" w:rsidRPr="00920393">
        <w:rPr>
          <w:rFonts w:ascii="Cambria Math" w:eastAsia="Times New Roman" w:hAnsi="Cambria Math" w:cs="Tahoma"/>
          <w:bCs/>
          <w:color w:val="00B050"/>
        </w:rPr>
        <w:t>⨁⨁⨁</w:t>
      </w:r>
      <w:r w:rsidR="0001351C" w:rsidRPr="00E564DD">
        <w:rPr>
          <w:rFonts w:ascii="Cambria Math" w:hAnsi="Cambria Math"/>
          <w:color w:val="C00000"/>
        </w:rPr>
        <w:t>⨀</w:t>
      </w:r>
      <w:r w:rsidR="0001351C" w:rsidRPr="00E35D60">
        <w:t>)</w:t>
      </w:r>
      <w:r w:rsidRPr="00E35D60">
        <w:t>.</w:t>
      </w:r>
    </w:p>
    <w:p w:rsidR="0075777C" w:rsidRDefault="008C5CA7" w:rsidP="005625F4">
      <w:r>
        <w:t xml:space="preserve">Overall, </w:t>
      </w:r>
      <w:r w:rsidR="005625F4">
        <w:t xml:space="preserve">the comparative safety of an ERA plus a PDE-5 inhibitor relative to PDE-5 inhibitor monotherapy in the subgroup of </w:t>
      </w:r>
      <w:r w:rsidR="005625F4" w:rsidRPr="00FD4377">
        <w:t xml:space="preserve">patients with </w:t>
      </w:r>
      <w:r w:rsidR="005625F4">
        <w:t>I</w:t>
      </w:r>
      <w:r w:rsidR="005625F4" w:rsidRPr="00FD4377">
        <w:t>PAH</w:t>
      </w:r>
      <w:r w:rsidR="005625F4">
        <w:t>/HPAH and in the subgroup of patients with PAH-CTD appeared to be largely consistent with the comparative safety in the overall PAH population.</w:t>
      </w:r>
    </w:p>
    <w:p w:rsidR="0075777C" w:rsidRPr="006316DF" w:rsidRDefault="00272F8F" w:rsidP="00BC5A2B">
      <w:pPr>
        <w:pStyle w:val="Caption"/>
      </w:pPr>
      <w:bookmarkStart w:id="361" w:name="_Ref505773014"/>
      <w:bookmarkStart w:id="362" w:name="_Toc38360424"/>
      <w:r>
        <w:t>Table 4.</w:t>
      </w:r>
      <w:r w:rsidR="003951FA">
        <w:rPr>
          <w:noProof/>
        </w:rPr>
        <w:t>127</w:t>
      </w:r>
      <w:bookmarkEnd w:id="360"/>
      <w:bookmarkEnd w:id="361"/>
      <w:r w:rsidR="00E35D60">
        <w:tab/>
      </w:r>
      <w:r w:rsidR="0075777C" w:rsidRPr="006316DF">
        <w:t xml:space="preserve">Balance of clinical harms of </w:t>
      </w:r>
      <w:r w:rsidR="004B668A">
        <w:t xml:space="preserve">an </w:t>
      </w:r>
      <w:r w:rsidR="0075777C" w:rsidRPr="004A69F0">
        <w:t xml:space="preserve">ERA in addition to </w:t>
      </w:r>
      <w:r w:rsidR="004B668A">
        <w:t xml:space="preserve">a </w:t>
      </w:r>
      <w:r w:rsidR="0075777C" w:rsidRPr="004A69F0">
        <w:t>PDE-5 inhibitor, relative to PDE-5 inhibitor monotherapy</w:t>
      </w:r>
      <w:r w:rsidR="0075777C">
        <w:t xml:space="preserve"> </w:t>
      </w:r>
      <w:r w:rsidR="0075777C" w:rsidRPr="00D65221">
        <w:t>in patients with different PAH aetiologies</w:t>
      </w:r>
      <w:bookmarkEnd w:id="362"/>
    </w:p>
    <w:tbl>
      <w:tblPr>
        <w:tblStyle w:val="TableGrid"/>
        <w:tblW w:w="9634" w:type="dxa"/>
        <w:tblLayout w:type="fixed"/>
        <w:tblLook w:val="04A0" w:firstRow="1" w:lastRow="0" w:firstColumn="1" w:lastColumn="0" w:noHBand="0" w:noVBand="1"/>
        <w:tblCaption w:val="Balance of clinical harms of an ERA in addition to a PDE-5 inhibitor, relative to PDE-5 inhibitor monotherapy in patients with different PAH aetiologies"/>
      </w:tblPr>
      <w:tblGrid>
        <w:gridCol w:w="1560"/>
        <w:gridCol w:w="1275"/>
        <w:gridCol w:w="1701"/>
        <w:gridCol w:w="1413"/>
        <w:gridCol w:w="2551"/>
        <w:gridCol w:w="1134"/>
      </w:tblGrid>
      <w:tr w:rsidR="0075777C" w:rsidRPr="000647C6" w:rsidTr="00E35D60">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3"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753572" w:rsidRPr="00753572">
              <w:rPr>
                <w:b/>
                <w:noProof/>
                <w:vertAlign w:val="superscript"/>
              </w:rPr>
              <w:t>a</w:t>
            </w:r>
          </w:p>
          <w:p w:rsidR="0075777C" w:rsidRPr="000647C6" w:rsidRDefault="0075777C" w:rsidP="000647C6">
            <w:pPr>
              <w:pStyle w:val="Tabletext"/>
              <w:rPr>
                <w:b/>
                <w:noProof/>
              </w:rPr>
            </w:pPr>
            <w:r w:rsidRPr="000647C6">
              <w:rPr>
                <w:b/>
                <w:noProof/>
              </w:rPr>
              <w:t>Importance</w:t>
            </w:r>
          </w:p>
        </w:tc>
      </w:tr>
      <w:tr w:rsidR="009A6001" w:rsidRPr="006316DF" w:rsidTr="009A6001">
        <w:tc>
          <w:tcPr>
            <w:tcW w:w="1560" w:type="dxa"/>
            <w:shd w:val="clear" w:color="auto" w:fill="000000" w:themeFill="text1"/>
          </w:tcPr>
          <w:p w:rsidR="009A6001" w:rsidRDefault="009A6001" w:rsidP="000647C6">
            <w:pPr>
              <w:pStyle w:val="Tabletext"/>
            </w:pPr>
            <w:r>
              <w:t>IPAH/HPAH</w:t>
            </w:r>
          </w:p>
        </w:tc>
        <w:tc>
          <w:tcPr>
            <w:tcW w:w="1275" w:type="dxa"/>
            <w:shd w:val="clear" w:color="auto" w:fill="000000" w:themeFill="text1"/>
          </w:tcPr>
          <w:p w:rsidR="009A6001" w:rsidRDefault="009A6001" w:rsidP="000647C6">
            <w:pPr>
              <w:pStyle w:val="Tabletext"/>
            </w:pPr>
          </w:p>
        </w:tc>
        <w:tc>
          <w:tcPr>
            <w:tcW w:w="1701" w:type="dxa"/>
            <w:shd w:val="clear" w:color="auto" w:fill="000000" w:themeFill="text1"/>
          </w:tcPr>
          <w:p w:rsidR="009A6001" w:rsidRDefault="009A6001" w:rsidP="000647C6">
            <w:pPr>
              <w:pStyle w:val="Tabletext"/>
            </w:pPr>
          </w:p>
        </w:tc>
        <w:tc>
          <w:tcPr>
            <w:tcW w:w="1413" w:type="dxa"/>
            <w:shd w:val="clear" w:color="auto" w:fill="000000" w:themeFill="text1"/>
          </w:tcPr>
          <w:p w:rsidR="009A6001" w:rsidRPr="000E45D6" w:rsidRDefault="009A6001" w:rsidP="000647C6">
            <w:pPr>
              <w:pStyle w:val="Tabletext"/>
            </w:pPr>
          </w:p>
        </w:tc>
        <w:tc>
          <w:tcPr>
            <w:tcW w:w="2551" w:type="dxa"/>
            <w:shd w:val="clear" w:color="auto" w:fill="000000" w:themeFill="text1"/>
          </w:tcPr>
          <w:p w:rsidR="009A6001" w:rsidRDefault="009A6001" w:rsidP="000647C6">
            <w:pPr>
              <w:pStyle w:val="Tabletext"/>
            </w:pPr>
          </w:p>
        </w:tc>
        <w:tc>
          <w:tcPr>
            <w:tcW w:w="1134" w:type="dxa"/>
            <w:shd w:val="clear" w:color="auto" w:fill="000000" w:themeFill="text1"/>
          </w:tcPr>
          <w:p w:rsidR="009A6001" w:rsidRDefault="009A6001" w:rsidP="000647C6">
            <w:pPr>
              <w:pStyle w:val="Tabletext"/>
            </w:pPr>
          </w:p>
        </w:tc>
      </w:tr>
      <w:tr w:rsidR="00CF5BBF" w:rsidRPr="006316DF" w:rsidTr="00E35D60">
        <w:tc>
          <w:tcPr>
            <w:tcW w:w="1560" w:type="dxa"/>
          </w:tcPr>
          <w:p w:rsidR="00CF5BBF" w:rsidRPr="006316DF" w:rsidRDefault="00CF5BBF" w:rsidP="00CF5BBF">
            <w:pPr>
              <w:pStyle w:val="Tabletext"/>
            </w:pPr>
            <w:r>
              <w:t>Any AE in IPAH/HPAH</w:t>
            </w:r>
          </w:p>
        </w:tc>
        <w:tc>
          <w:tcPr>
            <w:tcW w:w="1275" w:type="dxa"/>
          </w:tcPr>
          <w:p w:rsidR="00CF5BBF" w:rsidRDefault="00CF5BBF" w:rsidP="00CF5BBF">
            <w:pPr>
              <w:pStyle w:val="Tabletext"/>
            </w:pPr>
            <w:r>
              <w:t>N=204</w:t>
            </w:r>
          </w:p>
          <w:p w:rsidR="00CF5BBF" w:rsidRPr="006316DF" w:rsidRDefault="00CF5BBF" w:rsidP="00CF5BBF">
            <w:pPr>
              <w:pStyle w:val="Tabletext"/>
            </w:pPr>
            <w:r>
              <w:t>k=1</w:t>
            </w:r>
            <w:r w:rsidRPr="00E564DD">
              <w:t xml:space="preserve"> RCT</w:t>
            </w:r>
          </w:p>
        </w:tc>
        <w:tc>
          <w:tcPr>
            <w:tcW w:w="1701" w:type="dxa"/>
          </w:tcPr>
          <w:p w:rsidR="00CF5BBF" w:rsidRPr="006316DF" w:rsidRDefault="00CF5BBF" w:rsidP="00CF5BBF">
            <w:pPr>
              <w:pStyle w:val="Tabletext"/>
            </w:pPr>
            <w:r>
              <w:t>Risk of bias: 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rsidRPr="006316DF">
              <w:t>Imprecision: 0</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0E45D6" w:rsidRDefault="00CF5BBF" w:rsidP="00CF5BBF">
            <w:pPr>
              <w:pStyle w:val="Tabletext"/>
            </w:pPr>
            <w:r w:rsidRPr="000E45D6">
              <w:t xml:space="preserve">RR = </w:t>
            </w:r>
            <w:r>
              <w:t>1</w:t>
            </w:r>
            <w:r w:rsidRPr="000E45D6">
              <w:t>.</w:t>
            </w:r>
            <w:r>
              <w:t>04</w:t>
            </w:r>
            <w:r w:rsidRPr="000E45D6">
              <w:t xml:space="preserve"> (95% CI 0.</w:t>
            </w:r>
            <w:r>
              <w:t>97</w:t>
            </w:r>
            <w:r w:rsidRPr="000E45D6">
              <w:t xml:space="preserve">, </w:t>
            </w:r>
            <w:r>
              <w:t>1.12</w:t>
            </w:r>
            <w:r w:rsidRPr="000E45D6">
              <w:t>)</w:t>
            </w:r>
          </w:p>
        </w:tc>
        <w:tc>
          <w:tcPr>
            <w:tcW w:w="2551" w:type="dxa"/>
          </w:tcPr>
          <w:p w:rsidR="00CF5BBF" w:rsidRPr="000E45D6" w:rsidRDefault="00CF5BBF" w:rsidP="00CF5BBF">
            <w:pPr>
              <w:pStyle w:val="Tabletext"/>
            </w:pPr>
            <w:r>
              <w:t>T</w:t>
            </w:r>
            <w:r w:rsidRPr="000E45D6">
              <w:t xml:space="preserve">he </w:t>
            </w:r>
            <w:r>
              <w:t>proportion</w:t>
            </w:r>
            <w:r w:rsidRPr="000E45D6">
              <w:t xml:space="preserve"> of patients </w:t>
            </w:r>
            <w:r>
              <w:t xml:space="preserve">with IPAH/HPAH </w:t>
            </w:r>
            <w:r w:rsidRPr="000E45D6">
              <w:t xml:space="preserve">that experience </w:t>
            </w:r>
            <w:r>
              <w:t>an AE</w:t>
            </w:r>
            <w:r w:rsidRPr="000E45D6">
              <w:t xml:space="preserve"> </w:t>
            </w:r>
            <w:r>
              <w:t>with combination therapy was similar to the proportion on monotherapy</w:t>
            </w:r>
          </w:p>
        </w:tc>
        <w:tc>
          <w:tcPr>
            <w:tcW w:w="1134" w:type="dxa"/>
          </w:tcPr>
          <w:p w:rsidR="00CF5BBF" w:rsidRPr="006316DF" w:rsidRDefault="00CF5BBF" w:rsidP="00CF5BBF">
            <w:pPr>
              <w:pStyle w:val="Tabletext"/>
            </w:pPr>
            <w:r>
              <w:t>High</w:t>
            </w:r>
          </w:p>
          <w:p w:rsidR="00CF5BBF" w:rsidRPr="006316DF" w:rsidRDefault="00CF5BBF" w:rsidP="00CF5BBF">
            <w:pPr>
              <w:pStyle w:val="Tabletext"/>
              <w:rPr>
                <w:rFonts w:cs="Cambria Math"/>
                <w:bCs/>
              </w:rPr>
            </w:pPr>
            <w:r w:rsidRPr="006316DF">
              <w:rPr>
                <w:rFonts w:ascii="Cambria Math" w:hAnsi="Cambria Math" w:cs="Cambria Math"/>
                <w:bCs/>
                <w:color w:val="00B050"/>
              </w:rPr>
              <w:t>⨁⨁⨁⨁</w:t>
            </w:r>
          </w:p>
          <w:p w:rsidR="00CF5BBF" w:rsidRPr="006316DF" w:rsidRDefault="00CF5BBF" w:rsidP="00CF5BBF">
            <w:pPr>
              <w:pStyle w:val="Tabletext"/>
            </w:pPr>
            <w:r w:rsidRPr="006316DF">
              <w:t>Important</w:t>
            </w:r>
          </w:p>
        </w:tc>
      </w:tr>
      <w:tr w:rsidR="00CF5BBF" w:rsidRPr="006316DF" w:rsidTr="00E35D60">
        <w:tc>
          <w:tcPr>
            <w:tcW w:w="1560" w:type="dxa"/>
          </w:tcPr>
          <w:p w:rsidR="00CF5BBF" w:rsidRPr="006316DF" w:rsidRDefault="00CF5BBF" w:rsidP="00CF5BBF">
            <w:pPr>
              <w:pStyle w:val="Tabletext"/>
            </w:pPr>
            <w:r>
              <w:t>Serious AEs in IPAH/HPAH</w:t>
            </w:r>
          </w:p>
        </w:tc>
        <w:tc>
          <w:tcPr>
            <w:tcW w:w="1275" w:type="dxa"/>
          </w:tcPr>
          <w:p w:rsidR="00CF5BBF" w:rsidRDefault="00CF5BBF" w:rsidP="00CF5BBF">
            <w:pPr>
              <w:pStyle w:val="Tabletext"/>
            </w:pPr>
            <w:r>
              <w:t>N=204</w:t>
            </w:r>
          </w:p>
          <w:p w:rsidR="00CF5BBF" w:rsidRPr="006316DF" w:rsidRDefault="00CF5BBF" w:rsidP="00CF5BBF">
            <w:pPr>
              <w:pStyle w:val="Tabletext"/>
            </w:pPr>
            <w:r>
              <w:t>k=1</w:t>
            </w:r>
            <w:r w:rsidRPr="00E564DD">
              <w:t xml:space="preserve"> RCT</w:t>
            </w:r>
          </w:p>
        </w:tc>
        <w:tc>
          <w:tcPr>
            <w:tcW w:w="1701" w:type="dxa"/>
          </w:tcPr>
          <w:p w:rsidR="00CF5BBF" w:rsidRPr="006316DF" w:rsidRDefault="00CF5BBF" w:rsidP="00CF5BBF">
            <w:pPr>
              <w:pStyle w:val="Tabletext"/>
            </w:pPr>
            <w:r>
              <w:t>Risk of bias: 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rsidRPr="006316DF">
              <w:t>Imprecision: 0</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2812F2" w:rsidRDefault="00CF5BBF" w:rsidP="00CF5BBF">
            <w:pPr>
              <w:pStyle w:val="Tabletext"/>
            </w:pPr>
            <w:r w:rsidRPr="00A971CA">
              <w:t xml:space="preserve">RR </w:t>
            </w:r>
            <w:r>
              <w:t xml:space="preserve">= </w:t>
            </w:r>
            <w:r w:rsidRPr="00A971CA">
              <w:t>0.85</w:t>
            </w:r>
            <w:r>
              <w:t xml:space="preserve"> (95% CI 0.58, 1.25)</w:t>
            </w:r>
          </w:p>
        </w:tc>
        <w:tc>
          <w:tcPr>
            <w:tcW w:w="2551" w:type="dxa"/>
          </w:tcPr>
          <w:p w:rsidR="00CF5BBF" w:rsidRPr="002812F2" w:rsidRDefault="00CF5BBF" w:rsidP="00CF5BBF">
            <w:pPr>
              <w:pStyle w:val="Tabletext"/>
            </w:pPr>
            <w:r>
              <w:t>Fewer</w:t>
            </w:r>
            <w:r w:rsidRPr="002812F2">
              <w:t xml:space="preserve"> patients </w:t>
            </w:r>
            <w:r>
              <w:t>with IPAH/ HPAH had a serious</w:t>
            </w:r>
            <w:r w:rsidRPr="00424867">
              <w:t xml:space="preserve"> AE with combination th</w:t>
            </w:r>
            <w:r>
              <w:t xml:space="preserve">erapy compared with monotherapy, </w:t>
            </w:r>
            <w:r w:rsidRPr="00424867">
              <w:t xml:space="preserve">but </w:t>
            </w:r>
            <w:r w:rsidRPr="005D0BCD">
              <w:t>the study was likely underpowered for this outcome</w:t>
            </w:r>
          </w:p>
        </w:tc>
        <w:tc>
          <w:tcPr>
            <w:tcW w:w="1134" w:type="dxa"/>
          </w:tcPr>
          <w:p w:rsidR="00CF5BBF" w:rsidRPr="006316DF" w:rsidRDefault="00CF5BBF" w:rsidP="00CF5BBF">
            <w:pPr>
              <w:pStyle w:val="Tabletext"/>
            </w:pPr>
            <w:r>
              <w:t>High</w:t>
            </w:r>
          </w:p>
          <w:p w:rsidR="00CF5BBF" w:rsidRPr="006316DF" w:rsidRDefault="00CF5BBF" w:rsidP="00CF5BBF">
            <w:pPr>
              <w:pStyle w:val="Tabletext"/>
              <w:rPr>
                <w:rFonts w:cs="Cambria Math"/>
                <w:bCs/>
              </w:rPr>
            </w:pPr>
            <w:r w:rsidRPr="006316DF">
              <w:rPr>
                <w:rFonts w:ascii="Cambria Math" w:hAnsi="Cambria Math" w:cs="Cambria Math"/>
                <w:bCs/>
                <w:color w:val="00B050"/>
              </w:rPr>
              <w:t>⨁⨁⨁⨁</w:t>
            </w:r>
          </w:p>
          <w:p w:rsidR="00CF5BBF" w:rsidRPr="006316DF" w:rsidRDefault="00CF5BBF" w:rsidP="00CF5BBF">
            <w:pPr>
              <w:pStyle w:val="Tabletext"/>
            </w:pPr>
            <w:r w:rsidRPr="006316DF">
              <w:t>Important</w:t>
            </w:r>
          </w:p>
        </w:tc>
      </w:tr>
      <w:tr w:rsidR="00CF5BBF" w:rsidRPr="006316DF" w:rsidTr="009A6001">
        <w:tc>
          <w:tcPr>
            <w:tcW w:w="1560" w:type="dxa"/>
          </w:tcPr>
          <w:p w:rsidR="00CF5BBF" w:rsidRDefault="00CF5BBF" w:rsidP="00CF5BBF">
            <w:pPr>
              <w:pStyle w:val="Tabletext"/>
            </w:pPr>
            <w:r>
              <w:t>AEs leading to treatment discontinuation in IPAH/HPAH</w:t>
            </w:r>
          </w:p>
        </w:tc>
        <w:tc>
          <w:tcPr>
            <w:tcW w:w="1275" w:type="dxa"/>
          </w:tcPr>
          <w:p w:rsidR="00CF5BBF" w:rsidRDefault="00CF5BBF" w:rsidP="00CF5BBF">
            <w:pPr>
              <w:pStyle w:val="Tabletext"/>
            </w:pPr>
            <w:r>
              <w:t>N=204</w:t>
            </w:r>
          </w:p>
          <w:p w:rsidR="00CF5BBF" w:rsidRPr="006316DF" w:rsidRDefault="00CF5BBF" w:rsidP="00CF5BBF">
            <w:pPr>
              <w:pStyle w:val="Tabletext"/>
            </w:pPr>
            <w:r>
              <w:t>k=1</w:t>
            </w:r>
            <w:r w:rsidRPr="00E564DD">
              <w:t xml:space="preserve"> RCT</w:t>
            </w:r>
          </w:p>
        </w:tc>
        <w:tc>
          <w:tcPr>
            <w:tcW w:w="1701" w:type="dxa"/>
          </w:tcPr>
          <w:p w:rsidR="00CF5BBF" w:rsidRPr="006316DF" w:rsidRDefault="00CF5BBF" w:rsidP="00CF5BBF">
            <w:pPr>
              <w:pStyle w:val="Tabletext"/>
            </w:pPr>
            <w:r>
              <w:t>Risk of bias: 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t>Imprecision: −1</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424867" w:rsidRDefault="00CF5BBF" w:rsidP="00CF5BBF">
            <w:pPr>
              <w:pStyle w:val="Tabletext"/>
              <w:rPr>
                <w:highlight w:val="cyan"/>
              </w:rPr>
            </w:pPr>
            <w:r w:rsidRPr="000C5F99">
              <w:t xml:space="preserve">RR </w:t>
            </w:r>
            <w:r>
              <w:t xml:space="preserve">= </w:t>
            </w:r>
            <w:r w:rsidRPr="000C5F99">
              <w:t>0.98</w:t>
            </w:r>
            <w:r>
              <w:t xml:space="preserve"> </w:t>
            </w:r>
            <w:r w:rsidRPr="000C5F99">
              <w:t>(</w:t>
            </w:r>
            <w:r>
              <w:t xml:space="preserve">95% CI </w:t>
            </w:r>
            <w:r w:rsidRPr="000C5F99">
              <w:t>0.44</w:t>
            </w:r>
            <w:r>
              <w:t>,</w:t>
            </w:r>
            <w:r w:rsidRPr="000C5F99">
              <w:t xml:space="preserve"> 2.20)</w:t>
            </w:r>
          </w:p>
        </w:tc>
        <w:tc>
          <w:tcPr>
            <w:tcW w:w="2551" w:type="dxa"/>
          </w:tcPr>
          <w:p w:rsidR="00CF5BBF" w:rsidRPr="00424867" w:rsidRDefault="00CF5BBF" w:rsidP="005625F4">
            <w:pPr>
              <w:pStyle w:val="Tabletext"/>
              <w:rPr>
                <w:highlight w:val="cyan"/>
              </w:rPr>
            </w:pPr>
            <w:r>
              <w:t>T</w:t>
            </w:r>
            <w:r w:rsidRPr="00E55244">
              <w:t xml:space="preserve">he proportion of patients who had an AE leading to treatment discontinuation was </w:t>
            </w:r>
            <w:r>
              <w:t>similar</w:t>
            </w:r>
            <w:r w:rsidRPr="00E55244">
              <w:t xml:space="preserve"> for both the combination therapy and monotherapy</w:t>
            </w:r>
          </w:p>
        </w:tc>
        <w:tc>
          <w:tcPr>
            <w:tcW w:w="1134" w:type="dxa"/>
          </w:tcPr>
          <w:p w:rsidR="00CF5BBF" w:rsidRPr="006316DF" w:rsidRDefault="00CF5BBF" w:rsidP="00CF5BBF">
            <w:pPr>
              <w:pStyle w:val="Tabletext"/>
            </w:pPr>
            <w:r>
              <w:t>Moderate</w:t>
            </w:r>
          </w:p>
          <w:p w:rsidR="00CF5BBF" w:rsidRPr="006316DF" w:rsidRDefault="00CF5BBF" w:rsidP="00CF5BBF">
            <w:pPr>
              <w:pStyle w:val="Tabletext"/>
              <w:rPr>
                <w:rFonts w:cs="Cambria Math"/>
                <w:bCs/>
              </w:rPr>
            </w:pPr>
            <w:r w:rsidRPr="006316DF">
              <w:rPr>
                <w:rFonts w:ascii="Cambria Math" w:hAnsi="Cambria Math" w:cs="Cambria Math"/>
                <w:bCs/>
                <w:color w:val="00B050"/>
              </w:rPr>
              <w:t>⨁⨁⨁</w:t>
            </w:r>
            <w:r w:rsidRPr="006316DF">
              <w:rPr>
                <w:rFonts w:ascii="Cambria Math" w:hAnsi="Cambria Math" w:cs="Cambria Math"/>
                <w:color w:val="C00000"/>
              </w:rPr>
              <w:t>⨀</w:t>
            </w:r>
          </w:p>
          <w:p w:rsidR="00CF5BBF" w:rsidRDefault="00CF5BBF" w:rsidP="00CF5BBF">
            <w:pPr>
              <w:pStyle w:val="Tabletext"/>
            </w:pPr>
            <w:r w:rsidRPr="006316DF">
              <w:t>Important</w:t>
            </w:r>
          </w:p>
        </w:tc>
      </w:tr>
      <w:tr w:rsidR="009A6001" w:rsidRPr="006316DF" w:rsidTr="009A6001">
        <w:tc>
          <w:tcPr>
            <w:tcW w:w="1560" w:type="dxa"/>
            <w:shd w:val="clear" w:color="auto" w:fill="000000" w:themeFill="text1"/>
          </w:tcPr>
          <w:p w:rsidR="009A6001" w:rsidRDefault="009A6001" w:rsidP="00CF5BBF">
            <w:pPr>
              <w:pStyle w:val="Tabletext"/>
              <w:keepNext/>
            </w:pPr>
            <w:r>
              <w:t>PAH-CTD</w:t>
            </w:r>
          </w:p>
        </w:tc>
        <w:tc>
          <w:tcPr>
            <w:tcW w:w="1275" w:type="dxa"/>
            <w:shd w:val="clear" w:color="auto" w:fill="000000" w:themeFill="text1"/>
          </w:tcPr>
          <w:p w:rsidR="009A6001" w:rsidRDefault="009A6001" w:rsidP="000647C6">
            <w:pPr>
              <w:pStyle w:val="Tabletext"/>
            </w:pPr>
          </w:p>
        </w:tc>
        <w:tc>
          <w:tcPr>
            <w:tcW w:w="1701" w:type="dxa"/>
            <w:shd w:val="clear" w:color="auto" w:fill="000000" w:themeFill="text1"/>
          </w:tcPr>
          <w:p w:rsidR="009A6001" w:rsidRPr="006316DF" w:rsidRDefault="009A6001" w:rsidP="000647C6">
            <w:pPr>
              <w:pStyle w:val="Tabletext"/>
            </w:pPr>
          </w:p>
        </w:tc>
        <w:tc>
          <w:tcPr>
            <w:tcW w:w="1413" w:type="dxa"/>
            <w:shd w:val="clear" w:color="auto" w:fill="000000" w:themeFill="text1"/>
          </w:tcPr>
          <w:p w:rsidR="009A6001" w:rsidRPr="000C5F99" w:rsidRDefault="009A6001" w:rsidP="000647C6">
            <w:pPr>
              <w:pStyle w:val="Tabletext"/>
            </w:pPr>
          </w:p>
        </w:tc>
        <w:tc>
          <w:tcPr>
            <w:tcW w:w="2551" w:type="dxa"/>
            <w:shd w:val="clear" w:color="auto" w:fill="000000" w:themeFill="text1"/>
          </w:tcPr>
          <w:p w:rsidR="009A6001" w:rsidRDefault="009A6001" w:rsidP="000647C6">
            <w:pPr>
              <w:pStyle w:val="Tabletext"/>
            </w:pPr>
          </w:p>
        </w:tc>
        <w:tc>
          <w:tcPr>
            <w:tcW w:w="1134" w:type="dxa"/>
            <w:shd w:val="clear" w:color="auto" w:fill="000000" w:themeFill="text1"/>
          </w:tcPr>
          <w:p w:rsidR="009A6001" w:rsidRDefault="009A6001" w:rsidP="000647C6">
            <w:pPr>
              <w:pStyle w:val="Tabletext"/>
            </w:pPr>
          </w:p>
        </w:tc>
      </w:tr>
      <w:tr w:rsidR="00CF5BBF" w:rsidRPr="006316DF" w:rsidTr="009A6001">
        <w:tc>
          <w:tcPr>
            <w:tcW w:w="1560" w:type="dxa"/>
          </w:tcPr>
          <w:p w:rsidR="00CF5BBF" w:rsidRPr="006316DF" w:rsidRDefault="00CF5BBF" w:rsidP="00CF5BBF">
            <w:pPr>
              <w:pStyle w:val="Tabletext"/>
            </w:pPr>
            <w:r>
              <w:t>Any AE in PAH-CTD</w:t>
            </w:r>
          </w:p>
        </w:tc>
        <w:tc>
          <w:tcPr>
            <w:tcW w:w="1275" w:type="dxa"/>
          </w:tcPr>
          <w:p w:rsidR="00CF5BBF" w:rsidRDefault="00CF5BBF" w:rsidP="00CF5BBF">
            <w:pPr>
              <w:pStyle w:val="Tabletext"/>
            </w:pPr>
            <w:r>
              <w:t>N=143</w:t>
            </w:r>
          </w:p>
          <w:p w:rsidR="00CF5BBF" w:rsidRPr="006316DF" w:rsidRDefault="00CF5BBF" w:rsidP="00CF5BBF">
            <w:pPr>
              <w:pStyle w:val="Tabletext"/>
            </w:pPr>
            <w:r>
              <w:t>k=1</w:t>
            </w:r>
            <w:r w:rsidRPr="00E564DD">
              <w:t xml:space="preserve"> RCT</w:t>
            </w:r>
          </w:p>
        </w:tc>
        <w:tc>
          <w:tcPr>
            <w:tcW w:w="1701" w:type="dxa"/>
          </w:tcPr>
          <w:p w:rsidR="00CF5BBF" w:rsidRPr="006316DF" w:rsidRDefault="00CF5BBF" w:rsidP="00CF5BBF">
            <w:pPr>
              <w:pStyle w:val="Tabletext"/>
            </w:pPr>
            <w:r>
              <w:t>Risk of bias: 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rsidRPr="006316DF">
              <w:t>Imprecision: 0</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0E45D6" w:rsidRDefault="00CF5BBF" w:rsidP="00CF5BBF">
            <w:pPr>
              <w:pStyle w:val="Tabletext"/>
            </w:pPr>
            <w:r w:rsidRPr="00A32685">
              <w:t>RR = 1.02 (95% CI 0.96, 1.07)</w:t>
            </w:r>
          </w:p>
        </w:tc>
        <w:tc>
          <w:tcPr>
            <w:tcW w:w="2551" w:type="dxa"/>
          </w:tcPr>
          <w:p w:rsidR="00CF5BBF" w:rsidRPr="000E45D6" w:rsidRDefault="00CF5BBF" w:rsidP="00CF5BBF">
            <w:pPr>
              <w:pStyle w:val="Tabletext"/>
            </w:pPr>
            <w:r>
              <w:t xml:space="preserve">The proportion of patients with </w:t>
            </w:r>
            <w:r w:rsidRPr="00A32685">
              <w:t>PAH</w:t>
            </w:r>
            <w:r w:rsidR="005625F4">
              <w:t>-CT</w:t>
            </w:r>
            <w:r>
              <w:t>D</w:t>
            </w:r>
            <w:r w:rsidRPr="00A32685">
              <w:t xml:space="preserve"> </w:t>
            </w:r>
            <w:r>
              <w:t>who</w:t>
            </w:r>
            <w:r w:rsidRPr="00A32685">
              <w:t xml:space="preserve"> experience</w:t>
            </w:r>
            <w:r>
              <w:t>d</w:t>
            </w:r>
            <w:r w:rsidRPr="00A32685">
              <w:t xml:space="preserve"> an AE with combination therapy </w:t>
            </w:r>
            <w:r>
              <w:t>was</w:t>
            </w:r>
            <w:r w:rsidRPr="00A32685">
              <w:t xml:space="preserve"> similar to the proportion on monotherapy</w:t>
            </w:r>
          </w:p>
        </w:tc>
        <w:tc>
          <w:tcPr>
            <w:tcW w:w="1134" w:type="dxa"/>
          </w:tcPr>
          <w:p w:rsidR="00CF5BBF" w:rsidRPr="006316DF" w:rsidRDefault="00CF5BBF" w:rsidP="00CF5BBF">
            <w:pPr>
              <w:pStyle w:val="Tabletext"/>
            </w:pPr>
            <w:r>
              <w:t>High</w:t>
            </w:r>
          </w:p>
          <w:p w:rsidR="00CF5BBF" w:rsidRPr="006316DF" w:rsidRDefault="00CF5BBF" w:rsidP="00CF5BBF">
            <w:pPr>
              <w:pStyle w:val="Tabletext"/>
              <w:rPr>
                <w:rFonts w:cs="Cambria Math"/>
                <w:bCs/>
              </w:rPr>
            </w:pPr>
            <w:r w:rsidRPr="006316DF">
              <w:rPr>
                <w:rFonts w:ascii="Cambria Math" w:hAnsi="Cambria Math" w:cs="Cambria Math"/>
                <w:bCs/>
                <w:color w:val="00B050"/>
              </w:rPr>
              <w:t>⨁⨁⨁⨁</w:t>
            </w:r>
          </w:p>
          <w:p w:rsidR="00CF5BBF" w:rsidRPr="006316DF" w:rsidRDefault="00CF5BBF" w:rsidP="00CF5BBF">
            <w:pPr>
              <w:pStyle w:val="Tabletext"/>
            </w:pPr>
            <w:r w:rsidRPr="006316DF">
              <w:t>Important</w:t>
            </w:r>
          </w:p>
        </w:tc>
      </w:tr>
      <w:tr w:rsidR="00CF5BBF" w:rsidRPr="006316DF" w:rsidTr="00E35D60">
        <w:tc>
          <w:tcPr>
            <w:tcW w:w="1560" w:type="dxa"/>
          </w:tcPr>
          <w:p w:rsidR="00CF5BBF" w:rsidRPr="006316DF" w:rsidRDefault="00CF5BBF" w:rsidP="00CF5BBF">
            <w:pPr>
              <w:pStyle w:val="Tabletext"/>
            </w:pPr>
            <w:r>
              <w:t>Serious AEs in PAH-CTD</w:t>
            </w:r>
          </w:p>
        </w:tc>
        <w:tc>
          <w:tcPr>
            <w:tcW w:w="1275" w:type="dxa"/>
          </w:tcPr>
          <w:p w:rsidR="00CF5BBF" w:rsidRDefault="00CF5BBF" w:rsidP="00CF5BBF">
            <w:pPr>
              <w:pStyle w:val="Tabletext"/>
            </w:pPr>
            <w:r>
              <w:t>N=143</w:t>
            </w:r>
          </w:p>
          <w:p w:rsidR="00CF5BBF" w:rsidRPr="006316DF" w:rsidRDefault="00CF5BBF" w:rsidP="00CF5BBF">
            <w:pPr>
              <w:pStyle w:val="Tabletext"/>
            </w:pPr>
            <w:r>
              <w:t>k=1</w:t>
            </w:r>
            <w:r w:rsidRPr="00E564DD">
              <w:t xml:space="preserve"> RCT</w:t>
            </w:r>
          </w:p>
        </w:tc>
        <w:tc>
          <w:tcPr>
            <w:tcW w:w="1701" w:type="dxa"/>
          </w:tcPr>
          <w:p w:rsidR="00CF5BBF" w:rsidRPr="006316DF" w:rsidRDefault="00CF5BBF" w:rsidP="00CF5BBF">
            <w:pPr>
              <w:pStyle w:val="Tabletext"/>
            </w:pPr>
            <w:r w:rsidRPr="006316DF">
              <w:t xml:space="preserve">Risk of bias: </w:t>
            </w:r>
            <w:r>
              <w:t>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t>Imprecision: 0</w:t>
            </w:r>
          </w:p>
          <w:p w:rsidR="00CF5BBF" w:rsidRDefault="00CF5BBF" w:rsidP="00CF5BBF">
            <w:pPr>
              <w:pStyle w:val="Tabletext"/>
            </w:pPr>
            <w:r w:rsidRPr="006316DF">
              <w:t>Publication bias: 0</w:t>
            </w:r>
          </w:p>
          <w:p w:rsidR="00CF5BBF" w:rsidRPr="006316DF" w:rsidRDefault="00CF5BBF" w:rsidP="00CF5BBF">
            <w:pPr>
              <w:pStyle w:val="Tabletext"/>
            </w:pPr>
            <w:r>
              <w:t>Association: +1</w:t>
            </w:r>
          </w:p>
        </w:tc>
        <w:tc>
          <w:tcPr>
            <w:tcW w:w="1413" w:type="dxa"/>
          </w:tcPr>
          <w:p w:rsidR="00CF5BBF" w:rsidRPr="00424867" w:rsidRDefault="00CF5BBF" w:rsidP="00CF5BBF">
            <w:pPr>
              <w:pStyle w:val="Tabletext"/>
              <w:rPr>
                <w:highlight w:val="cyan"/>
              </w:rPr>
            </w:pPr>
            <w:r w:rsidRPr="000C5F99">
              <w:t xml:space="preserve">RR </w:t>
            </w:r>
            <w:r>
              <w:t xml:space="preserve">= </w:t>
            </w:r>
            <w:r w:rsidRPr="000C5F99">
              <w:t>0.87</w:t>
            </w:r>
            <w:r>
              <w:t xml:space="preserve"> </w:t>
            </w:r>
            <w:r w:rsidRPr="000C5F99">
              <w:t>(</w:t>
            </w:r>
            <w:r>
              <w:t xml:space="preserve">95% CI </w:t>
            </w:r>
            <w:r w:rsidRPr="000C5F99">
              <w:t>0.60</w:t>
            </w:r>
            <w:r>
              <w:t>,</w:t>
            </w:r>
            <w:r w:rsidRPr="000C5F99">
              <w:t xml:space="preserve"> </w:t>
            </w:r>
            <w:r>
              <w:t>1.</w:t>
            </w:r>
            <w:r w:rsidRPr="000C5F99">
              <w:t>2</w:t>
            </w:r>
            <w:r>
              <w:t>8</w:t>
            </w:r>
            <w:r w:rsidRPr="000C5F99">
              <w:t>)</w:t>
            </w:r>
          </w:p>
        </w:tc>
        <w:tc>
          <w:tcPr>
            <w:tcW w:w="2551" w:type="dxa"/>
          </w:tcPr>
          <w:p w:rsidR="00CF5BBF" w:rsidRPr="00A32685" w:rsidRDefault="00CF5BBF" w:rsidP="00CF5BBF">
            <w:pPr>
              <w:pStyle w:val="Tabletext"/>
            </w:pPr>
            <w:r>
              <w:t>F</w:t>
            </w:r>
            <w:r w:rsidRPr="00A32685">
              <w:t xml:space="preserve">ewer patients </w:t>
            </w:r>
            <w:r>
              <w:t xml:space="preserve">with PAH-CTD </w:t>
            </w:r>
            <w:r w:rsidRPr="00A32685">
              <w:t>ha</w:t>
            </w:r>
            <w:r>
              <w:t>d</w:t>
            </w:r>
            <w:r w:rsidRPr="00A32685">
              <w:t xml:space="preserve"> a serious AE with combination therapy compared with monotherapy, but the </w:t>
            </w:r>
            <w:r>
              <w:t>95% CI indicates</w:t>
            </w:r>
            <w:r w:rsidRPr="00A32685">
              <w:t xml:space="preserve"> that there could also be no </w:t>
            </w:r>
            <w:r>
              <w:t xml:space="preserve">or the opposite </w:t>
            </w:r>
            <w:r w:rsidRPr="00A32685">
              <w:t>effect.</w:t>
            </w:r>
          </w:p>
        </w:tc>
        <w:tc>
          <w:tcPr>
            <w:tcW w:w="1134" w:type="dxa"/>
          </w:tcPr>
          <w:p w:rsidR="00CF5BBF" w:rsidRPr="006316DF" w:rsidRDefault="00CF5BBF" w:rsidP="00CF5BBF">
            <w:pPr>
              <w:pStyle w:val="Tabletext"/>
            </w:pPr>
            <w:r>
              <w:t>High</w:t>
            </w:r>
          </w:p>
          <w:p w:rsidR="00CF5BBF" w:rsidRPr="006316DF" w:rsidRDefault="00CF5BBF" w:rsidP="00CF5BBF">
            <w:pPr>
              <w:pStyle w:val="Tabletext"/>
              <w:rPr>
                <w:rFonts w:cs="Cambria Math"/>
                <w:bCs/>
              </w:rPr>
            </w:pPr>
            <w:r w:rsidRPr="006316DF">
              <w:rPr>
                <w:rFonts w:ascii="Cambria Math" w:hAnsi="Cambria Math" w:cs="Cambria Math"/>
                <w:bCs/>
                <w:color w:val="00B050"/>
              </w:rPr>
              <w:t>⨁⨁⨁⨁</w:t>
            </w:r>
          </w:p>
          <w:p w:rsidR="00CF5BBF" w:rsidRPr="006316DF" w:rsidRDefault="00CF5BBF" w:rsidP="00CF5BBF">
            <w:pPr>
              <w:pStyle w:val="Tabletext"/>
            </w:pPr>
            <w:r w:rsidRPr="006316DF">
              <w:t>Important</w:t>
            </w:r>
          </w:p>
        </w:tc>
      </w:tr>
      <w:tr w:rsidR="00CF5BBF" w:rsidRPr="006316DF" w:rsidTr="00753572">
        <w:trPr>
          <w:trHeight w:val="1445"/>
        </w:trPr>
        <w:tc>
          <w:tcPr>
            <w:tcW w:w="1560" w:type="dxa"/>
          </w:tcPr>
          <w:p w:rsidR="00CF5BBF" w:rsidRDefault="00CF5BBF" w:rsidP="00CF5BBF">
            <w:pPr>
              <w:pStyle w:val="Tabletext"/>
            </w:pPr>
            <w:r>
              <w:t>AEs leading to treatment discontinuation in PAH-CTD</w:t>
            </w:r>
          </w:p>
        </w:tc>
        <w:tc>
          <w:tcPr>
            <w:tcW w:w="1275" w:type="dxa"/>
          </w:tcPr>
          <w:p w:rsidR="00CF5BBF" w:rsidRDefault="00CF5BBF" w:rsidP="00CF5BBF">
            <w:pPr>
              <w:pStyle w:val="Tabletext"/>
            </w:pPr>
            <w:r>
              <w:t>N=143</w:t>
            </w:r>
          </w:p>
          <w:p w:rsidR="00CF5BBF" w:rsidRPr="006316DF" w:rsidRDefault="00CF5BBF" w:rsidP="00CF5BBF">
            <w:pPr>
              <w:pStyle w:val="Tabletext"/>
            </w:pPr>
            <w:r>
              <w:t>k=1</w:t>
            </w:r>
            <w:r w:rsidRPr="00E564DD">
              <w:t xml:space="preserve"> RCT</w:t>
            </w:r>
          </w:p>
        </w:tc>
        <w:tc>
          <w:tcPr>
            <w:tcW w:w="1701" w:type="dxa"/>
          </w:tcPr>
          <w:p w:rsidR="00CF5BBF" w:rsidRPr="006316DF" w:rsidRDefault="00CF5BBF" w:rsidP="00CF5BBF">
            <w:pPr>
              <w:pStyle w:val="Tabletext"/>
            </w:pPr>
            <w:r>
              <w:t>Risk of bias: 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t>Imprecision: −1</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424867" w:rsidRDefault="00CF5BBF" w:rsidP="00CF5BBF">
            <w:pPr>
              <w:pStyle w:val="Tabletext"/>
              <w:rPr>
                <w:highlight w:val="cyan"/>
              </w:rPr>
            </w:pPr>
            <w:r w:rsidRPr="000C5F99">
              <w:t>RR</w:t>
            </w:r>
            <w:r>
              <w:t xml:space="preserve"> =</w:t>
            </w:r>
            <w:r w:rsidRPr="000C5F99">
              <w:t xml:space="preserve"> 0.91</w:t>
            </w:r>
            <w:r>
              <w:t xml:space="preserve"> </w:t>
            </w:r>
            <w:r w:rsidRPr="000C5F99">
              <w:t>(</w:t>
            </w:r>
            <w:r>
              <w:t xml:space="preserve">95% CI </w:t>
            </w:r>
            <w:r w:rsidRPr="000C5F99">
              <w:t>0.37</w:t>
            </w:r>
            <w:r>
              <w:t>,</w:t>
            </w:r>
            <w:r w:rsidRPr="000C5F99">
              <w:t xml:space="preserve"> 2.19)</w:t>
            </w:r>
          </w:p>
        </w:tc>
        <w:tc>
          <w:tcPr>
            <w:tcW w:w="2551" w:type="dxa"/>
          </w:tcPr>
          <w:p w:rsidR="00CF5BBF" w:rsidRPr="00424867" w:rsidRDefault="005625F4" w:rsidP="00CF5BBF">
            <w:pPr>
              <w:pStyle w:val="Tabletext"/>
              <w:rPr>
                <w:highlight w:val="cyan"/>
              </w:rPr>
            </w:pPr>
            <w:r>
              <w:t xml:space="preserve">Fewer </w:t>
            </w:r>
            <w:r w:rsidRPr="00B96C6F">
              <w:t xml:space="preserve">patients had an AE </w:t>
            </w:r>
            <w:r>
              <w:t xml:space="preserve">leading to treatment discontinuation with </w:t>
            </w:r>
            <w:r w:rsidRPr="00B96C6F">
              <w:t xml:space="preserve">combination therapy </w:t>
            </w:r>
            <w:r>
              <w:t>compared with</w:t>
            </w:r>
            <w:r w:rsidRPr="00B96C6F">
              <w:t xml:space="preserve"> monotherapy</w:t>
            </w:r>
            <w:r w:rsidRPr="00160CDF">
              <w:t xml:space="preserve">, but the 95% CI indicates that there could also be </w:t>
            </w:r>
            <w:r>
              <w:t>no or the opposite effect.</w:t>
            </w:r>
          </w:p>
        </w:tc>
        <w:tc>
          <w:tcPr>
            <w:tcW w:w="1134" w:type="dxa"/>
          </w:tcPr>
          <w:p w:rsidR="00CF5BBF" w:rsidRPr="006316DF" w:rsidRDefault="00CF5BBF" w:rsidP="00CF5BBF">
            <w:pPr>
              <w:pStyle w:val="Tabletext"/>
            </w:pPr>
            <w:r>
              <w:t>Moderate</w:t>
            </w:r>
          </w:p>
          <w:p w:rsidR="00CF5BBF" w:rsidRPr="006316DF" w:rsidRDefault="00CF5BBF" w:rsidP="00CF5BBF">
            <w:pPr>
              <w:pStyle w:val="Tabletext"/>
              <w:rPr>
                <w:rFonts w:cs="Cambria Math"/>
                <w:bCs/>
              </w:rPr>
            </w:pPr>
            <w:r w:rsidRPr="006316DF">
              <w:rPr>
                <w:rFonts w:ascii="Cambria Math" w:hAnsi="Cambria Math" w:cs="Cambria Math"/>
                <w:bCs/>
                <w:color w:val="00B050"/>
              </w:rPr>
              <w:t>⨁⨁⨁</w:t>
            </w:r>
            <w:r w:rsidRPr="006316DF">
              <w:rPr>
                <w:rFonts w:ascii="Cambria Math" w:hAnsi="Cambria Math" w:cs="Cambria Math"/>
                <w:color w:val="C00000"/>
              </w:rPr>
              <w:t>⨀</w:t>
            </w:r>
          </w:p>
          <w:p w:rsidR="00CF5BBF" w:rsidRDefault="00CF5BBF" w:rsidP="00CF5BBF">
            <w:pPr>
              <w:pStyle w:val="Tabletext"/>
            </w:pPr>
            <w:r w:rsidRPr="006316DF">
              <w:t>Important</w:t>
            </w:r>
          </w:p>
        </w:tc>
      </w:tr>
    </w:tbl>
    <w:p w:rsidR="0075777C" w:rsidRPr="006316DF" w:rsidRDefault="0075777C" w:rsidP="00E35D60">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E35D60">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A25B65" w:rsidRPr="00E564DD" w:rsidRDefault="00A25B65" w:rsidP="00A25B65">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753572" w:rsidRPr="006316DF" w:rsidRDefault="0075777C" w:rsidP="00E35D60">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753572" w:rsidRPr="00DC16A3">
        <w:t xml:space="preserve">; </w:t>
      </w:r>
      <w:r w:rsidRPr="009B5AB3">
        <w:t xml:space="preserve">HPAH = heritable PAH; IPAH = idiopathic PAH; </w:t>
      </w:r>
      <w:r w:rsidR="00753572">
        <w:t xml:space="preserve">k = number of studies; </w:t>
      </w:r>
      <w:r>
        <w:t xml:space="preserve">N = number of patients; </w:t>
      </w:r>
      <w:r w:rsidRPr="009B5AB3">
        <w:t xml:space="preserve">PAH = pulmonary arterial hypertension; </w:t>
      </w:r>
      <w:r w:rsidR="00774E89">
        <w:t>PAH-</w:t>
      </w:r>
      <w:r w:rsidR="00774E89" w:rsidRPr="009B5AB3">
        <w:t xml:space="preserve">CTD = </w:t>
      </w:r>
      <w:r w:rsidR="00774E89">
        <w:t xml:space="preserve">PAH </w:t>
      </w:r>
      <w:r w:rsidR="00774E89" w:rsidRPr="009B5AB3">
        <w:t xml:space="preserve">associated with connective tissue disease; </w:t>
      </w:r>
      <w:r w:rsidRPr="009B5AB3">
        <w:t xml:space="preserve">PDE-5 = phosphodiesterase type-5; </w:t>
      </w:r>
      <w:r>
        <w:t>RCT = randomised controlled trial; RR = relative risk</w:t>
      </w:r>
    </w:p>
    <w:p w:rsidR="0075777C" w:rsidRPr="006316DF" w:rsidRDefault="000E0079" w:rsidP="0075777C">
      <w:pPr>
        <w:pStyle w:val="Heading4"/>
      </w:pPr>
      <w:r>
        <w:t>4.5.3.2</w:t>
      </w:r>
      <w:r>
        <w:tab/>
      </w:r>
      <w:r w:rsidR="0075777C" w:rsidRPr="006316DF">
        <w:t xml:space="preserve">ERA </w:t>
      </w:r>
      <w:r w:rsidR="0075777C" w:rsidRPr="00EF6A61">
        <w:t xml:space="preserve">in addition to </w:t>
      </w:r>
      <w:r w:rsidR="00754236">
        <w:t xml:space="preserve">a </w:t>
      </w:r>
      <w:r w:rsidR="000647C6">
        <w:t>prostanoid</w:t>
      </w:r>
    </w:p>
    <w:p w:rsidR="0075777C" w:rsidRPr="00107676" w:rsidRDefault="0075777C" w:rsidP="0075777C">
      <w:pPr>
        <w:pStyle w:val="Heading5"/>
      </w:pPr>
      <w:r w:rsidRPr="00107676">
        <w:t>Clinical effectiveness</w:t>
      </w:r>
    </w:p>
    <w:p w:rsidR="0075777C" w:rsidRDefault="0075777C" w:rsidP="0075777C">
      <w:r>
        <w:t xml:space="preserve">Both of the trials that provided the evidence base for </w:t>
      </w:r>
      <w:r w:rsidRPr="000522D6">
        <w:t xml:space="preserve">comparing </w:t>
      </w:r>
      <w:r>
        <w:t xml:space="preserve">the effectiveness of </w:t>
      </w:r>
      <w:r w:rsidRPr="000522D6">
        <w:t xml:space="preserve">an ERA in addition to </w:t>
      </w:r>
      <w:r w:rsidR="00754236">
        <w:t>prostanoid</w:t>
      </w:r>
      <w:r>
        <w:t xml:space="preserve"> compared with</w:t>
      </w:r>
      <w:r w:rsidRPr="000522D6">
        <w:t xml:space="preserve"> </w:t>
      </w:r>
      <w:r w:rsidR="00754236">
        <w:t>prostanoid</w:t>
      </w:r>
      <w:r w:rsidRPr="000522D6">
        <w:t xml:space="preserve"> monotherapy</w:t>
      </w:r>
      <w:r>
        <w:t xml:space="preserve"> enrolled treatment naïve patients who received either initial combination therapy or initial monotherapy. Additionally, both studies only enrolled patients with WHO FC III/IV.</w:t>
      </w:r>
    </w:p>
    <w:p w:rsidR="0075777C" w:rsidRPr="006316DF" w:rsidRDefault="0075777C" w:rsidP="0075777C">
      <w:r w:rsidRPr="00D270D4">
        <w:t>The detailed GRADE</w:t>
      </w:r>
      <w:r w:rsidR="001D34EE" w:rsidRPr="00D270D4">
        <w:rPr>
          <w:noProof/>
          <w:vertAlign w:val="superscript"/>
        </w:rPr>
        <w:t>1</w:t>
      </w:r>
      <w:r w:rsidRPr="00D270D4">
        <w:t xml:space="preserve"> assessments of effectiveness outcomes when comparing an ERA in addition to </w:t>
      </w:r>
      <w:r w:rsidR="00D270D4" w:rsidRPr="00D270D4">
        <w:t>prostanoid</w:t>
      </w:r>
      <w:r w:rsidRPr="00D270D4">
        <w:t xml:space="preserve">, relative to </w:t>
      </w:r>
      <w:r w:rsidR="00D270D4" w:rsidRPr="00D270D4">
        <w:t xml:space="preserve">prostanoid </w:t>
      </w:r>
      <w:r w:rsidRPr="00D270D4">
        <w:t xml:space="preserve">tor monotherapy </w:t>
      </w:r>
      <w:proofErr w:type="gramStart"/>
      <w:r w:rsidRPr="00D270D4">
        <w:t>are reported</w:t>
      </w:r>
      <w:proofErr w:type="gramEnd"/>
      <w:r w:rsidRPr="00D270D4">
        <w:t xml:space="preserve"> in </w:t>
      </w:r>
      <w:r w:rsidR="003951FA">
        <w:t>Table 4.154</w:t>
      </w:r>
      <w:r w:rsidRPr="00D270D4">
        <w:t xml:space="preserve"> and </w:t>
      </w:r>
      <w:r w:rsidR="003951FA">
        <w:t>Table 4.155</w:t>
      </w:r>
      <w:r w:rsidRPr="00D270D4">
        <w:t xml:space="preserve"> in Appendix </w:t>
      </w:r>
      <w:r w:rsidR="00DA2636" w:rsidRPr="00D270D4">
        <w:t>4</w:t>
      </w:r>
      <w:r w:rsidR="001B552D" w:rsidRPr="00D270D4">
        <w:t>C</w:t>
      </w:r>
      <w:r w:rsidRPr="00D270D4">
        <w:t>. The evidence for the effectiveness outcomes for all PAH patients are summarised</w:t>
      </w:r>
      <w:r>
        <w:t xml:space="preserve"> </w:t>
      </w:r>
      <w:r w:rsidRPr="006316DF">
        <w:t>in</w:t>
      </w:r>
      <w:r>
        <w:t xml:space="preserve"> </w:t>
      </w:r>
      <w:r w:rsidR="003951FA">
        <w:t>Table 4.</w:t>
      </w:r>
      <w:r w:rsidR="003951FA">
        <w:rPr>
          <w:noProof/>
        </w:rPr>
        <w:t>128</w:t>
      </w:r>
      <w:r>
        <w:t xml:space="preserve">. All outcomes </w:t>
      </w:r>
      <w:proofErr w:type="gramStart"/>
      <w:r>
        <w:t xml:space="preserve">were </w:t>
      </w:r>
      <w:r w:rsidRPr="006316DF">
        <w:t>considered</w:t>
      </w:r>
      <w:proofErr w:type="gramEnd"/>
      <w:r w:rsidRPr="006316DF">
        <w:t xml:space="preserve"> to be of </w:t>
      </w:r>
      <w:r w:rsidR="00872747">
        <w:t xml:space="preserve">very </w:t>
      </w:r>
      <w:r w:rsidR="0001351C">
        <w:t>low</w:t>
      </w:r>
      <w:r w:rsidRPr="006316DF">
        <w:t xml:space="preserve"> (GRADE </w:t>
      </w:r>
      <w:r w:rsidR="0001351C" w:rsidRPr="00920393">
        <w:rPr>
          <w:rFonts w:ascii="Cambria Math" w:eastAsia="Times New Roman" w:hAnsi="Cambria Math" w:cs="Tahoma"/>
          <w:bCs/>
          <w:color w:val="00B050"/>
        </w:rPr>
        <w:t>⨁</w:t>
      </w:r>
      <w:r w:rsidR="00872747" w:rsidRPr="00920393">
        <w:rPr>
          <w:rFonts w:ascii="Cambria Math" w:eastAsia="Times New Roman" w:hAnsi="Cambria Math" w:cs="Cambria Math"/>
          <w:bCs/>
          <w:color w:val="C00000"/>
        </w:rPr>
        <w:t>⨀</w:t>
      </w:r>
      <w:r w:rsidR="0001351C" w:rsidRPr="00920393">
        <w:rPr>
          <w:rFonts w:ascii="Cambria Math" w:eastAsia="Times New Roman" w:hAnsi="Cambria Math" w:cs="Cambria Math"/>
          <w:bCs/>
          <w:color w:val="C00000"/>
        </w:rPr>
        <w:t>⨀⨀</w:t>
      </w:r>
      <w:r w:rsidRPr="00754236">
        <w:t>)</w:t>
      </w:r>
      <w:r w:rsidR="00872747">
        <w:t>, except all-cause mortality, which was of</w:t>
      </w:r>
      <w:r w:rsidR="0001351C">
        <w:t xml:space="preserve"> low </w:t>
      </w:r>
      <w:r w:rsidR="0001351C" w:rsidRPr="006316DF">
        <w:t xml:space="preserve">quality (GRADE </w:t>
      </w:r>
      <w:r w:rsidR="0001351C" w:rsidRPr="00920393">
        <w:rPr>
          <w:rFonts w:ascii="Cambria Math" w:eastAsia="Times New Roman" w:hAnsi="Cambria Math" w:cs="Tahoma"/>
          <w:bCs/>
          <w:color w:val="00B050"/>
        </w:rPr>
        <w:t>⨁⨁</w:t>
      </w:r>
      <w:r w:rsidR="0001351C" w:rsidRPr="00920393">
        <w:rPr>
          <w:rFonts w:ascii="Cambria Math" w:eastAsia="Times New Roman" w:hAnsi="Cambria Math" w:cs="Cambria Math"/>
          <w:bCs/>
          <w:color w:val="C00000"/>
        </w:rPr>
        <w:t>⨀⨀</w:t>
      </w:r>
      <w:r w:rsidR="0001351C" w:rsidRPr="00754236">
        <w:t>)</w:t>
      </w:r>
      <w:r w:rsidR="0001351C">
        <w:t>.</w:t>
      </w:r>
      <w:r w:rsidR="0001351C" w:rsidRPr="0001351C">
        <w:t xml:space="preserve"> Th</w:t>
      </w:r>
      <w:r w:rsidR="0001351C">
        <w:t>us, th</w:t>
      </w:r>
      <w:r w:rsidR="0001351C" w:rsidRPr="0001351C">
        <w:t xml:space="preserve">e true effect may be substantially different from the </w:t>
      </w:r>
      <w:r w:rsidR="0001351C">
        <w:t>point estimate.</w:t>
      </w:r>
    </w:p>
    <w:p w:rsidR="0075777C" w:rsidRDefault="0075777C" w:rsidP="0075777C">
      <w:r w:rsidRPr="006316DF">
        <w:t xml:space="preserve">When taking </w:t>
      </w:r>
      <w:r>
        <w:t>the whole body of evidence</w:t>
      </w:r>
      <w:r w:rsidRPr="006316DF">
        <w:t xml:space="preserve"> into account, </w:t>
      </w:r>
      <w:r w:rsidR="002A15D3">
        <w:t>more</w:t>
      </w:r>
      <w:r w:rsidR="002A15D3" w:rsidRPr="006316DF">
        <w:t xml:space="preserve"> </w:t>
      </w:r>
      <w:r w:rsidRPr="006316DF">
        <w:t xml:space="preserve">patients </w:t>
      </w:r>
      <w:r>
        <w:t>died from any cause</w:t>
      </w:r>
      <w:r w:rsidRPr="006316DF">
        <w:t xml:space="preserve"> </w:t>
      </w:r>
      <w:r w:rsidR="002A15D3">
        <w:t xml:space="preserve">whilst </w:t>
      </w:r>
      <w:r>
        <w:t xml:space="preserve">more patients improved their WHO FC </w:t>
      </w:r>
      <w:r w:rsidRPr="006316DF">
        <w:t xml:space="preserve">when taking </w:t>
      </w:r>
      <w:r>
        <w:t xml:space="preserve">combination therapy </w:t>
      </w:r>
      <w:r w:rsidRPr="006316DF">
        <w:t xml:space="preserve">compared with </w:t>
      </w:r>
      <w:r w:rsidRPr="00754236">
        <w:t xml:space="preserve">monotherapy, but the </w:t>
      </w:r>
      <w:r w:rsidR="005625F4">
        <w:t xml:space="preserve">wide </w:t>
      </w:r>
      <w:r w:rsidR="00D84687">
        <w:t>95% CI indicates</w:t>
      </w:r>
      <w:r w:rsidRPr="00754236">
        <w:t xml:space="preserve"> that </w:t>
      </w:r>
      <w:r w:rsidR="005625F4">
        <w:t xml:space="preserve">the study </w:t>
      </w:r>
      <w:proofErr w:type="gramStart"/>
      <w:r w:rsidR="005625F4">
        <w:t>was not statistically powered</w:t>
      </w:r>
      <w:proofErr w:type="gramEnd"/>
      <w:r w:rsidR="005625F4">
        <w:t xml:space="preserve"> to detect a true difference</w:t>
      </w:r>
      <w:r w:rsidRPr="00754236">
        <w:t>. The mean</w:t>
      </w:r>
      <w:r>
        <w:t xml:space="preserve"> difference</w:t>
      </w:r>
      <w:r w:rsidR="00300A41">
        <w:t xml:space="preserve"> in the haemodynamic parameters</w:t>
      </w:r>
      <w:r>
        <w:t xml:space="preserve"> all favoured combination therapy but were not large enough to be clinically important. The mean differences in 6MWD and QoL favouring combination therapy over monotherapy were clinically important.</w:t>
      </w:r>
    </w:p>
    <w:p w:rsidR="0075777C" w:rsidRDefault="0075777C" w:rsidP="0075777C">
      <w:r w:rsidRPr="006316DF">
        <w:t xml:space="preserve">Thus, </w:t>
      </w:r>
      <w:r w:rsidRPr="000522D6">
        <w:t>the</w:t>
      </w:r>
      <w:r w:rsidR="00A7777A">
        <w:t xml:space="preserve">re is </w:t>
      </w:r>
      <w:r w:rsidR="00F9446B">
        <w:t>uncertainty as to whether</w:t>
      </w:r>
      <w:r w:rsidRPr="006316DF">
        <w:t xml:space="preserve"> an ERA </w:t>
      </w:r>
      <w:r w:rsidRPr="000522D6">
        <w:t xml:space="preserve">in addition to </w:t>
      </w:r>
      <w:r w:rsidR="00754236">
        <w:t>prostanoid</w:t>
      </w:r>
      <w:r w:rsidRPr="000522D6">
        <w:t xml:space="preserve">, relative to </w:t>
      </w:r>
      <w:r w:rsidR="00754236">
        <w:t>prostanoid</w:t>
      </w:r>
      <w:r w:rsidRPr="000522D6">
        <w:t xml:space="preserve"> monotherapy</w:t>
      </w:r>
      <w:r w:rsidR="00F9446B">
        <w:t>, is beneficial in</w:t>
      </w:r>
      <w:r w:rsidRPr="006316DF">
        <w:t xml:space="preserve"> </w:t>
      </w:r>
      <w:r>
        <w:t>patients with WHO FC III/IV PAH</w:t>
      </w:r>
      <w:r w:rsidR="00D270D4">
        <w:t>.</w:t>
      </w:r>
    </w:p>
    <w:p w:rsidR="0075777C" w:rsidRPr="006316DF" w:rsidRDefault="00272F8F" w:rsidP="00BC5A2B">
      <w:pPr>
        <w:pStyle w:val="Caption"/>
      </w:pPr>
      <w:bookmarkStart w:id="363" w:name="_Ref505775091"/>
      <w:bookmarkStart w:id="364" w:name="_Toc38360425"/>
      <w:r>
        <w:t>Table 4.</w:t>
      </w:r>
      <w:r w:rsidR="003951FA">
        <w:rPr>
          <w:noProof/>
        </w:rPr>
        <w:t>128</w:t>
      </w:r>
      <w:bookmarkEnd w:id="363"/>
      <w:r w:rsidR="00754236">
        <w:tab/>
      </w:r>
      <w:r w:rsidR="0075777C" w:rsidRPr="006316DF">
        <w:t xml:space="preserve">Balance of clinical benefits of </w:t>
      </w:r>
      <w:r w:rsidR="004B668A">
        <w:t xml:space="preserve">an </w:t>
      </w:r>
      <w:r w:rsidR="0075777C" w:rsidRPr="006316DF">
        <w:t>ERA</w:t>
      </w:r>
      <w:r w:rsidR="0075777C" w:rsidRPr="00EF6A61">
        <w:t xml:space="preserve"> in addition to </w:t>
      </w:r>
      <w:r w:rsidR="0075777C">
        <w:t xml:space="preserve">a </w:t>
      </w:r>
      <w:r w:rsidR="00754236">
        <w:t>prostanoid</w:t>
      </w:r>
      <w:r w:rsidR="0075777C" w:rsidRPr="006316DF">
        <w:t xml:space="preserve">, relative to </w:t>
      </w:r>
      <w:r w:rsidR="00754236" w:rsidRPr="002D77B1">
        <w:t>prostanoid</w:t>
      </w:r>
      <w:r w:rsidR="0075777C" w:rsidRPr="002D77B1">
        <w:t xml:space="preserve"> </w:t>
      </w:r>
      <w:r w:rsidR="0075777C">
        <w:t>monotherapy in patients</w:t>
      </w:r>
      <w:r w:rsidR="0075777C" w:rsidRPr="0045581A">
        <w:t xml:space="preserve"> with WHO FC III/IV PAH</w:t>
      </w:r>
      <w:bookmarkEnd w:id="364"/>
    </w:p>
    <w:tbl>
      <w:tblPr>
        <w:tblStyle w:val="TableGrid"/>
        <w:tblW w:w="9634" w:type="dxa"/>
        <w:tblLayout w:type="fixed"/>
        <w:tblLook w:val="04A0" w:firstRow="1" w:lastRow="0" w:firstColumn="1" w:lastColumn="0" w:noHBand="0" w:noVBand="1"/>
        <w:tblCaption w:val="Balance of clinical benefits of an ERA in addition to a prostanoid, relative to prostanoid monotherapy in patients with WHO FC III/IV PAH"/>
      </w:tblPr>
      <w:tblGrid>
        <w:gridCol w:w="1560"/>
        <w:gridCol w:w="1275"/>
        <w:gridCol w:w="1701"/>
        <w:gridCol w:w="1413"/>
        <w:gridCol w:w="2551"/>
        <w:gridCol w:w="1134"/>
      </w:tblGrid>
      <w:tr w:rsidR="0075777C" w:rsidRPr="000647C6" w:rsidTr="00754236">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3"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C83CA7" w:rsidRPr="00C83CA7">
              <w:rPr>
                <w:b/>
                <w:noProof/>
                <w:vertAlign w:val="superscript"/>
              </w:rPr>
              <w:t>a</w:t>
            </w:r>
          </w:p>
          <w:p w:rsidR="0075777C" w:rsidRPr="000647C6" w:rsidRDefault="0075777C" w:rsidP="000647C6">
            <w:pPr>
              <w:pStyle w:val="Tabletext"/>
              <w:rPr>
                <w:b/>
                <w:noProof/>
              </w:rPr>
            </w:pPr>
            <w:r w:rsidRPr="000647C6">
              <w:rPr>
                <w:b/>
                <w:noProof/>
              </w:rPr>
              <w:t>Importance</w:t>
            </w:r>
          </w:p>
        </w:tc>
      </w:tr>
      <w:tr w:rsidR="00CF5BBF" w:rsidRPr="006316DF" w:rsidTr="00754236">
        <w:tc>
          <w:tcPr>
            <w:tcW w:w="1560" w:type="dxa"/>
          </w:tcPr>
          <w:p w:rsidR="00CF5BBF" w:rsidRPr="006316DF" w:rsidRDefault="00CF5BBF" w:rsidP="00CF5BBF">
            <w:pPr>
              <w:pStyle w:val="Tabletext"/>
            </w:pPr>
            <w:r w:rsidRPr="006316DF">
              <w:t>All-cause mortality</w:t>
            </w:r>
          </w:p>
        </w:tc>
        <w:tc>
          <w:tcPr>
            <w:tcW w:w="1275" w:type="dxa"/>
          </w:tcPr>
          <w:p w:rsidR="00CF5BBF" w:rsidRPr="006316DF" w:rsidRDefault="00CF5BBF" w:rsidP="00CF5BBF">
            <w:pPr>
              <w:pStyle w:val="Tabletext"/>
            </w:pPr>
            <w:r w:rsidRPr="006316DF">
              <w:t>N=</w:t>
            </w:r>
            <w:r>
              <w:t>33</w:t>
            </w:r>
          </w:p>
          <w:p w:rsidR="00CF5BBF" w:rsidRPr="006316DF" w:rsidRDefault="00CF5BBF" w:rsidP="00CF5BBF">
            <w:pPr>
              <w:pStyle w:val="Tabletext"/>
            </w:pPr>
            <w:r w:rsidRPr="006316DF">
              <w:t>k=</w:t>
            </w:r>
            <w:r>
              <w:t>1 RCT</w:t>
            </w:r>
          </w:p>
        </w:tc>
        <w:tc>
          <w:tcPr>
            <w:tcW w:w="1701" w:type="dxa"/>
          </w:tcPr>
          <w:p w:rsidR="00CF5BBF" w:rsidRPr="006316DF" w:rsidRDefault="00CF5BBF" w:rsidP="00CF5BBF">
            <w:pPr>
              <w:pStyle w:val="Tabletext"/>
            </w:pPr>
            <w:r>
              <w:t>Risk of bias: 0</w:t>
            </w:r>
          </w:p>
          <w:p w:rsidR="00CF5BBF" w:rsidRPr="006316DF" w:rsidRDefault="00CF5BBF" w:rsidP="00CF5BBF">
            <w:pPr>
              <w:pStyle w:val="Tabletext"/>
            </w:pPr>
            <w:r w:rsidRPr="006316DF">
              <w:t xml:space="preserve">Inconsistency: </w:t>
            </w:r>
            <w:r>
              <w:t>0</w:t>
            </w:r>
          </w:p>
          <w:p w:rsidR="00CF5BBF" w:rsidRPr="006316DF" w:rsidRDefault="00CF5BBF" w:rsidP="00CF5BBF">
            <w:pPr>
              <w:pStyle w:val="Tabletext"/>
            </w:pPr>
            <w:r w:rsidRPr="006316DF">
              <w:t>Indirectness: 0</w:t>
            </w:r>
          </w:p>
          <w:p w:rsidR="00CF5BBF" w:rsidRDefault="00CF5BBF" w:rsidP="00CF5BBF">
            <w:pPr>
              <w:pStyle w:val="Tabletext"/>
            </w:pPr>
            <w:r w:rsidRPr="006316DF">
              <w:t xml:space="preserve">Imprecision: </w:t>
            </w:r>
            <w:r>
              <w:t>−2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45581A" w:rsidRDefault="00CF5BBF" w:rsidP="00CF5BBF">
            <w:pPr>
              <w:pStyle w:val="Tabletext"/>
            </w:pPr>
            <w:r>
              <w:t>ARD</w:t>
            </w:r>
            <w:r w:rsidRPr="0045581A">
              <w:t xml:space="preserve"> = </w:t>
            </w:r>
            <w:r>
              <w:t>13</w:t>
            </w:r>
            <w:r w:rsidRPr="0045581A">
              <w:t>.</w:t>
            </w:r>
            <w:r>
              <w:t>6%</w:t>
            </w:r>
            <w:r w:rsidRPr="0045581A">
              <w:t xml:space="preserve"> (95% CI </w:t>
            </w:r>
            <w:r>
              <w:t>−0</w:t>
            </w:r>
            <w:r w:rsidRPr="0045581A">
              <w:t>.</w:t>
            </w:r>
            <w:r>
              <w:t>70, 28</w:t>
            </w:r>
            <w:r w:rsidRPr="0045581A">
              <w:t>.</w:t>
            </w:r>
            <w:r>
              <w:t>0</w:t>
            </w:r>
            <w:r w:rsidRPr="0045581A">
              <w:t>)</w:t>
            </w:r>
          </w:p>
        </w:tc>
        <w:tc>
          <w:tcPr>
            <w:tcW w:w="2551" w:type="dxa"/>
          </w:tcPr>
          <w:p w:rsidR="00CF5BBF" w:rsidRPr="0045581A" w:rsidRDefault="00CF5BBF" w:rsidP="00CF5BBF">
            <w:pPr>
              <w:pStyle w:val="Tabletext"/>
            </w:pPr>
            <w:r>
              <w:t>More</w:t>
            </w:r>
            <w:r w:rsidRPr="0045581A">
              <w:t xml:space="preserve"> patients die</w:t>
            </w:r>
            <w:r>
              <w:t>d</w:t>
            </w:r>
            <w:r w:rsidRPr="0045581A">
              <w:t xml:space="preserve"> from any cause with combination therapy compared with monotherapy, </w:t>
            </w:r>
            <w:r w:rsidR="005625F4" w:rsidRPr="00B92556">
              <w:t xml:space="preserve">but </w:t>
            </w:r>
            <w:r w:rsidR="005625F4">
              <w:t>the wide 95% CI indicates that the study was underpowered for this outcome</w:t>
            </w:r>
            <w:r>
              <w:t xml:space="preserve"> (p = 0.20)</w:t>
            </w:r>
          </w:p>
        </w:tc>
        <w:tc>
          <w:tcPr>
            <w:tcW w:w="1134" w:type="dxa"/>
          </w:tcPr>
          <w:p w:rsidR="00CF5BBF" w:rsidRPr="006316DF" w:rsidRDefault="00CF5BBF" w:rsidP="00CF5BBF">
            <w:pPr>
              <w:pStyle w:val="Tabletext"/>
            </w:pPr>
            <w:r>
              <w:t>Low</w:t>
            </w:r>
          </w:p>
          <w:p w:rsidR="00CF5BBF" w:rsidRPr="006316DF" w:rsidRDefault="00CF5BBF" w:rsidP="00CF5BBF">
            <w:pPr>
              <w:pStyle w:val="Tabletext"/>
              <w:rPr>
                <w:rFonts w:cs="Cambria Math"/>
                <w:bCs/>
              </w:rPr>
            </w:pPr>
            <w:r w:rsidRPr="006316DF">
              <w:rPr>
                <w:rFonts w:ascii="Cambria Math" w:hAnsi="Cambria Math" w:cs="Cambria Math"/>
                <w:bCs/>
                <w:color w:val="00B050"/>
              </w:rPr>
              <w:t>⨁⨁</w:t>
            </w:r>
            <w:r w:rsidRPr="006316DF">
              <w:rPr>
                <w:rFonts w:ascii="Cambria Math" w:hAnsi="Cambria Math" w:cs="Cambria Math"/>
                <w:bCs/>
                <w:color w:val="C00000"/>
              </w:rPr>
              <w:t>⨀⨀</w:t>
            </w:r>
          </w:p>
          <w:p w:rsidR="00CF5BBF" w:rsidRPr="006316DF" w:rsidRDefault="00CF5BBF" w:rsidP="00CF5BBF">
            <w:pPr>
              <w:pStyle w:val="Tabletext"/>
            </w:pPr>
            <w:r w:rsidRPr="006316DF">
              <w:t>Critical</w:t>
            </w:r>
          </w:p>
        </w:tc>
      </w:tr>
      <w:tr w:rsidR="00CF5BBF" w:rsidRPr="006316DF" w:rsidTr="00754236">
        <w:tc>
          <w:tcPr>
            <w:tcW w:w="1560" w:type="dxa"/>
          </w:tcPr>
          <w:p w:rsidR="00CF5BBF" w:rsidRPr="006316DF" w:rsidRDefault="00CF5BBF" w:rsidP="00CF5BBF">
            <w:pPr>
              <w:pStyle w:val="Tabletext"/>
            </w:pPr>
            <w:r w:rsidRPr="006316DF">
              <w:t>Improved WHO FC</w:t>
            </w:r>
          </w:p>
        </w:tc>
        <w:tc>
          <w:tcPr>
            <w:tcW w:w="1275" w:type="dxa"/>
          </w:tcPr>
          <w:p w:rsidR="00CF5BBF" w:rsidRPr="006316DF" w:rsidRDefault="00CF5BBF" w:rsidP="00CF5BBF">
            <w:pPr>
              <w:pStyle w:val="Tabletext"/>
            </w:pPr>
            <w:r w:rsidRPr="006316DF">
              <w:t>N=</w:t>
            </w:r>
            <w:r>
              <w:t>33</w:t>
            </w:r>
          </w:p>
          <w:p w:rsidR="00CF5BBF" w:rsidRPr="006316DF" w:rsidRDefault="00CF5BBF" w:rsidP="00CF5BBF">
            <w:pPr>
              <w:pStyle w:val="Tabletext"/>
            </w:pPr>
            <w:r w:rsidRPr="006316DF">
              <w:t>k=</w:t>
            </w:r>
            <w:r>
              <w:t>1</w:t>
            </w:r>
            <w:r w:rsidRPr="006316DF">
              <w:t xml:space="preserve"> RCT</w:t>
            </w:r>
          </w:p>
        </w:tc>
        <w:tc>
          <w:tcPr>
            <w:tcW w:w="1701" w:type="dxa"/>
          </w:tcPr>
          <w:p w:rsidR="00CF5BBF" w:rsidRPr="006316DF" w:rsidRDefault="00CF5BBF" w:rsidP="00CF5BBF">
            <w:pPr>
              <w:pStyle w:val="Tabletext"/>
            </w:pPr>
            <w:r>
              <w:t>Risk of bias: 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t>Imprecision: −2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2812F2" w:rsidRDefault="00CF5BBF" w:rsidP="00CF5BBF">
            <w:pPr>
              <w:pStyle w:val="Tabletext"/>
            </w:pPr>
            <w:r>
              <w:t>RR</w:t>
            </w:r>
            <w:r w:rsidRPr="002812F2">
              <w:t xml:space="preserve"> = 1.</w:t>
            </w:r>
            <w:r>
              <w:t>3</w:t>
            </w:r>
            <w:r w:rsidRPr="002812F2">
              <w:t>0 (</w:t>
            </w:r>
            <w:r>
              <w:t>95% CI 0</w:t>
            </w:r>
            <w:r w:rsidRPr="002812F2">
              <w:t>.</w:t>
            </w:r>
            <w:r>
              <w:t>62,</w:t>
            </w:r>
            <w:r w:rsidRPr="002812F2">
              <w:t xml:space="preserve"> </w:t>
            </w:r>
            <w:r>
              <w:t>2</w:t>
            </w:r>
            <w:r w:rsidRPr="002812F2">
              <w:t>.</w:t>
            </w:r>
            <w:r>
              <w:t>71</w:t>
            </w:r>
            <w:r w:rsidRPr="002812F2">
              <w:t>)</w:t>
            </w:r>
          </w:p>
        </w:tc>
        <w:tc>
          <w:tcPr>
            <w:tcW w:w="2551" w:type="dxa"/>
          </w:tcPr>
          <w:p w:rsidR="00CF5BBF" w:rsidRPr="002812F2" w:rsidRDefault="00CF5BBF" w:rsidP="00CF5BBF">
            <w:pPr>
              <w:pStyle w:val="Tabletext"/>
            </w:pPr>
            <w:r>
              <w:t>M</w:t>
            </w:r>
            <w:r w:rsidRPr="002812F2">
              <w:t xml:space="preserve">ore patients </w:t>
            </w:r>
            <w:r>
              <w:t>on combination therapy</w:t>
            </w:r>
            <w:r w:rsidRPr="002812F2">
              <w:t xml:space="preserve"> improve</w:t>
            </w:r>
            <w:r>
              <w:t>d</w:t>
            </w:r>
            <w:r w:rsidRPr="002812F2">
              <w:t xml:space="preserve"> their WHO FC </w:t>
            </w:r>
            <w:r>
              <w:t>compared with</w:t>
            </w:r>
            <w:r w:rsidRPr="002812F2">
              <w:t xml:space="preserve"> those </w:t>
            </w:r>
            <w:r>
              <w:t xml:space="preserve">on monotherapy, </w:t>
            </w:r>
            <w:r w:rsidR="005625F4" w:rsidRPr="00B92556">
              <w:t xml:space="preserve">but </w:t>
            </w:r>
            <w:r w:rsidR="005625F4">
              <w:t>the wide 95% CI indicates that the study was underpowered for this outcome</w:t>
            </w:r>
          </w:p>
        </w:tc>
        <w:tc>
          <w:tcPr>
            <w:tcW w:w="1134" w:type="dxa"/>
          </w:tcPr>
          <w:p w:rsidR="00CF5BBF" w:rsidRDefault="00CF5BBF" w:rsidP="00CF5BBF">
            <w:pPr>
              <w:pStyle w:val="Tabletext"/>
              <w:rPr>
                <w:rFonts w:eastAsia="Times New Roman" w:cs="Tahoma"/>
                <w:bCs/>
              </w:rPr>
            </w:pPr>
            <w:r>
              <w:rPr>
                <w:rFonts w:eastAsia="Times New Roman" w:cs="Tahoma"/>
                <w:bCs/>
              </w:rPr>
              <w:t>Very low</w:t>
            </w:r>
          </w:p>
          <w:p w:rsidR="00CF5BBF" w:rsidRDefault="00CF5BBF" w:rsidP="00CF5BBF">
            <w:pPr>
              <w:pStyle w:val="Tabletext"/>
              <w:rPr>
                <w:rFonts w:ascii="Cambria Math" w:eastAsia="Times New Roman" w:hAnsi="Cambria Math" w:cs="Cambria Math"/>
                <w:bCs/>
              </w:rPr>
            </w:pPr>
            <w:r w:rsidRPr="00E564DD">
              <w:rPr>
                <w:rFonts w:ascii="Cambria Math" w:eastAsia="Times New Roman" w:hAnsi="Cambria Math" w:cs="Cambria Math"/>
                <w:bCs/>
                <w:color w:val="00B050"/>
              </w:rPr>
              <w:t>⨁</w:t>
            </w:r>
            <w:r w:rsidRPr="006316DF">
              <w:rPr>
                <w:rFonts w:ascii="Cambria Math" w:hAnsi="Cambria Math" w:cs="Cambria Math"/>
                <w:bCs/>
                <w:color w:val="C00000"/>
              </w:rPr>
              <w:t>⨀⨀</w:t>
            </w:r>
            <w:r w:rsidRPr="00E564DD">
              <w:rPr>
                <w:rFonts w:ascii="Cambria Math" w:hAnsi="Cambria Math" w:cs="Cambria Math"/>
                <w:color w:val="C00000"/>
              </w:rPr>
              <w:t>⨀</w:t>
            </w:r>
          </w:p>
          <w:p w:rsidR="00CF5BBF" w:rsidRPr="006316DF" w:rsidRDefault="00CF5BBF" w:rsidP="00CF5BBF">
            <w:pPr>
              <w:pStyle w:val="Tabletext"/>
            </w:pPr>
            <w:r w:rsidRPr="006316DF">
              <w:t>Important</w:t>
            </w:r>
          </w:p>
        </w:tc>
      </w:tr>
      <w:tr w:rsidR="00CF5BBF" w:rsidRPr="006316DF" w:rsidTr="000647C6">
        <w:tc>
          <w:tcPr>
            <w:tcW w:w="1560" w:type="dxa"/>
          </w:tcPr>
          <w:p w:rsidR="00CF5BBF" w:rsidRPr="006316DF" w:rsidRDefault="00CF5BBF" w:rsidP="00CF5BBF">
            <w:pPr>
              <w:pStyle w:val="Tabletext"/>
            </w:pPr>
            <w:r w:rsidRPr="006316DF">
              <w:t>Change in 6MWD</w:t>
            </w:r>
            <w:r>
              <w:t xml:space="preserve"> from baseline</w:t>
            </w:r>
          </w:p>
        </w:tc>
        <w:tc>
          <w:tcPr>
            <w:tcW w:w="1275" w:type="dxa"/>
          </w:tcPr>
          <w:p w:rsidR="00CF5BBF" w:rsidRPr="006316DF" w:rsidRDefault="00CF5BBF" w:rsidP="00CF5BBF">
            <w:pPr>
              <w:pStyle w:val="Tabletext"/>
            </w:pPr>
            <w:r>
              <w:t>N=</w:t>
            </w:r>
            <w:r w:rsidRPr="006316DF">
              <w:t>4</w:t>
            </w:r>
            <w:r>
              <w:t>7</w:t>
            </w:r>
          </w:p>
          <w:p w:rsidR="00CF5BBF" w:rsidRPr="006316DF" w:rsidRDefault="00CF5BBF" w:rsidP="00CF5BBF">
            <w:pPr>
              <w:pStyle w:val="Tabletext"/>
            </w:pPr>
            <w:r w:rsidRPr="006316DF">
              <w:t>k=</w:t>
            </w:r>
            <w:r>
              <w:t>2</w:t>
            </w:r>
            <w:r w:rsidRPr="006316DF">
              <w:t xml:space="preserve"> RCT</w:t>
            </w:r>
            <w:r>
              <w:t>s</w:t>
            </w:r>
          </w:p>
        </w:tc>
        <w:tc>
          <w:tcPr>
            <w:tcW w:w="1701" w:type="dxa"/>
          </w:tcPr>
          <w:p w:rsidR="00CF5BBF" w:rsidRPr="006316DF" w:rsidRDefault="00CF5BBF" w:rsidP="00CF5BBF">
            <w:pPr>
              <w:pStyle w:val="Tabletext"/>
            </w:pPr>
            <w:r>
              <w:t>Risk of bias: −1</w:t>
            </w:r>
          </w:p>
          <w:p w:rsidR="00CF5BBF" w:rsidRPr="006316DF" w:rsidRDefault="00CF5BBF" w:rsidP="00CF5BBF">
            <w:pPr>
              <w:pStyle w:val="Tabletext"/>
            </w:pPr>
            <w:r>
              <w:t>Inconsistency: −1</w:t>
            </w:r>
          </w:p>
          <w:p w:rsidR="00CF5BBF" w:rsidRPr="006316DF" w:rsidRDefault="00CF5BBF" w:rsidP="00CF5BBF">
            <w:pPr>
              <w:pStyle w:val="Tabletext"/>
            </w:pPr>
            <w:r w:rsidRPr="006316DF">
              <w:t xml:space="preserve">Indirectness: </w:t>
            </w:r>
            <w:r>
              <w:t>−1</w:t>
            </w:r>
          </w:p>
          <w:p w:rsidR="00CF5BBF" w:rsidRDefault="00CF5BBF" w:rsidP="00CF5BBF">
            <w:pPr>
              <w:pStyle w:val="Tabletext"/>
            </w:pPr>
            <w:r w:rsidRPr="006316DF">
              <w:t xml:space="preserve">Imprecision: </w:t>
            </w:r>
            <w:r>
              <w:t>−2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D86232" w:rsidRDefault="00CF5BBF" w:rsidP="00CF5BBF">
            <w:pPr>
              <w:pStyle w:val="Tabletext"/>
            </w:pPr>
            <w:r>
              <w:t>R</w:t>
            </w:r>
            <w:r w:rsidRPr="00D86232">
              <w:t>ange 6.0 m less to 123.6 m further</w:t>
            </w:r>
          </w:p>
        </w:tc>
        <w:tc>
          <w:tcPr>
            <w:tcW w:w="2551" w:type="dxa"/>
          </w:tcPr>
          <w:p w:rsidR="00CF5BBF" w:rsidRPr="00D86232" w:rsidRDefault="005625F4" w:rsidP="0001351C">
            <w:pPr>
              <w:pStyle w:val="Tabletext"/>
            </w:pPr>
            <w:r w:rsidRPr="006B2E03">
              <w:t>Patients on combination therapy had either a smaller or a large improvement in their 6MWD than those on monotherapy</w:t>
            </w:r>
          </w:p>
        </w:tc>
        <w:tc>
          <w:tcPr>
            <w:tcW w:w="1134" w:type="dxa"/>
          </w:tcPr>
          <w:p w:rsidR="00CF5BBF" w:rsidRDefault="00CF5BBF" w:rsidP="00CF5BBF">
            <w:pPr>
              <w:pStyle w:val="Tabletext"/>
              <w:rPr>
                <w:bCs/>
              </w:rPr>
            </w:pPr>
            <w:r>
              <w:rPr>
                <w:bCs/>
              </w:rPr>
              <w:t>Very Low</w:t>
            </w:r>
          </w:p>
          <w:p w:rsidR="00CF5BBF" w:rsidRDefault="00CF5BBF" w:rsidP="00CF5BBF">
            <w:pPr>
              <w:pStyle w:val="Tabletext"/>
              <w:rPr>
                <w:rFonts w:ascii="Cambria Math" w:hAnsi="Cambria Math" w:cs="Cambria Math"/>
                <w:bCs/>
              </w:rPr>
            </w:pPr>
            <w:r w:rsidRPr="00E564DD">
              <w:rPr>
                <w:rFonts w:ascii="Cambria Math" w:hAnsi="Cambria Math" w:cs="Cambria Math"/>
                <w:bCs/>
                <w:color w:val="00B050"/>
              </w:rPr>
              <w:t>⨁</w:t>
            </w:r>
            <w:r w:rsidRPr="006316DF">
              <w:rPr>
                <w:rFonts w:ascii="Cambria Math" w:hAnsi="Cambria Math" w:cs="Cambria Math"/>
                <w:color w:val="C00000"/>
              </w:rPr>
              <w:t>⨀</w:t>
            </w:r>
            <w:r w:rsidRPr="00E564DD">
              <w:rPr>
                <w:rFonts w:ascii="Cambria Math" w:hAnsi="Cambria Math" w:cs="Cambria Math"/>
                <w:bCs/>
                <w:color w:val="FF0000"/>
              </w:rPr>
              <w:t>⨀⨀</w:t>
            </w:r>
          </w:p>
          <w:p w:rsidR="00CF5BBF" w:rsidRPr="006316DF" w:rsidRDefault="00CF5BBF" w:rsidP="00CF5BBF">
            <w:pPr>
              <w:pStyle w:val="Tabletext"/>
            </w:pPr>
            <w:r>
              <w:t>I</w:t>
            </w:r>
            <w:r w:rsidRPr="006316DF">
              <w:t>mportant</w:t>
            </w:r>
          </w:p>
        </w:tc>
      </w:tr>
      <w:tr w:rsidR="00CF5BBF" w:rsidRPr="006316DF" w:rsidTr="000647C6">
        <w:tc>
          <w:tcPr>
            <w:tcW w:w="1560" w:type="dxa"/>
          </w:tcPr>
          <w:p w:rsidR="00CF5BBF" w:rsidRPr="006316DF" w:rsidRDefault="00CF5BBF" w:rsidP="00CF5BBF">
            <w:pPr>
              <w:pStyle w:val="Tabletext"/>
            </w:pPr>
            <w:r w:rsidRPr="006316DF">
              <w:t xml:space="preserve">Change in </w:t>
            </w:r>
            <w:r>
              <w:t>QoL from baseline</w:t>
            </w:r>
          </w:p>
        </w:tc>
        <w:tc>
          <w:tcPr>
            <w:tcW w:w="1275" w:type="dxa"/>
          </w:tcPr>
          <w:p w:rsidR="00CF5BBF" w:rsidRPr="006316DF" w:rsidRDefault="00CF5BBF" w:rsidP="00CF5BBF">
            <w:pPr>
              <w:pStyle w:val="Tabletext"/>
            </w:pPr>
            <w:r w:rsidRPr="006316DF">
              <w:t>N=</w:t>
            </w:r>
            <w:r>
              <w:t>14</w:t>
            </w:r>
          </w:p>
          <w:p w:rsidR="00CF5BBF" w:rsidRPr="006316DF" w:rsidRDefault="00CF5BBF" w:rsidP="00CF5BBF">
            <w:pPr>
              <w:pStyle w:val="Tabletext"/>
            </w:pPr>
            <w:r w:rsidRPr="006316DF">
              <w:t>k=1 RCT</w:t>
            </w:r>
          </w:p>
        </w:tc>
        <w:tc>
          <w:tcPr>
            <w:tcW w:w="1701" w:type="dxa"/>
          </w:tcPr>
          <w:p w:rsidR="00CF5BBF" w:rsidRPr="006316DF" w:rsidRDefault="00CF5BBF" w:rsidP="00CF5BBF">
            <w:pPr>
              <w:pStyle w:val="Tabletext"/>
            </w:pPr>
            <w:r>
              <w:t>Risk of bias: −2</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rsidRPr="006316DF">
              <w:t xml:space="preserve">Imprecision: </w:t>
            </w:r>
            <w:r>
              <w:t>−2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D86232" w:rsidRDefault="00CF5BBF" w:rsidP="00CF5BBF">
            <w:pPr>
              <w:pStyle w:val="Tabletext"/>
            </w:pPr>
            <w:r w:rsidRPr="00D86232">
              <w:t>MLHF</w:t>
            </w:r>
            <w:r w:rsidRPr="0017449B">
              <w:rPr>
                <w:vertAlign w:val="superscript"/>
              </w:rPr>
              <w:t>b</w:t>
            </w:r>
            <w:r>
              <w:br/>
            </w:r>
            <w:r w:rsidRPr="00D86232">
              <w:t xml:space="preserve">MD </w:t>
            </w:r>
            <w:r>
              <w:t xml:space="preserve">= </w:t>
            </w:r>
            <w:r w:rsidRPr="00D86232">
              <w:t>35.34 p</w:t>
            </w:r>
            <w:r>
              <w:t>oint</w:t>
            </w:r>
            <w:r w:rsidRPr="00D86232">
              <w:t xml:space="preserve"> improvement</w:t>
            </w:r>
          </w:p>
        </w:tc>
        <w:tc>
          <w:tcPr>
            <w:tcW w:w="2551" w:type="dxa"/>
          </w:tcPr>
          <w:p w:rsidR="00CF5BBF" w:rsidRPr="00D86232" w:rsidRDefault="00CF5BBF" w:rsidP="00CF5BBF">
            <w:pPr>
              <w:pStyle w:val="Tabletext"/>
            </w:pPr>
            <w:r>
              <w:t>P</w:t>
            </w:r>
            <w:r w:rsidRPr="00D86232">
              <w:t>atients on combination th</w:t>
            </w:r>
            <w:r>
              <w:t>e</w:t>
            </w:r>
            <w:r w:rsidRPr="00D86232">
              <w:t xml:space="preserve">rapy </w:t>
            </w:r>
            <w:r>
              <w:t xml:space="preserve">had a larger, clinically important mean </w:t>
            </w:r>
            <w:r w:rsidRPr="00D86232">
              <w:t>improve</w:t>
            </w:r>
            <w:r>
              <w:t>ment in th</w:t>
            </w:r>
            <w:r w:rsidRPr="00D86232">
              <w:t xml:space="preserve">eir </w:t>
            </w:r>
            <w:r>
              <w:t>QoL compared with</w:t>
            </w:r>
            <w:r w:rsidRPr="00D86232">
              <w:t xml:space="preserve"> monotherapy</w:t>
            </w:r>
          </w:p>
        </w:tc>
        <w:tc>
          <w:tcPr>
            <w:tcW w:w="1134" w:type="dxa"/>
          </w:tcPr>
          <w:p w:rsidR="00CF5BBF" w:rsidRDefault="00CF5BBF" w:rsidP="00CF5BBF">
            <w:pPr>
              <w:pStyle w:val="Tabletext"/>
              <w:rPr>
                <w:bCs/>
              </w:rPr>
            </w:pPr>
            <w:r>
              <w:rPr>
                <w:bCs/>
              </w:rPr>
              <w:t>Very low</w:t>
            </w:r>
          </w:p>
          <w:p w:rsidR="00CF5BBF" w:rsidRDefault="00CF5BBF" w:rsidP="00CF5BBF">
            <w:pPr>
              <w:pStyle w:val="Tabletext"/>
              <w:rPr>
                <w:rFonts w:ascii="Cambria Math" w:hAnsi="Cambria Math" w:cs="Cambria Math"/>
                <w:bCs/>
              </w:rPr>
            </w:pPr>
            <w:r w:rsidRPr="00E564DD">
              <w:rPr>
                <w:rFonts w:ascii="Cambria Math" w:hAnsi="Cambria Math" w:cs="Cambria Math"/>
                <w:bCs/>
                <w:color w:val="00B050"/>
              </w:rPr>
              <w:t>⨁</w:t>
            </w:r>
            <w:r>
              <w:rPr>
                <w:rFonts w:ascii="Cambria Math" w:hAnsi="Cambria Math" w:cs="Cambria Math"/>
                <w:color w:val="C00000"/>
              </w:rPr>
              <w:t>⨀</w:t>
            </w:r>
            <w:r w:rsidRPr="00E564DD">
              <w:rPr>
                <w:rFonts w:ascii="Cambria Math" w:hAnsi="Cambria Math" w:cs="Cambria Math"/>
                <w:bCs/>
                <w:color w:val="FF0000"/>
              </w:rPr>
              <w:t>⨀⨀</w:t>
            </w:r>
          </w:p>
          <w:p w:rsidR="00CF5BBF" w:rsidRPr="006316DF" w:rsidRDefault="00CF5BBF" w:rsidP="00CF5BBF">
            <w:pPr>
              <w:pStyle w:val="Tabletext"/>
            </w:pPr>
            <w:r>
              <w:t>I</w:t>
            </w:r>
            <w:r w:rsidRPr="006316DF">
              <w:t>mportant</w:t>
            </w:r>
          </w:p>
        </w:tc>
      </w:tr>
      <w:tr w:rsidR="00CF5BBF" w:rsidRPr="006316DF" w:rsidTr="00754236">
        <w:tc>
          <w:tcPr>
            <w:tcW w:w="1560" w:type="dxa"/>
          </w:tcPr>
          <w:p w:rsidR="00CF5BBF" w:rsidRPr="006316DF" w:rsidRDefault="00CF5BBF" w:rsidP="00CF5BBF">
            <w:pPr>
              <w:pStyle w:val="Tabletext"/>
            </w:pPr>
            <w:r w:rsidRPr="002D77B1">
              <w:t>Change in haemodynamic parameters from baseline</w:t>
            </w:r>
          </w:p>
        </w:tc>
        <w:tc>
          <w:tcPr>
            <w:tcW w:w="1275" w:type="dxa"/>
          </w:tcPr>
          <w:p w:rsidR="00CF5BBF" w:rsidRPr="006316DF" w:rsidRDefault="00CF5BBF" w:rsidP="00CF5BBF">
            <w:pPr>
              <w:pStyle w:val="Tabletext"/>
            </w:pPr>
            <w:r>
              <w:t>N=47</w:t>
            </w:r>
          </w:p>
          <w:p w:rsidR="00CF5BBF" w:rsidRPr="006316DF" w:rsidRDefault="00CF5BBF" w:rsidP="00CF5BBF">
            <w:pPr>
              <w:pStyle w:val="Tabletext"/>
            </w:pPr>
            <w:r w:rsidRPr="006316DF">
              <w:t>k=</w:t>
            </w:r>
            <w:r>
              <w:t>2</w:t>
            </w:r>
            <w:r w:rsidRPr="006316DF">
              <w:t xml:space="preserve"> RCT</w:t>
            </w:r>
            <w:r>
              <w:t>s</w:t>
            </w:r>
          </w:p>
        </w:tc>
        <w:tc>
          <w:tcPr>
            <w:tcW w:w="1701" w:type="dxa"/>
          </w:tcPr>
          <w:p w:rsidR="00CF5BBF" w:rsidRPr="006316DF" w:rsidRDefault="00CF5BBF" w:rsidP="00CF5BBF">
            <w:pPr>
              <w:pStyle w:val="Tabletext"/>
            </w:pPr>
            <w:r w:rsidRPr="006316DF">
              <w:t xml:space="preserve">Risk of bias: </w:t>
            </w:r>
            <w:r>
              <w:t>−1</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 xml:space="preserve">Indirectness: </w:t>
            </w:r>
            <w:r>
              <w:t>−2</w:t>
            </w:r>
          </w:p>
          <w:p w:rsidR="00CF5BBF" w:rsidRDefault="0079256B" w:rsidP="00CF5BBF">
            <w:pPr>
              <w:pStyle w:val="Tabletext"/>
            </w:pPr>
            <w:r>
              <w:t>Imprecision: −2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AA57A8" w:rsidRDefault="00CF5BBF" w:rsidP="00CF5BBF">
            <w:pPr>
              <w:pStyle w:val="Tabletext"/>
            </w:pPr>
            <w:r w:rsidRPr="00AA57A8">
              <w:t>CAI</w:t>
            </w:r>
            <w:r>
              <w:t xml:space="preserve"> </w:t>
            </w:r>
            <w:r>
              <w:br/>
              <w:t>R</w:t>
            </w:r>
            <w:r w:rsidRPr="00AA57A8">
              <w:t>ange 10.8−17</w:t>
            </w:r>
            <w:r>
              <w:t>%</w:t>
            </w:r>
            <w:r w:rsidRPr="00AA57A8">
              <w:t xml:space="preserve"> improvement</w:t>
            </w:r>
          </w:p>
          <w:p w:rsidR="00CF5BBF" w:rsidRPr="00AA57A8" w:rsidRDefault="00CF5BBF" w:rsidP="00CF5BBF">
            <w:pPr>
              <w:pStyle w:val="Tabletext"/>
            </w:pPr>
            <w:r w:rsidRPr="00AA57A8">
              <w:t>PVR</w:t>
            </w:r>
            <w:r>
              <w:br/>
              <w:t>R</w:t>
            </w:r>
            <w:r w:rsidRPr="00AA57A8">
              <w:t>ange 9.5−</w:t>
            </w:r>
            <w:r>
              <w:t>2</w:t>
            </w:r>
            <w:r w:rsidRPr="00AA57A8">
              <w:t>1.5</w:t>
            </w:r>
            <w:r>
              <w:t>%</w:t>
            </w:r>
            <w:r w:rsidRPr="00AA57A8">
              <w:t xml:space="preserve"> improvement</w:t>
            </w:r>
          </w:p>
          <w:p w:rsidR="00CF5BBF" w:rsidRPr="002812F2" w:rsidRDefault="00CF5BBF" w:rsidP="00CF5BBF">
            <w:pPr>
              <w:pStyle w:val="Tabletext"/>
            </w:pPr>
            <w:r w:rsidRPr="00AA57A8">
              <w:t>mPAP</w:t>
            </w:r>
            <w:r>
              <w:br/>
              <w:t>R</w:t>
            </w:r>
            <w:r w:rsidRPr="00AA57A8">
              <w:t>ange 6.8−26.3</w:t>
            </w:r>
            <w:r>
              <w:t>%</w:t>
            </w:r>
            <w:r w:rsidRPr="00AA57A8">
              <w:t xml:space="preserve"> improvement</w:t>
            </w:r>
          </w:p>
        </w:tc>
        <w:tc>
          <w:tcPr>
            <w:tcW w:w="2551" w:type="dxa"/>
          </w:tcPr>
          <w:p w:rsidR="00CF5BBF" w:rsidRPr="002812F2" w:rsidRDefault="00CF5BBF" w:rsidP="00CF5BBF">
            <w:pPr>
              <w:pStyle w:val="Tabletext"/>
            </w:pPr>
            <w:r>
              <w:t>P</w:t>
            </w:r>
            <w:r w:rsidRPr="002812F2">
              <w:t xml:space="preserve">atients </w:t>
            </w:r>
            <w:r>
              <w:t>on combination therapy</w:t>
            </w:r>
            <w:r w:rsidRPr="002812F2">
              <w:t xml:space="preserve"> </w:t>
            </w:r>
            <w:r>
              <w:t>had larger mean improvements in their haemodynamic parameters compared with</w:t>
            </w:r>
            <w:r w:rsidRPr="002812F2">
              <w:t xml:space="preserve"> </w:t>
            </w:r>
            <w:r>
              <w:t xml:space="preserve">monotherapy and </w:t>
            </w:r>
            <w:r w:rsidRPr="00A66469">
              <w:t>were likely to be clinically important in 1 out of 2 studies</w:t>
            </w:r>
          </w:p>
        </w:tc>
        <w:tc>
          <w:tcPr>
            <w:tcW w:w="1134" w:type="dxa"/>
          </w:tcPr>
          <w:p w:rsidR="00CF5BBF" w:rsidRDefault="00CF5BBF" w:rsidP="00CF5BBF">
            <w:pPr>
              <w:pStyle w:val="Tabletext"/>
              <w:rPr>
                <w:bCs/>
              </w:rPr>
            </w:pPr>
            <w:r>
              <w:rPr>
                <w:bCs/>
              </w:rPr>
              <w:t>Very low</w:t>
            </w:r>
          </w:p>
          <w:p w:rsidR="00CF5BBF" w:rsidRDefault="00CF5BBF" w:rsidP="00CF5BBF">
            <w:pPr>
              <w:pStyle w:val="Tabletext"/>
              <w:rPr>
                <w:rFonts w:ascii="Cambria Math" w:hAnsi="Cambria Math" w:cs="Cambria Math"/>
                <w:bCs/>
              </w:rPr>
            </w:pPr>
            <w:r w:rsidRPr="00E564DD">
              <w:rPr>
                <w:rFonts w:ascii="Cambria Math" w:hAnsi="Cambria Math" w:cs="Cambria Math"/>
                <w:bCs/>
                <w:color w:val="00B050"/>
              </w:rPr>
              <w:t>⨁</w:t>
            </w:r>
            <w:r w:rsidRPr="006316DF">
              <w:rPr>
                <w:rFonts w:ascii="Cambria Math" w:hAnsi="Cambria Math" w:cs="Cambria Math"/>
                <w:color w:val="C00000"/>
              </w:rPr>
              <w:t>⨀⨀</w:t>
            </w:r>
            <w:r w:rsidRPr="00E564DD">
              <w:rPr>
                <w:rFonts w:ascii="Cambria Math" w:hAnsi="Cambria Math" w:cs="Cambria Math"/>
                <w:bCs/>
                <w:color w:val="FF0000"/>
              </w:rPr>
              <w:t>⨀</w:t>
            </w:r>
          </w:p>
          <w:p w:rsidR="00CF5BBF" w:rsidRPr="006316DF" w:rsidRDefault="00CF5BBF" w:rsidP="00CF5BBF">
            <w:pPr>
              <w:pStyle w:val="Tabletext"/>
            </w:pPr>
            <w:r>
              <w:t>Not i</w:t>
            </w:r>
            <w:r w:rsidRPr="006316DF">
              <w:t>mportant</w:t>
            </w:r>
          </w:p>
        </w:tc>
      </w:tr>
      <w:tr w:rsidR="00CF5BBF" w:rsidRPr="006316DF" w:rsidTr="00754236">
        <w:tc>
          <w:tcPr>
            <w:tcW w:w="1560" w:type="dxa"/>
          </w:tcPr>
          <w:p w:rsidR="00CF5BBF" w:rsidRPr="006316DF" w:rsidRDefault="00CF5BBF" w:rsidP="00CF5BBF">
            <w:pPr>
              <w:pStyle w:val="Tabletext"/>
            </w:pPr>
            <w:r w:rsidRPr="002D77B1">
              <w:t>Change in haemodynamic parameters from baseline</w:t>
            </w:r>
          </w:p>
        </w:tc>
        <w:tc>
          <w:tcPr>
            <w:tcW w:w="1275" w:type="dxa"/>
          </w:tcPr>
          <w:p w:rsidR="00CF5BBF" w:rsidRPr="006316DF" w:rsidRDefault="00CF5BBF" w:rsidP="00CF5BBF">
            <w:pPr>
              <w:pStyle w:val="Tabletext"/>
            </w:pPr>
            <w:r>
              <w:t>N=33</w:t>
            </w:r>
          </w:p>
          <w:p w:rsidR="00CF5BBF" w:rsidRPr="006316DF" w:rsidRDefault="00CF5BBF" w:rsidP="00CF5BBF">
            <w:pPr>
              <w:pStyle w:val="Tabletext"/>
            </w:pPr>
            <w:r w:rsidRPr="006316DF">
              <w:t>k=</w:t>
            </w:r>
            <w:r>
              <w:t>1</w:t>
            </w:r>
            <w:r w:rsidRPr="006316DF">
              <w:t xml:space="preserve"> RCT</w:t>
            </w:r>
          </w:p>
        </w:tc>
        <w:tc>
          <w:tcPr>
            <w:tcW w:w="1701" w:type="dxa"/>
          </w:tcPr>
          <w:p w:rsidR="00CF5BBF" w:rsidRPr="006316DF" w:rsidRDefault="00CF5BBF" w:rsidP="00CF5BBF">
            <w:pPr>
              <w:pStyle w:val="Tabletext"/>
            </w:pPr>
            <w:r w:rsidRPr="006316DF">
              <w:t xml:space="preserve">Risk of bias: </w:t>
            </w:r>
            <w:r>
              <w:t>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 xml:space="preserve">Indirectness: </w:t>
            </w:r>
            <w:r>
              <w:t>−2</w:t>
            </w:r>
          </w:p>
          <w:p w:rsidR="00CF5BBF" w:rsidRDefault="0079256B" w:rsidP="00CF5BBF">
            <w:pPr>
              <w:pStyle w:val="Tabletext"/>
            </w:pPr>
            <w:r>
              <w:t>Imprecision: −2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3" w:type="dxa"/>
          </w:tcPr>
          <w:p w:rsidR="00CF5BBF" w:rsidRPr="00AA57A8" w:rsidRDefault="00CF5BBF" w:rsidP="00CF5BBF">
            <w:pPr>
              <w:pStyle w:val="Tabletext"/>
            </w:pPr>
            <w:r w:rsidRPr="00AA57A8">
              <w:t>mRAP</w:t>
            </w:r>
            <w:r>
              <w:br/>
            </w:r>
            <w:r w:rsidRPr="00AA57A8">
              <w:t xml:space="preserve">MD </w:t>
            </w:r>
            <w:r>
              <w:t xml:space="preserve">= </w:t>
            </w:r>
            <w:r w:rsidRPr="00AA57A8">
              <w:t>2.2 mmHg improvement</w:t>
            </w:r>
          </w:p>
          <w:p w:rsidR="00CF5BBF" w:rsidRPr="002812F2" w:rsidRDefault="00CF5BBF" w:rsidP="00CF5BBF">
            <w:pPr>
              <w:pStyle w:val="Tabletext"/>
            </w:pPr>
            <w:r w:rsidRPr="00AA57A8">
              <w:t>TPR</w:t>
            </w:r>
            <w:r>
              <w:br/>
            </w:r>
            <w:r w:rsidRPr="00AA57A8">
              <w:t>MD 13.7% improvement</w:t>
            </w:r>
          </w:p>
        </w:tc>
        <w:tc>
          <w:tcPr>
            <w:tcW w:w="2551" w:type="dxa"/>
          </w:tcPr>
          <w:p w:rsidR="00CF5BBF" w:rsidRPr="002812F2" w:rsidRDefault="00CF5BBF" w:rsidP="00CF5BBF">
            <w:pPr>
              <w:pStyle w:val="Tabletext"/>
            </w:pPr>
            <w:r w:rsidRPr="00D86232">
              <w:t>Patients</w:t>
            </w:r>
            <w:r>
              <w:t xml:space="preserve"> </w:t>
            </w:r>
            <w:r w:rsidRPr="00D86232">
              <w:t xml:space="preserve">on combination therapy </w:t>
            </w:r>
            <w:r>
              <w:t>had</w:t>
            </w:r>
            <w:r w:rsidRPr="00D86232">
              <w:t xml:space="preserve"> </w:t>
            </w:r>
            <w:r>
              <w:t xml:space="preserve">larger mean </w:t>
            </w:r>
            <w:r w:rsidRPr="00D86232">
              <w:t>improve</w:t>
            </w:r>
            <w:r>
              <w:t xml:space="preserve">ments in their </w:t>
            </w:r>
            <w:r w:rsidRPr="00D86232">
              <w:t>haemodynamic parameters compared with monotherapy</w:t>
            </w:r>
          </w:p>
        </w:tc>
        <w:tc>
          <w:tcPr>
            <w:tcW w:w="1134" w:type="dxa"/>
          </w:tcPr>
          <w:p w:rsidR="0079256B" w:rsidRDefault="0079256B" w:rsidP="0079256B">
            <w:pPr>
              <w:pStyle w:val="Tabletext"/>
              <w:rPr>
                <w:rFonts w:eastAsia="Times New Roman" w:cs="Tahoma"/>
                <w:bCs/>
              </w:rPr>
            </w:pPr>
            <w:r>
              <w:rPr>
                <w:rFonts w:eastAsia="Times New Roman" w:cs="Tahoma"/>
                <w:bCs/>
              </w:rPr>
              <w:t>Very low</w:t>
            </w:r>
          </w:p>
          <w:p w:rsidR="0079256B" w:rsidRDefault="0079256B" w:rsidP="0079256B">
            <w:pPr>
              <w:pStyle w:val="Tabletext"/>
              <w:rPr>
                <w:rFonts w:ascii="Cambria Math" w:eastAsia="Times New Roman" w:hAnsi="Cambria Math" w:cs="Cambria Math"/>
                <w:bCs/>
              </w:rPr>
            </w:pPr>
            <w:r w:rsidRPr="00E564DD">
              <w:rPr>
                <w:rFonts w:ascii="Cambria Math" w:eastAsia="Times New Roman" w:hAnsi="Cambria Math" w:cs="Cambria Math"/>
                <w:bCs/>
                <w:color w:val="00B050"/>
              </w:rPr>
              <w:t>⨁</w:t>
            </w:r>
            <w:r w:rsidRPr="00E564DD">
              <w:rPr>
                <w:rFonts w:ascii="Cambria Math" w:hAnsi="Cambria Math" w:cs="Cambria Math"/>
                <w:color w:val="C00000"/>
              </w:rPr>
              <w:t>⨀⨀</w:t>
            </w:r>
            <w:r w:rsidRPr="00E564DD">
              <w:rPr>
                <w:rFonts w:ascii="Cambria Math" w:eastAsia="Times New Roman" w:hAnsi="Cambria Math" w:cs="Cambria Math"/>
                <w:bCs/>
                <w:color w:val="FF0000"/>
              </w:rPr>
              <w:t>⨀</w:t>
            </w:r>
          </w:p>
          <w:p w:rsidR="00CF5BBF" w:rsidRPr="006316DF" w:rsidRDefault="00CF5BBF" w:rsidP="00CF5BBF">
            <w:pPr>
              <w:pStyle w:val="Tabletext"/>
            </w:pPr>
            <w:r>
              <w:t>Not i</w:t>
            </w:r>
            <w:r w:rsidRPr="006316DF">
              <w:t>mportant</w:t>
            </w:r>
          </w:p>
        </w:tc>
      </w:tr>
    </w:tbl>
    <w:p w:rsidR="0075777C" w:rsidRPr="006316DF" w:rsidRDefault="0075777C" w:rsidP="00D14AB4">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17449B" w:rsidRDefault="0017449B" w:rsidP="0017449B">
      <w:pPr>
        <w:pStyle w:val="Tablenote"/>
      </w:pPr>
      <w:proofErr w:type="gramStart"/>
      <w:r>
        <w:rPr>
          <w:vertAlign w:val="superscript"/>
        </w:rPr>
        <w:t>b</w:t>
      </w:r>
      <w:proofErr w:type="gramEnd"/>
      <w:r>
        <w:t xml:space="preserve"> MLHF </w:t>
      </w:r>
      <w:r w:rsidR="00FB4615">
        <w:t xml:space="preserve">questionnaire </w:t>
      </w:r>
      <w:r>
        <w:t xml:space="preserve">total scores range from 0 to 105. A higher score indicates </w:t>
      </w:r>
      <w:r w:rsidRPr="000054CF">
        <w:t>poorer QoL</w:t>
      </w:r>
      <w:r>
        <w:t xml:space="preserve">. </w:t>
      </w:r>
    </w:p>
    <w:p w:rsidR="0075777C" w:rsidRPr="006316DF" w:rsidRDefault="0075777C" w:rsidP="00D14AB4">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7C2D99" w:rsidRDefault="007C2D99" w:rsidP="007C2D99">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Very low quality:</w:t>
      </w:r>
      <w:r w:rsidRPr="006316DF">
        <w:t xml:space="preserve"> We have very little confidence in the effect estimate: The true effect is likely to be substantially different from the estimate of effect</w:t>
      </w:r>
    </w:p>
    <w:p w:rsidR="00C83CA7" w:rsidRDefault="0075777C" w:rsidP="00D14AB4">
      <w:pPr>
        <w:pStyle w:val="Tablenote"/>
      </w:pPr>
      <w:proofErr w:type="gramStart"/>
      <w:r>
        <w:t xml:space="preserve">6MWD = 6-minute </w:t>
      </w:r>
      <w:r w:rsidR="0082368E">
        <w:t>walk distance</w:t>
      </w:r>
      <w:r w:rsidR="00B21201">
        <w:t>; ARD</w:t>
      </w:r>
      <w:r>
        <w:t xml:space="preserve"> = absolute risk </w:t>
      </w:r>
      <w:r w:rsidR="00B21201">
        <w:t>difference</w:t>
      </w:r>
      <w:r>
        <w:t>; CAI = cardiac index;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C83CA7" w:rsidRPr="00DC16A3">
        <w:t xml:space="preserve">; </w:t>
      </w:r>
      <w:r w:rsidR="00C83CA7">
        <w:t xml:space="preserve">k = number of studies; </w:t>
      </w:r>
      <w:r>
        <w:t xml:space="preserve">MD = mean difference; </w:t>
      </w:r>
      <w:r w:rsidR="009B49D9">
        <w:t>MLHF =</w:t>
      </w:r>
      <w:r w:rsidR="009B49D9" w:rsidRPr="009B49D9">
        <w:t xml:space="preserve"> Minnesota living with heart failure</w:t>
      </w:r>
      <w:r w:rsidR="009B49D9">
        <w:t xml:space="preserve">; </w:t>
      </w:r>
      <w:r>
        <w:t>mPAP = mean pulmonary arter</w:t>
      </w:r>
      <w:r w:rsidR="00214AC1">
        <w:t>y</w:t>
      </w:r>
      <w:r>
        <w:t xml:space="preserve"> pressure; mRAP = mean right atrial pressure; </w:t>
      </w:r>
      <w:r w:rsidR="001F1FDD">
        <w:t xml:space="preserve">MD = mean difference; </w:t>
      </w:r>
      <w:r>
        <w:t xml:space="preserve">N = number of patients;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QoL = quality of life; RCT = randomised controlled trial; RR = relative risk; TPR = total pulmonary pressure; WHO = World Health Organization</w:t>
      </w:r>
      <w:proofErr w:type="gramEnd"/>
    </w:p>
    <w:p w:rsidR="0075777C" w:rsidRPr="006316DF" w:rsidRDefault="0075777C" w:rsidP="0075777C">
      <w:pPr>
        <w:pStyle w:val="Heading5"/>
      </w:pPr>
      <w:r w:rsidRPr="006316DF">
        <w:t>Safety</w:t>
      </w:r>
    </w:p>
    <w:p w:rsidR="0075777C" w:rsidRDefault="0075777C" w:rsidP="00487A3E">
      <w:pPr>
        <w:spacing w:before="0" w:line="240" w:lineRule="auto"/>
      </w:pPr>
      <w:r w:rsidRPr="006316DF">
        <w:t xml:space="preserve">The </w:t>
      </w:r>
      <w:r>
        <w:t xml:space="preserve">detailed </w:t>
      </w:r>
      <w:r w:rsidRPr="006316DF">
        <w:t>GRADE</w:t>
      </w:r>
      <w:r w:rsidR="001D34EE" w:rsidRPr="001D34EE">
        <w:rPr>
          <w:noProof/>
          <w:vertAlign w:val="superscript"/>
        </w:rPr>
        <w:t>1</w:t>
      </w:r>
      <w:r w:rsidRPr="006316DF">
        <w:t xml:space="preserve"> assessments of </w:t>
      </w:r>
      <w:r>
        <w:t>safety</w:t>
      </w:r>
      <w:r w:rsidRPr="006316DF">
        <w:t xml:space="preserve"> outcomes when comparing an ERA </w:t>
      </w:r>
      <w:r w:rsidRPr="00BB3BB5">
        <w:t xml:space="preserve">in addition to </w:t>
      </w:r>
      <w:r w:rsidR="006A32C5">
        <w:t>prostanoid</w:t>
      </w:r>
      <w:r w:rsidRPr="00BB3BB5">
        <w:t xml:space="preserve">, relative to </w:t>
      </w:r>
      <w:r w:rsidR="006A32C5">
        <w:t>prostanoid</w:t>
      </w:r>
      <w:r w:rsidR="006A32C5" w:rsidRPr="00BB3BB5">
        <w:t xml:space="preserve"> </w:t>
      </w:r>
      <w:r w:rsidRPr="00BB3BB5">
        <w:t xml:space="preserve">monotherapy </w:t>
      </w:r>
      <w:proofErr w:type="gramStart"/>
      <w:r w:rsidRPr="006316DF">
        <w:t>are reported</w:t>
      </w:r>
      <w:proofErr w:type="gramEnd"/>
      <w:r w:rsidRPr="006316DF">
        <w:t xml:space="preserve"> in</w:t>
      </w:r>
      <w:r>
        <w:t xml:space="preserve"> </w:t>
      </w:r>
      <w:r w:rsidR="003951FA">
        <w:t>Table 4.</w:t>
      </w:r>
      <w:r w:rsidR="003951FA">
        <w:rPr>
          <w:noProof/>
        </w:rPr>
        <w:t>155</w:t>
      </w:r>
      <w:r>
        <w:t xml:space="preserve"> </w:t>
      </w:r>
      <w:r w:rsidRPr="006316DF">
        <w:t xml:space="preserve">in Appendix </w:t>
      </w:r>
      <w:r w:rsidR="00DA2636">
        <w:t>4</w:t>
      </w:r>
      <w:r w:rsidR="001B552D">
        <w:t>C</w:t>
      </w:r>
      <w:r>
        <w:t xml:space="preserve">. </w:t>
      </w:r>
      <w:r w:rsidRPr="006316DF">
        <w:t xml:space="preserve">The evidence for the </w:t>
      </w:r>
      <w:r>
        <w:t xml:space="preserve">safety </w:t>
      </w:r>
      <w:r w:rsidRPr="006316DF">
        <w:t xml:space="preserve">outcomes </w:t>
      </w:r>
      <w:r>
        <w:t xml:space="preserve">for all PAH patients are summarised </w:t>
      </w:r>
      <w:r w:rsidRPr="006316DF">
        <w:t>in</w:t>
      </w:r>
      <w:r w:rsidR="00487A3E">
        <w:t xml:space="preserve"> Table 4.129</w:t>
      </w:r>
      <w:r>
        <w:t xml:space="preserve">. </w:t>
      </w:r>
      <w:r w:rsidR="00E20AB7">
        <w:t>There were no new safety signal identified.</w:t>
      </w:r>
    </w:p>
    <w:p w:rsidR="0075777C" w:rsidRPr="00D14AB4" w:rsidRDefault="0075777C" w:rsidP="0075777C">
      <w:r>
        <w:t xml:space="preserve">The evidence for </w:t>
      </w:r>
      <w:r w:rsidR="00300A41">
        <w:t xml:space="preserve">all the safety outcomes </w:t>
      </w:r>
      <w:proofErr w:type="gramStart"/>
      <w:r w:rsidR="00300A41">
        <w:t>were</w:t>
      </w:r>
      <w:r>
        <w:t xml:space="preserve"> </w:t>
      </w:r>
      <w:r w:rsidRPr="006316DF">
        <w:t>considered</w:t>
      </w:r>
      <w:proofErr w:type="gramEnd"/>
      <w:r w:rsidRPr="006316DF">
        <w:t xml:space="preserve"> to be of </w:t>
      </w:r>
      <w:r w:rsidR="00300A41">
        <w:t xml:space="preserve">low </w:t>
      </w:r>
      <w:r w:rsidR="00300A41" w:rsidRPr="00D14AB4">
        <w:t xml:space="preserve">(GRADE </w:t>
      </w:r>
      <w:r w:rsidR="00300A41" w:rsidRPr="008727D6">
        <w:rPr>
          <w:rFonts w:ascii="Cambria Math" w:hAnsi="Cambria Math" w:cs="Cambria Math"/>
          <w:color w:val="00B050"/>
        </w:rPr>
        <w:t>⨁⨁</w:t>
      </w:r>
      <w:r w:rsidR="00300A41" w:rsidRPr="008727D6">
        <w:rPr>
          <w:rFonts w:ascii="Cambria Math" w:hAnsi="Cambria Math" w:cs="Cambria Math"/>
          <w:color w:val="C00000"/>
        </w:rPr>
        <w:t>⨀⨀</w:t>
      </w:r>
      <w:r w:rsidR="00300A41" w:rsidRPr="00D14AB4">
        <w:t xml:space="preserve">) </w:t>
      </w:r>
      <w:r w:rsidR="00300A41">
        <w:t>or very low</w:t>
      </w:r>
      <w:r w:rsidRPr="006316DF">
        <w:t xml:space="preserve"> quality (GRADE </w:t>
      </w:r>
      <w:r w:rsidRPr="008727D6">
        <w:rPr>
          <w:rFonts w:ascii="Cambria Math" w:eastAsia="Times New Roman" w:hAnsi="Cambria Math" w:cs="Tahoma"/>
          <w:bCs/>
          <w:color w:val="00B050"/>
        </w:rPr>
        <w:t>⨁</w:t>
      </w:r>
      <w:r w:rsidR="00300A41" w:rsidRPr="008727D6">
        <w:rPr>
          <w:rFonts w:ascii="Cambria Math" w:hAnsi="Cambria Math" w:cs="Cambria Math"/>
          <w:color w:val="C00000"/>
        </w:rPr>
        <w:t>⨀⨀⨀</w:t>
      </w:r>
      <w:r w:rsidRPr="00D14AB4">
        <w:t>).</w:t>
      </w:r>
      <w:r w:rsidR="00300A41" w:rsidRPr="00300A41">
        <w:t xml:space="preserve"> Thus, the true effect may be substantially different from the point estimate.</w:t>
      </w:r>
      <w:r w:rsidR="00300A41">
        <w:t xml:space="preserve"> </w:t>
      </w:r>
      <w:r w:rsidRPr="00D14AB4">
        <w:t xml:space="preserve">Patients were just as likely to experience an AE after starting combination therapy as they were on monotherapy. Patients on combination therapy were less likely to have either a serious AE or an AE that would lead to treatment discontinuation compared with those on monotherapy, but the </w:t>
      </w:r>
      <w:r w:rsidR="005625F4">
        <w:t xml:space="preserve">wide </w:t>
      </w:r>
      <w:r w:rsidR="00D84687">
        <w:t>95% CI indicates</w:t>
      </w:r>
      <w:r w:rsidRPr="00D14AB4">
        <w:t xml:space="preserve"> that </w:t>
      </w:r>
      <w:r w:rsidR="005625F4">
        <w:t>the study was statistically underpowered</w:t>
      </w:r>
      <w:r w:rsidRPr="00D14AB4">
        <w:t>.</w:t>
      </w:r>
    </w:p>
    <w:p w:rsidR="0075777C" w:rsidRDefault="0075777C" w:rsidP="0075777C">
      <w:r w:rsidRPr="006316DF">
        <w:t xml:space="preserve">Thus, </w:t>
      </w:r>
      <w:r w:rsidR="0074627B">
        <w:t xml:space="preserve">although </w:t>
      </w:r>
      <w:r w:rsidRPr="000522D6">
        <w:t>the</w:t>
      </w:r>
      <w:r w:rsidR="0074627B">
        <w:t>re is uncertainty,</w:t>
      </w:r>
      <w:r w:rsidRPr="000522D6">
        <w:t xml:space="preserve"> </w:t>
      </w:r>
      <w:r w:rsidRPr="006316DF">
        <w:t xml:space="preserve">use of an ERA </w:t>
      </w:r>
      <w:r w:rsidRPr="000522D6">
        <w:t xml:space="preserve">in addition to </w:t>
      </w:r>
      <w:r>
        <w:t xml:space="preserve">a </w:t>
      </w:r>
      <w:r w:rsidR="00D14AB4">
        <w:t>prostanoid</w:t>
      </w:r>
      <w:r w:rsidRPr="000522D6">
        <w:t xml:space="preserve"> </w:t>
      </w:r>
      <w:r w:rsidR="0074627B">
        <w:t>may</w:t>
      </w:r>
      <w:r w:rsidR="00D14AB4" w:rsidRPr="006316DF">
        <w:t xml:space="preserve"> be </w:t>
      </w:r>
      <w:r w:rsidR="0074627B">
        <w:t>non-inferior to</w:t>
      </w:r>
      <w:r w:rsidRPr="000522D6">
        <w:t xml:space="preserve"> </w:t>
      </w:r>
      <w:r w:rsidR="00D14AB4">
        <w:t>prostanoid</w:t>
      </w:r>
      <w:r w:rsidRPr="000522D6">
        <w:t xml:space="preserve"> monotherapy </w:t>
      </w:r>
      <w:r w:rsidR="00981BDF">
        <w:t>when</w:t>
      </w:r>
      <w:r w:rsidRPr="006316DF">
        <w:t xml:space="preserve"> treat</w:t>
      </w:r>
      <w:r w:rsidR="00981BDF">
        <w:t>ing</w:t>
      </w:r>
      <w:r w:rsidRPr="006316DF">
        <w:t xml:space="preserve"> </w:t>
      </w:r>
      <w:r>
        <w:t xml:space="preserve">patients with </w:t>
      </w:r>
      <w:r w:rsidRPr="00C754B8">
        <w:t>WHO FC III/IV PAH</w:t>
      </w:r>
      <w:r>
        <w:t>.</w:t>
      </w:r>
    </w:p>
    <w:p w:rsidR="006A32C5" w:rsidRDefault="006A32C5">
      <w:pPr>
        <w:spacing w:before="0" w:line="240" w:lineRule="auto"/>
        <w:rPr>
          <w:b/>
          <w:iCs/>
          <w:szCs w:val="18"/>
        </w:rPr>
      </w:pPr>
      <w:bookmarkStart w:id="365" w:name="_Ref505776563"/>
      <w:r>
        <w:br w:type="page"/>
      </w:r>
    </w:p>
    <w:p w:rsidR="0075777C" w:rsidRPr="006316DF" w:rsidRDefault="00272F8F" w:rsidP="00BC5A2B">
      <w:pPr>
        <w:pStyle w:val="Caption"/>
      </w:pPr>
      <w:bookmarkStart w:id="366" w:name="_Toc38360426"/>
      <w:r>
        <w:t>Table 4.</w:t>
      </w:r>
      <w:r w:rsidR="003951FA">
        <w:rPr>
          <w:noProof/>
        </w:rPr>
        <w:t>129</w:t>
      </w:r>
      <w:bookmarkEnd w:id="365"/>
      <w:r w:rsidR="00D14AB4">
        <w:tab/>
      </w:r>
      <w:r w:rsidR="0075777C" w:rsidRPr="006316DF">
        <w:t xml:space="preserve">Balance of clinical harms of </w:t>
      </w:r>
      <w:r w:rsidR="004B668A">
        <w:t xml:space="preserve">an </w:t>
      </w:r>
      <w:r w:rsidR="0075777C" w:rsidRPr="009123E2">
        <w:t xml:space="preserve">ERA in addition to a </w:t>
      </w:r>
      <w:r w:rsidR="00D14AB4" w:rsidRPr="009123E2">
        <w:t>prostanoid</w:t>
      </w:r>
      <w:r w:rsidR="0075777C" w:rsidRPr="009123E2">
        <w:t xml:space="preserve">, relative to </w:t>
      </w:r>
      <w:r w:rsidR="00D14AB4" w:rsidRPr="009123E2">
        <w:t>prostanoid</w:t>
      </w:r>
      <w:r w:rsidR="0075777C" w:rsidRPr="009123E2">
        <w:t xml:space="preserve"> monotherapy in patients with WHO FC III/IV PAH</w:t>
      </w:r>
      <w:bookmarkEnd w:id="366"/>
    </w:p>
    <w:tbl>
      <w:tblPr>
        <w:tblStyle w:val="TableGrid"/>
        <w:tblW w:w="9639" w:type="dxa"/>
        <w:tblLayout w:type="fixed"/>
        <w:tblLook w:val="04A0" w:firstRow="1" w:lastRow="0" w:firstColumn="1" w:lastColumn="0" w:noHBand="0" w:noVBand="1"/>
        <w:tblCaption w:val="Balance of clinical harms of an ERA in addition to a prostanoid, relative to prostanoid monotherapy in patients with WHO FC III/IV PAH"/>
      </w:tblPr>
      <w:tblGrid>
        <w:gridCol w:w="1560"/>
        <w:gridCol w:w="1275"/>
        <w:gridCol w:w="1701"/>
        <w:gridCol w:w="1418"/>
        <w:gridCol w:w="2551"/>
        <w:gridCol w:w="1134"/>
      </w:tblGrid>
      <w:tr w:rsidR="0075777C" w:rsidRPr="000647C6" w:rsidTr="00D14AB4">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8"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33164F" w:rsidRPr="0033164F">
              <w:rPr>
                <w:b/>
                <w:noProof/>
                <w:vertAlign w:val="superscript"/>
              </w:rPr>
              <w:t>a</w:t>
            </w:r>
          </w:p>
          <w:p w:rsidR="0075777C" w:rsidRPr="000647C6" w:rsidRDefault="0075777C" w:rsidP="000647C6">
            <w:pPr>
              <w:pStyle w:val="Tabletext"/>
              <w:rPr>
                <w:b/>
                <w:noProof/>
              </w:rPr>
            </w:pPr>
            <w:r w:rsidRPr="000647C6">
              <w:rPr>
                <w:b/>
                <w:noProof/>
              </w:rPr>
              <w:t>Importance</w:t>
            </w:r>
          </w:p>
        </w:tc>
      </w:tr>
      <w:tr w:rsidR="00CF5BBF" w:rsidRPr="006316DF" w:rsidTr="00D14AB4">
        <w:tc>
          <w:tcPr>
            <w:tcW w:w="1560" w:type="dxa"/>
          </w:tcPr>
          <w:p w:rsidR="00CF5BBF" w:rsidRPr="006316DF" w:rsidRDefault="00CF5BBF" w:rsidP="00CF5BBF">
            <w:pPr>
              <w:pStyle w:val="Tabletext"/>
            </w:pPr>
            <w:r>
              <w:t>Any AE</w:t>
            </w:r>
            <w:r w:rsidRPr="006316DF">
              <w:t xml:space="preserve"> </w:t>
            </w:r>
          </w:p>
        </w:tc>
        <w:tc>
          <w:tcPr>
            <w:tcW w:w="1275" w:type="dxa"/>
          </w:tcPr>
          <w:p w:rsidR="00CF5BBF" w:rsidRPr="006316DF" w:rsidRDefault="00CF5BBF" w:rsidP="00CF5BBF">
            <w:pPr>
              <w:pStyle w:val="Tabletext"/>
            </w:pPr>
            <w:r>
              <w:t>N=14</w:t>
            </w:r>
          </w:p>
          <w:p w:rsidR="00CF5BBF" w:rsidRPr="006316DF" w:rsidRDefault="00CF5BBF" w:rsidP="00CF5BBF">
            <w:pPr>
              <w:pStyle w:val="Tabletext"/>
            </w:pPr>
            <w:r w:rsidRPr="006316DF">
              <w:t>k=</w:t>
            </w:r>
            <w:r>
              <w:t>1</w:t>
            </w:r>
            <w:r w:rsidRPr="006316DF">
              <w:t xml:space="preserve"> RCT</w:t>
            </w:r>
          </w:p>
        </w:tc>
        <w:tc>
          <w:tcPr>
            <w:tcW w:w="1701" w:type="dxa"/>
          </w:tcPr>
          <w:p w:rsidR="00CF5BBF" w:rsidRPr="006316DF" w:rsidRDefault="00CF5BBF" w:rsidP="00CF5BBF">
            <w:pPr>
              <w:pStyle w:val="Tabletext"/>
            </w:pPr>
            <w:r>
              <w:t>Risk of bias: 0</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t>Imprecision: −2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8" w:type="dxa"/>
          </w:tcPr>
          <w:p w:rsidR="00CF5BBF" w:rsidRPr="000E45D6" w:rsidRDefault="00CF5BBF" w:rsidP="00CF5BBF">
            <w:pPr>
              <w:pStyle w:val="Tabletext"/>
            </w:pPr>
            <w:r w:rsidRPr="000E45D6">
              <w:t xml:space="preserve">RR = </w:t>
            </w:r>
            <w:r>
              <w:t>1.</w:t>
            </w:r>
            <w:r w:rsidRPr="000E45D6">
              <w:t>0</w:t>
            </w:r>
            <w:r>
              <w:t>5</w:t>
            </w:r>
            <w:r w:rsidRPr="000E45D6">
              <w:t xml:space="preserve"> (95% CI 0.</w:t>
            </w:r>
            <w:r>
              <w:t>67</w:t>
            </w:r>
            <w:r w:rsidRPr="000E45D6">
              <w:t xml:space="preserve">, </w:t>
            </w:r>
            <w:r>
              <w:t>1.</w:t>
            </w:r>
            <w:r w:rsidRPr="000E45D6">
              <w:t>6</w:t>
            </w:r>
            <w:r>
              <w:t>4</w:t>
            </w:r>
            <w:r w:rsidRPr="000E45D6">
              <w:t>)</w:t>
            </w:r>
          </w:p>
        </w:tc>
        <w:tc>
          <w:tcPr>
            <w:tcW w:w="2551" w:type="dxa"/>
          </w:tcPr>
          <w:p w:rsidR="00CF5BBF" w:rsidRPr="000E45D6" w:rsidRDefault="00CF5BBF" w:rsidP="005625F4">
            <w:pPr>
              <w:pStyle w:val="Tabletext"/>
            </w:pPr>
            <w:r>
              <w:t>T</w:t>
            </w:r>
            <w:r w:rsidRPr="000E45D6">
              <w:t xml:space="preserve">he </w:t>
            </w:r>
            <w:r>
              <w:t>proportion</w:t>
            </w:r>
            <w:r w:rsidRPr="000E45D6">
              <w:t xml:space="preserve"> of patients </w:t>
            </w:r>
            <w:r>
              <w:t>who</w:t>
            </w:r>
            <w:r w:rsidRPr="000E45D6">
              <w:t xml:space="preserve"> experience </w:t>
            </w:r>
            <w:r>
              <w:t>an AE</w:t>
            </w:r>
            <w:r w:rsidRPr="000E45D6">
              <w:t xml:space="preserve"> </w:t>
            </w:r>
            <w:r>
              <w:t>with combination therapy was similar to the proportion on monotherapy</w:t>
            </w:r>
            <w:r w:rsidRPr="00863F32">
              <w:t>.</w:t>
            </w:r>
          </w:p>
        </w:tc>
        <w:tc>
          <w:tcPr>
            <w:tcW w:w="1134" w:type="dxa"/>
          </w:tcPr>
          <w:p w:rsidR="00CF5BBF" w:rsidRPr="006316DF" w:rsidRDefault="00CF5BBF" w:rsidP="00CF5BBF">
            <w:pPr>
              <w:pStyle w:val="Tabletext"/>
            </w:pPr>
            <w:r>
              <w:t>Low</w:t>
            </w:r>
          </w:p>
          <w:p w:rsidR="00CF5BBF" w:rsidRPr="006316DF" w:rsidRDefault="00CF5BBF" w:rsidP="00CF5BBF">
            <w:pPr>
              <w:pStyle w:val="Tabletext"/>
              <w:rPr>
                <w:rFonts w:cs="Cambria Math"/>
                <w:bCs/>
              </w:rPr>
            </w:pPr>
            <w:r w:rsidRPr="006316DF">
              <w:rPr>
                <w:rFonts w:ascii="Cambria Math" w:hAnsi="Cambria Math" w:cs="Cambria Math"/>
                <w:bCs/>
                <w:color w:val="00B050"/>
              </w:rPr>
              <w:t>⨁⨁</w:t>
            </w:r>
            <w:r w:rsidRPr="006316DF">
              <w:rPr>
                <w:rFonts w:ascii="Cambria Math" w:hAnsi="Cambria Math" w:cs="Cambria Math"/>
                <w:color w:val="C00000"/>
              </w:rPr>
              <w:t>⨀⨀</w:t>
            </w:r>
          </w:p>
          <w:p w:rsidR="00CF5BBF" w:rsidRPr="006316DF" w:rsidRDefault="00CF5BBF" w:rsidP="00CF5BBF">
            <w:pPr>
              <w:pStyle w:val="Tabletext"/>
            </w:pPr>
            <w:r w:rsidRPr="006316DF">
              <w:t>Important</w:t>
            </w:r>
          </w:p>
        </w:tc>
      </w:tr>
      <w:tr w:rsidR="00CF5BBF" w:rsidRPr="006316DF" w:rsidTr="00D14AB4">
        <w:tc>
          <w:tcPr>
            <w:tcW w:w="1560" w:type="dxa"/>
          </w:tcPr>
          <w:p w:rsidR="00CF5BBF" w:rsidRPr="006316DF" w:rsidRDefault="00CF5BBF" w:rsidP="00CF5BBF">
            <w:pPr>
              <w:pStyle w:val="Tabletext"/>
            </w:pPr>
            <w:r>
              <w:t>Serious AEs</w:t>
            </w:r>
          </w:p>
        </w:tc>
        <w:tc>
          <w:tcPr>
            <w:tcW w:w="1275" w:type="dxa"/>
          </w:tcPr>
          <w:p w:rsidR="00CF5BBF" w:rsidRPr="006316DF" w:rsidRDefault="00CF5BBF" w:rsidP="00CF5BBF">
            <w:pPr>
              <w:pStyle w:val="Tabletext"/>
            </w:pPr>
            <w:r w:rsidRPr="006316DF">
              <w:t>N=</w:t>
            </w:r>
            <w:r>
              <w:t>33</w:t>
            </w:r>
          </w:p>
          <w:p w:rsidR="00CF5BBF" w:rsidRPr="006316DF" w:rsidRDefault="00CF5BBF" w:rsidP="00CF5BBF">
            <w:pPr>
              <w:pStyle w:val="Tabletext"/>
            </w:pPr>
            <w:r w:rsidRPr="006316DF">
              <w:t>k=</w:t>
            </w:r>
            <w:r>
              <w:t>1</w:t>
            </w:r>
            <w:r w:rsidRPr="006316DF">
              <w:t xml:space="preserve"> RCT</w:t>
            </w:r>
          </w:p>
        </w:tc>
        <w:tc>
          <w:tcPr>
            <w:tcW w:w="1701" w:type="dxa"/>
          </w:tcPr>
          <w:p w:rsidR="00CF5BBF" w:rsidRPr="006316DF" w:rsidRDefault="00CF5BBF" w:rsidP="00CF5BBF">
            <w:pPr>
              <w:pStyle w:val="Tabletext"/>
            </w:pPr>
            <w:r>
              <w:t>Risk of bias: −1</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t>Imprecision: −2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8" w:type="dxa"/>
          </w:tcPr>
          <w:p w:rsidR="00CF5BBF" w:rsidRPr="000E45D6" w:rsidRDefault="00CF5BBF" w:rsidP="00CF5BBF">
            <w:pPr>
              <w:pStyle w:val="Tabletext"/>
            </w:pPr>
            <w:r w:rsidRPr="000E45D6">
              <w:t>Pooled RR = 0.</w:t>
            </w:r>
            <w:r>
              <w:t>75</w:t>
            </w:r>
            <w:r w:rsidRPr="000E45D6">
              <w:t xml:space="preserve"> (95% CI 0.</w:t>
            </w:r>
            <w:r>
              <w:t>15, 3</w:t>
            </w:r>
            <w:r w:rsidRPr="000E45D6">
              <w:t>.</w:t>
            </w:r>
            <w:r>
              <w:t>85</w:t>
            </w:r>
            <w:r w:rsidRPr="000E45D6">
              <w:t>)</w:t>
            </w:r>
          </w:p>
        </w:tc>
        <w:tc>
          <w:tcPr>
            <w:tcW w:w="2551" w:type="dxa"/>
          </w:tcPr>
          <w:p w:rsidR="00CF5BBF" w:rsidRPr="000E45D6" w:rsidRDefault="00CF5BBF" w:rsidP="00CF5BBF">
            <w:pPr>
              <w:pStyle w:val="Tabletext"/>
            </w:pPr>
            <w:r>
              <w:t>F</w:t>
            </w:r>
            <w:r w:rsidRPr="000E45D6">
              <w:t xml:space="preserve">ewer patients </w:t>
            </w:r>
            <w:r>
              <w:t xml:space="preserve">experienced a serious AE </w:t>
            </w:r>
            <w:r w:rsidRPr="000E45D6">
              <w:t xml:space="preserve">with combination therapy compared with </w:t>
            </w:r>
            <w:r>
              <w:t xml:space="preserve">monotherapy, </w:t>
            </w:r>
            <w:r w:rsidR="005625F4" w:rsidRPr="00F3410B">
              <w:t xml:space="preserve">but the </w:t>
            </w:r>
            <w:r w:rsidR="005625F4">
              <w:t>wide 95% CI indicates</w:t>
            </w:r>
            <w:r w:rsidR="005625F4" w:rsidRPr="00F3410B">
              <w:t xml:space="preserve"> </w:t>
            </w:r>
            <w:r w:rsidR="005625F4" w:rsidRPr="001902A8">
              <w:t>the study was likely underpowered for this outcome</w:t>
            </w:r>
            <w:r w:rsidRPr="00D86232">
              <w:t>.</w:t>
            </w:r>
          </w:p>
        </w:tc>
        <w:tc>
          <w:tcPr>
            <w:tcW w:w="1134" w:type="dxa"/>
          </w:tcPr>
          <w:p w:rsidR="00CF5BBF" w:rsidRDefault="00CF5BBF" w:rsidP="00CF5BBF">
            <w:pPr>
              <w:pStyle w:val="Tabletext"/>
              <w:rPr>
                <w:rFonts w:eastAsia="Times New Roman" w:cs="Tahoma"/>
                <w:bCs/>
              </w:rPr>
            </w:pPr>
            <w:r>
              <w:rPr>
                <w:rFonts w:eastAsia="Times New Roman" w:cs="Tahoma"/>
                <w:bCs/>
              </w:rPr>
              <w:t>Very low</w:t>
            </w:r>
          </w:p>
          <w:p w:rsidR="00CF5BBF" w:rsidRDefault="00CF5BBF" w:rsidP="00CF5BBF">
            <w:pPr>
              <w:pStyle w:val="Tabletext"/>
              <w:rPr>
                <w:rFonts w:ascii="Cambria Math" w:eastAsia="Times New Roman" w:hAnsi="Cambria Math" w:cs="Cambria Math"/>
                <w:bCs/>
              </w:rPr>
            </w:pPr>
            <w:r w:rsidRPr="00E564DD">
              <w:rPr>
                <w:rFonts w:ascii="Cambria Math" w:eastAsia="Times New Roman" w:hAnsi="Cambria Math" w:cs="Cambria Math"/>
                <w:bCs/>
                <w:color w:val="00B050"/>
              </w:rPr>
              <w:t>⨁</w:t>
            </w:r>
            <w:r>
              <w:rPr>
                <w:rFonts w:ascii="Cambria Math" w:hAnsi="Cambria Math" w:cs="Cambria Math"/>
                <w:color w:val="C00000"/>
              </w:rPr>
              <w:t>⨀</w:t>
            </w:r>
            <w:r w:rsidRPr="00E564DD">
              <w:rPr>
                <w:rFonts w:ascii="Cambria Math" w:eastAsia="Times New Roman" w:hAnsi="Cambria Math" w:cs="Cambria Math"/>
                <w:bCs/>
                <w:color w:val="FF0000"/>
              </w:rPr>
              <w:t>⨀⨀</w:t>
            </w:r>
          </w:p>
          <w:p w:rsidR="00CF5BBF" w:rsidRPr="006316DF" w:rsidRDefault="00CF5BBF" w:rsidP="00CF5BBF">
            <w:pPr>
              <w:pStyle w:val="Tabletext"/>
            </w:pPr>
            <w:r w:rsidRPr="006316DF">
              <w:t>Important</w:t>
            </w:r>
          </w:p>
        </w:tc>
      </w:tr>
      <w:tr w:rsidR="00CF5BBF" w:rsidRPr="006316DF" w:rsidTr="00D14AB4">
        <w:tc>
          <w:tcPr>
            <w:tcW w:w="1560" w:type="dxa"/>
          </w:tcPr>
          <w:p w:rsidR="00CF5BBF" w:rsidRPr="006316DF" w:rsidRDefault="00CF5BBF" w:rsidP="00CF5BBF">
            <w:pPr>
              <w:pStyle w:val="Tabletext"/>
            </w:pPr>
            <w:r w:rsidRPr="000E45D6">
              <w:t>AEs leading to treatment discontinuation</w:t>
            </w:r>
          </w:p>
        </w:tc>
        <w:tc>
          <w:tcPr>
            <w:tcW w:w="1275" w:type="dxa"/>
          </w:tcPr>
          <w:p w:rsidR="00CF5BBF" w:rsidRPr="006316DF" w:rsidRDefault="00CF5BBF" w:rsidP="00CF5BBF">
            <w:pPr>
              <w:pStyle w:val="Tabletext"/>
            </w:pPr>
            <w:r>
              <w:t>N=33</w:t>
            </w:r>
          </w:p>
          <w:p w:rsidR="00CF5BBF" w:rsidRPr="006316DF" w:rsidRDefault="00CF5BBF" w:rsidP="00CF5BBF">
            <w:pPr>
              <w:pStyle w:val="Tabletext"/>
            </w:pPr>
            <w:r w:rsidRPr="006316DF">
              <w:t>k=</w:t>
            </w:r>
            <w:r>
              <w:t>1</w:t>
            </w:r>
            <w:r w:rsidRPr="006316DF">
              <w:t xml:space="preserve"> RCT</w:t>
            </w:r>
          </w:p>
        </w:tc>
        <w:tc>
          <w:tcPr>
            <w:tcW w:w="1701" w:type="dxa"/>
          </w:tcPr>
          <w:p w:rsidR="00CF5BBF" w:rsidRPr="006316DF" w:rsidRDefault="00CF5BBF" w:rsidP="00CF5BBF">
            <w:pPr>
              <w:pStyle w:val="Tabletext"/>
            </w:pPr>
            <w:r>
              <w:t>Risk of bias: −1</w:t>
            </w:r>
          </w:p>
          <w:p w:rsidR="00CF5BBF" w:rsidRPr="006316DF" w:rsidRDefault="00CF5BBF" w:rsidP="00CF5BBF">
            <w:pPr>
              <w:pStyle w:val="Tabletext"/>
            </w:pPr>
            <w:r w:rsidRPr="006316DF">
              <w:t>Inconsistency: 0</w:t>
            </w:r>
          </w:p>
          <w:p w:rsidR="00CF5BBF" w:rsidRPr="006316DF" w:rsidRDefault="00CF5BBF" w:rsidP="00CF5BBF">
            <w:pPr>
              <w:pStyle w:val="Tabletext"/>
            </w:pPr>
            <w:r w:rsidRPr="006316DF">
              <w:t>Indirectness: 0</w:t>
            </w:r>
          </w:p>
          <w:p w:rsidR="00CF5BBF" w:rsidRDefault="00CF5BBF" w:rsidP="00CF5BBF">
            <w:pPr>
              <w:pStyle w:val="Tabletext"/>
            </w:pPr>
            <w:r>
              <w:t>Imprecision: −2</w:t>
            </w:r>
          </w:p>
          <w:p w:rsidR="00CF5BBF" w:rsidRDefault="00CF5BBF" w:rsidP="00CF5BBF">
            <w:pPr>
              <w:pStyle w:val="Tabletext"/>
            </w:pPr>
            <w:r w:rsidRPr="006316DF">
              <w:t>Publication bias: 0</w:t>
            </w:r>
          </w:p>
          <w:p w:rsidR="00CF5BBF" w:rsidRPr="006316DF" w:rsidRDefault="00CF5BBF" w:rsidP="00CF5BBF">
            <w:pPr>
              <w:pStyle w:val="Tabletext"/>
            </w:pPr>
            <w:r>
              <w:t>Association: 0</w:t>
            </w:r>
          </w:p>
        </w:tc>
        <w:tc>
          <w:tcPr>
            <w:tcW w:w="1418" w:type="dxa"/>
          </w:tcPr>
          <w:p w:rsidR="00CF5BBF" w:rsidRPr="002812F2" w:rsidRDefault="00CF5BBF" w:rsidP="00CF5BBF">
            <w:pPr>
              <w:pStyle w:val="Tabletext"/>
            </w:pPr>
            <w:r>
              <w:t xml:space="preserve">Pooled </w:t>
            </w:r>
            <w:r w:rsidRPr="002812F2">
              <w:t xml:space="preserve">RR = </w:t>
            </w:r>
            <w:r>
              <w:t>0.50</w:t>
            </w:r>
            <w:r w:rsidRPr="002812F2">
              <w:t xml:space="preserve"> (</w:t>
            </w:r>
            <w:r>
              <w:t>95% CI 0.03</w:t>
            </w:r>
            <w:r w:rsidRPr="002812F2">
              <w:t xml:space="preserve">, </w:t>
            </w:r>
            <w:r>
              <w:t>7</w:t>
            </w:r>
            <w:r w:rsidRPr="002812F2">
              <w:t>.</w:t>
            </w:r>
            <w:r>
              <w:t>2</w:t>
            </w:r>
            <w:r w:rsidRPr="002812F2">
              <w:t>6)</w:t>
            </w:r>
          </w:p>
        </w:tc>
        <w:tc>
          <w:tcPr>
            <w:tcW w:w="2551" w:type="dxa"/>
          </w:tcPr>
          <w:p w:rsidR="00CF5BBF" w:rsidRPr="002812F2" w:rsidRDefault="00CF5BBF" w:rsidP="00CF5BBF">
            <w:pPr>
              <w:pStyle w:val="Tabletext"/>
            </w:pPr>
            <w:r>
              <w:t>Fewer</w:t>
            </w:r>
            <w:r w:rsidRPr="002812F2">
              <w:t xml:space="preserve"> patients </w:t>
            </w:r>
            <w:r>
              <w:t>needed to discontinue treatment due to</w:t>
            </w:r>
            <w:r w:rsidRPr="00424867">
              <w:t xml:space="preserve"> a</w:t>
            </w:r>
            <w:r>
              <w:t>n</w:t>
            </w:r>
            <w:r w:rsidRPr="00424867">
              <w:t xml:space="preserve"> AE with combination th</w:t>
            </w:r>
            <w:r>
              <w:t xml:space="preserve">erapy compared with monotherapy, </w:t>
            </w:r>
            <w:r w:rsidR="005625F4" w:rsidRPr="00F3410B">
              <w:t xml:space="preserve">but the </w:t>
            </w:r>
            <w:r w:rsidR="005625F4">
              <w:t>wide 95% CI indicates</w:t>
            </w:r>
            <w:r w:rsidR="005625F4" w:rsidRPr="00F3410B">
              <w:t xml:space="preserve"> </w:t>
            </w:r>
            <w:r w:rsidR="005625F4" w:rsidRPr="001902A8">
              <w:t>the study was likely underpowered for this outcome</w:t>
            </w:r>
            <w:r>
              <w:t>.</w:t>
            </w:r>
          </w:p>
        </w:tc>
        <w:tc>
          <w:tcPr>
            <w:tcW w:w="1134" w:type="dxa"/>
          </w:tcPr>
          <w:p w:rsidR="00CF5BBF" w:rsidRDefault="00CF5BBF" w:rsidP="00CF5BBF">
            <w:pPr>
              <w:pStyle w:val="Tabletext"/>
              <w:rPr>
                <w:rFonts w:eastAsia="Times New Roman" w:cs="Tahoma"/>
                <w:bCs/>
              </w:rPr>
            </w:pPr>
            <w:r>
              <w:rPr>
                <w:rFonts w:eastAsia="Times New Roman" w:cs="Tahoma"/>
                <w:bCs/>
              </w:rPr>
              <w:t>Very low</w:t>
            </w:r>
          </w:p>
          <w:p w:rsidR="00CF5BBF" w:rsidRDefault="00CF5BBF" w:rsidP="00CF5BBF">
            <w:pPr>
              <w:pStyle w:val="Tabletext"/>
              <w:rPr>
                <w:rFonts w:ascii="Cambria Math" w:eastAsia="Times New Roman" w:hAnsi="Cambria Math" w:cs="Cambria Math"/>
                <w:bCs/>
              </w:rPr>
            </w:pPr>
            <w:r w:rsidRPr="00E564DD">
              <w:rPr>
                <w:rFonts w:ascii="Cambria Math" w:eastAsia="Times New Roman" w:hAnsi="Cambria Math" w:cs="Cambria Math"/>
                <w:bCs/>
                <w:color w:val="00B050"/>
              </w:rPr>
              <w:t>⨁</w:t>
            </w:r>
            <w:r>
              <w:rPr>
                <w:rFonts w:ascii="Cambria Math" w:hAnsi="Cambria Math" w:cs="Cambria Math"/>
                <w:color w:val="C00000"/>
              </w:rPr>
              <w:t>⨀</w:t>
            </w:r>
            <w:r w:rsidRPr="00E564DD">
              <w:rPr>
                <w:rFonts w:ascii="Cambria Math" w:eastAsia="Times New Roman" w:hAnsi="Cambria Math" w:cs="Cambria Math"/>
                <w:bCs/>
                <w:color w:val="FF0000"/>
              </w:rPr>
              <w:t>⨀⨀</w:t>
            </w:r>
          </w:p>
          <w:p w:rsidR="00CF5BBF" w:rsidRPr="006316DF" w:rsidRDefault="00CF5BBF" w:rsidP="00CF5BBF">
            <w:pPr>
              <w:pStyle w:val="Tabletext"/>
            </w:pPr>
            <w:r w:rsidRPr="006316DF">
              <w:t>Important</w:t>
            </w:r>
          </w:p>
        </w:tc>
      </w:tr>
    </w:tbl>
    <w:p w:rsidR="0075777C" w:rsidRPr="006316DF" w:rsidRDefault="0075777C" w:rsidP="00D14AB4">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C05257" w:rsidRPr="00E564DD" w:rsidRDefault="00C05257" w:rsidP="00CF5BBF">
      <w:pPr>
        <w:pStyle w:val="Tablenote"/>
        <w:spacing w:after="0"/>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Low quality:</w:t>
      </w:r>
      <w:r w:rsidRPr="00E564DD">
        <w:t xml:space="preserve"> Our confidence in the effect estimate is limited: The true effect may be substantially different from the estimate of the effect</w:t>
      </w:r>
    </w:p>
    <w:p w:rsidR="00CF5BBF" w:rsidRPr="00CF5BBF" w:rsidRDefault="00CF5BBF" w:rsidP="00CF5BBF">
      <w:pPr>
        <w:spacing w:before="0" w:line="240" w:lineRule="auto"/>
        <w:contextualSpacing/>
        <w:rPr>
          <w:rFonts w:ascii="Arial Narrow" w:eastAsiaTheme="minorEastAsia" w:hAnsi="Arial Narrow" w:cs="Baskerville"/>
          <w:sz w:val="16"/>
          <w:szCs w:val="20"/>
          <w:lang w:eastAsia="en-AU"/>
        </w:rPr>
      </w:pPr>
      <w:r w:rsidRPr="00CF5BBF">
        <w:rPr>
          <w:rFonts w:ascii="Cambria Math" w:eastAsiaTheme="minorEastAsia" w:hAnsi="Cambria Math" w:cs="Cambria Math"/>
          <w:color w:val="00B050"/>
          <w:sz w:val="16"/>
          <w:szCs w:val="20"/>
          <w:lang w:eastAsia="en-AU"/>
        </w:rPr>
        <w:t>⨁</w:t>
      </w:r>
      <w:r w:rsidRPr="00CF5BBF">
        <w:rPr>
          <w:rFonts w:ascii="Cambria Math" w:eastAsiaTheme="minorEastAsia" w:hAnsi="Cambria Math" w:cs="Cambria Math"/>
          <w:color w:val="C00000"/>
          <w:sz w:val="16"/>
          <w:szCs w:val="20"/>
          <w:lang w:eastAsia="en-AU"/>
        </w:rPr>
        <w:t>⨀⨀⨀</w:t>
      </w:r>
      <w:r w:rsidRPr="00CF5BBF">
        <w:rPr>
          <w:rFonts w:ascii="Arial Narrow" w:eastAsiaTheme="minorEastAsia" w:hAnsi="Arial Narrow" w:cs="Cambria Math"/>
          <w:color w:val="C00000"/>
          <w:sz w:val="16"/>
          <w:szCs w:val="20"/>
          <w:lang w:eastAsia="en-AU"/>
        </w:rPr>
        <w:t xml:space="preserve"> </w:t>
      </w:r>
      <w:r w:rsidRPr="00CF5BBF">
        <w:rPr>
          <w:rFonts w:ascii="Arial Narrow" w:eastAsiaTheme="minorEastAsia" w:hAnsi="Arial Narrow" w:cs="Baskerville"/>
          <w:b/>
          <w:sz w:val="16"/>
          <w:szCs w:val="20"/>
          <w:lang w:eastAsia="en-AU"/>
        </w:rPr>
        <w:t>Very low quality:</w:t>
      </w:r>
      <w:r w:rsidRPr="00CF5BBF">
        <w:rPr>
          <w:rFonts w:ascii="Arial Narrow" w:eastAsiaTheme="minorEastAsia" w:hAnsi="Arial Narrow" w:cs="Baskerville"/>
          <w:sz w:val="16"/>
          <w:szCs w:val="20"/>
          <w:lang w:eastAsia="en-AU"/>
        </w:rPr>
        <w:t xml:space="preserve"> We have very little confidence in the effect estimate: The true effect is likely to be substantially different from the estimate of effect</w:t>
      </w:r>
    </w:p>
    <w:p w:rsidR="00C83CA7" w:rsidRPr="006316DF" w:rsidRDefault="0075777C" w:rsidP="00D14AB4">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C83CA7" w:rsidRPr="00DC16A3">
        <w:t xml:space="preserve">; </w:t>
      </w:r>
      <w:r w:rsidR="00C83CA7">
        <w:t xml:space="preserve">k = number of studies; </w:t>
      </w:r>
      <w:r>
        <w:t xml:space="preserve">N = number of patients; </w:t>
      </w:r>
      <w:r w:rsidRPr="009123E2">
        <w:t>PAH</w:t>
      </w:r>
      <w:r>
        <w:t xml:space="preserve"> = p</w:t>
      </w:r>
      <w:r w:rsidRPr="009123E2">
        <w:t xml:space="preserve">ulmonary </w:t>
      </w:r>
      <w:r>
        <w:t>a</w:t>
      </w:r>
      <w:r w:rsidRPr="009123E2">
        <w:t xml:space="preserve">rterial </w:t>
      </w:r>
      <w:r>
        <w:t>h</w:t>
      </w:r>
      <w:r w:rsidRPr="009123E2">
        <w:t>ypertension</w:t>
      </w:r>
      <w:r>
        <w:t>; RCT = randomised controlled trial; RR = relative risk; WHO = World Health Organization</w:t>
      </w:r>
    </w:p>
    <w:p w:rsidR="0075777C" w:rsidRPr="006316DF" w:rsidRDefault="000E0079" w:rsidP="0075777C">
      <w:pPr>
        <w:pStyle w:val="Heading4"/>
      </w:pPr>
      <w:r>
        <w:t>4.5.3.3</w:t>
      </w:r>
      <w:r>
        <w:tab/>
      </w:r>
      <w:r w:rsidR="0075777C" w:rsidRPr="0045581A">
        <w:t xml:space="preserve">PDE-5 inhibitor in addition to </w:t>
      </w:r>
      <w:r w:rsidR="0075777C">
        <w:t>ERA</w:t>
      </w:r>
    </w:p>
    <w:p w:rsidR="0075777C" w:rsidRPr="00107676" w:rsidRDefault="0075777C" w:rsidP="0075777C">
      <w:pPr>
        <w:pStyle w:val="Heading5"/>
      </w:pPr>
      <w:r w:rsidRPr="00107676">
        <w:t>Clinical effectiveness</w:t>
      </w:r>
    </w:p>
    <w:p w:rsidR="0075777C" w:rsidRDefault="0075777C" w:rsidP="0075777C">
      <w:r>
        <w:t xml:space="preserve">Of the five RCTs that provided the evidence base for </w:t>
      </w:r>
      <w:r w:rsidRPr="000522D6">
        <w:t xml:space="preserve">comparing </w:t>
      </w:r>
      <w:r>
        <w:t xml:space="preserve">the effectiveness of </w:t>
      </w:r>
      <w:r w:rsidRPr="000522D6">
        <w:t>a PDE-5 inhibitor</w:t>
      </w:r>
      <w:r>
        <w:t xml:space="preserve"> </w:t>
      </w:r>
      <w:r w:rsidRPr="000522D6">
        <w:t xml:space="preserve">in addition to </w:t>
      </w:r>
      <w:r>
        <w:t xml:space="preserve">an </w:t>
      </w:r>
      <w:r w:rsidRPr="000522D6">
        <w:t xml:space="preserve">ERA </w:t>
      </w:r>
      <w:r>
        <w:t>compared with</w:t>
      </w:r>
      <w:r w:rsidRPr="000522D6">
        <w:t xml:space="preserve"> </w:t>
      </w:r>
      <w:r>
        <w:t>ERA</w:t>
      </w:r>
      <w:r w:rsidRPr="000522D6">
        <w:t xml:space="preserve"> monotherapy</w:t>
      </w:r>
      <w:r>
        <w:t>, four trials enrolled patients on stable ERA monotherapy (sequential combination therapy) and one trial (AMBITION) enrolled treatment naïve patients (initial combination therapy). There were no statistically significant differences between the outcomes for patients receiving initial combination therapy versus monotherapy for the AMBITION trial compared with the other four trials with patients receiving sequential combination therapy versus monotherapy. Additionally, tw</w:t>
      </w:r>
      <w:r w:rsidRPr="00A14F28">
        <w:t xml:space="preserve">o RCTs also included subgroup analysis for patients with WHO FC III/IV PAH, and </w:t>
      </w:r>
      <w:r>
        <w:t>three</w:t>
      </w:r>
      <w:r w:rsidRPr="00A14F28">
        <w:t xml:space="preserve"> RCTs included subgroup analysis for patients with different PAH aetiologies.</w:t>
      </w:r>
    </w:p>
    <w:p w:rsidR="0075777C"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the outcomes when comparing a </w:t>
      </w:r>
      <w:r w:rsidRPr="00BE19DA">
        <w:t xml:space="preserve">PDE-5 inhibitor in addition to an ERA compared with ERA monotherapy </w:t>
      </w:r>
      <w:proofErr w:type="gramStart"/>
      <w:r w:rsidRPr="006316DF">
        <w:t>are reported</w:t>
      </w:r>
      <w:proofErr w:type="gramEnd"/>
      <w:r w:rsidRPr="006316DF">
        <w:t xml:space="preserve"> in </w:t>
      </w:r>
      <w:r w:rsidR="003951FA">
        <w:t>Table 4.</w:t>
      </w:r>
      <w:r w:rsidR="003951FA">
        <w:rPr>
          <w:noProof/>
        </w:rPr>
        <w:t>156</w:t>
      </w:r>
      <w:r>
        <w:t xml:space="preserve"> to </w:t>
      </w:r>
      <w:r w:rsidR="003951FA">
        <w:t>Table 4.</w:t>
      </w:r>
      <w:r w:rsidR="003951FA">
        <w:rPr>
          <w:noProof/>
        </w:rPr>
        <w:t>158</w:t>
      </w:r>
      <w:r>
        <w:t xml:space="preserve"> </w:t>
      </w:r>
      <w:r w:rsidRPr="006316DF">
        <w:t xml:space="preserve">in Appendix </w:t>
      </w:r>
      <w:r w:rsidR="00DA2636">
        <w:t>4</w:t>
      </w:r>
      <w:r w:rsidR="001B552D">
        <w:t>C</w:t>
      </w:r>
      <w:r w:rsidRPr="006316DF">
        <w:t xml:space="preserve">. A summary of these results </w:t>
      </w:r>
      <w:r>
        <w:t xml:space="preserve">for all PAH patients with </w:t>
      </w:r>
      <w:r w:rsidRPr="006316DF">
        <w:t>is provided in</w:t>
      </w:r>
      <w:r>
        <w:t xml:space="preserve"> </w:t>
      </w:r>
      <w:r w:rsidR="003951FA">
        <w:t>Table 4.</w:t>
      </w:r>
      <w:r w:rsidR="003951FA">
        <w:rPr>
          <w:noProof/>
        </w:rPr>
        <w:t>130</w:t>
      </w:r>
      <w:r>
        <w:t>.</w:t>
      </w:r>
    </w:p>
    <w:p w:rsidR="0075777C" w:rsidRPr="006316DF" w:rsidRDefault="0075777C" w:rsidP="0075777C">
      <w:r w:rsidRPr="006316DF">
        <w:t xml:space="preserve">The evidence for </w:t>
      </w:r>
      <w:r>
        <w:t>all</w:t>
      </w:r>
      <w:r w:rsidRPr="006316DF">
        <w:t xml:space="preserve"> </w:t>
      </w:r>
      <w:r>
        <w:t xml:space="preserve">outcomes </w:t>
      </w:r>
      <w:proofErr w:type="gramStart"/>
      <w:r w:rsidRPr="006316DF">
        <w:t>was considered</w:t>
      </w:r>
      <w:proofErr w:type="gramEnd"/>
      <w:r w:rsidRPr="006316DF">
        <w:t xml:space="preserve"> to be of </w:t>
      </w:r>
      <w:r>
        <w:t>high</w:t>
      </w:r>
      <w:r w:rsidRPr="006316DF">
        <w:t xml:space="preserve"> quality (GRADE </w:t>
      </w:r>
      <w:r w:rsidRPr="008727D6">
        <w:rPr>
          <w:rFonts w:ascii="Cambria Math" w:eastAsia="Times New Roman" w:hAnsi="Cambria Math" w:cs="Tahoma"/>
          <w:bCs/>
          <w:color w:val="00B050"/>
        </w:rPr>
        <w:t>⨁⨁⨁⨁</w:t>
      </w:r>
      <w:r w:rsidRPr="008727D6">
        <w:t>), except for all-cause mortality</w:t>
      </w:r>
      <w:r w:rsidRPr="006316DF">
        <w:t xml:space="preserve"> (</w:t>
      </w:r>
      <w:r w:rsidR="00300A41" w:rsidRPr="006316DF">
        <w:t xml:space="preserve">moderate </w:t>
      </w:r>
      <w:r w:rsidRPr="006316DF">
        <w:t xml:space="preserve">GRADE </w:t>
      </w:r>
      <w:r w:rsidRPr="008727D6">
        <w:rPr>
          <w:rFonts w:ascii="Cambria Math" w:eastAsia="Times New Roman" w:hAnsi="Cambria Math" w:cs="Tahoma"/>
          <w:bCs/>
          <w:color w:val="00B050"/>
        </w:rPr>
        <w:t>⨁⨁⨁</w:t>
      </w:r>
      <w:r w:rsidRPr="008727D6">
        <w:rPr>
          <w:rFonts w:ascii="Cambria Math" w:eastAsia="Times New Roman" w:hAnsi="Cambria Math" w:cs="Cambria Math"/>
          <w:bCs/>
          <w:color w:val="C00000"/>
        </w:rPr>
        <w:t>⨀</w:t>
      </w:r>
      <w:r w:rsidRPr="008727D6">
        <w:t>)</w:t>
      </w:r>
      <w:r w:rsidR="00300A41">
        <w:t xml:space="preserve"> and change in haemodynamic parameters </w:t>
      </w:r>
      <w:r w:rsidR="00300A41" w:rsidRPr="006316DF">
        <w:t>(</w:t>
      </w:r>
      <w:r w:rsidR="00300A41">
        <w:t>low</w:t>
      </w:r>
      <w:r w:rsidR="00300A41" w:rsidRPr="006316DF">
        <w:t xml:space="preserve"> GRADE </w:t>
      </w:r>
      <w:r w:rsidR="00300A41" w:rsidRPr="008727D6">
        <w:rPr>
          <w:rFonts w:ascii="Cambria Math" w:eastAsia="Times New Roman" w:hAnsi="Cambria Math" w:cs="Tahoma"/>
          <w:bCs/>
          <w:color w:val="00B050"/>
        </w:rPr>
        <w:t>⨁⨁</w:t>
      </w:r>
      <w:r w:rsidR="00300A41" w:rsidRPr="008727D6">
        <w:rPr>
          <w:rFonts w:ascii="Cambria Math" w:eastAsia="Times New Roman" w:hAnsi="Cambria Math" w:cs="Cambria Math"/>
          <w:bCs/>
          <w:color w:val="C00000"/>
        </w:rPr>
        <w:t>⨀⨀</w:t>
      </w:r>
      <w:r w:rsidR="00300A41" w:rsidRPr="008727D6">
        <w:t>)</w:t>
      </w:r>
      <w:r w:rsidRPr="008727D6">
        <w:t>.</w:t>
      </w:r>
    </w:p>
    <w:p w:rsidR="0075777C" w:rsidRPr="006316DF" w:rsidRDefault="0075777C" w:rsidP="0075777C">
      <w:r w:rsidRPr="006316DF">
        <w:t xml:space="preserve">When taking </w:t>
      </w:r>
      <w:r>
        <w:t>the whole body of evidence</w:t>
      </w:r>
      <w:r w:rsidRPr="006316DF">
        <w:t xml:space="preserve"> into account, the number of patients experiencing clinical worsening </w:t>
      </w:r>
      <w:r w:rsidR="00116EDA">
        <w:t xml:space="preserve">and hospitalisation due to PAH </w:t>
      </w:r>
      <w:proofErr w:type="gramStart"/>
      <w:r w:rsidRPr="006316DF">
        <w:t xml:space="preserve">would be </w:t>
      </w:r>
      <w:r>
        <w:t xml:space="preserve">significantly </w:t>
      </w:r>
      <w:r w:rsidRPr="006316DF">
        <w:t>red</w:t>
      </w:r>
      <w:r>
        <w:t>uced</w:t>
      </w:r>
      <w:proofErr w:type="gramEnd"/>
      <w:r>
        <w:t xml:space="preserve"> when taking a</w:t>
      </w:r>
      <w:r w:rsidRPr="006316DF">
        <w:t xml:space="preserve"> </w:t>
      </w:r>
      <w:r w:rsidRPr="002332A9">
        <w:t>PDE-5 inhibitor in addition to an ERA compared with ERA monotherapy</w:t>
      </w:r>
      <w:r w:rsidRPr="006316DF">
        <w:t xml:space="preserve">. All </w:t>
      </w:r>
      <w:r>
        <w:t xml:space="preserve">other </w:t>
      </w:r>
      <w:r w:rsidRPr="006316DF">
        <w:t xml:space="preserve">outcomes </w:t>
      </w:r>
      <w:r>
        <w:t xml:space="preserve">also </w:t>
      </w:r>
      <w:r w:rsidRPr="006316DF">
        <w:t>favour</w:t>
      </w:r>
      <w:r>
        <w:t>ed</w:t>
      </w:r>
      <w:r w:rsidRPr="006316DF">
        <w:t xml:space="preserve"> the use of </w:t>
      </w:r>
      <w:r>
        <w:t>combination therapy</w:t>
      </w:r>
      <w:r w:rsidRPr="006316DF">
        <w:t xml:space="preserve"> over </w:t>
      </w:r>
      <w:r>
        <w:t>monotherapy</w:t>
      </w:r>
      <w:r w:rsidRPr="006316DF">
        <w:t xml:space="preserve">, but the range of point estimates included in the </w:t>
      </w:r>
      <w:r w:rsidR="00D84687">
        <w:t>95% CI indicates</w:t>
      </w:r>
      <w:r w:rsidRPr="006316DF">
        <w:t xml:space="preserve"> that a lack of effect </w:t>
      </w:r>
      <w:r>
        <w:t xml:space="preserve">or an opposite effect </w:t>
      </w:r>
      <w:proofErr w:type="gramStart"/>
      <w:r w:rsidRPr="006316DF">
        <w:t>cannot be ruled out</w:t>
      </w:r>
      <w:proofErr w:type="gramEnd"/>
      <w:r w:rsidRPr="006316DF">
        <w:t xml:space="preserve">. </w:t>
      </w:r>
      <w:r>
        <w:t>The mean difference in haemodynamic parameters and 6MWD favoured combination therapy over monotherapy but the size of the differences were not clinically important</w:t>
      </w:r>
      <w:r w:rsidR="00300A41">
        <w:t>, except in one out of five studies reporting the change in 6MWD</w:t>
      </w:r>
      <w:r>
        <w:t>.</w:t>
      </w:r>
    </w:p>
    <w:p w:rsidR="0075777C" w:rsidRDefault="0075777C" w:rsidP="0075777C">
      <w:r w:rsidRPr="006316DF">
        <w:t xml:space="preserve">Thus, </w:t>
      </w:r>
      <w:r w:rsidRPr="00C84392">
        <w:t xml:space="preserve">there </w:t>
      </w:r>
      <w:r w:rsidR="00D14AB4" w:rsidRPr="00C84392">
        <w:t>is</w:t>
      </w:r>
      <w:r w:rsidRPr="00C84392">
        <w:t xml:space="preserve"> </w:t>
      </w:r>
      <w:r w:rsidR="0074627B" w:rsidRPr="00C84392">
        <w:t>some evidence to suggest</w:t>
      </w:r>
      <w:r w:rsidR="0074627B">
        <w:t xml:space="preserve"> that</w:t>
      </w:r>
      <w:r w:rsidRPr="000522D6">
        <w:t xml:space="preserve"> </w:t>
      </w:r>
      <w:r w:rsidR="00D14AB4">
        <w:t>the use of a</w:t>
      </w:r>
      <w:r w:rsidRPr="006316DF">
        <w:t xml:space="preserve"> </w:t>
      </w:r>
      <w:r w:rsidRPr="00D00AC2">
        <w:t>PDE-5 inhibitor in addition to an ERA</w:t>
      </w:r>
      <w:r w:rsidRPr="000522D6">
        <w:t xml:space="preserve">, relative to </w:t>
      </w:r>
      <w:r>
        <w:t>ERA</w:t>
      </w:r>
      <w:r w:rsidRPr="000522D6">
        <w:t xml:space="preserve"> monotherapy </w:t>
      </w:r>
      <w:r w:rsidRPr="006316DF">
        <w:t xml:space="preserve">to treat </w:t>
      </w:r>
      <w:r>
        <w:t xml:space="preserve">PAH patients </w:t>
      </w:r>
      <w:r w:rsidR="006A32C5">
        <w:t>is likely to be beneficial.</w:t>
      </w:r>
    </w:p>
    <w:p w:rsidR="0075777C" w:rsidRPr="006316DF" w:rsidRDefault="00272F8F" w:rsidP="00BC5A2B">
      <w:pPr>
        <w:pStyle w:val="Caption"/>
      </w:pPr>
      <w:bookmarkStart w:id="367" w:name="_Ref505777449"/>
      <w:bookmarkStart w:id="368" w:name="_Toc38360427"/>
      <w:r>
        <w:t>Table 4.</w:t>
      </w:r>
      <w:r w:rsidR="003951FA">
        <w:rPr>
          <w:noProof/>
        </w:rPr>
        <w:t>130</w:t>
      </w:r>
      <w:bookmarkEnd w:id="367"/>
      <w:r w:rsidR="00D14AB4">
        <w:tab/>
      </w:r>
      <w:r w:rsidR="0075777C" w:rsidRPr="006316DF">
        <w:t xml:space="preserve">Balance of clinical benefits of </w:t>
      </w:r>
      <w:r w:rsidR="001B552D">
        <w:t xml:space="preserve">a </w:t>
      </w:r>
      <w:r w:rsidR="0075777C" w:rsidRPr="0045581A">
        <w:t xml:space="preserve">PDE-5 inhibitor in addition to </w:t>
      </w:r>
      <w:r w:rsidR="001B552D">
        <w:t xml:space="preserve">an </w:t>
      </w:r>
      <w:r w:rsidR="0075777C" w:rsidRPr="006316DF">
        <w:t xml:space="preserve">ERA, relative to </w:t>
      </w:r>
      <w:r w:rsidR="0075777C">
        <w:t>ERA</w:t>
      </w:r>
      <w:r w:rsidR="0075777C" w:rsidRPr="002D77B1">
        <w:t xml:space="preserve"> </w:t>
      </w:r>
      <w:r w:rsidR="0075777C">
        <w:t>monotherapy in all PAH patients</w:t>
      </w:r>
      <w:bookmarkEnd w:id="368"/>
    </w:p>
    <w:tbl>
      <w:tblPr>
        <w:tblStyle w:val="TableGrid"/>
        <w:tblW w:w="9634" w:type="dxa"/>
        <w:tblLayout w:type="fixed"/>
        <w:tblLook w:val="04A0" w:firstRow="1" w:lastRow="0" w:firstColumn="1" w:lastColumn="0" w:noHBand="0" w:noVBand="1"/>
        <w:tblCaption w:val="Balance of clinical benefits of a PDE-5 inhibitor in addition to an ERA, relative to ERA monotherapy in all PAH patients"/>
      </w:tblPr>
      <w:tblGrid>
        <w:gridCol w:w="1560"/>
        <w:gridCol w:w="1275"/>
        <w:gridCol w:w="1701"/>
        <w:gridCol w:w="1413"/>
        <w:gridCol w:w="2551"/>
        <w:gridCol w:w="1134"/>
      </w:tblGrid>
      <w:tr w:rsidR="0075777C" w:rsidRPr="000647C6" w:rsidTr="00D14AB4">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3"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33164F" w:rsidRPr="0033164F">
              <w:rPr>
                <w:b/>
                <w:noProof/>
                <w:vertAlign w:val="superscript"/>
              </w:rPr>
              <w:t>a</w:t>
            </w:r>
          </w:p>
          <w:p w:rsidR="0075777C" w:rsidRPr="000647C6" w:rsidRDefault="0075777C" w:rsidP="000647C6">
            <w:pPr>
              <w:pStyle w:val="Tabletext"/>
              <w:rPr>
                <w:b/>
                <w:noProof/>
              </w:rPr>
            </w:pPr>
            <w:r w:rsidRPr="000647C6">
              <w:rPr>
                <w:b/>
                <w:noProof/>
              </w:rPr>
              <w:t>Importance</w:t>
            </w:r>
          </w:p>
        </w:tc>
      </w:tr>
      <w:tr w:rsidR="0075777C" w:rsidRPr="006316DF" w:rsidTr="00D14AB4">
        <w:tc>
          <w:tcPr>
            <w:tcW w:w="1560" w:type="dxa"/>
          </w:tcPr>
          <w:p w:rsidR="0075777C" w:rsidRPr="006316DF" w:rsidRDefault="0075777C" w:rsidP="000647C6">
            <w:pPr>
              <w:pStyle w:val="Tabletext"/>
            </w:pPr>
            <w:r w:rsidRPr="006316DF">
              <w:t xml:space="preserve">Clinical worsening </w:t>
            </w:r>
          </w:p>
        </w:tc>
        <w:tc>
          <w:tcPr>
            <w:tcW w:w="1275" w:type="dxa"/>
          </w:tcPr>
          <w:p w:rsidR="0075777C" w:rsidRPr="006316DF" w:rsidRDefault="0075777C" w:rsidP="000647C6">
            <w:pPr>
              <w:pStyle w:val="Tabletext"/>
            </w:pPr>
            <w:r w:rsidRPr="006316DF">
              <w:t>N=</w:t>
            </w:r>
            <w:r>
              <w:t>694</w:t>
            </w:r>
          </w:p>
          <w:p w:rsidR="0075777C" w:rsidRPr="006316DF" w:rsidRDefault="0075777C" w:rsidP="000647C6">
            <w:pPr>
              <w:pStyle w:val="Tabletext"/>
            </w:pPr>
            <w:r w:rsidRPr="006316DF">
              <w:t>k=</w:t>
            </w:r>
            <w:r>
              <w:t>4</w:t>
            </w:r>
            <w:r w:rsidRPr="006316DF">
              <w:t xml:space="preserve"> RCTs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+1</w:t>
            </w:r>
          </w:p>
        </w:tc>
        <w:tc>
          <w:tcPr>
            <w:tcW w:w="1413" w:type="dxa"/>
          </w:tcPr>
          <w:p w:rsidR="0075777C" w:rsidRPr="00146C41" w:rsidRDefault="0075777C" w:rsidP="000647C6">
            <w:pPr>
              <w:pStyle w:val="Tabletext"/>
            </w:pPr>
            <w:r w:rsidRPr="00146C41">
              <w:t>Pooled RR = 0.</w:t>
            </w:r>
            <w:r>
              <w:t>53</w:t>
            </w:r>
            <w:r w:rsidRPr="00146C41">
              <w:t xml:space="preserve"> (95% CI 0.</w:t>
            </w:r>
            <w:r>
              <w:t>38</w:t>
            </w:r>
            <w:r w:rsidRPr="00146C41">
              <w:t>, 0.</w:t>
            </w:r>
            <w:r>
              <w:t>73</w:t>
            </w:r>
            <w:r w:rsidRPr="00146C41">
              <w:t>)</w:t>
            </w:r>
          </w:p>
        </w:tc>
        <w:tc>
          <w:tcPr>
            <w:tcW w:w="2551" w:type="dxa"/>
          </w:tcPr>
          <w:p w:rsidR="0075777C" w:rsidRPr="00146C41" w:rsidRDefault="0075777C" w:rsidP="000647C6">
            <w:pPr>
              <w:pStyle w:val="Tabletext"/>
            </w:pPr>
            <w:r>
              <w:t xml:space="preserve">Significantly fewer </w:t>
            </w:r>
            <w:r w:rsidRPr="00146C41">
              <w:t xml:space="preserve">patients </w:t>
            </w:r>
            <w:r>
              <w:t xml:space="preserve">on </w:t>
            </w:r>
            <w:r w:rsidRPr="00146C41">
              <w:t>combination therapy experience</w:t>
            </w:r>
            <w:r>
              <w:t>d</w:t>
            </w:r>
            <w:r w:rsidRPr="00146C41">
              <w:t xml:space="preserve"> clinical worsening compared with monotherapy</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rPr>
                <w:rFonts w:cs="Cambria Math"/>
                <w:bCs/>
              </w:rPr>
              <w:t xml:space="preserve">Critical </w:t>
            </w:r>
          </w:p>
        </w:tc>
      </w:tr>
      <w:tr w:rsidR="0075777C" w:rsidRPr="006316DF" w:rsidTr="00D14AB4">
        <w:tc>
          <w:tcPr>
            <w:tcW w:w="1560" w:type="dxa"/>
          </w:tcPr>
          <w:p w:rsidR="0075777C" w:rsidRPr="006316DF" w:rsidRDefault="0075777C" w:rsidP="000647C6">
            <w:pPr>
              <w:pStyle w:val="Tabletext"/>
            </w:pPr>
            <w:r w:rsidRPr="006316DF">
              <w:t>All-cause mortality</w:t>
            </w:r>
          </w:p>
        </w:tc>
        <w:tc>
          <w:tcPr>
            <w:tcW w:w="1275" w:type="dxa"/>
          </w:tcPr>
          <w:p w:rsidR="0075777C" w:rsidRPr="006316DF" w:rsidRDefault="0075777C" w:rsidP="000647C6">
            <w:pPr>
              <w:pStyle w:val="Tabletext"/>
            </w:pPr>
            <w:r w:rsidRPr="006316DF">
              <w:t>N=6</w:t>
            </w:r>
            <w:r>
              <w:t>82</w:t>
            </w:r>
          </w:p>
          <w:p w:rsidR="0075777C" w:rsidRPr="006316DF" w:rsidRDefault="0075777C" w:rsidP="000647C6">
            <w:pPr>
              <w:pStyle w:val="Tabletext"/>
            </w:pPr>
            <w:r w:rsidRPr="006316DF">
              <w:t>k=</w:t>
            </w:r>
            <w:r>
              <w:t>3</w:t>
            </w:r>
            <w:r w:rsidRPr="006316DF">
              <w:t xml:space="preserve"> RCTs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 xml:space="preserve">Inconsistency: </w:t>
            </w:r>
            <w:r w:rsidR="00F42EBF">
              <w:t>0</w:t>
            </w:r>
          </w:p>
          <w:p w:rsidR="0075777C" w:rsidRPr="006316DF" w:rsidRDefault="0075777C" w:rsidP="000647C6">
            <w:pPr>
              <w:pStyle w:val="Tabletext"/>
            </w:pPr>
            <w:r w:rsidRPr="006316DF">
              <w:t>Indirectness: 0</w:t>
            </w:r>
          </w:p>
          <w:p w:rsidR="0075777C" w:rsidRDefault="00B97B32" w:rsidP="000647C6">
            <w:pPr>
              <w:pStyle w:val="Tabletext"/>
            </w:pPr>
            <w:r>
              <w:t>Imprecision: −2</w:t>
            </w:r>
          </w:p>
          <w:p w:rsidR="0075777C" w:rsidRDefault="0075777C" w:rsidP="000647C6">
            <w:pPr>
              <w:pStyle w:val="Tabletext"/>
            </w:pPr>
            <w:r w:rsidRPr="006316DF">
              <w:t>Publication bias: 0</w:t>
            </w:r>
          </w:p>
          <w:p w:rsidR="0075777C" w:rsidRPr="006316DF" w:rsidRDefault="0075777C" w:rsidP="000647C6">
            <w:pPr>
              <w:pStyle w:val="Tabletext"/>
            </w:pPr>
            <w:r>
              <w:t>Association: +1</w:t>
            </w:r>
          </w:p>
        </w:tc>
        <w:tc>
          <w:tcPr>
            <w:tcW w:w="1413" w:type="dxa"/>
          </w:tcPr>
          <w:p w:rsidR="0075777C" w:rsidRPr="00146C41" w:rsidRDefault="0075777C" w:rsidP="000647C6">
            <w:pPr>
              <w:pStyle w:val="Tabletext"/>
            </w:pPr>
            <w:r w:rsidRPr="00146C41">
              <w:t>Pooled RR = 0.</w:t>
            </w:r>
            <w:r>
              <w:t>64</w:t>
            </w:r>
            <w:r w:rsidRPr="00146C41">
              <w:t xml:space="preserve"> (95% CI 0.</w:t>
            </w:r>
            <w:r>
              <w:t>18</w:t>
            </w:r>
            <w:r w:rsidRPr="00146C41">
              <w:t xml:space="preserve">, </w:t>
            </w:r>
            <w:r>
              <w:t>2</w:t>
            </w:r>
            <w:r w:rsidRPr="00146C41">
              <w:t>.</w:t>
            </w:r>
            <w:r>
              <w:t>3</w:t>
            </w:r>
            <w:r w:rsidRPr="00146C41">
              <w:t>6)</w:t>
            </w:r>
          </w:p>
        </w:tc>
        <w:tc>
          <w:tcPr>
            <w:tcW w:w="2551" w:type="dxa"/>
          </w:tcPr>
          <w:p w:rsidR="0075777C" w:rsidRPr="00146C41" w:rsidRDefault="0075777C" w:rsidP="000647C6">
            <w:pPr>
              <w:pStyle w:val="Tabletext"/>
            </w:pPr>
            <w:r>
              <w:t>F</w:t>
            </w:r>
            <w:r w:rsidRPr="00146C41">
              <w:t>ewer patients die</w:t>
            </w:r>
            <w:r>
              <w:t>d</w:t>
            </w:r>
            <w:r w:rsidRPr="00146C41">
              <w:t xml:space="preserve"> from any cause with combination therapy compared with monotherapy, but the </w:t>
            </w:r>
            <w:r w:rsidR="00D84687">
              <w:t>95% CI indicates</w:t>
            </w:r>
            <w:r w:rsidRPr="00146C41">
              <w:t xml:space="preserve"> that there may also be no or the opposite effect.</w:t>
            </w:r>
          </w:p>
        </w:tc>
        <w:tc>
          <w:tcPr>
            <w:tcW w:w="1134" w:type="dxa"/>
          </w:tcPr>
          <w:p w:rsidR="00B97B32" w:rsidRPr="006316DF" w:rsidRDefault="00B97B32" w:rsidP="00B97B32">
            <w:pPr>
              <w:pStyle w:val="Tabletext"/>
            </w:pPr>
            <w:r>
              <w:t>Moderate</w:t>
            </w:r>
          </w:p>
          <w:p w:rsidR="00B97B32" w:rsidRPr="006316DF" w:rsidRDefault="00B97B32" w:rsidP="00B97B32">
            <w:pPr>
              <w:pStyle w:val="Tabletext"/>
              <w:rPr>
                <w:rFonts w:cs="Cambria Math"/>
                <w:bCs/>
              </w:rPr>
            </w:pPr>
            <w:r w:rsidRPr="006316DF">
              <w:rPr>
                <w:rFonts w:ascii="Cambria Math" w:hAnsi="Cambria Math" w:cs="Cambria Math"/>
                <w:bCs/>
                <w:color w:val="00B050"/>
              </w:rPr>
              <w:t>⨁⨁⨁</w:t>
            </w:r>
            <w:r w:rsidRPr="006316DF">
              <w:rPr>
                <w:rFonts w:ascii="Cambria Math" w:hAnsi="Cambria Math" w:cs="Cambria Math"/>
                <w:color w:val="C00000"/>
              </w:rPr>
              <w:t>⨀</w:t>
            </w:r>
          </w:p>
          <w:p w:rsidR="0075777C" w:rsidRPr="006316DF" w:rsidRDefault="0075777C" w:rsidP="000647C6">
            <w:pPr>
              <w:pStyle w:val="Tabletext"/>
            </w:pPr>
            <w:r w:rsidRPr="006316DF">
              <w:t>Critical</w:t>
            </w:r>
          </w:p>
        </w:tc>
      </w:tr>
      <w:tr w:rsidR="0075777C" w:rsidRPr="006316DF" w:rsidTr="00D14AB4">
        <w:tc>
          <w:tcPr>
            <w:tcW w:w="1560" w:type="dxa"/>
          </w:tcPr>
          <w:p w:rsidR="0075777C" w:rsidRPr="006316DF" w:rsidRDefault="0075777C" w:rsidP="000647C6">
            <w:pPr>
              <w:pStyle w:val="Tabletext"/>
            </w:pPr>
            <w:r>
              <w:t>Hospitalisation</w:t>
            </w:r>
            <w:r w:rsidR="00951198">
              <w:t xml:space="preserve"> due to </w:t>
            </w:r>
            <w:r w:rsidR="00B97B32">
              <w:t xml:space="preserve">worsening </w:t>
            </w:r>
            <w:r w:rsidR="00951198">
              <w:t>PAH</w:t>
            </w:r>
          </w:p>
        </w:tc>
        <w:tc>
          <w:tcPr>
            <w:tcW w:w="1275" w:type="dxa"/>
          </w:tcPr>
          <w:p w:rsidR="0075777C" w:rsidRPr="006316DF" w:rsidRDefault="0075777C" w:rsidP="000647C6">
            <w:pPr>
              <w:pStyle w:val="Tabletext"/>
            </w:pPr>
            <w:r w:rsidRPr="006316DF">
              <w:t>N=6</w:t>
            </w:r>
            <w:r>
              <w:t>07</w:t>
            </w:r>
          </w:p>
          <w:p w:rsidR="0075777C" w:rsidRPr="006316DF" w:rsidRDefault="0075777C" w:rsidP="000647C6">
            <w:pPr>
              <w:pStyle w:val="Tabletext"/>
            </w:pPr>
            <w:r w:rsidRPr="006316DF">
              <w:t>k=</w:t>
            </w:r>
            <w:r>
              <w:t>3</w:t>
            </w:r>
            <w:r w:rsidRPr="006316DF">
              <w:t xml:space="preserve"> RCTs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 xml:space="preserve">Inconsistency: </w:t>
            </w:r>
            <w:r>
              <w:t>0</w:t>
            </w:r>
          </w:p>
          <w:p w:rsidR="0075777C" w:rsidRPr="006316DF" w:rsidRDefault="0075777C" w:rsidP="000647C6">
            <w:pPr>
              <w:pStyle w:val="Tabletext"/>
            </w:pPr>
            <w:r w:rsidRPr="006316DF">
              <w:t>Indirectness: 0</w:t>
            </w:r>
          </w:p>
          <w:p w:rsidR="0075777C" w:rsidRDefault="0075777C" w:rsidP="000647C6">
            <w:pPr>
              <w:pStyle w:val="Tabletext"/>
            </w:pPr>
            <w:r>
              <w:t>Imprecision: 0</w:t>
            </w:r>
          </w:p>
          <w:p w:rsidR="0075777C" w:rsidRDefault="0075777C" w:rsidP="000647C6">
            <w:pPr>
              <w:pStyle w:val="Tabletext"/>
            </w:pPr>
            <w:r w:rsidRPr="006316DF">
              <w:t>Publication bias: 0</w:t>
            </w:r>
          </w:p>
          <w:p w:rsidR="0075777C" w:rsidRDefault="0075777C" w:rsidP="00394D5B">
            <w:pPr>
              <w:pStyle w:val="Tabletext"/>
            </w:pPr>
            <w:r>
              <w:t xml:space="preserve">Association: </w:t>
            </w:r>
            <w:r w:rsidR="00394D5B">
              <w:t>+1</w:t>
            </w:r>
          </w:p>
        </w:tc>
        <w:tc>
          <w:tcPr>
            <w:tcW w:w="1413" w:type="dxa"/>
          </w:tcPr>
          <w:p w:rsidR="0075777C" w:rsidRDefault="0075777C" w:rsidP="00951198">
            <w:pPr>
              <w:pStyle w:val="Tabletext"/>
            </w:pPr>
            <w:r w:rsidRPr="00146C41">
              <w:t>Pooled RR = 0.</w:t>
            </w:r>
            <w:r w:rsidR="00951198">
              <w:t>42</w:t>
            </w:r>
            <w:r>
              <w:t xml:space="preserve"> (95% CI 0.</w:t>
            </w:r>
            <w:r w:rsidR="00951198">
              <w:t>2</w:t>
            </w:r>
            <w:r>
              <w:t>5</w:t>
            </w:r>
            <w:r w:rsidRPr="00146C41">
              <w:t xml:space="preserve">, </w:t>
            </w:r>
            <w:r>
              <w:t>0</w:t>
            </w:r>
            <w:r w:rsidR="00951198">
              <w:t>.</w:t>
            </w:r>
            <w:r>
              <w:t>7</w:t>
            </w:r>
            <w:r w:rsidR="00951198">
              <w:t>0</w:t>
            </w:r>
            <w:r w:rsidRPr="00146C41">
              <w:t>)</w:t>
            </w:r>
          </w:p>
        </w:tc>
        <w:tc>
          <w:tcPr>
            <w:tcW w:w="2551" w:type="dxa"/>
          </w:tcPr>
          <w:p w:rsidR="0075777C" w:rsidRPr="002812F2" w:rsidRDefault="00951198" w:rsidP="00951198">
            <w:pPr>
              <w:pStyle w:val="Tabletext"/>
            </w:pPr>
            <w:r>
              <w:t>Significantly f</w:t>
            </w:r>
            <w:r w:rsidR="0075777C" w:rsidRPr="00146C41">
              <w:t>ewer patients die</w:t>
            </w:r>
            <w:r w:rsidR="0075777C">
              <w:t>d</w:t>
            </w:r>
            <w:r w:rsidR="0075777C" w:rsidRPr="00146C41">
              <w:t xml:space="preserve"> from any cause with combination th</w:t>
            </w:r>
            <w:r w:rsidR="00B97B32">
              <w:t>erapy compared with monotherapy</w:t>
            </w:r>
            <w:r w:rsidR="00B97B32" w:rsidRPr="00B97B32">
              <w:t xml:space="preserve"> and the difference was clinically important in 1 study</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Default="000647C6" w:rsidP="000647C6">
            <w:pPr>
              <w:pStyle w:val="Tabletext"/>
            </w:pPr>
            <w:r>
              <w:t>Important</w:t>
            </w:r>
          </w:p>
        </w:tc>
      </w:tr>
      <w:tr w:rsidR="0075777C" w:rsidRPr="006316DF" w:rsidTr="00D14AB4">
        <w:tc>
          <w:tcPr>
            <w:tcW w:w="1560" w:type="dxa"/>
          </w:tcPr>
          <w:p w:rsidR="0075777C" w:rsidRPr="006316DF" w:rsidRDefault="0075777C" w:rsidP="000647C6">
            <w:pPr>
              <w:pStyle w:val="Tabletext"/>
            </w:pPr>
            <w:r w:rsidRPr="006316DF">
              <w:t>Improved WHO FC</w:t>
            </w:r>
          </w:p>
        </w:tc>
        <w:tc>
          <w:tcPr>
            <w:tcW w:w="1275" w:type="dxa"/>
          </w:tcPr>
          <w:p w:rsidR="0075777C" w:rsidRPr="006316DF" w:rsidRDefault="0075777C" w:rsidP="000647C6">
            <w:pPr>
              <w:pStyle w:val="Tabletext"/>
            </w:pPr>
            <w:r w:rsidRPr="006316DF">
              <w:t>N=</w:t>
            </w:r>
            <w:r>
              <w:t>6</w:t>
            </w:r>
            <w:r w:rsidR="006E1D35">
              <w:t>9</w:t>
            </w:r>
            <w:r>
              <w:t>1</w:t>
            </w:r>
          </w:p>
          <w:p w:rsidR="0075777C" w:rsidRPr="006316DF" w:rsidRDefault="0075777C" w:rsidP="000647C6">
            <w:pPr>
              <w:pStyle w:val="Tabletext"/>
            </w:pPr>
            <w:r w:rsidRPr="006316DF">
              <w:t>k=</w:t>
            </w:r>
            <w:r>
              <w:t>4</w:t>
            </w:r>
            <w:r w:rsidRPr="006316DF">
              <w:t xml:space="preserve"> RCT</w:t>
            </w:r>
            <w:r>
              <w: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3" w:type="dxa"/>
          </w:tcPr>
          <w:p w:rsidR="0075777C" w:rsidRPr="002812F2" w:rsidRDefault="0075777C" w:rsidP="000647C6">
            <w:pPr>
              <w:pStyle w:val="Tabletext"/>
            </w:pPr>
            <w:r>
              <w:t>Pooled RR</w:t>
            </w:r>
            <w:r w:rsidRPr="002812F2">
              <w:t xml:space="preserve"> = 1.</w:t>
            </w:r>
            <w:r>
              <w:t>11</w:t>
            </w:r>
            <w:r w:rsidRPr="002812F2">
              <w:t xml:space="preserve"> (</w:t>
            </w:r>
            <w:r>
              <w:t>95% CI 0</w:t>
            </w:r>
            <w:r w:rsidRPr="002812F2">
              <w:t>.</w:t>
            </w:r>
            <w:r>
              <w:t>77,</w:t>
            </w:r>
            <w:r w:rsidRPr="002812F2">
              <w:t xml:space="preserve"> </w:t>
            </w:r>
            <w:r>
              <w:t>1</w:t>
            </w:r>
            <w:r w:rsidRPr="002812F2">
              <w:t>.</w:t>
            </w:r>
            <w:r>
              <w:t>60</w:t>
            </w:r>
            <w:r w:rsidRPr="002812F2">
              <w:t>)</w:t>
            </w:r>
          </w:p>
        </w:tc>
        <w:tc>
          <w:tcPr>
            <w:tcW w:w="2551" w:type="dxa"/>
          </w:tcPr>
          <w:p w:rsidR="0075777C" w:rsidRPr="002812F2" w:rsidRDefault="0075777C" w:rsidP="005625F4">
            <w:pPr>
              <w:pStyle w:val="Tabletext"/>
            </w:pPr>
            <w:r>
              <w:t>T</w:t>
            </w:r>
            <w:r w:rsidRPr="000E45D6">
              <w:t xml:space="preserve">he </w:t>
            </w:r>
            <w:r>
              <w:t>proportion</w:t>
            </w:r>
            <w:r w:rsidRPr="000E45D6">
              <w:t xml:space="preserve"> of patients </w:t>
            </w:r>
            <w:r>
              <w:t>who</w:t>
            </w:r>
            <w:r w:rsidRPr="000E45D6">
              <w:t xml:space="preserve"> </w:t>
            </w:r>
            <w:r>
              <w:t>improved their WHO FC</w:t>
            </w:r>
            <w:r w:rsidRPr="000E45D6">
              <w:t xml:space="preserve"> </w:t>
            </w:r>
            <w:r>
              <w:t>with combination therapy will be similar to the proportion on monotherapy</w:t>
            </w:r>
            <w:r w:rsidRPr="00E55244">
              <w:t>.</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t>Important</w:t>
            </w:r>
          </w:p>
        </w:tc>
      </w:tr>
      <w:tr w:rsidR="0075777C" w:rsidRPr="006316DF" w:rsidTr="00D14AB4">
        <w:tc>
          <w:tcPr>
            <w:tcW w:w="1560" w:type="dxa"/>
          </w:tcPr>
          <w:p w:rsidR="0075777C" w:rsidRPr="006316DF" w:rsidRDefault="0075777C" w:rsidP="000647C6">
            <w:pPr>
              <w:pStyle w:val="Tabletext"/>
            </w:pPr>
            <w:r>
              <w:t xml:space="preserve">Worsened </w:t>
            </w:r>
            <w:r w:rsidRPr="006316DF">
              <w:t>WHO FC</w:t>
            </w:r>
          </w:p>
        </w:tc>
        <w:tc>
          <w:tcPr>
            <w:tcW w:w="1275" w:type="dxa"/>
          </w:tcPr>
          <w:p w:rsidR="0075777C" w:rsidRPr="006316DF" w:rsidRDefault="0075777C" w:rsidP="000647C6">
            <w:pPr>
              <w:pStyle w:val="Tabletext"/>
            </w:pPr>
            <w:r w:rsidRPr="006316DF">
              <w:t>N=</w:t>
            </w:r>
            <w:r>
              <w:t>6</w:t>
            </w:r>
            <w:r w:rsidR="006E1D35">
              <w:t>9</w:t>
            </w:r>
            <w:r>
              <w:t>1</w:t>
            </w:r>
          </w:p>
          <w:p w:rsidR="0075777C" w:rsidRPr="006316DF" w:rsidRDefault="0075777C" w:rsidP="000647C6">
            <w:pPr>
              <w:pStyle w:val="Tabletext"/>
            </w:pPr>
            <w:r w:rsidRPr="006316DF">
              <w:t>k=</w:t>
            </w:r>
            <w:r>
              <w:t>4</w:t>
            </w:r>
            <w:r w:rsidRPr="006316DF">
              <w:t xml:space="preserve"> RCT</w:t>
            </w:r>
            <w:r>
              <w: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 xml:space="preserve">Imprecision: </w:t>
            </w:r>
            <w:r w:rsidR="00F7324C">
              <w:t>−1</w:t>
            </w:r>
          </w:p>
          <w:p w:rsidR="0075777C" w:rsidRDefault="0075777C" w:rsidP="000647C6">
            <w:pPr>
              <w:pStyle w:val="Tabletext"/>
            </w:pPr>
            <w:r w:rsidRPr="006316DF">
              <w:t>Publication bias: 0</w:t>
            </w:r>
          </w:p>
          <w:p w:rsidR="0075777C" w:rsidRPr="006316DF" w:rsidRDefault="0075777C" w:rsidP="000647C6">
            <w:pPr>
              <w:pStyle w:val="Tabletext"/>
            </w:pPr>
            <w:r>
              <w:t xml:space="preserve">Association: </w:t>
            </w:r>
            <w:r w:rsidR="00F7324C">
              <w:t>+1</w:t>
            </w:r>
          </w:p>
        </w:tc>
        <w:tc>
          <w:tcPr>
            <w:tcW w:w="1413" w:type="dxa"/>
          </w:tcPr>
          <w:p w:rsidR="0075777C" w:rsidRPr="002812F2" w:rsidRDefault="0075777C" w:rsidP="000647C6">
            <w:pPr>
              <w:pStyle w:val="Tabletext"/>
            </w:pPr>
            <w:r>
              <w:t>Pooled RR</w:t>
            </w:r>
            <w:r w:rsidRPr="002812F2">
              <w:t xml:space="preserve"> = </w:t>
            </w:r>
            <w:r>
              <w:t>0</w:t>
            </w:r>
            <w:r w:rsidRPr="002812F2">
              <w:t>.</w:t>
            </w:r>
            <w:r>
              <w:t>6</w:t>
            </w:r>
            <w:r w:rsidRPr="002812F2">
              <w:t>0 (</w:t>
            </w:r>
            <w:r>
              <w:t>95% CI 0</w:t>
            </w:r>
            <w:r w:rsidRPr="002812F2">
              <w:t>.</w:t>
            </w:r>
            <w:r>
              <w:t>34,</w:t>
            </w:r>
            <w:r w:rsidRPr="002812F2">
              <w:t xml:space="preserve"> </w:t>
            </w:r>
            <w:r>
              <w:t>1</w:t>
            </w:r>
            <w:r w:rsidRPr="002812F2">
              <w:t>.</w:t>
            </w:r>
            <w:r>
              <w:t>05</w:t>
            </w:r>
            <w:r w:rsidRPr="002812F2">
              <w:t>)</w:t>
            </w:r>
          </w:p>
        </w:tc>
        <w:tc>
          <w:tcPr>
            <w:tcW w:w="2551" w:type="dxa"/>
          </w:tcPr>
          <w:p w:rsidR="0075777C" w:rsidRPr="002812F2" w:rsidRDefault="0075777C" w:rsidP="000647C6">
            <w:pPr>
              <w:pStyle w:val="Tabletext"/>
            </w:pPr>
            <w:r>
              <w:t>Fewer</w:t>
            </w:r>
            <w:r w:rsidRPr="002812F2">
              <w:t xml:space="preserve"> patients </w:t>
            </w:r>
            <w:r>
              <w:t>on combination therapy</w:t>
            </w:r>
            <w:r w:rsidRPr="002812F2">
              <w:t xml:space="preserve"> </w:t>
            </w:r>
            <w:r w:rsidRPr="00686058">
              <w:t>ha</w:t>
            </w:r>
            <w:r>
              <w:t>d</w:t>
            </w:r>
            <w:r w:rsidRPr="00686058">
              <w:t xml:space="preserve"> WHO FC worsening than those on monotherapy</w:t>
            </w:r>
            <w:r>
              <w:t xml:space="preserve">, </w:t>
            </w:r>
            <w:r w:rsidR="005625F4">
              <w:t>but the result did not quite reach statistical significance</w:t>
            </w:r>
            <w:r w:rsidRPr="00686058">
              <w:t>.</w:t>
            </w:r>
          </w:p>
        </w:tc>
        <w:tc>
          <w:tcPr>
            <w:tcW w:w="1134"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t>Important</w:t>
            </w:r>
          </w:p>
        </w:tc>
      </w:tr>
      <w:tr w:rsidR="000647C6" w:rsidRPr="006316DF" w:rsidTr="000647C6">
        <w:tc>
          <w:tcPr>
            <w:tcW w:w="1560" w:type="dxa"/>
          </w:tcPr>
          <w:p w:rsidR="000647C6" w:rsidRPr="006316DF" w:rsidRDefault="000647C6" w:rsidP="000647C6">
            <w:pPr>
              <w:pStyle w:val="Tabletext"/>
            </w:pPr>
            <w:r w:rsidRPr="006316DF">
              <w:t>Change in 6MWD</w:t>
            </w:r>
            <w:r>
              <w:t xml:space="preserve"> from baseline</w:t>
            </w:r>
          </w:p>
        </w:tc>
        <w:tc>
          <w:tcPr>
            <w:tcW w:w="1275" w:type="dxa"/>
          </w:tcPr>
          <w:p w:rsidR="000647C6" w:rsidRPr="006316DF" w:rsidRDefault="000647C6" w:rsidP="000647C6">
            <w:pPr>
              <w:pStyle w:val="Tabletext"/>
            </w:pPr>
            <w:r w:rsidRPr="006316DF">
              <w:t>N=</w:t>
            </w:r>
            <w:r>
              <w:t>726</w:t>
            </w:r>
          </w:p>
          <w:p w:rsidR="000647C6" w:rsidRPr="006316DF" w:rsidRDefault="000647C6" w:rsidP="000647C6">
            <w:pPr>
              <w:pStyle w:val="Tabletext"/>
            </w:pPr>
            <w:r w:rsidRPr="006316DF">
              <w:t>k=</w:t>
            </w:r>
            <w:r>
              <w:t>5</w:t>
            </w:r>
            <w:r w:rsidRPr="006316DF">
              <w:t xml:space="preserve"> RCT</w:t>
            </w:r>
            <w:r>
              <w:t>s</w:t>
            </w:r>
          </w:p>
        </w:tc>
        <w:tc>
          <w:tcPr>
            <w:tcW w:w="1701" w:type="dxa"/>
          </w:tcPr>
          <w:p w:rsidR="000647C6" w:rsidRPr="006316DF" w:rsidRDefault="000647C6" w:rsidP="000647C6">
            <w:pPr>
              <w:pStyle w:val="Tabletext"/>
            </w:pPr>
            <w:r>
              <w:t>Risk of bias: 0</w:t>
            </w:r>
          </w:p>
          <w:p w:rsidR="000647C6" w:rsidRPr="006316DF" w:rsidRDefault="000647C6" w:rsidP="000647C6">
            <w:pPr>
              <w:pStyle w:val="Tabletext"/>
            </w:pPr>
            <w:r w:rsidRPr="006316DF">
              <w:t>Inconsistency: 0</w:t>
            </w:r>
          </w:p>
          <w:p w:rsidR="000647C6" w:rsidRPr="006316DF" w:rsidRDefault="000647C6" w:rsidP="000647C6">
            <w:pPr>
              <w:pStyle w:val="Tabletext"/>
            </w:pPr>
            <w:r w:rsidRPr="006316DF">
              <w:t xml:space="preserve">Indirectness: </w:t>
            </w:r>
            <w:r w:rsidR="00F705F8">
              <w:t>−1</w:t>
            </w:r>
          </w:p>
          <w:p w:rsidR="000647C6" w:rsidRDefault="000647C6" w:rsidP="000647C6">
            <w:pPr>
              <w:pStyle w:val="Tabletext"/>
            </w:pPr>
            <w:r w:rsidRPr="006316DF">
              <w:t>Imprecision: 0</w:t>
            </w:r>
          </w:p>
          <w:p w:rsidR="000647C6" w:rsidRDefault="000647C6" w:rsidP="000647C6">
            <w:pPr>
              <w:pStyle w:val="Tabletext"/>
            </w:pPr>
            <w:r w:rsidRPr="006316DF">
              <w:t>Publication bias: 0</w:t>
            </w:r>
          </w:p>
          <w:p w:rsidR="000647C6" w:rsidRPr="006316DF" w:rsidRDefault="000647C6" w:rsidP="000647C6">
            <w:pPr>
              <w:pStyle w:val="Tabletext"/>
            </w:pPr>
            <w:r>
              <w:t>Association: 0</w:t>
            </w:r>
          </w:p>
        </w:tc>
        <w:tc>
          <w:tcPr>
            <w:tcW w:w="1413" w:type="dxa"/>
          </w:tcPr>
          <w:p w:rsidR="000647C6" w:rsidRPr="00686058" w:rsidRDefault="00FA2050" w:rsidP="007A3E34">
            <w:pPr>
              <w:pStyle w:val="Tabletext"/>
            </w:pPr>
            <w:r>
              <w:t>R</w:t>
            </w:r>
            <w:r w:rsidR="000647C6" w:rsidRPr="00686058">
              <w:t>ange 2.4 m less to 36.1 m further</w:t>
            </w:r>
          </w:p>
        </w:tc>
        <w:tc>
          <w:tcPr>
            <w:tcW w:w="2551" w:type="dxa"/>
          </w:tcPr>
          <w:p w:rsidR="000647C6" w:rsidRPr="00686058" w:rsidRDefault="006B2E03" w:rsidP="006B2E03">
            <w:pPr>
              <w:pStyle w:val="Tabletext"/>
            </w:pPr>
            <w:r>
              <w:t>In 4 out of 5 studies, p</w:t>
            </w:r>
            <w:r w:rsidR="000647C6" w:rsidRPr="00686058">
              <w:t>atients on combination th</w:t>
            </w:r>
            <w:r w:rsidR="000647C6">
              <w:t>e</w:t>
            </w:r>
            <w:r w:rsidR="000647C6" w:rsidRPr="00686058">
              <w:t>rapy ha</w:t>
            </w:r>
            <w:r w:rsidR="000647C6">
              <w:t>d</w:t>
            </w:r>
            <w:r w:rsidR="000647C6" w:rsidRPr="00686058">
              <w:t xml:space="preserve"> a larger </w:t>
            </w:r>
            <w:r w:rsidR="000647C6">
              <w:t xml:space="preserve">mean </w:t>
            </w:r>
            <w:r w:rsidR="000647C6" w:rsidRPr="00686058">
              <w:t>improvement in their 6MWD than those on monotherapy</w:t>
            </w:r>
            <w:r w:rsidR="005625F4">
              <w:t>,</w:t>
            </w:r>
            <w:r w:rsidR="00300A41">
              <w:t xml:space="preserve"> </w:t>
            </w:r>
            <w:r w:rsidR="00300A41" w:rsidRPr="00300A41">
              <w:t>and the difference was clinically important in 1 study</w:t>
            </w:r>
          </w:p>
        </w:tc>
        <w:tc>
          <w:tcPr>
            <w:tcW w:w="1134" w:type="dxa"/>
          </w:tcPr>
          <w:p w:rsidR="000647C6" w:rsidRPr="006316DF" w:rsidRDefault="00F705F8" w:rsidP="000647C6">
            <w:pPr>
              <w:pStyle w:val="Tabletext"/>
            </w:pPr>
            <w:r>
              <w:t>Moderate</w:t>
            </w:r>
          </w:p>
          <w:p w:rsidR="000647C6" w:rsidRPr="006316DF" w:rsidRDefault="000647C6" w:rsidP="000647C6">
            <w:pPr>
              <w:pStyle w:val="Tabletext"/>
              <w:rPr>
                <w:rFonts w:cs="Cambria Math"/>
                <w:bCs/>
              </w:rPr>
            </w:pPr>
            <w:r w:rsidRPr="006316DF">
              <w:rPr>
                <w:rFonts w:ascii="Cambria Math" w:hAnsi="Cambria Math" w:cs="Cambria Math"/>
                <w:bCs/>
                <w:color w:val="00B050"/>
              </w:rPr>
              <w:t>⨁⨁⨁</w:t>
            </w:r>
            <w:r w:rsidR="00F705F8" w:rsidRPr="006316DF">
              <w:rPr>
                <w:rFonts w:ascii="Cambria Math" w:hAnsi="Cambria Math" w:cs="Cambria Math"/>
                <w:color w:val="C00000"/>
              </w:rPr>
              <w:t>⨀</w:t>
            </w:r>
          </w:p>
          <w:p w:rsidR="000647C6" w:rsidRPr="006316DF" w:rsidRDefault="000647C6" w:rsidP="000647C6">
            <w:pPr>
              <w:pStyle w:val="Tabletext"/>
            </w:pPr>
            <w:r>
              <w:t>I</w:t>
            </w:r>
            <w:r w:rsidRPr="006316DF">
              <w:t>mportant</w:t>
            </w:r>
          </w:p>
        </w:tc>
      </w:tr>
      <w:tr w:rsidR="0075777C" w:rsidRPr="006316DF" w:rsidTr="00D14AB4">
        <w:tc>
          <w:tcPr>
            <w:tcW w:w="1560" w:type="dxa"/>
          </w:tcPr>
          <w:p w:rsidR="0075777C" w:rsidRPr="006316DF" w:rsidRDefault="0075777C" w:rsidP="000647C6">
            <w:pPr>
              <w:pStyle w:val="Tabletext"/>
            </w:pPr>
            <w:r w:rsidRPr="002D77B1">
              <w:t>Change in haemodynamic parameters from baseline</w:t>
            </w:r>
          </w:p>
        </w:tc>
        <w:tc>
          <w:tcPr>
            <w:tcW w:w="1275" w:type="dxa"/>
          </w:tcPr>
          <w:p w:rsidR="0075777C" w:rsidRPr="006316DF" w:rsidRDefault="0075777C" w:rsidP="000647C6">
            <w:pPr>
              <w:pStyle w:val="Tabletext"/>
            </w:pPr>
            <w:r>
              <w:t>N=124</w:t>
            </w:r>
          </w:p>
          <w:p w:rsidR="0075777C" w:rsidRPr="006316DF" w:rsidRDefault="0075777C" w:rsidP="000647C6">
            <w:pPr>
              <w:pStyle w:val="Tabletext"/>
            </w:pPr>
            <w:r w:rsidRPr="006316DF">
              <w:t>k=</w:t>
            </w:r>
            <w:r>
              <w:t>1</w:t>
            </w:r>
            <w:r w:rsidRPr="006316DF">
              <w:t xml:space="preserve"> RCT</w:t>
            </w:r>
          </w:p>
        </w:tc>
        <w:tc>
          <w:tcPr>
            <w:tcW w:w="1701" w:type="dxa"/>
          </w:tcPr>
          <w:p w:rsidR="0075777C" w:rsidRPr="006316DF" w:rsidRDefault="0075777C" w:rsidP="000647C6">
            <w:pPr>
              <w:pStyle w:val="Tabletext"/>
            </w:pPr>
            <w:r w:rsidRPr="006316DF">
              <w:t xml:space="preserve">Risk of bias: </w:t>
            </w:r>
            <w:r>
              <w:t>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 xml:space="preserve">Indirectness: </w:t>
            </w:r>
            <w:r w:rsidR="00F705F8">
              <w:t>−2</w:t>
            </w:r>
          </w:p>
          <w:p w:rsidR="0075777C" w:rsidRDefault="0075777C" w:rsidP="000647C6">
            <w:pPr>
              <w:pStyle w:val="Tabletext"/>
            </w:pPr>
            <w:r>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3" w:type="dxa"/>
          </w:tcPr>
          <w:p w:rsidR="0075777C" w:rsidRPr="00686058" w:rsidRDefault="0075777C" w:rsidP="000647C6">
            <w:pPr>
              <w:pStyle w:val="Tabletext"/>
            </w:pPr>
            <w:r w:rsidRPr="00686058">
              <w:t>PVR</w:t>
            </w:r>
            <w:r>
              <w:br/>
            </w:r>
            <w:r w:rsidRPr="00686058">
              <w:t>MD = 13.9% improvement</w:t>
            </w:r>
          </w:p>
          <w:p w:rsidR="0075777C" w:rsidRPr="002812F2" w:rsidRDefault="0075777C" w:rsidP="000647C6">
            <w:pPr>
              <w:pStyle w:val="Tabletext"/>
            </w:pPr>
            <w:r w:rsidRPr="00686058">
              <w:t>mPAP</w:t>
            </w:r>
            <w:r>
              <w:br/>
            </w:r>
            <w:r w:rsidRPr="00686058">
              <w:t>MD = 8.5% improvement</w:t>
            </w:r>
          </w:p>
        </w:tc>
        <w:tc>
          <w:tcPr>
            <w:tcW w:w="2551" w:type="dxa"/>
          </w:tcPr>
          <w:p w:rsidR="0075777C" w:rsidRPr="002812F2" w:rsidRDefault="0075777C" w:rsidP="000647C6">
            <w:pPr>
              <w:pStyle w:val="Tabletext"/>
            </w:pPr>
            <w:r>
              <w:t>P</w:t>
            </w:r>
            <w:r w:rsidRPr="00686058">
              <w:t>atients on combination therapy ha</w:t>
            </w:r>
            <w:r>
              <w:t>d</w:t>
            </w:r>
            <w:r w:rsidRPr="00686058">
              <w:t xml:space="preserve"> a larger </w:t>
            </w:r>
            <w:r>
              <w:t xml:space="preserve">mean </w:t>
            </w:r>
            <w:r w:rsidRPr="00686058">
              <w:t xml:space="preserve">improvement in their </w:t>
            </w:r>
            <w:r>
              <w:t>haemodynamic parameters</w:t>
            </w:r>
            <w:r w:rsidRPr="00686058">
              <w:t xml:space="preserve"> than those on monotherapy</w:t>
            </w:r>
          </w:p>
        </w:tc>
        <w:tc>
          <w:tcPr>
            <w:tcW w:w="1134" w:type="dxa"/>
          </w:tcPr>
          <w:p w:rsidR="0075777C" w:rsidRPr="006316DF" w:rsidRDefault="00F705F8" w:rsidP="000647C6">
            <w:pPr>
              <w:pStyle w:val="Tabletext"/>
            </w:pPr>
            <w:r>
              <w:t>Low</w:t>
            </w:r>
          </w:p>
          <w:p w:rsidR="0075777C" w:rsidRPr="006316DF" w:rsidRDefault="0075777C" w:rsidP="000647C6">
            <w:pPr>
              <w:pStyle w:val="Tabletext"/>
              <w:rPr>
                <w:rFonts w:cs="Cambria Math"/>
                <w:bCs/>
              </w:rPr>
            </w:pPr>
            <w:r w:rsidRPr="006316DF">
              <w:rPr>
                <w:rFonts w:ascii="Cambria Math" w:hAnsi="Cambria Math" w:cs="Cambria Math"/>
                <w:bCs/>
                <w:color w:val="00B050"/>
              </w:rPr>
              <w:t>⨁⨁</w:t>
            </w:r>
            <w:r w:rsidR="00F705F8" w:rsidRPr="006316DF">
              <w:rPr>
                <w:rFonts w:ascii="Cambria Math" w:hAnsi="Cambria Math" w:cs="Cambria Math"/>
                <w:color w:val="C00000"/>
              </w:rPr>
              <w:t>⨀⨀</w:t>
            </w:r>
          </w:p>
          <w:p w:rsidR="0075777C" w:rsidRPr="006316DF" w:rsidRDefault="0075777C" w:rsidP="000647C6">
            <w:pPr>
              <w:pStyle w:val="Tabletext"/>
            </w:pPr>
            <w:r>
              <w:t>Not i</w:t>
            </w:r>
            <w:r w:rsidRPr="006316DF">
              <w:t>mportant</w:t>
            </w:r>
          </w:p>
        </w:tc>
      </w:tr>
    </w:tbl>
    <w:p w:rsidR="0075777C" w:rsidRPr="006316DF" w:rsidRDefault="0075777C" w:rsidP="00D14AB4">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D14AB4">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75777C" w:rsidRDefault="0075777C" w:rsidP="00D14AB4">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7C2D99" w:rsidRPr="006316DF" w:rsidRDefault="007C2D99" w:rsidP="007C2D99">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33164F" w:rsidRDefault="0075777C" w:rsidP="00D14AB4">
      <w:pPr>
        <w:pStyle w:val="Tablenote"/>
      </w:pPr>
      <w:proofErr w:type="gramStart"/>
      <w:r>
        <w:t xml:space="preserve">6MWD = 6-minute </w:t>
      </w:r>
      <w:r w:rsidR="0082368E">
        <w:t>walk distance</w:t>
      </w:r>
      <w:r>
        <w: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33164F" w:rsidRPr="00DC16A3">
        <w:t xml:space="preserve">; </w:t>
      </w:r>
      <w:r w:rsidR="0033164F">
        <w:t xml:space="preserve">k = number of studies; </w:t>
      </w:r>
      <w:r w:rsidR="00214AC1">
        <w:t>mPAP = mean pulmonary artery</w:t>
      </w:r>
      <w:r>
        <w:t xml:space="preserve"> pressure; </w:t>
      </w:r>
      <w:r w:rsidR="001F1FDD">
        <w:t xml:space="preserve">MD = mean difference; </w:t>
      </w:r>
      <w:r>
        <w:t xml:space="preserve">N = number of patients; </w:t>
      </w:r>
      <w:r w:rsidRPr="00C65B42">
        <w:t xml:space="preserve">PAH = pulmonary arterial hypertension; </w:t>
      </w:r>
      <w:r w:rsidRPr="009B5AB3">
        <w:t>PDE-5 = phosphodiesterase type-5</w:t>
      </w:r>
      <w:r>
        <w:t>;</w:t>
      </w:r>
      <w:r w:rsidRPr="009B5AB3">
        <w:t xml:space="preserve"> </w:t>
      </w:r>
      <w:r w:rsidRPr="009123E2">
        <w:t>PVR</w:t>
      </w:r>
      <w:r>
        <w:t xml:space="preserve"> = p</w:t>
      </w:r>
      <w:r w:rsidRPr="009123E2">
        <w:t xml:space="preserve">ulmonary </w:t>
      </w:r>
      <w:r>
        <w:t>v</w:t>
      </w:r>
      <w:r w:rsidRPr="009123E2">
        <w:t xml:space="preserve">ascular </w:t>
      </w:r>
      <w:r>
        <w:t>r</w:t>
      </w:r>
      <w:r w:rsidRPr="009123E2">
        <w:t>esistance</w:t>
      </w:r>
      <w:r>
        <w:t>; RCT = randomised controlled trial; RR = relative risk; WHO = World Health Organization</w:t>
      </w:r>
      <w:proofErr w:type="gramEnd"/>
    </w:p>
    <w:p w:rsidR="0075777C" w:rsidRPr="006316DF" w:rsidRDefault="0075777C" w:rsidP="003F6AC4">
      <w:pPr>
        <w:spacing w:before="0" w:line="240" w:lineRule="auto"/>
      </w:pPr>
      <w:r w:rsidRPr="006316DF">
        <w:t xml:space="preserve">The </w:t>
      </w:r>
      <w:r w:rsidR="00300A41">
        <w:t>moderate</w:t>
      </w:r>
      <w:r w:rsidRPr="006316DF">
        <w:t xml:space="preserve"> quality (GRADE </w:t>
      </w:r>
      <w:r w:rsidRPr="00920393">
        <w:rPr>
          <w:rFonts w:ascii="Cambria Math" w:eastAsia="Times New Roman" w:hAnsi="Cambria Math" w:cs="Tahoma"/>
          <w:bCs/>
          <w:color w:val="00B050"/>
        </w:rPr>
        <w:t>⨁⨁⨁</w:t>
      </w:r>
      <w:r w:rsidR="00300A41" w:rsidRPr="008727D6">
        <w:rPr>
          <w:rFonts w:ascii="Cambria Math" w:eastAsia="Times New Roman" w:hAnsi="Cambria Math" w:cs="Cambria Math"/>
          <w:bCs/>
          <w:color w:val="C00000"/>
        </w:rPr>
        <w:t>⨀</w:t>
      </w:r>
      <w:r w:rsidRPr="008727D6">
        <w:t xml:space="preserve">) </w:t>
      </w:r>
      <w:r w:rsidRPr="006316DF">
        <w:t xml:space="preserve">evidence for the </w:t>
      </w:r>
      <w:r>
        <w:t>change in 6MWD</w:t>
      </w:r>
      <w:r w:rsidRPr="006316DF">
        <w:t xml:space="preserve"> </w:t>
      </w:r>
      <w:r>
        <w:t xml:space="preserve">reported for patients with WHO FC III/IV PAH is summarised </w:t>
      </w:r>
      <w:r w:rsidRPr="006316DF">
        <w:t>in</w:t>
      </w:r>
      <w:r w:rsidR="003F6AC4">
        <w:t xml:space="preserve"> Table 4.131</w:t>
      </w:r>
      <w:r w:rsidRPr="006316DF">
        <w:rPr>
          <w:rFonts w:eastAsia="Times New Roman" w:cs="Cambria Math"/>
          <w:bCs/>
        </w:rPr>
        <w:t xml:space="preserve">. </w:t>
      </w:r>
      <w:r>
        <w:t>The mean difference in 6MWD favoured combination therapy over monotherapy but the size of the difference was not clinically important</w:t>
      </w:r>
      <w:r w:rsidR="00300A41">
        <w:t xml:space="preserve"> in either study</w:t>
      </w:r>
      <w:r>
        <w:t>.</w:t>
      </w:r>
    </w:p>
    <w:p w:rsidR="0075777C" w:rsidRDefault="0075777C" w:rsidP="0075777C">
      <w:r w:rsidRPr="006316DF">
        <w:t xml:space="preserve">Thus, </w:t>
      </w:r>
      <w:r w:rsidRPr="000522D6">
        <w:t xml:space="preserve">there is </w:t>
      </w:r>
      <w:r w:rsidR="001E5DED">
        <w:t>limited</w:t>
      </w:r>
      <w:r w:rsidR="00D14AB4">
        <w:t xml:space="preserve"> </w:t>
      </w:r>
      <w:r w:rsidRPr="000522D6">
        <w:t xml:space="preserve">evidence </w:t>
      </w:r>
      <w:r w:rsidR="00D14AB4">
        <w:t>to determine</w:t>
      </w:r>
      <w:r w:rsidRPr="000522D6">
        <w:t xml:space="preserve"> whether </w:t>
      </w:r>
      <w:r w:rsidR="00D14AB4">
        <w:t xml:space="preserve">the </w:t>
      </w:r>
      <w:r w:rsidRPr="006316DF">
        <w:t xml:space="preserve">use of a </w:t>
      </w:r>
      <w:r w:rsidRPr="008A1083">
        <w:t>PDE-5 inhibitor in addition to an ERA</w:t>
      </w:r>
      <w:r w:rsidRPr="000522D6">
        <w:t xml:space="preserve">, relative to </w:t>
      </w:r>
      <w:r>
        <w:t>ERA</w:t>
      </w:r>
      <w:r w:rsidRPr="000522D6">
        <w:t xml:space="preserve"> monotherapy </w:t>
      </w:r>
      <w:r w:rsidRPr="006316DF">
        <w:t xml:space="preserve">to treat </w:t>
      </w:r>
      <w:r>
        <w:t xml:space="preserve">patients with </w:t>
      </w:r>
      <w:r w:rsidRPr="008C0DB6">
        <w:t xml:space="preserve">WHO FC III/IV PAH </w:t>
      </w:r>
      <w:r w:rsidR="002856B6">
        <w:t>is likely to be beneficial.</w:t>
      </w:r>
    </w:p>
    <w:p w:rsidR="003F6AC4" w:rsidRDefault="003F6AC4">
      <w:pPr>
        <w:spacing w:before="0" w:line="240" w:lineRule="auto"/>
        <w:rPr>
          <w:b/>
          <w:iCs/>
          <w:szCs w:val="18"/>
        </w:rPr>
      </w:pPr>
      <w:bookmarkStart w:id="369" w:name="_Ref505780215"/>
      <w:r>
        <w:br w:type="page"/>
      </w:r>
    </w:p>
    <w:p w:rsidR="0075777C" w:rsidRPr="006316DF" w:rsidRDefault="00272F8F" w:rsidP="00BC5A2B">
      <w:pPr>
        <w:pStyle w:val="Caption"/>
      </w:pPr>
      <w:bookmarkStart w:id="370" w:name="_Toc38360428"/>
      <w:r>
        <w:t>Table 4.</w:t>
      </w:r>
      <w:r w:rsidR="003951FA">
        <w:rPr>
          <w:noProof/>
        </w:rPr>
        <w:t>131</w:t>
      </w:r>
      <w:bookmarkEnd w:id="369"/>
      <w:r w:rsidR="00D14AB4">
        <w:tab/>
      </w:r>
      <w:r w:rsidR="0075777C" w:rsidRPr="006316DF">
        <w:t xml:space="preserve">Balance of clinical benefits of </w:t>
      </w:r>
      <w:r w:rsidR="001B552D">
        <w:t xml:space="preserve">a </w:t>
      </w:r>
      <w:r w:rsidR="0075777C" w:rsidRPr="006C4A08">
        <w:t xml:space="preserve">PDE-5 inhibitor in addition to </w:t>
      </w:r>
      <w:r w:rsidR="001B552D">
        <w:t xml:space="preserve">an </w:t>
      </w:r>
      <w:r w:rsidR="0075777C" w:rsidRPr="006C4A08">
        <w:t xml:space="preserve">ERA, relative to ERA </w:t>
      </w:r>
      <w:r w:rsidR="0075777C">
        <w:t>monotherapy in patients</w:t>
      </w:r>
      <w:r w:rsidR="0075777C" w:rsidRPr="00B20802">
        <w:t xml:space="preserve"> with WHO FC III/IV PAH</w:t>
      </w:r>
      <w:bookmarkEnd w:id="370"/>
    </w:p>
    <w:tbl>
      <w:tblPr>
        <w:tblStyle w:val="TableGrid"/>
        <w:tblW w:w="9634" w:type="dxa"/>
        <w:tblLayout w:type="fixed"/>
        <w:tblLook w:val="04A0" w:firstRow="1" w:lastRow="0" w:firstColumn="1" w:lastColumn="0" w:noHBand="0" w:noVBand="1"/>
        <w:tblCaption w:val="Balance of clinical benefits of a PDE-5 inhibitor in addition to an ERA, relative to ERA monotherapy in patients with WHO FC III/IV PAH"/>
      </w:tblPr>
      <w:tblGrid>
        <w:gridCol w:w="1560"/>
        <w:gridCol w:w="1275"/>
        <w:gridCol w:w="1701"/>
        <w:gridCol w:w="1413"/>
        <w:gridCol w:w="2551"/>
        <w:gridCol w:w="1134"/>
      </w:tblGrid>
      <w:tr w:rsidR="0075777C" w:rsidRPr="000647C6" w:rsidTr="00D14AB4">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3"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33164F" w:rsidRPr="0033164F">
              <w:rPr>
                <w:b/>
                <w:noProof/>
                <w:vertAlign w:val="superscript"/>
              </w:rPr>
              <w:t>a</w:t>
            </w:r>
          </w:p>
          <w:p w:rsidR="0075777C" w:rsidRPr="000647C6" w:rsidRDefault="0075777C" w:rsidP="000647C6">
            <w:pPr>
              <w:pStyle w:val="Tabletext"/>
              <w:rPr>
                <w:b/>
                <w:noProof/>
              </w:rPr>
            </w:pPr>
            <w:r w:rsidRPr="000647C6">
              <w:rPr>
                <w:b/>
                <w:noProof/>
              </w:rPr>
              <w:t>Importance</w:t>
            </w:r>
          </w:p>
        </w:tc>
      </w:tr>
      <w:tr w:rsidR="0075777C" w:rsidRPr="006316DF" w:rsidTr="00D14AB4">
        <w:tc>
          <w:tcPr>
            <w:tcW w:w="1560" w:type="dxa"/>
          </w:tcPr>
          <w:p w:rsidR="0075777C" w:rsidRPr="006316DF" w:rsidRDefault="0075777C" w:rsidP="000647C6">
            <w:pPr>
              <w:pStyle w:val="Tabletext"/>
            </w:pPr>
            <w:r w:rsidRPr="006316DF">
              <w:t>Change in 6MWD</w:t>
            </w:r>
            <w:r>
              <w:t xml:space="preserve"> from baseline</w:t>
            </w:r>
          </w:p>
        </w:tc>
        <w:tc>
          <w:tcPr>
            <w:tcW w:w="1275" w:type="dxa"/>
          </w:tcPr>
          <w:p w:rsidR="0075777C" w:rsidRPr="006316DF" w:rsidRDefault="0075777C" w:rsidP="000647C6">
            <w:pPr>
              <w:pStyle w:val="Tabletext"/>
            </w:pPr>
            <w:r w:rsidRPr="006316DF">
              <w:t>N=1</w:t>
            </w:r>
            <w:r>
              <w:t>09</w:t>
            </w:r>
          </w:p>
          <w:p w:rsidR="0075777C" w:rsidRPr="006316DF" w:rsidRDefault="0075777C" w:rsidP="000647C6">
            <w:pPr>
              <w:pStyle w:val="Tabletext"/>
            </w:pPr>
            <w:r w:rsidRPr="006316DF">
              <w:t>k=</w:t>
            </w:r>
            <w:r>
              <w:t>2</w:t>
            </w:r>
            <w:r w:rsidRPr="006316DF">
              <w:t xml:space="preserve"> RCT</w:t>
            </w:r>
            <w:r>
              <w: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 xml:space="preserve">Indirectness: </w:t>
            </w:r>
            <w:r w:rsidR="00F705F8">
              <w:t>−1</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3" w:type="dxa"/>
          </w:tcPr>
          <w:p w:rsidR="0075777C" w:rsidRPr="00686058" w:rsidRDefault="00FA2050" w:rsidP="007A3E34">
            <w:pPr>
              <w:pStyle w:val="Tabletext"/>
            </w:pPr>
            <w:r>
              <w:t>R</w:t>
            </w:r>
            <w:r w:rsidR="0075777C" w:rsidRPr="00686058">
              <w:t>ange 13.5</w:t>
            </w:r>
            <w:r w:rsidR="007A3E34">
              <w:t>−</w:t>
            </w:r>
            <w:r w:rsidR="0075777C" w:rsidRPr="00686058">
              <w:t>20.1 m further</w:t>
            </w:r>
          </w:p>
        </w:tc>
        <w:tc>
          <w:tcPr>
            <w:tcW w:w="2551" w:type="dxa"/>
          </w:tcPr>
          <w:p w:rsidR="0075777C" w:rsidRPr="00686058" w:rsidRDefault="0075777C" w:rsidP="000647C6">
            <w:pPr>
              <w:pStyle w:val="Tabletext"/>
            </w:pPr>
            <w:r>
              <w:t>P</w:t>
            </w:r>
            <w:r w:rsidRPr="00686058">
              <w:t>atients with WHO FC III/IV PAH on combination th</w:t>
            </w:r>
            <w:r>
              <w:t>e</w:t>
            </w:r>
            <w:r w:rsidRPr="00686058">
              <w:t>rapy ha</w:t>
            </w:r>
            <w:r>
              <w:t>d</w:t>
            </w:r>
            <w:r w:rsidRPr="00686058">
              <w:t xml:space="preserve"> a larger </w:t>
            </w:r>
            <w:r>
              <w:t xml:space="preserve">mean </w:t>
            </w:r>
            <w:r w:rsidRPr="00686058">
              <w:t>improvement in their 6MWD than those on monotherapy</w:t>
            </w:r>
            <w:r w:rsidR="00196DB5">
              <w:t>, but the difference was not clinically important</w:t>
            </w:r>
          </w:p>
        </w:tc>
        <w:tc>
          <w:tcPr>
            <w:tcW w:w="1134" w:type="dxa"/>
          </w:tcPr>
          <w:p w:rsidR="0075777C" w:rsidRPr="006316DF" w:rsidRDefault="00F705F8" w:rsidP="000647C6">
            <w:pPr>
              <w:pStyle w:val="Tabletext"/>
            </w:pPr>
            <w:r>
              <w:t>Moderate</w:t>
            </w:r>
          </w:p>
          <w:p w:rsidR="0075777C" w:rsidRPr="006316DF" w:rsidRDefault="0075777C" w:rsidP="000647C6">
            <w:pPr>
              <w:pStyle w:val="Tabletext"/>
              <w:rPr>
                <w:rFonts w:cs="Cambria Math"/>
                <w:bCs/>
              </w:rPr>
            </w:pPr>
            <w:r w:rsidRPr="006316DF">
              <w:rPr>
                <w:rFonts w:ascii="Cambria Math" w:hAnsi="Cambria Math" w:cs="Cambria Math"/>
                <w:bCs/>
                <w:color w:val="00B050"/>
              </w:rPr>
              <w:t>⨁⨁⨁</w:t>
            </w:r>
            <w:r w:rsidR="00F705F8" w:rsidRPr="006316DF">
              <w:rPr>
                <w:rFonts w:ascii="Cambria Math" w:hAnsi="Cambria Math" w:cs="Cambria Math"/>
                <w:color w:val="C00000"/>
              </w:rPr>
              <w:t>⨀</w:t>
            </w:r>
          </w:p>
          <w:p w:rsidR="0075777C" w:rsidRPr="006316DF" w:rsidRDefault="000647C6" w:rsidP="000647C6">
            <w:pPr>
              <w:pStyle w:val="Tabletext"/>
            </w:pPr>
            <w:r>
              <w:t>I</w:t>
            </w:r>
            <w:r w:rsidR="0075777C" w:rsidRPr="006316DF">
              <w:t>mportant</w:t>
            </w:r>
          </w:p>
        </w:tc>
      </w:tr>
    </w:tbl>
    <w:p w:rsidR="0075777C" w:rsidRPr="006316DF" w:rsidRDefault="0075777C" w:rsidP="00D14AB4">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C2D99" w:rsidRPr="006316DF" w:rsidRDefault="007C2D99" w:rsidP="007C2D99">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33164F" w:rsidRDefault="0075777C" w:rsidP="00D14AB4">
      <w:pPr>
        <w:pStyle w:val="Tablenote"/>
      </w:pPr>
      <w:r>
        <w:t xml:space="preserve">6MWD = 6-minute </w:t>
      </w:r>
      <w:r w:rsidR="0082368E">
        <w:t>walk distance</w:t>
      </w:r>
      <w:r>
        <w:t>;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33164F" w:rsidRPr="00DC16A3">
        <w:t xml:space="preserve">; </w:t>
      </w:r>
      <w:r w:rsidR="0033164F">
        <w:t xml:space="preserve">k = number of studies; </w:t>
      </w:r>
      <w:r>
        <w:t xml:space="preserve">N = number of patients; </w:t>
      </w:r>
      <w:r w:rsidRPr="00C65B42">
        <w:t xml:space="preserve">PAH = pulmonary arterial hypertension; </w:t>
      </w:r>
      <w:r w:rsidRPr="009B5AB3">
        <w:t>PDE-5 = phosphodiesterase type-5</w:t>
      </w:r>
      <w:r>
        <w:t>;</w:t>
      </w:r>
      <w:r w:rsidRPr="009B5AB3">
        <w:t xml:space="preserve"> </w:t>
      </w:r>
      <w:r>
        <w:t>RCT = randomised controlled trial; WHO = World Health Organization</w:t>
      </w:r>
    </w:p>
    <w:p w:rsidR="0075777C" w:rsidRPr="006316DF" w:rsidRDefault="0075777C" w:rsidP="003F6AC4">
      <w:pPr>
        <w:spacing w:before="0" w:line="240" w:lineRule="auto"/>
      </w:pPr>
      <w:r w:rsidRPr="006316DF">
        <w:t xml:space="preserve">The evidence for </w:t>
      </w:r>
      <w:r>
        <w:t xml:space="preserve">effectiveness </w:t>
      </w:r>
      <w:r w:rsidRPr="006316DF">
        <w:t>outcome</w:t>
      </w:r>
      <w:r>
        <w:t xml:space="preserve">s for patients </w:t>
      </w:r>
      <w:r w:rsidRPr="002D417A">
        <w:t xml:space="preserve">with different PAH aetiologies </w:t>
      </w:r>
      <w:r>
        <w:t xml:space="preserve">is summarised </w:t>
      </w:r>
      <w:r w:rsidRPr="006316DF">
        <w:t>in</w:t>
      </w:r>
      <w:r>
        <w:t xml:space="preserve"> </w:t>
      </w:r>
      <w:r w:rsidR="003F6AC4">
        <w:t>Table 4.132</w:t>
      </w:r>
      <w:r>
        <w:t xml:space="preserve">. The evidence provided for clinical worsening in patients with </w:t>
      </w:r>
      <w:r w:rsidR="00361A31" w:rsidRPr="008727D6">
        <w:t xml:space="preserve">PAH-CTD </w:t>
      </w:r>
      <w:r>
        <w:t xml:space="preserve">was </w:t>
      </w:r>
      <w:r w:rsidRPr="006316DF">
        <w:t xml:space="preserve">considered to be of </w:t>
      </w:r>
      <w:r>
        <w:t>high</w:t>
      </w:r>
      <w:r w:rsidRPr="006316DF">
        <w:t xml:space="preserve"> quality (GRADE </w:t>
      </w:r>
      <w:r w:rsidRPr="00920393">
        <w:rPr>
          <w:rFonts w:ascii="Cambria Math" w:eastAsia="Times New Roman" w:hAnsi="Cambria Math" w:cs="Tahoma"/>
          <w:bCs/>
          <w:color w:val="00B050"/>
        </w:rPr>
        <w:t>⨁⨁⨁⨁</w:t>
      </w:r>
      <w:r w:rsidRPr="008727D6">
        <w:t xml:space="preserve">), and for </w:t>
      </w:r>
      <w:r w:rsidR="00361A31">
        <w:t xml:space="preserve">change in </w:t>
      </w:r>
      <w:r w:rsidRPr="008727D6">
        <w:t>6MWD it w</w:t>
      </w:r>
      <w:r>
        <w:t xml:space="preserve">as of </w:t>
      </w:r>
      <w:r w:rsidRPr="0068036B">
        <w:t>moderate</w:t>
      </w:r>
      <w:r w:rsidRPr="006316DF">
        <w:t xml:space="preserve"> quality (GRADE </w:t>
      </w:r>
      <w:r w:rsidRPr="00920393">
        <w:rPr>
          <w:rFonts w:ascii="Cambria Math" w:eastAsia="Times New Roman" w:hAnsi="Cambria Math" w:cs="Tahoma"/>
          <w:bCs/>
          <w:color w:val="00B050"/>
        </w:rPr>
        <w:t>⨁⨁⨁</w:t>
      </w:r>
      <w:r w:rsidRPr="00920393">
        <w:rPr>
          <w:rFonts w:ascii="Cambria Math" w:eastAsia="Times New Roman" w:hAnsi="Cambria Math" w:cs="Cambria Math"/>
          <w:bCs/>
          <w:color w:val="C00000"/>
        </w:rPr>
        <w:t>⨀</w:t>
      </w:r>
      <w:r w:rsidRPr="008727D6">
        <w:t xml:space="preserve">) </w:t>
      </w:r>
      <w:r w:rsidR="00361A31" w:rsidRPr="008727D6">
        <w:t xml:space="preserve">in patients with </w:t>
      </w:r>
      <w:r w:rsidR="00361A31">
        <w:t xml:space="preserve">IPAH/HPAH and very low </w:t>
      </w:r>
      <w:r w:rsidR="00361A31" w:rsidRPr="00361A31">
        <w:t xml:space="preserve">quality (GRADE </w:t>
      </w:r>
      <w:r w:rsidR="00361A31" w:rsidRPr="00920393">
        <w:rPr>
          <w:rFonts w:ascii="Cambria Math" w:eastAsia="Times New Roman" w:hAnsi="Cambria Math" w:cs="Tahoma"/>
          <w:bCs/>
          <w:color w:val="00B050"/>
        </w:rPr>
        <w:t>⨁</w:t>
      </w:r>
      <w:r w:rsidR="00361A31" w:rsidRPr="00920393">
        <w:rPr>
          <w:rFonts w:ascii="Cambria Math" w:eastAsia="Times New Roman" w:hAnsi="Cambria Math" w:cs="Cambria Math"/>
          <w:bCs/>
          <w:color w:val="C00000"/>
        </w:rPr>
        <w:t>⨀⨀⨀</w:t>
      </w:r>
      <w:r w:rsidR="00361A31" w:rsidRPr="00361A31">
        <w:t>) in patients with PAH-CTD</w:t>
      </w:r>
      <w:r w:rsidR="00361A31">
        <w:t>.</w:t>
      </w:r>
    </w:p>
    <w:p w:rsidR="0075777C" w:rsidRDefault="0075777C" w:rsidP="0075777C">
      <w:r>
        <w:t xml:space="preserve">Clinical worsening in patients with PAH-CTD favoured combination therapy, and just failed to reach statistical significance (upper 95% CI = 1.01). There was an improvement of 6MWD in patients with IPAH/HPAH and in those with </w:t>
      </w:r>
      <w:proofErr w:type="gramStart"/>
      <w:r>
        <w:t>PAH-CTD</w:t>
      </w:r>
      <w:proofErr w:type="gramEnd"/>
      <w:r>
        <w:t xml:space="preserve"> receiving combination therapy compared with monotherapy, but the distance was not clinically importance.</w:t>
      </w:r>
    </w:p>
    <w:p w:rsidR="0075777C" w:rsidRDefault="0075777C" w:rsidP="0075777C">
      <w:r w:rsidRPr="006316DF">
        <w:t xml:space="preserve">Thus, </w:t>
      </w:r>
      <w:r w:rsidRPr="000522D6">
        <w:t xml:space="preserve">there is </w:t>
      </w:r>
      <w:r w:rsidR="00981BDF">
        <w:t>limited</w:t>
      </w:r>
      <w:r w:rsidRPr="000522D6">
        <w:t xml:space="preserve"> evidence </w:t>
      </w:r>
      <w:r w:rsidR="00981BDF">
        <w:t>as to</w:t>
      </w:r>
      <w:r w:rsidRPr="000522D6">
        <w:t xml:space="preserve"> whether </w:t>
      </w:r>
      <w:r>
        <w:t>there is differential effect</w:t>
      </w:r>
      <w:r w:rsidR="00981BDF">
        <w:t>iveness</w:t>
      </w:r>
      <w:r>
        <w:t xml:space="preserve"> in patients with different</w:t>
      </w:r>
      <w:r w:rsidRPr="008C0DB6">
        <w:t xml:space="preserve"> PAH</w:t>
      </w:r>
      <w:r>
        <w:t xml:space="preserve"> aetiologies</w:t>
      </w:r>
      <w:r w:rsidRPr="006316DF">
        <w:t xml:space="preserve"> </w:t>
      </w:r>
      <w:r>
        <w:t>treated with</w:t>
      </w:r>
      <w:r w:rsidRPr="006316DF">
        <w:t xml:space="preserve"> a </w:t>
      </w:r>
      <w:r w:rsidRPr="008A1083">
        <w:t>PDE-5 inhibitor in addition to an ERA</w:t>
      </w:r>
      <w:r w:rsidRPr="000522D6">
        <w:t xml:space="preserve">, relative to </w:t>
      </w:r>
      <w:r>
        <w:t>ERA</w:t>
      </w:r>
      <w:r w:rsidRPr="000522D6">
        <w:t xml:space="preserve"> monotherapy</w:t>
      </w:r>
      <w:r w:rsidR="006A32C5">
        <w:t>.</w:t>
      </w:r>
    </w:p>
    <w:p w:rsidR="006A32C5" w:rsidRDefault="006A32C5">
      <w:pPr>
        <w:spacing w:before="0" w:line="240" w:lineRule="auto"/>
        <w:rPr>
          <w:b/>
          <w:iCs/>
          <w:szCs w:val="18"/>
        </w:rPr>
      </w:pPr>
      <w:bookmarkStart w:id="371" w:name="_Ref505780684"/>
      <w:r>
        <w:br w:type="page"/>
      </w:r>
    </w:p>
    <w:p w:rsidR="0075777C" w:rsidRPr="006316DF" w:rsidRDefault="00272F8F" w:rsidP="00BC5A2B">
      <w:pPr>
        <w:pStyle w:val="Caption"/>
      </w:pPr>
      <w:bookmarkStart w:id="372" w:name="_Toc38360429"/>
      <w:r>
        <w:t>Table 4.</w:t>
      </w:r>
      <w:r w:rsidR="003951FA">
        <w:rPr>
          <w:noProof/>
        </w:rPr>
        <w:t>132</w:t>
      </w:r>
      <w:bookmarkEnd w:id="371"/>
      <w:r w:rsidR="000647C6">
        <w:tab/>
      </w:r>
      <w:r w:rsidR="0075777C" w:rsidRPr="006316DF">
        <w:t xml:space="preserve">Balance of clinical benefits of </w:t>
      </w:r>
      <w:r w:rsidR="001B552D">
        <w:t xml:space="preserve">a </w:t>
      </w:r>
      <w:r w:rsidR="0075777C" w:rsidRPr="006C4A08">
        <w:t xml:space="preserve">PDE-5 inhibitor in addition to </w:t>
      </w:r>
      <w:r w:rsidR="001B552D">
        <w:t xml:space="preserve">an </w:t>
      </w:r>
      <w:r w:rsidR="0075777C" w:rsidRPr="006C4A08">
        <w:t>ERA, relative to ERA monotherapy</w:t>
      </w:r>
      <w:r w:rsidR="0075777C">
        <w:t xml:space="preserve"> in patients</w:t>
      </w:r>
      <w:r w:rsidR="0075777C" w:rsidRPr="00B20802">
        <w:t xml:space="preserve"> with </w:t>
      </w:r>
      <w:r w:rsidR="0075777C" w:rsidRPr="00FE5B04">
        <w:t>different PAH aetiologies</w:t>
      </w:r>
      <w:bookmarkEnd w:id="372"/>
    </w:p>
    <w:tbl>
      <w:tblPr>
        <w:tblStyle w:val="TableGrid"/>
        <w:tblW w:w="9634" w:type="dxa"/>
        <w:tblLayout w:type="fixed"/>
        <w:tblLook w:val="04A0" w:firstRow="1" w:lastRow="0" w:firstColumn="1" w:lastColumn="0" w:noHBand="0" w:noVBand="1"/>
        <w:tblCaption w:val="Balance of clinical benefits of a PDE-5 inhibitor in addition to an ERA, relative to ERA monotherapy in patients with different PAH aetiologies"/>
      </w:tblPr>
      <w:tblGrid>
        <w:gridCol w:w="1560"/>
        <w:gridCol w:w="1275"/>
        <w:gridCol w:w="1701"/>
        <w:gridCol w:w="1413"/>
        <w:gridCol w:w="2551"/>
        <w:gridCol w:w="1134"/>
      </w:tblGrid>
      <w:tr w:rsidR="0075777C" w:rsidRPr="000647C6" w:rsidTr="000647C6">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3" w:type="dxa"/>
          </w:tcPr>
          <w:p w:rsidR="0075777C" w:rsidRPr="000647C6" w:rsidRDefault="0075777C" w:rsidP="000647C6">
            <w:pPr>
              <w:pStyle w:val="Tabletext"/>
              <w:rPr>
                <w:b/>
                <w:noProof/>
              </w:rPr>
            </w:pPr>
            <w:r w:rsidRPr="000647C6">
              <w:rPr>
                <w:b/>
                <w:noProof/>
              </w:rPr>
              <w:t>Results</w:t>
            </w:r>
          </w:p>
        </w:tc>
        <w:tc>
          <w:tcPr>
            <w:tcW w:w="2551" w:type="dxa"/>
          </w:tcPr>
          <w:p w:rsidR="0075777C" w:rsidRPr="000647C6" w:rsidRDefault="0075777C" w:rsidP="000647C6">
            <w:pPr>
              <w:pStyle w:val="Tabletext"/>
              <w:rPr>
                <w:b/>
                <w:noProof/>
              </w:rPr>
            </w:pPr>
            <w:r w:rsidRPr="000647C6">
              <w:rPr>
                <w:b/>
                <w:noProof/>
              </w:rPr>
              <w:t>Interpretation</w:t>
            </w:r>
          </w:p>
        </w:tc>
        <w:tc>
          <w:tcPr>
            <w:tcW w:w="1134" w:type="dxa"/>
          </w:tcPr>
          <w:p w:rsidR="0075777C" w:rsidRPr="000647C6" w:rsidRDefault="0075777C" w:rsidP="000647C6">
            <w:pPr>
              <w:pStyle w:val="Tabletext"/>
              <w:rPr>
                <w:b/>
                <w:noProof/>
              </w:rPr>
            </w:pPr>
            <w:r w:rsidRPr="000647C6">
              <w:rPr>
                <w:b/>
                <w:noProof/>
              </w:rPr>
              <w:t>GRADE</w:t>
            </w:r>
            <w:r w:rsidR="0033164F" w:rsidRPr="0033164F">
              <w:rPr>
                <w:b/>
                <w:noProof/>
                <w:vertAlign w:val="superscript"/>
              </w:rPr>
              <w:t>a</w:t>
            </w:r>
          </w:p>
          <w:p w:rsidR="0075777C" w:rsidRPr="000647C6" w:rsidRDefault="0075777C" w:rsidP="000647C6">
            <w:pPr>
              <w:pStyle w:val="Tabletext"/>
              <w:rPr>
                <w:b/>
                <w:noProof/>
              </w:rPr>
            </w:pPr>
            <w:r w:rsidRPr="000647C6">
              <w:rPr>
                <w:b/>
                <w:noProof/>
              </w:rPr>
              <w:t>Importance</w:t>
            </w:r>
          </w:p>
        </w:tc>
      </w:tr>
      <w:tr w:rsidR="00981BDF" w:rsidRPr="006316DF" w:rsidTr="00981BDF">
        <w:tc>
          <w:tcPr>
            <w:tcW w:w="1560" w:type="dxa"/>
            <w:shd w:val="clear" w:color="auto" w:fill="000000" w:themeFill="text1"/>
          </w:tcPr>
          <w:p w:rsidR="00981BDF" w:rsidRPr="00D36FBC" w:rsidRDefault="00981BDF" w:rsidP="00C95108">
            <w:pPr>
              <w:pStyle w:val="Tabletext"/>
              <w:keepNext/>
            </w:pPr>
            <w:r>
              <w:t>IPAH/HAPH</w:t>
            </w:r>
          </w:p>
        </w:tc>
        <w:tc>
          <w:tcPr>
            <w:tcW w:w="1275" w:type="dxa"/>
            <w:shd w:val="clear" w:color="auto" w:fill="000000" w:themeFill="text1"/>
          </w:tcPr>
          <w:p w:rsidR="00981BDF" w:rsidRPr="006316DF" w:rsidRDefault="00981BDF" w:rsidP="00C95108">
            <w:pPr>
              <w:pStyle w:val="Tabletext"/>
              <w:keepNext/>
              <w:rPr>
                <w:rFonts w:cs="Arial"/>
              </w:rPr>
            </w:pPr>
          </w:p>
        </w:tc>
        <w:tc>
          <w:tcPr>
            <w:tcW w:w="1701" w:type="dxa"/>
            <w:shd w:val="clear" w:color="auto" w:fill="000000" w:themeFill="text1"/>
          </w:tcPr>
          <w:p w:rsidR="00981BDF" w:rsidRDefault="00981BDF" w:rsidP="00C95108">
            <w:pPr>
              <w:pStyle w:val="Tabletext"/>
              <w:keepNext/>
              <w:rPr>
                <w:rFonts w:cs="Arial"/>
              </w:rPr>
            </w:pPr>
          </w:p>
        </w:tc>
        <w:tc>
          <w:tcPr>
            <w:tcW w:w="1413" w:type="dxa"/>
            <w:shd w:val="clear" w:color="auto" w:fill="000000" w:themeFill="text1"/>
          </w:tcPr>
          <w:p w:rsidR="00981BDF" w:rsidRPr="00C622C2" w:rsidRDefault="00981BDF" w:rsidP="00C95108">
            <w:pPr>
              <w:pStyle w:val="Tabletext"/>
              <w:keepNext/>
              <w:rPr>
                <w:rFonts w:cs="Arial"/>
              </w:rPr>
            </w:pPr>
          </w:p>
        </w:tc>
        <w:tc>
          <w:tcPr>
            <w:tcW w:w="2551" w:type="dxa"/>
            <w:shd w:val="clear" w:color="auto" w:fill="000000" w:themeFill="text1"/>
          </w:tcPr>
          <w:p w:rsidR="00981BDF" w:rsidRDefault="00981BDF" w:rsidP="00C95108">
            <w:pPr>
              <w:pStyle w:val="Tabletext"/>
              <w:keepNext/>
              <w:rPr>
                <w:rFonts w:cs="Arial"/>
              </w:rPr>
            </w:pPr>
          </w:p>
        </w:tc>
        <w:tc>
          <w:tcPr>
            <w:tcW w:w="1134" w:type="dxa"/>
            <w:shd w:val="clear" w:color="auto" w:fill="000000" w:themeFill="text1"/>
          </w:tcPr>
          <w:p w:rsidR="00981BDF" w:rsidRDefault="00981BDF" w:rsidP="00C95108">
            <w:pPr>
              <w:pStyle w:val="Tabletext"/>
              <w:keepNext/>
              <w:rPr>
                <w:rFonts w:cs="Arial"/>
              </w:rPr>
            </w:pPr>
          </w:p>
        </w:tc>
      </w:tr>
      <w:tr w:rsidR="0075777C" w:rsidRPr="006316DF" w:rsidTr="000647C6">
        <w:tc>
          <w:tcPr>
            <w:tcW w:w="1560" w:type="dxa"/>
          </w:tcPr>
          <w:p w:rsidR="0075777C" w:rsidRPr="006316DF" w:rsidRDefault="0075777C" w:rsidP="000647C6">
            <w:pPr>
              <w:pStyle w:val="Tabletext"/>
              <w:rPr>
                <w:rFonts w:cs="Arial"/>
              </w:rPr>
            </w:pPr>
            <w:r w:rsidRPr="006C4A08">
              <w:t>Change in 6MWD from baseline in IPAH/HPAH</w:t>
            </w:r>
          </w:p>
        </w:tc>
        <w:tc>
          <w:tcPr>
            <w:tcW w:w="1275" w:type="dxa"/>
          </w:tcPr>
          <w:p w:rsidR="0075777C" w:rsidRPr="006316DF" w:rsidRDefault="0075777C" w:rsidP="000647C6">
            <w:pPr>
              <w:pStyle w:val="Tabletext"/>
              <w:rPr>
                <w:rFonts w:cs="Arial"/>
              </w:rPr>
            </w:pPr>
            <w:r w:rsidRPr="006316DF">
              <w:rPr>
                <w:rFonts w:cs="Arial"/>
              </w:rPr>
              <w:t>N=</w:t>
            </w:r>
            <w:r>
              <w:rPr>
                <w:rFonts w:cs="Arial"/>
              </w:rPr>
              <w:t>120</w:t>
            </w:r>
          </w:p>
          <w:p w:rsidR="0075777C" w:rsidRPr="006316DF" w:rsidRDefault="0075777C" w:rsidP="000647C6">
            <w:pPr>
              <w:pStyle w:val="Tabletext"/>
              <w:rPr>
                <w:rFonts w:cs="Arial"/>
              </w:rPr>
            </w:pPr>
            <w:r w:rsidRPr="006316DF">
              <w:rPr>
                <w:rFonts w:cs="Arial"/>
              </w:rPr>
              <w:t>k=</w:t>
            </w:r>
            <w:r>
              <w:rPr>
                <w:rFonts w:cs="Arial"/>
              </w:rPr>
              <w:t>2</w:t>
            </w:r>
            <w:r w:rsidRPr="006316DF">
              <w:rPr>
                <w:rFonts w:cs="Arial"/>
              </w:rPr>
              <w:t xml:space="preserve"> RCT</w:t>
            </w:r>
            <w:r>
              <w:rPr>
                <w:rFonts w:cs="Arial"/>
              </w:rPr>
              <w:t>s</w:t>
            </w:r>
          </w:p>
        </w:tc>
        <w:tc>
          <w:tcPr>
            <w:tcW w:w="1701" w:type="dxa"/>
          </w:tcPr>
          <w:p w:rsidR="0075777C" w:rsidRPr="006316DF" w:rsidRDefault="0075777C" w:rsidP="000647C6">
            <w:pPr>
              <w:pStyle w:val="Tabletext"/>
              <w:rPr>
                <w:rFonts w:cs="Arial"/>
              </w:rPr>
            </w:pPr>
            <w:r>
              <w:rPr>
                <w:rFonts w:cs="Arial"/>
              </w:rPr>
              <w:t>Risk of bias: 0</w:t>
            </w:r>
          </w:p>
          <w:p w:rsidR="0075777C" w:rsidRPr="006316DF" w:rsidRDefault="0075777C" w:rsidP="000647C6">
            <w:pPr>
              <w:pStyle w:val="Tabletext"/>
              <w:rPr>
                <w:rFonts w:cs="Arial"/>
              </w:rPr>
            </w:pPr>
            <w:r w:rsidRPr="006316DF">
              <w:rPr>
                <w:rFonts w:cs="Arial"/>
              </w:rPr>
              <w:t>Inconsistency: 0</w:t>
            </w:r>
          </w:p>
          <w:p w:rsidR="0075777C" w:rsidRPr="006316DF" w:rsidRDefault="0075777C" w:rsidP="000647C6">
            <w:pPr>
              <w:pStyle w:val="Tabletext"/>
              <w:rPr>
                <w:rFonts w:cs="Arial"/>
              </w:rPr>
            </w:pPr>
            <w:r w:rsidRPr="006316DF">
              <w:rPr>
                <w:rFonts w:cs="Arial"/>
              </w:rPr>
              <w:t xml:space="preserve">Indirectness: </w:t>
            </w:r>
            <w:r w:rsidR="00B47224">
              <w:rPr>
                <w:rFonts w:cs="Arial"/>
              </w:rPr>
              <w:t>−1</w:t>
            </w:r>
          </w:p>
          <w:p w:rsidR="0075777C" w:rsidRDefault="0075777C" w:rsidP="000647C6">
            <w:pPr>
              <w:pStyle w:val="Tabletext"/>
              <w:rPr>
                <w:rFonts w:cs="Arial"/>
              </w:rPr>
            </w:pPr>
            <w:r>
              <w:rPr>
                <w:rFonts w:cs="Arial"/>
              </w:rPr>
              <w:t>Imprecision: 0</w:t>
            </w:r>
          </w:p>
          <w:p w:rsidR="0075777C" w:rsidRDefault="0075777C" w:rsidP="000647C6">
            <w:pPr>
              <w:pStyle w:val="Tabletext"/>
              <w:rPr>
                <w:rFonts w:cs="Arial"/>
              </w:rPr>
            </w:pPr>
            <w:r w:rsidRPr="006316DF">
              <w:rPr>
                <w:rFonts w:cs="Arial"/>
              </w:rPr>
              <w:t>Publication bias: 0</w:t>
            </w:r>
          </w:p>
          <w:p w:rsidR="0075777C" w:rsidRDefault="0075777C" w:rsidP="000647C6">
            <w:pPr>
              <w:pStyle w:val="Tabletext"/>
              <w:rPr>
                <w:rFonts w:cs="Arial"/>
              </w:rPr>
            </w:pPr>
            <w:r>
              <w:rPr>
                <w:rFonts w:cs="Arial"/>
              </w:rPr>
              <w:t>Association: 0</w:t>
            </w:r>
          </w:p>
        </w:tc>
        <w:tc>
          <w:tcPr>
            <w:tcW w:w="1413" w:type="dxa"/>
          </w:tcPr>
          <w:p w:rsidR="0075777C" w:rsidRPr="00C622C2" w:rsidRDefault="00FA2050" w:rsidP="007A3E34">
            <w:pPr>
              <w:pStyle w:val="Tabletext"/>
            </w:pPr>
            <w:r>
              <w:rPr>
                <w:rFonts w:cs="Arial"/>
              </w:rPr>
              <w:t>R</w:t>
            </w:r>
            <w:r w:rsidR="0075777C" w:rsidRPr="00686058">
              <w:rPr>
                <w:rFonts w:cs="Arial"/>
              </w:rPr>
              <w:t>ange 8.6</w:t>
            </w:r>
            <w:r w:rsidR="007A3E34">
              <w:rPr>
                <w:rFonts w:cs="Arial"/>
              </w:rPr>
              <w:t>−</w:t>
            </w:r>
            <w:r w:rsidR="0075777C" w:rsidRPr="00686058">
              <w:rPr>
                <w:rFonts w:cs="Arial"/>
              </w:rPr>
              <w:t>13.6 m further</w:t>
            </w:r>
          </w:p>
        </w:tc>
        <w:tc>
          <w:tcPr>
            <w:tcW w:w="2551" w:type="dxa"/>
          </w:tcPr>
          <w:p w:rsidR="0075777C" w:rsidRPr="00C622C2" w:rsidRDefault="0075777C" w:rsidP="000647C6">
            <w:pPr>
              <w:pStyle w:val="Tabletext"/>
              <w:rPr>
                <w:rFonts w:cs="Arial"/>
              </w:rPr>
            </w:pPr>
            <w:r>
              <w:rPr>
                <w:rFonts w:cs="Arial"/>
              </w:rPr>
              <w:t>P</w:t>
            </w:r>
            <w:r w:rsidRPr="00C622C2">
              <w:rPr>
                <w:rFonts w:cs="Arial"/>
              </w:rPr>
              <w:t xml:space="preserve">atients with </w:t>
            </w:r>
            <w:r>
              <w:rPr>
                <w:rFonts w:cs="Arial"/>
              </w:rPr>
              <w:t>I</w:t>
            </w:r>
            <w:r w:rsidRPr="00C622C2">
              <w:rPr>
                <w:rFonts w:cs="Arial"/>
              </w:rPr>
              <w:t>PAH</w:t>
            </w:r>
            <w:r>
              <w:rPr>
                <w:rFonts w:cs="Arial"/>
              </w:rPr>
              <w:t>/ HPAH</w:t>
            </w:r>
            <w:r w:rsidRPr="00C622C2">
              <w:rPr>
                <w:rFonts w:cs="Arial"/>
              </w:rPr>
              <w:t xml:space="preserve"> </w:t>
            </w:r>
            <w:r>
              <w:rPr>
                <w:rFonts w:cs="Arial"/>
              </w:rPr>
              <w:t xml:space="preserve">on </w:t>
            </w:r>
            <w:r w:rsidRPr="00C622C2">
              <w:rPr>
                <w:rFonts w:cs="Arial"/>
              </w:rPr>
              <w:t>combination the</w:t>
            </w:r>
            <w:r>
              <w:rPr>
                <w:rFonts w:cs="Arial"/>
              </w:rPr>
              <w:t>rapy had a larger mean improvement in their 6MWD</w:t>
            </w:r>
            <w:r w:rsidRPr="00C622C2">
              <w:rPr>
                <w:rFonts w:cs="Arial"/>
              </w:rPr>
              <w:t xml:space="preserve"> </w:t>
            </w:r>
            <w:r>
              <w:rPr>
                <w:rFonts w:cs="Arial"/>
              </w:rPr>
              <w:t>compared with monotherapy</w:t>
            </w:r>
            <w:r w:rsidR="00196DB5">
              <w:t>, but the difference was not clinically important</w:t>
            </w:r>
            <w:r>
              <w:rPr>
                <w:rFonts w:cs="Arial"/>
              </w:rPr>
              <w:t>.</w:t>
            </w:r>
          </w:p>
        </w:tc>
        <w:tc>
          <w:tcPr>
            <w:tcW w:w="1134" w:type="dxa"/>
          </w:tcPr>
          <w:p w:rsidR="0075777C" w:rsidRPr="006316DF" w:rsidRDefault="00B47224" w:rsidP="000647C6">
            <w:pPr>
              <w:pStyle w:val="Tabletext"/>
              <w:rPr>
                <w:rFonts w:cs="Arial"/>
              </w:rPr>
            </w:pPr>
            <w:r>
              <w:rPr>
                <w:rFonts w:cs="Arial"/>
              </w:rPr>
              <w:t>Moderate</w:t>
            </w:r>
          </w:p>
          <w:p w:rsidR="0075777C" w:rsidRPr="006316DF" w:rsidRDefault="0075777C" w:rsidP="000647C6">
            <w:pPr>
              <w:pStyle w:val="Tabletext"/>
              <w:rPr>
                <w:rFonts w:cs="Cambria Math"/>
                <w:bCs/>
              </w:rPr>
            </w:pPr>
            <w:r w:rsidRPr="006316DF">
              <w:rPr>
                <w:rFonts w:ascii="Cambria Math" w:hAnsi="Cambria Math" w:cs="Cambria Math"/>
                <w:bCs/>
                <w:color w:val="00B050"/>
              </w:rPr>
              <w:t>⨁⨁⨁</w:t>
            </w:r>
            <w:r w:rsidR="00B47224" w:rsidRPr="006316DF">
              <w:rPr>
                <w:rFonts w:ascii="Cambria Math" w:hAnsi="Cambria Math" w:cs="Cambria Math"/>
                <w:color w:val="C00000"/>
              </w:rPr>
              <w:t>⨀</w:t>
            </w:r>
          </w:p>
          <w:p w:rsidR="0075777C" w:rsidRDefault="000647C6" w:rsidP="000647C6">
            <w:pPr>
              <w:pStyle w:val="Tabletext"/>
              <w:rPr>
                <w:rFonts w:cs="Arial"/>
              </w:rPr>
            </w:pPr>
            <w:r>
              <w:rPr>
                <w:rFonts w:cs="Cambria Math"/>
                <w:bCs/>
              </w:rPr>
              <w:t>Im</w:t>
            </w:r>
            <w:r w:rsidR="0075777C">
              <w:rPr>
                <w:rFonts w:cs="Cambria Math"/>
                <w:bCs/>
              </w:rPr>
              <w:t>portant</w:t>
            </w:r>
            <w:r w:rsidR="0075777C" w:rsidRPr="006316DF">
              <w:rPr>
                <w:rFonts w:cs="Cambria Math"/>
                <w:bCs/>
              </w:rPr>
              <w:t xml:space="preserve"> </w:t>
            </w:r>
          </w:p>
        </w:tc>
      </w:tr>
      <w:tr w:rsidR="00981BDF" w:rsidRPr="006316DF" w:rsidTr="00981BDF">
        <w:tc>
          <w:tcPr>
            <w:tcW w:w="1560" w:type="dxa"/>
            <w:shd w:val="clear" w:color="auto" w:fill="000000" w:themeFill="text1"/>
          </w:tcPr>
          <w:p w:rsidR="00981BDF" w:rsidRPr="00D36FBC" w:rsidRDefault="00981BDF" w:rsidP="00920393">
            <w:pPr>
              <w:pStyle w:val="Tabletext"/>
            </w:pPr>
            <w:r>
              <w:t>PAH-CTD</w:t>
            </w:r>
          </w:p>
        </w:tc>
        <w:tc>
          <w:tcPr>
            <w:tcW w:w="1275" w:type="dxa"/>
            <w:shd w:val="clear" w:color="auto" w:fill="000000" w:themeFill="text1"/>
          </w:tcPr>
          <w:p w:rsidR="00981BDF" w:rsidRPr="006316DF" w:rsidRDefault="00981BDF" w:rsidP="00920393">
            <w:pPr>
              <w:pStyle w:val="Tabletext"/>
              <w:rPr>
                <w:rFonts w:cs="Arial"/>
              </w:rPr>
            </w:pPr>
          </w:p>
        </w:tc>
        <w:tc>
          <w:tcPr>
            <w:tcW w:w="1701" w:type="dxa"/>
            <w:shd w:val="clear" w:color="auto" w:fill="000000" w:themeFill="text1"/>
          </w:tcPr>
          <w:p w:rsidR="00981BDF" w:rsidRDefault="00981BDF" w:rsidP="00920393">
            <w:pPr>
              <w:pStyle w:val="Tabletext"/>
              <w:rPr>
                <w:rFonts w:cs="Arial"/>
              </w:rPr>
            </w:pPr>
          </w:p>
        </w:tc>
        <w:tc>
          <w:tcPr>
            <w:tcW w:w="1413" w:type="dxa"/>
            <w:shd w:val="clear" w:color="auto" w:fill="000000" w:themeFill="text1"/>
          </w:tcPr>
          <w:p w:rsidR="00981BDF" w:rsidRPr="00C622C2" w:rsidRDefault="00981BDF" w:rsidP="00920393">
            <w:pPr>
              <w:pStyle w:val="Tabletext"/>
              <w:rPr>
                <w:rFonts w:cs="Arial"/>
              </w:rPr>
            </w:pPr>
          </w:p>
        </w:tc>
        <w:tc>
          <w:tcPr>
            <w:tcW w:w="2551" w:type="dxa"/>
            <w:shd w:val="clear" w:color="auto" w:fill="000000" w:themeFill="text1"/>
          </w:tcPr>
          <w:p w:rsidR="00981BDF" w:rsidRDefault="00981BDF" w:rsidP="00920393">
            <w:pPr>
              <w:pStyle w:val="Tabletext"/>
              <w:rPr>
                <w:rFonts w:cs="Arial"/>
              </w:rPr>
            </w:pPr>
          </w:p>
        </w:tc>
        <w:tc>
          <w:tcPr>
            <w:tcW w:w="1134" w:type="dxa"/>
            <w:shd w:val="clear" w:color="auto" w:fill="000000" w:themeFill="text1"/>
          </w:tcPr>
          <w:p w:rsidR="00981BDF" w:rsidRDefault="00981BDF" w:rsidP="00920393">
            <w:pPr>
              <w:pStyle w:val="Tabletext"/>
              <w:rPr>
                <w:rFonts w:cs="Arial"/>
              </w:rPr>
            </w:pPr>
          </w:p>
        </w:tc>
      </w:tr>
      <w:tr w:rsidR="00981BDF" w:rsidRPr="006316DF" w:rsidTr="00981BDF">
        <w:tc>
          <w:tcPr>
            <w:tcW w:w="1560" w:type="dxa"/>
          </w:tcPr>
          <w:p w:rsidR="00981BDF" w:rsidRPr="006316DF" w:rsidRDefault="00981BDF" w:rsidP="00920393">
            <w:pPr>
              <w:pStyle w:val="Tabletext"/>
              <w:rPr>
                <w:rFonts w:cs="Arial"/>
              </w:rPr>
            </w:pPr>
            <w:r w:rsidRPr="00D36FBC">
              <w:t xml:space="preserve">Clinical worsening </w:t>
            </w:r>
            <w:r>
              <w:t>in PAH CTD</w:t>
            </w:r>
          </w:p>
        </w:tc>
        <w:tc>
          <w:tcPr>
            <w:tcW w:w="1275" w:type="dxa"/>
          </w:tcPr>
          <w:p w:rsidR="00981BDF" w:rsidRPr="006316DF" w:rsidRDefault="00981BDF" w:rsidP="00920393">
            <w:pPr>
              <w:pStyle w:val="Tabletext"/>
              <w:rPr>
                <w:rFonts w:cs="Arial"/>
              </w:rPr>
            </w:pPr>
            <w:r w:rsidRPr="006316DF">
              <w:rPr>
                <w:rFonts w:cs="Arial"/>
              </w:rPr>
              <w:t>N=</w:t>
            </w:r>
            <w:r>
              <w:rPr>
                <w:rFonts w:cs="Arial"/>
              </w:rPr>
              <w:t>147</w:t>
            </w:r>
          </w:p>
          <w:p w:rsidR="00981BDF" w:rsidRPr="006316DF" w:rsidRDefault="00981BDF" w:rsidP="00920393">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981BDF" w:rsidRPr="006316DF" w:rsidRDefault="00981BDF" w:rsidP="00920393">
            <w:pPr>
              <w:pStyle w:val="Tabletext"/>
              <w:rPr>
                <w:rFonts w:cs="Arial"/>
              </w:rPr>
            </w:pPr>
            <w:r>
              <w:rPr>
                <w:rFonts w:cs="Arial"/>
              </w:rPr>
              <w:t>Risk of bias: 0</w:t>
            </w:r>
          </w:p>
          <w:p w:rsidR="00981BDF" w:rsidRPr="006316DF" w:rsidRDefault="00981BDF" w:rsidP="00920393">
            <w:pPr>
              <w:pStyle w:val="Tabletext"/>
              <w:rPr>
                <w:rFonts w:cs="Arial"/>
              </w:rPr>
            </w:pPr>
            <w:r w:rsidRPr="006316DF">
              <w:rPr>
                <w:rFonts w:cs="Arial"/>
              </w:rPr>
              <w:t>Inconsistency: 0</w:t>
            </w:r>
          </w:p>
          <w:p w:rsidR="00981BDF" w:rsidRPr="006316DF" w:rsidRDefault="00981BDF" w:rsidP="00920393">
            <w:pPr>
              <w:pStyle w:val="Tabletext"/>
              <w:rPr>
                <w:rFonts w:cs="Arial"/>
              </w:rPr>
            </w:pPr>
            <w:r w:rsidRPr="006316DF">
              <w:rPr>
                <w:rFonts w:cs="Arial"/>
              </w:rPr>
              <w:t>Indirectness: 0</w:t>
            </w:r>
          </w:p>
          <w:p w:rsidR="00981BDF" w:rsidRDefault="00981BDF" w:rsidP="00920393">
            <w:pPr>
              <w:pStyle w:val="Tabletext"/>
              <w:rPr>
                <w:rFonts w:cs="Arial"/>
              </w:rPr>
            </w:pPr>
            <w:r w:rsidRPr="006316DF">
              <w:rPr>
                <w:rFonts w:cs="Arial"/>
              </w:rPr>
              <w:t>Imprecision: 0</w:t>
            </w:r>
          </w:p>
          <w:p w:rsidR="00981BDF" w:rsidRDefault="00981BDF" w:rsidP="00920393">
            <w:pPr>
              <w:pStyle w:val="Tabletext"/>
              <w:rPr>
                <w:rFonts w:cs="Arial"/>
              </w:rPr>
            </w:pPr>
            <w:r w:rsidRPr="006316DF">
              <w:rPr>
                <w:rFonts w:cs="Arial"/>
              </w:rPr>
              <w:t>Publication bias: 0</w:t>
            </w:r>
          </w:p>
          <w:p w:rsidR="00981BDF" w:rsidRPr="006316DF" w:rsidRDefault="00981BDF" w:rsidP="00920393">
            <w:pPr>
              <w:pStyle w:val="Tabletext"/>
              <w:rPr>
                <w:rFonts w:cs="Arial"/>
              </w:rPr>
            </w:pPr>
            <w:r>
              <w:rPr>
                <w:rFonts w:cs="Arial"/>
              </w:rPr>
              <w:t>Association: +1</w:t>
            </w:r>
          </w:p>
        </w:tc>
        <w:tc>
          <w:tcPr>
            <w:tcW w:w="1413" w:type="dxa"/>
          </w:tcPr>
          <w:p w:rsidR="00981BDF" w:rsidRPr="00C622C2" w:rsidRDefault="00981BDF" w:rsidP="00920393">
            <w:pPr>
              <w:pStyle w:val="Tabletext"/>
            </w:pPr>
            <w:r w:rsidRPr="00C622C2">
              <w:rPr>
                <w:rFonts w:cs="Arial"/>
              </w:rPr>
              <w:t>HR = 0.</w:t>
            </w:r>
            <w:r>
              <w:rPr>
                <w:rFonts w:cs="Arial"/>
              </w:rPr>
              <w:t>51</w:t>
            </w:r>
            <w:r w:rsidRPr="00C622C2">
              <w:rPr>
                <w:rFonts w:cs="Arial"/>
              </w:rPr>
              <w:t xml:space="preserve"> (</w:t>
            </w:r>
            <w:r>
              <w:rPr>
                <w:rFonts w:cs="Arial"/>
              </w:rPr>
              <w:t>95% CI</w:t>
            </w:r>
            <w:r w:rsidRPr="00C622C2">
              <w:rPr>
                <w:rFonts w:cs="Arial"/>
              </w:rPr>
              <w:t xml:space="preserve"> 0.</w:t>
            </w:r>
            <w:r>
              <w:rPr>
                <w:rFonts w:cs="Arial"/>
              </w:rPr>
              <w:t>25</w:t>
            </w:r>
            <w:r w:rsidRPr="00C622C2">
              <w:rPr>
                <w:rFonts w:cs="Arial"/>
              </w:rPr>
              <w:t xml:space="preserve">, </w:t>
            </w:r>
            <w:r>
              <w:rPr>
                <w:rFonts w:cs="Arial"/>
              </w:rPr>
              <w:t>1</w:t>
            </w:r>
            <w:r w:rsidRPr="00C622C2">
              <w:rPr>
                <w:rFonts w:cs="Arial"/>
              </w:rPr>
              <w:t>.</w:t>
            </w:r>
            <w:r>
              <w:rPr>
                <w:rFonts w:cs="Arial"/>
              </w:rPr>
              <w:t>01</w:t>
            </w:r>
            <w:r w:rsidRPr="00C622C2">
              <w:rPr>
                <w:rFonts w:cs="Arial"/>
              </w:rPr>
              <w:t>)</w:t>
            </w:r>
          </w:p>
        </w:tc>
        <w:tc>
          <w:tcPr>
            <w:tcW w:w="2551" w:type="dxa"/>
          </w:tcPr>
          <w:p w:rsidR="00981BDF" w:rsidRPr="00C622C2" w:rsidRDefault="00981BDF" w:rsidP="00920393">
            <w:pPr>
              <w:pStyle w:val="Tabletext"/>
            </w:pPr>
            <w:r>
              <w:rPr>
                <w:rFonts w:cs="Arial"/>
              </w:rPr>
              <w:t xml:space="preserve">Fewer </w:t>
            </w:r>
            <w:r w:rsidRPr="00C622C2">
              <w:rPr>
                <w:rFonts w:cs="Arial"/>
              </w:rPr>
              <w:t>patients with PAH</w:t>
            </w:r>
            <w:r>
              <w:rPr>
                <w:rFonts w:cs="Arial"/>
              </w:rPr>
              <w:t>-CTD</w:t>
            </w:r>
            <w:r w:rsidRPr="00C622C2">
              <w:rPr>
                <w:rFonts w:cs="Arial"/>
              </w:rPr>
              <w:t xml:space="preserve"> experience</w:t>
            </w:r>
            <w:r>
              <w:rPr>
                <w:rFonts w:cs="Arial"/>
              </w:rPr>
              <w:t>d</w:t>
            </w:r>
            <w:r w:rsidRPr="00C622C2">
              <w:rPr>
                <w:rFonts w:cs="Arial"/>
              </w:rPr>
              <w:t xml:space="preserve"> clinical worsening with combination the</w:t>
            </w:r>
            <w:r>
              <w:rPr>
                <w:rFonts w:cs="Arial"/>
              </w:rPr>
              <w:t>rapy compared with monotherapy, but the difference failed to reach statistical significance</w:t>
            </w:r>
          </w:p>
        </w:tc>
        <w:tc>
          <w:tcPr>
            <w:tcW w:w="1134" w:type="dxa"/>
          </w:tcPr>
          <w:p w:rsidR="00981BDF" w:rsidRPr="006316DF" w:rsidRDefault="00981BDF" w:rsidP="00920393">
            <w:pPr>
              <w:pStyle w:val="Tabletext"/>
              <w:rPr>
                <w:rFonts w:cs="Arial"/>
              </w:rPr>
            </w:pPr>
            <w:r>
              <w:rPr>
                <w:rFonts w:cs="Arial"/>
              </w:rPr>
              <w:t>High</w:t>
            </w:r>
          </w:p>
          <w:p w:rsidR="00981BDF" w:rsidRPr="006316DF" w:rsidRDefault="00981BDF" w:rsidP="00920393">
            <w:pPr>
              <w:pStyle w:val="Tabletext"/>
              <w:rPr>
                <w:rFonts w:cs="Cambria Math"/>
                <w:bCs/>
              </w:rPr>
            </w:pPr>
            <w:r w:rsidRPr="006316DF">
              <w:rPr>
                <w:rFonts w:ascii="Cambria Math" w:hAnsi="Cambria Math" w:cs="Cambria Math"/>
                <w:bCs/>
                <w:color w:val="00B050"/>
              </w:rPr>
              <w:t>⨁⨁⨁⨁</w:t>
            </w:r>
          </w:p>
          <w:p w:rsidR="00981BDF" w:rsidRPr="006316DF" w:rsidRDefault="00981BDF" w:rsidP="00920393">
            <w:pPr>
              <w:pStyle w:val="Tabletext"/>
              <w:rPr>
                <w:rFonts w:cs="Arial"/>
              </w:rPr>
            </w:pPr>
            <w:r w:rsidRPr="006316DF">
              <w:rPr>
                <w:rFonts w:cs="Cambria Math"/>
                <w:bCs/>
              </w:rPr>
              <w:t xml:space="preserve">Critical </w:t>
            </w:r>
          </w:p>
        </w:tc>
      </w:tr>
      <w:tr w:rsidR="0075777C" w:rsidRPr="006316DF" w:rsidTr="000647C6">
        <w:tc>
          <w:tcPr>
            <w:tcW w:w="1560" w:type="dxa"/>
          </w:tcPr>
          <w:p w:rsidR="0075777C" w:rsidRPr="006316DF" w:rsidRDefault="0075777C" w:rsidP="00981BDF">
            <w:pPr>
              <w:pStyle w:val="Tabletext"/>
              <w:keepNext/>
              <w:rPr>
                <w:rFonts w:cs="Arial"/>
              </w:rPr>
            </w:pPr>
            <w:r w:rsidRPr="006C4A08">
              <w:t xml:space="preserve">Change in 6MWD from baseline in </w:t>
            </w:r>
            <w:r>
              <w:t>PAH-CTD</w:t>
            </w:r>
          </w:p>
        </w:tc>
        <w:tc>
          <w:tcPr>
            <w:tcW w:w="1275" w:type="dxa"/>
          </w:tcPr>
          <w:p w:rsidR="0075777C" w:rsidRPr="006316DF" w:rsidRDefault="0075777C" w:rsidP="00981BDF">
            <w:pPr>
              <w:pStyle w:val="Tabletext"/>
              <w:keepNext/>
              <w:rPr>
                <w:rFonts w:cs="Arial"/>
              </w:rPr>
            </w:pPr>
            <w:r w:rsidRPr="006316DF">
              <w:rPr>
                <w:rFonts w:cs="Arial"/>
              </w:rPr>
              <w:t>N=</w:t>
            </w:r>
            <w:r>
              <w:rPr>
                <w:rFonts w:cs="Arial"/>
              </w:rPr>
              <w:t>55</w:t>
            </w:r>
          </w:p>
          <w:p w:rsidR="0075777C" w:rsidRPr="006316DF" w:rsidRDefault="0075777C" w:rsidP="00981BDF">
            <w:pPr>
              <w:pStyle w:val="Tabletext"/>
              <w:keepNext/>
              <w:rPr>
                <w:rFonts w:cs="Arial"/>
              </w:rPr>
            </w:pPr>
            <w:r w:rsidRPr="006316DF">
              <w:rPr>
                <w:rFonts w:cs="Arial"/>
              </w:rPr>
              <w:t>k=</w:t>
            </w:r>
            <w:r>
              <w:rPr>
                <w:rFonts w:cs="Arial"/>
              </w:rPr>
              <w:t>2</w:t>
            </w:r>
            <w:r w:rsidRPr="006316DF">
              <w:rPr>
                <w:rFonts w:cs="Arial"/>
              </w:rPr>
              <w:t xml:space="preserve"> RCT</w:t>
            </w:r>
            <w:r>
              <w:rPr>
                <w:rFonts w:cs="Arial"/>
              </w:rPr>
              <w:t>s</w:t>
            </w:r>
          </w:p>
        </w:tc>
        <w:tc>
          <w:tcPr>
            <w:tcW w:w="1701" w:type="dxa"/>
          </w:tcPr>
          <w:p w:rsidR="0075777C" w:rsidRPr="006316DF" w:rsidRDefault="0075777C" w:rsidP="00981BDF">
            <w:pPr>
              <w:pStyle w:val="Tabletext"/>
              <w:keepNext/>
              <w:rPr>
                <w:rFonts w:cs="Arial"/>
              </w:rPr>
            </w:pPr>
            <w:r>
              <w:rPr>
                <w:rFonts w:cs="Arial"/>
              </w:rPr>
              <w:t>Risk of bias: 0</w:t>
            </w:r>
          </w:p>
          <w:p w:rsidR="0075777C" w:rsidRPr="006316DF" w:rsidRDefault="0075777C" w:rsidP="00981BDF">
            <w:pPr>
              <w:pStyle w:val="Tabletext"/>
              <w:keepNext/>
              <w:rPr>
                <w:rFonts w:cs="Arial"/>
              </w:rPr>
            </w:pPr>
            <w:r>
              <w:rPr>
                <w:rFonts w:cs="Arial"/>
              </w:rPr>
              <w:t>Inconsistency: −1</w:t>
            </w:r>
          </w:p>
          <w:p w:rsidR="0075777C" w:rsidRPr="006316DF" w:rsidRDefault="0075777C" w:rsidP="00981BDF">
            <w:pPr>
              <w:pStyle w:val="Tabletext"/>
              <w:keepNext/>
              <w:rPr>
                <w:rFonts w:cs="Arial"/>
              </w:rPr>
            </w:pPr>
            <w:r w:rsidRPr="006316DF">
              <w:rPr>
                <w:rFonts w:cs="Arial"/>
              </w:rPr>
              <w:t xml:space="preserve">Indirectness: </w:t>
            </w:r>
            <w:r w:rsidR="00B47224">
              <w:rPr>
                <w:rFonts w:cs="Arial"/>
              </w:rPr>
              <w:t>−1</w:t>
            </w:r>
          </w:p>
          <w:p w:rsidR="0075777C" w:rsidRDefault="00B97B32" w:rsidP="00981BDF">
            <w:pPr>
              <w:pStyle w:val="Tabletext"/>
              <w:keepNext/>
              <w:rPr>
                <w:rFonts w:cs="Arial"/>
              </w:rPr>
            </w:pPr>
            <w:r>
              <w:rPr>
                <w:rFonts w:cs="Arial"/>
              </w:rPr>
              <w:t>Imprecision: −2</w:t>
            </w:r>
          </w:p>
          <w:p w:rsidR="0075777C" w:rsidRDefault="0075777C" w:rsidP="00981BDF">
            <w:pPr>
              <w:pStyle w:val="Tabletext"/>
              <w:keepNext/>
              <w:rPr>
                <w:rFonts w:cs="Arial"/>
              </w:rPr>
            </w:pPr>
            <w:r w:rsidRPr="006316DF">
              <w:rPr>
                <w:rFonts w:cs="Arial"/>
              </w:rPr>
              <w:t>Publication bias: 0</w:t>
            </w:r>
          </w:p>
          <w:p w:rsidR="0075777C" w:rsidRDefault="0075777C" w:rsidP="00981BDF">
            <w:pPr>
              <w:pStyle w:val="Tabletext"/>
              <w:keepNext/>
              <w:rPr>
                <w:rFonts w:cs="Arial"/>
              </w:rPr>
            </w:pPr>
            <w:r>
              <w:rPr>
                <w:rFonts w:cs="Arial"/>
              </w:rPr>
              <w:t>Association: 0</w:t>
            </w:r>
          </w:p>
        </w:tc>
        <w:tc>
          <w:tcPr>
            <w:tcW w:w="1413" w:type="dxa"/>
          </w:tcPr>
          <w:p w:rsidR="0075777C" w:rsidRPr="00C622C2" w:rsidRDefault="00FA2050" w:rsidP="001F1FDD">
            <w:pPr>
              <w:pStyle w:val="Tabletext"/>
              <w:keepNext/>
            </w:pPr>
            <w:r>
              <w:rPr>
                <w:rFonts w:cs="Arial"/>
              </w:rPr>
              <w:t>R</w:t>
            </w:r>
            <w:r w:rsidR="0075777C" w:rsidRPr="004A79CF">
              <w:rPr>
                <w:rFonts w:cs="Arial"/>
              </w:rPr>
              <w:t>ange 34.1 m less to 20.7 m further</w:t>
            </w:r>
          </w:p>
        </w:tc>
        <w:tc>
          <w:tcPr>
            <w:tcW w:w="2551" w:type="dxa"/>
          </w:tcPr>
          <w:p w:rsidR="0075777C" w:rsidRPr="00C622C2" w:rsidRDefault="007162D0" w:rsidP="00981BDF">
            <w:pPr>
              <w:pStyle w:val="Tabletext"/>
              <w:keepNext/>
              <w:rPr>
                <w:rFonts w:cs="Arial"/>
              </w:rPr>
            </w:pPr>
            <w:r w:rsidRPr="007162D0">
              <w:rPr>
                <w:rFonts w:cs="Arial"/>
              </w:rPr>
              <w:t>Patients on combination therapy had either a smaller or a larger mean improvement in their 6MWD than those on monotherapy</w:t>
            </w:r>
            <w:r w:rsidR="00196DB5">
              <w:t>, but the difference was not clinically important</w:t>
            </w:r>
          </w:p>
        </w:tc>
        <w:tc>
          <w:tcPr>
            <w:tcW w:w="1134" w:type="dxa"/>
          </w:tcPr>
          <w:p w:rsidR="00C05257" w:rsidRDefault="00C05257" w:rsidP="00C05257">
            <w:pPr>
              <w:pStyle w:val="Tabletext"/>
              <w:rPr>
                <w:rFonts w:eastAsia="Times New Roman" w:cs="Tahoma"/>
                <w:bCs/>
              </w:rPr>
            </w:pPr>
            <w:r>
              <w:rPr>
                <w:rFonts w:eastAsia="Times New Roman" w:cs="Tahoma"/>
                <w:bCs/>
              </w:rPr>
              <w:t>Very low</w:t>
            </w:r>
          </w:p>
          <w:p w:rsidR="00C05257" w:rsidRDefault="00C05257" w:rsidP="00C05257">
            <w:pPr>
              <w:pStyle w:val="Tabletext"/>
              <w:rPr>
                <w:rFonts w:ascii="Cambria Math" w:eastAsia="Times New Roman" w:hAnsi="Cambria Math" w:cs="Cambria Math"/>
                <w:bCs/>
              </w:rPr>
            </w:pP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75777C" w:rsidRDefault="000647C6" w:rsidP="00981BDF">
            <w:pPr>
              <w:pStyle w:val="Tabletext"/>
              <w:keepNext/>
              <w:rPr>
                <w:rFonts w:cs="Arial"/>
              </w:rPr>
            </w:pPr>
            <w:r>
              <w:rPr>
                <w:rFonts w:cs="Cambria Math"/>
                <w:bCs/>
              </w:rPr>
              <w:t>I</w:t>
            </w:r>
            <w:r w:rsidR="0075777C">
              <w:rPr>
                <w:rFonts w:cs="Cambria Math"/>
                <w:bCs/>
              </w:rPr>
              <w:t>mportant</w:t>
            </w:r>
            <w:r w:rsidR="0075777C" w:rsidRPr="006316DF">
              <w:rPr>
                <w:rFonts w:cs="Cambria Math"/>
                <w:bCs/>
              </w:rPr>
              <w:t xml:space="preserve"> </w:t>
            </w:r>
          </w:p>
        </w:tc>
      </w:tr>
    </w:tbl>
    <w:p w:rsidR="0075777C" w:rsidRPr="006316DF" w:rsidRDefault="0075777C" w:rsidP="000647C6">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0647C6">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75777C" w:rsidRPr="006316DF" w:rsidRDefault="0075777C" w:rsidP="000647C6">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F95747" w:rsidRPr="00E564DD" w:rsidRDefault="00F95747" w:rsidP="00F95747">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33164F" w:rsidRDefault="0075777C" w:rsidP="000647C6">
      <w:pPr>
        <w:pStyle w:val="Tablenote"/>
      </w:pPr>
      <w:proofErr w:type="gramStart"/>
      <w:r>
        <w:t xml:space="preserve">6MWD = 6-minute </w:t>
      </w:r>
      <w:r w:rsidR="0082368E">
        <w:t>walk distance</w:t>
      </w:r>
      <w:r>
        <w: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33164F" w:rsidRPr="00DC16A3">
        <w:t xml:space="preserve">; </w:t>
      </w:r>
      <w:r w:rsidRPr="00C65B42">
        <w:t xml:space="preserve">HPAH = heritable PAH; HR = hazard ratio; IPAH = idiopathic PAH; </w:t>
      </w:r>
      <w:r w:rsidR="0033164F">
        <w:t xml:space="preserve">k = number of studies; </w:t>
      </w:r>
      <w:r>
        <w:t xml:space="preserve">MD = mean difference; N = number of patients; </w:t>
      </w:r>
      <w:r w:rsidRPr="00C65B42">
        <w:t xml:space="preserve">PAH = pulmonary arterial hypertension; </w:t>
      </w:r>
      <w:r w:rsidR="00F24B06">
        <w:t>PAH-</w:t>
      </w:r>
      <w:r w:rsidR="00F24B06" w:rsidRPr="00DC16A3">
        <w:t xml:space="preserve">CTD = </w:t>
      </w:r>
      <w:r w:rsidR="00F24B06">
        <w:t xml:space="preserve">PAH </w:t>
      </w:r>
      <w:r w:rsidR="00F24B06" w:rsidRPr="00DC16A3">
        <w:t xml:space="preserve">associated with connective tissue disease; </w:t>
      </w:r>
      <w:r w:rsidRPr="009B5AB3">
        <w:t>PDE-5 = phosphodiesterase type-5</w:t>
      </w:r>
      <w:r>
        <w:t>;</w:t>
      </w:r>
      <w:r w:rsidRPr="009B5AB3">
        <w:t xml:space="preserve"> </w:t>
      </w:r>
      <w:r>
        <w:t>RCT = randomised controlled trial; WHO = World Health Organization</w:t>
      </w:r>
      <w:proofErr w:type="gramEnd"/>
    </w:p>
    <w:p w:rsidR="0075777C" w:rsidRPr="006316DF" w:rsidRDefault="0075777C" w:rsidP="0075777C">
      <w:pPr>
        <w:pStyle w:val="Heading5"/>
      </w:pPr>
      <w:r w:rsidRPr="006316DF">
        <w:t>Safety</w:t>
      </w:r>
    </w:p>
    <w:p w:rsidR="0075777C"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w:t>
      </w:r>
      <w:r>
        <w:t>safety</w:t>
      </w:r>
      <w:r w:rsidRPr="006316DF">
        <w:t xml:space="preserve"> outco</w:t>
      </w:r>
      <w:r>
        <w:t>mes when comparing a</w:t>
      </w:r>
      <w:r w:rsidRPr="006316DF">
        <w:t xml:space="preserve"> </w:t>
      </w:r>
      <w:r w:rsidRPr="00BB3BB5">
        <w:t>PDE-5 inhibitor</w:t>
      </w:r>
      <w:r w:rsidRPr="006316DF">
        <w:t xml:space="preserve"> </w:t>
      </w:r>
      <w:r w:rsidRPr="00BB3BB5">
        <w:t>in addition to</w:t>
      </w:r>
      <w:r w:rsidRPr="00AD232F">
        <w:t xml:space="preserve"> </w:t>
      </w:r>
      <w:r w:rsidRPr="006316DF">
        <w:t>ERA</w:t>
      </w:r>
      <w:r w:rsidRPr="00BB3BB5">
        <w:t xml:space="preserve">, relative to </w:t>
      </w:r>
      <w:r>
        <w:t>ERA</w:t>
      </w:r>
      <w:r w:rsidRPr="00BB3BB5">
        <w:t xml:space="preserve"> monotherapy </w:t>
      </w:r>
      <w:proofErr w:type="gramStart"/>
      <w:r w:rsidRPr="006316DF">
        <w:t>are reported</w:t>
      </w:r>
      <w:proofErr w:type="gramEnd"/>
      <w:r w:rsidRPr="006316DF">
        <w:t xml:space="preserve"> in</w:t>
      </w:r>
      <w:r>
        <w:t xml:space="preserve"> </w:t>
      </w:r>
      <w:r w:rsidR="003951FA">
        <w:t>Table 4.</w:t>
      </w:r>
      <w:r w:rsidR="003951FA">
        <w:rPr>
          <w:noProof/>
        </w:rPr>
        <w:t>159</w:t>
      </w:r>
      <w:r>
        <w:t xml:space="preserve"> and </w:t>
      </w:r>
      <w:r w:rsidR="003951FA">
        <w:t>Table 4.</w:t>
      </w:r>
      <w:r w:rsidR="003951FA">
        <w:rPr>
          <w:noProof/>
        </w:rPr>
        <w:t>160</w:t>
      </w:r>
      <w:r>
        <w:t xml:space="preserve"> </w:t>
      </w:r>
      <w:r w:rsidRPr="006316DF">
        <w:t xml:space="preserve">in Appendix </w:t>
      </w:r>
      <w:r w:rsidR="00DA2636">
        <w:t>4</w:t>
      </w:r>
      <w:r w:rsidR="001B552D">
        <w:t>C</w:t>
      </w:r>
      <w:r>
        <w:t xml:space="preserve">. </w:t>
      </w:r>
      <w:r w:rsidRPr="006316DF">
        <w:t xml:space="preserve">The evidence for the </w:t>
      </w:r>
      <w:r>
        <w:t xml:space="preserve">safety </w:t>
      </w:r>
      <w:r w:rsidRPr="006316DF">
        <w:t xml:space="preserve">outcomes </w:t>
      </w:r>
      <w:r>
        <w:t xml:space="preserve">for all PAH patients is summarised </w:t>
      </w:r>
      <w:r w:rsidRPr="006316DF">
        <w:t>in</w:t>
      </w:r>
      <w:r>
        <w:t xml:space="preserve"> </w:t>
      </w:r>
      <w:r w:rsidR="003951FA">
        <w:t>Table 4.</w:t>
      </w:r>
      <w:r w:rsidR="003951FA">
        <w:rPr>
          <w:noProof/>
        </w:rPr>
        <w:t>133</w:t>
      </w:r>
      <w:r>
        <w:t xml:space="preserve">. </w:t>
      </w:r>
      <w:r w:rsidR="00E20AB7">
        <w:t>There were no new safety signal identified by any of the included trials.</w:t>
      </w:r>
    </w:p>
    <w:p w:rsidR="00361A31" w:rsidRDefault="00361A31" w:rsidP="00361A31">
      <w:pPr>
        <w:rPr>
          <w:rFonts w:eastAsia="Times New Roman" w:cs="Cambria Math"/>
          <w:bCs/>
        </w:rPr>
      </w:pPr>
      <w:r>
        <w:t xml:space="preserve">Any AE and serious AE outcomes </w:t>
      </w:r>
      <w:proofErr w:type="gramStart"/>
      <w:r>
        <w:t xml:space="preserve">were </w:t>
      </w:r>
      <w:r w:rsidRPr="006316DF">
        <w:t>considered</w:t>
      </w:r>
      <w:proofErr w:type="gramEnd"/>
      <w:r w:rsidRPr="006316DF">
        <w:t xml:space="preserve"> to be of </w:t>
      </w:r>
      <w:r>
        <w:t>high</w:t>
      </w:r>
      <w:r w:rsidRPr="006316DF">
        <w:t xml:space="preserve"> quality (GRADE </w:t>
      </w:r>
      <w:r w:rsidRPr="00920393">
        <w:rPr>
          <w:rFonts w:ascii="Cambria Math" w:eastAsia="Times New Roman" w:hAnsi="Cambria Math" w:cs="Tahoma"/>
          <w:bCs/>
          <w:color w:val="00B050"/>
        </w:rPr>
        <w:t>⨁⨁⨁⨁</w:t>
      </w:r>
      <w:r w:rsidRPr="00E35D60">
        <w:t>)</w:t>
      </w:r>
      <w:r>
        <w:t xml:space="preserve"> and discontinuation of study medication due to an AE was of moderate quality </w:t>
      </w:r>
      <w:r w:rsidRPr="006316DF">
        <w:t xml:space="preserve">(GRADE </w:t>
      </w:r>
      <w:r w:rsidRPr="00920393">
        <w:rPr>
          <w:rFonts w:ascii="Cambria Math" w:eastAsia="Times New Roman" w:hAnsi="Cambria Math" w:cs="Tahoma"/>
          <w:bCs/>
          <w:color w:val="00B050"/>
        </w:rPr>
        <w:t>⨁⨁⨁</w:t>
      </w:r>
      <w:r w:rsidRPr="00E564DD">
        <w:rPr>
          <w:rFonts w:ascii="Cambria Math" w:hAnsi="Cambria Math"/>
          <w:color w:val="C00000"/>
        </w:rPr>
        <w:t>⨀</w:t>
      </w:r>
      <w:r w:rsidRPr="00E35D60">
        <w:t>).</w:t>
      </w:r>
    </w:p>
    <w:p w:rsidR="0075777C" w:rsidRPr="008727D6" w:rsidRDefault="0075777C" w:rsidP="0075777C">
      <w:r w:rsidRPr="008727D6">
        <w:t xml:space="preserve">Patients were just as likely to experience either any AE or a serious AE after starting combination therapy as they were on monotherapy. Patients on combination therapy were more likely to have an AE that would lead to treatment discontinuation compared with those on monotherapy, but the </w:t>
      </w:r>
      <w:r w:rsidR="00D84687">
        <w:t>95% CI indicates</w:t>
      </w:r>
      <w:r w:rsidRPr="008727D6">
        <w:t xml:space="preserve"> that there could also be no or the opposite effect.</w:t>
      </w:r>
    </w:p>
    <w:p w:rsidR="0075777C" w:rsidRDefault="0075777C" w:rsidP="0075777C">
      <w:r w:rsidRPr="006316DF">
        <w:t>Th</w:t>
      </w:r>
      <w:r w:rsidR="00981BDF">
        <w:t>us, the</w:t>
      </w:r>
      <w:r w:rsidRPr="000522D6">
        <w:t xml:space="preserve"> </w:t>
      </w:r>
      <w:r w:rsidRPr="006316DF">
        <w:t xml:space="preserve">use of a </w:t>
      </w:r>
      <w:r w:rsidRPr="00621F68">
        <w:t xml:space="preserve">PDE-5 inhibitor in addition to ERA </w:t>
      </w:r>
      <w:r w:rsidR="008B5A87">
        <w:t>may</w:t>
      </w:r>
      <w:r w:rsidR="00981BDF" w:rsidRPr="006316DF">
        <w:t xml:space="preserve"> be </w:t>
      </w:r>
      <w:r w:rsidR="008B5A87">
        <w:t>non-inferior to</w:t>
      </w:r>
      <w:r w:rsidRPr="00621F68">
        <w:t xml:space="preserve"> ERA monotherapy </w:t>
      </w:r>
      <w:r w:rsidR="00981BDF">
        <w:t>when</w:t>
      </w:r>
      <w:r w:rsidRPr="006316DF">
        <w:t xml:space="preserve"> treat</w:t>
      </w:r>
      <w:r w:rsidR="00981BDF">
        <w:t>ing</w:t>
      </w:r>
      <w:r w:rsidRPr="006316DF">
        <w:t xml:space="preserve"> </w:t>
      </w:r>
      <w:r>
        <w:t>PAH patients</w:t>
      </w:r>
      <w:r w:rsidR="002856B6">
        <w:t>.</w:t>
      </w:r>
    </w:p>
    <w:p w:rsidR="0075777C" w:rsidRPr="006316DF" w:rsidRDefault="00272F8F" w:rsidP="00BC5A2B">
      <w:pPr>
        <w:pStyle w:val="Caption"/>
      </w:pPr>
      <w:bookmarkStart w:id="373" w:name="_Ref505781563"/>
      <w:bookmarkStart w:id="374" w:name="_Toc38360430"/>
      <w:r>
        <w:t>Table 4.</w:t>
      </w:r>
      <w:r w:rsidR="003951FA">
        <w:rPr>
          <w:noProof/>
        </w:rPr>
        <w:t>133</w:t>
      </w:r>
      <w:bookmarkEnd w:id="373"/>
      <w:r w:rsidR="000647C6">
        <w:tab/>
      </w:r>
      <w:r w:rsidR="0075777C" w:rsidRPr="006316DF">
        <w:t xml:space="preserve">Balance of clinical harms of </w:t>
      </w:r>
      <w:r w:rsidR="001B552D">
        <w:t xml:space="preserve">a </w:t>
      </w:r>
      <w:r w:rsidR="0075777C" w:rsidRPr="006C4A08">
        <w:t xml:space="preserve">PDE-5 inhibitor in addition to </w:t>
      </w:r>
      <w:r w:rsidR="001B552D">
        <w:t xml:space="preserve">an </w:t>
      </w:r>
      <w:r w:rsidR="0075777C" w:rsidRPr="006C4A08">
        <w:t>ERA, relative to ERA monotherapy</w:t>
      </w:r>
      <w:r w:rsidR="0075777C" w:rsidRPr="004A69F0">
        <w:t xml:space="preserve"> </w:t>
      </w:r>
      <w:r w:rsidR="0075777C">
        <w:t>in all PAH patients</w:t>
      </w:r>
      <w:bookmarkEnd w:id="374"/>
    </w:p>
    <w:tbl>
      <w:tblPr>
        <w:tblStyle w:val="TableGrid"/>
        <w:tblW w:w="9639" w:type="dxa"/>
        <w:tblLayout w:type="fixed"/>
        <w:tblLook w:val="04A0" w:firstRow="1" w:lastRow="0" w:firstColumn="1" w:lastColumn="0" w:noHBand="0" w:noVBand="1"/>
        <w:tblCaption w:val="Balance of clinical harms of a PDE-5 inhibitor in addition to an ERA, relative to ERA monotherapy in all PAH patients"/>
      </w:tblPr>
      <w:tblGrid>
        <w:gridCol w:w="1560"/>
        <w:gridCol w:w="1275"/>
        <w:gridCol w:w="1701"/>
        <w:gridCol w:w="1418"/>
        <w:gridCol w:w="2693"/>
        <w:gridCol w:w="992"/>
      </w:tblGrid>
      <w:tr w:rsidR="0075777C" w:rsidRPr="000647C6" w:rsidTr="000647C6">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0647C6" w:rsidRDefault="0075777C" w:rsidP="000647C6">
            <w:pPr>
              <w:pStyle w:val="Tabletext"/>
              <w:rPr>
                <w:b/>
                <w:noProof/>
              </w:rPr>
            </w:pPr>
            <w:r w:rsidRPr="000647C6">
              <w:rPr>
                <w:b/>
                <w:noProof/>
              </w:rPr>
              <w:t xml:space="preserve">Outcomes </w:t>
            </w:r>
          </w:p>
        </w:tc>
        <w:tc>
          <w:tcPr>
            <w:tcW w:w="1275" w:type="dxa"/>
          </w:tcPr>
          <w:p w:rsidR="0075777C" w:rsidRPr="000647C6" w:rsidRDefault="0075777C" w:rsidP="000647C6">
            <w:pPr>
              <w:pStyle w:val="Tabletext"/>
              <w:rPr>
                <w:b/>
                <w:noProof/>
              </w:rPr>
            </w:pPr>
            <w:r w:rsidRPr="000647C6">
              <w:rPr>
                <w:b/>
                <w:noProof/>
              </w:rPr>
              <w:t>Participants (studies)</w:t>
            </w:r>
          </w:p>
        </w:tc>
        <w:tc>
          <w:tcPr>
            <w:tcW w:w="1701" w:type="dxa"/>
          </w:tcPr>
          <w:p w:rsidR="0075777C" w:rsidRPr="000647C6" w:rsidRDefault="0075777C" w:rsidP="000647C6">
            <w:pPr>
              <w:pStyle w:val="Tabletext"/>
              <w:rPr>
                <w:b/>
                <w:noProof/>
              </w:rPr>
            </w:pPr>
            <w:r w:rsidRPr="000647C6">
              <w:rPr>
                <w:b/>
                <w:noProof/>
              </w:rPr>
              <w:t>Quality of evidence</w:t>
            </w:r>
          </w:p>
        </w:tc>
        <w:tc>
          <w:tcPr>
            <w:tcW w:w="1418" w:type="dxa"/>
          </w:tcPr>
          <w:p w:rsidR="0075777C" w:rsidRPr="000647C6" w:rsidRDefault="0075777C" w:rsidP="000647C6">
            <w:pPr>
              <w:pStyle w:val="Tabletext"/>
              <w:rPr>
                <w:b/>
                <w:noProof/>
              </w:rPr>
            </w:pPr>
            <w:r w:rsidRPr="000647C6">
              <w:rPr>
                <w:b/>
                <w:noProof/>
              </w:rPr>
              <w:t>Results</w:t>
            </w:r>
          </w:p>
        </w:tc>
        <w:tc>
          <w:tcPr>
            <w:tcW w:w="2693" w:type="dxa"/>
          </w:tcPr>
          <w:p w:rsidR="0075777C" w:rsidRPr="000647C6" w:rsidRDefault="0075777C" w:rsidP="000647C6">
            <w:pPr>
              <w:pStyle w:val="Tabletext"/>
              <w:rPr>
                <w:b/>
                <w:noProof/>
              </w:rPr>
            </w:pPr>
            <w:r w:rsidRPr="000647C6">
              <w:rPr>
                <w:b/>
                <w:noProof/>
              </w:rPr>
              <w:t>Interpretation</w:t>
            </w:r>
          </w:p>
        </w:tc>
        <w:tc>
          <w:tcPr>
            <w:tcW w:w="992" w:type="dxa"/>
          </w:tcPr>
          <w:p w:rsidR="0075777C" w:rsidRPr="000647C6" w:rsidRDefault="0075777C" w:rsidP="000647C6">
            <w:pPr>
              <w:pStyle w:val="Tabletext"/>
              <w:rPr>
                <w:b/>
                <w:noProof/>
              </w:rPr>
            </w:pPr>
            <w:r w:rsidRPr="000647C6">
              <w:rPr>
                <w:b/>
                <w:noProof/>
              </w:rPr>
              <w:t>GRADE</w:t>
            </w:r>
            <w:r w:rsidR="00F24B06" w:rsidRPr="00F24B06">
              <w:rPr>
                <w:b/>
                <w:noProof/>
                <w:vertAlign w:val="superscript"/>
              </w:rPr>
              <w:t>a</w:t>
            </w:r>
          </w:p>
          <w:p w:rsidR="0075777C" w:rsidRPr="000647C6" w:rsidRDefault="0075777C" w:rsidP="000647C6">
            <w:pPr>
              <w:pStyle w:val="Tabletext"/>
              <w:rPr>
                <w:b/>
                <w:noProof/>
              </w:rPr>
            </w:pPr>
            <w:r w:rsidRPr="000647C6">
              <w:rPr>
                <w:b/>
                <w:noProof/>
              </w:rPr>
              <w:t>Importance</w:t>
            </w:r>
          </w:p>
        </w:tc>
      </w:tr>
      <w:tr w:rsidR="0075777C" w:rsidRPr="006316DF" w:rsidTr="000647C6">
        <w:tc>
          <w:tcPr>
            <w:tcW w:w="1560" w:type="dxa"/>
          </w:tcPr>
          <w:p w:rsidR="0075777C" w:rsidRPr="006316DF" w:rsidRDefault="0075777C" w:rsidP="000647C6">
            <w:pPr>
              <w:pStyle w:val="Tabletext"/>
            </w:pPr>
            <w:r>
              <w:t>Any AE</w:t>
            </w:r>
            <w:r w:rsidRPr="006316DF">
              <w:t xml:space="preserve"> </w:t>
            </w:r>
          </w:p>
        </w:tc>
        <w:tc>
          <w:tcPr>
            <w:tcW w:w="1275" w:type="dxa"/>
          </w:tcPr>
          <w:p w:rsidR="0075777C" w:rsidRPr="006316DF" w:rsidRDefault="0075777C" w:rsidP="000647C6">
            <w:pPr>
              <w:pStyle w:val="Tabletext"/>
            </w:pPr>
            <w:r>
              <w:t>N=190</w:t>
            </w:r>
          </w:p>
          <w:p w:rsidR="0075777C" w:rsidRPr="006316DF" w:rsidRDefault="0075777C" w:rsidP="000647C6">
            <w:pPr>
              <w:pStyle w:val="Tabletext"/>
            </w:pPr>
            <w:r w:rsidRPr="006316DF">
              <w:t>k=</w:t>
            </w:r>
            <w:r>
              <w:t>2</w:t>
            </w:r>
            <w:r w:rsidRPr="006316DF">
              <w:t xml:space="preserve"> RCT</w:t>
            </w:r>
            <w:r>
              <w: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8" w:type="dxa"/>
          </w:tcPr>
          <w:p w:rsidR="0075777C" w:rsidRPr="000E45D6" w:rsidRDefault="0075777C" w:rsidP="000647C6">
            <w:pPr>
              <w:pStyle w:val="Tabletext"/>
            </w:pPr>
            <w:r>
              <w:t xml:space="preserve">Pooled </w:t>
            </w:r>
            <w:r w:rsidRPr="000E45D6">
              <w:t xml:space="preserve">RR = </w:t>
            </w:r>
            <w:r>
              <w:t>1.</w:t>
            </w:r>
            <w:r w:rsidRPr="000E45D6">
              <w:t>0</w:t>
            </w:r>
            <w:r>
              <w:t>0</w:t>
            </w:r>
            <w:r w:rsidRPr="000E45D6">
              <w:t xml:space="preserve"> (95% CI 0.</w:t>
            </w:r>
            <w:r>
              <w:t>79</w:t>
            </w:r>
            <w:r w:rsidRPr="000E45D6">
              <w:t xml:space="preserve">, </w:t>
            </w:r>
            <w:r>
              <w:t>1.27</w:t>
            </w:r>
            <w:r w:rsidRPr="000E45D6">
              <w:t>)</w:t>
            </w:r>
          </w:p>
        </w:tc>
        <w:tc>
          <w:tcPr>
            <w:tcW w:w="2693" w:type="dxa"/>
          </w:tcPr>
          <w:p w:rsidR="0075777C" w:rsidRPr="000E45D6" w:rsidRDefault="0075777C" w:rsidP="000647C6">
            <w:pPr>
              <w:pStyle w:val="Tabletext"/>
            </w:pPr>
            <w:r>
              <w:t>T</w:t>
            </w:r>
            <w:r w:rsidRPr="000E45D6">
              <w:t xml:space="preserve">he </w:t>
            </w:r>
            <w:r>
              <w:t>proportion</w:t>
            </w:r>
            <w:r w:rsidRPr="000E45D6">
              <w:t xml:space="preserve"> of patients </w:t>
            </w:r>
            <w:r>
              <w:t>who</w:t>
            </w:r>
            <w:r w:rsidRPr="000E45D6">
              <w:t xml:space="preserve"> experience</w:t>
            </w:r>
            <w:r>
              <w:t>d</w:t>
            </w:r>
            <w:r w:rsidRPr="000E45D6">
              <w:t xml:space="preserve"> </w:t>
            </w:r>
            <w:r>
              <w:t>an AE</w:t>
            </w:r>
            <w:r w:rsidRPr="000E45D6">
              <w:t xml:space="preserve"> </w:t>
            </w:r>
            <w:r>
              <w:t>with combination therapy was similar to the proportion on monotherapy</w:t>
            </w:r>
          </w:p>
        </w:tc>
        <w:tc>
          <w:tcPr>
            <w:tcW w:w="992"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t>Important</w:t>
            </w:r>
          </w:p>
        </w:tc>
      </w:tr>
      <w:tr w:rsidR="0075777C" w:rsidRPr="006316DF" w:rsidTr="000647C6">
        <w:tc>
          <w:tcPr>
            <w:tcW w:w="1560" w:type="dxa"/>
          </w:tcPr>
          <w:p w:rsidR="0075777C" w:rsidRPr="006316DF" w:rsidRDefault="0075777C" w:rsidP="000647C6">
            <w:pPr>
              <w:pStyle w:val="Tabletext"/>
            </w:pPr>
            <w:r>
              <w:t>Serious AEs</w:t>
            </w:r>
          </w:p>
        </w:tc>
        <w:tc>
          <w:tcPr>
            <w:tcW w:w="1275" w:type="dxa"/>
          </w:tcPr>
          <w:p w:rsidR="0075777C" w:rsidRPr="006316DF" w:rsidRDefault="0075777C" w:rsidP="000647C6">
            <w:pPr>
              <w:pStyle w:val="Tabletext"/>
            </w:pPr>
            <w:r w:rsidRPr="006316DF">
              <w:t>N=</w:t>
            </w:r>
            <w:r>
              <w:t>482</w:t>
            </w:r>
          </w:p>
          <w:p w:rsidR="0075777C" w:rsidRPr="006316DF" w:rsidRDefault="0075777C" w:rsidP="000647C6">
            <w:pPr>
              <w:pStyle w:val="Tabletext"/>
            </w:pPr>
            <w:r w:rsidRPr="006316DF">
              <w:t>k=2 RCTs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rsidRPr="006316DF">
              <w:t>Imprecision: 0</w:t>
            </w:r>
          </w:p>
          <w:p w:rsidR="0075777C" w:rsidRDefault="0075777C" w:rsidP="000647C6">
            <w:pPr>
              <w:pStyle w:val="Tabletext"/>
            </w:pPr>
            <w:r w:rsidRPr="006316DF">
              <w:t>Publication bias: 0</w:t>
            </w:r>
          </w:p>
          <w:p w:rsidR="0075777C" w:rsidRPr="006316DF" w:rsidRDefault="0075777C" w:rsidP="000647C6">
            <w:pPr>
              <w:pStyle w:val="Tabletext"/>
            </w:pPr>
            <w:r>
              <w:t>Association: 0</w:t>
            </w:r>
          </w:p>
        </w:tc>
        <w:tc>
          <w:tcPr>
            <w:tcW w:w="1418" w:type="dxa"/>
          </w:tcPr>
          <w:p w:rsidR="0075777C" w:rsidRPr="000E45D6" w:rsidRDefault="0075777C" w:rsidP="000647C6">
            <w:pPr>
              <w:pStyle w:val="Tabletext"/>
            </w:pPr>
            <w:r w:rsidRPr="000E45D6">
              <w:t>Pooled RR = 0.</w:t>
            </w:r>
            <w:r>
              <w:t>99 (95% CI 0</w:t>
            </w:r>
            <w:r w:rsidRPr="000E45D6">
              <w:t>.</w:t>
            </w:r>
            <w:r>
              <w:t>76, 1.29</w:t>
            </w:r>
            <w:r w:rsidRPr="000E45D6">
              <w:t>)</w:t>
            </w:r>
          </w:p>
        </w:tc>
        <w:tc>
          <w:tcPr>
            <w:tcW w:w="2693" w:type="dxa"/>
          </w:tcPr>
          <w:p w:rsidR="0075777C" w:rsidRPr="000E45D6" w:rsidRDefault="0075777C" w:rsidP="000647C6">
            <w:pPr>
              <w:pStyle w:val="Tabletext"/>
            </w:pPr>
            <w:r>
              <w:t>T</w:t>
            </w:r>
            <w:r w:rsidRPr="000E45D6">
              <w:t xml:space="preserve">he </w:t>
            </w:r>
            <w:r>
              <w:t>proportion</w:t>
            </w:r>
            <w:r w:rsidRPr="000E45D6">
              <w:t xml:space="preserve"> of patients </w:t>
            </w:r>
            <w:r>
              <w:t>who</w:t>
            </w:r>
            <w:r w:rsidRPr="000E45D6">
              <w:t xml:space="preserve"> </w:t>
            </w:r>
            <w:r>
              <w:t>had a serious AE</w:t>
            </w:r>
            <w:r w:rsidRPr="000E45D6">
              <w:t xml:space="preserve"> </w:t>
            </w:r>
            <w:r>
              <w:t>with combination therapy was similar to the proportion on monotherapy</w:t>
            </w:r>
          </w:p>
        </w:tc>
        <w:tc>
          <w:tcPr>
            <w:tcW w:w="992" w:type="dxa"/>
          </w:tcPr>
          <w:p w:rsidR="0075777C" w:rsidRPr="006316DF" w:rsidRDefault="0075777C" w:rsidP="000647C6">
            <w:pPr>
              <w:pStyle w:val="Tabletext"/>
            </w:pPr>
            <w: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pPr>
            <w:r w:rsidRPr="006316DF">
              <w:t>Important</w:t>
            </w:r>
          </w:p>
        </w:tc>
      </w:tr>
      <w:tr w:rsidR="0075777C" w:rsidRPr="006316DF" w:rsidTr="000647C6">
        <w:tc>
          <w:tcPr>
            <w:tcW w:w="1560" w:type="dxa"/>
          </w:tcPr>
          <w:p w:rsidR="0075777C" w:rsidRPr="006316DF" w:rsidRDefault="0075777C" w:rsidP="000647C6">
            <w:pPr>
              <w:pStyle w:val="Tabletext"/>
            </w:pPr>
            <w:r w:rsidRPr="000E45D6">
              <w:t>AEs leading to treatment discontinuation</w:t>
            </w:r>
          </w:p>
        </w:tc>
        <w:tc>
          <w:tcPr>
            <w:tcW w:w="1275" w:type="dxa"/>
          </w:tcPr>
          <w:p w:rsidR="0075777C" w:rsidRPr="006316DF" w:rsidRDefault="0075777C" w:rsidP="000647C6">
            <w:pPr>
              <w:pStyle w:val="Tabletext"/>
            </w:pPr>
            <w:r>
              <w:t>N=503</w:t>
            </w:r>
          </w:p>
          <w:p w:rsidR="0075777C" w:rsidRPr="006316DF" w:rsidRDefault="0075777C" w:rsidP="000647C6">
            <w:pPr>
              <w:pStyle w:val="Tabletext"/>
            </w:pPr>
            <w:r w:rsidRPr="006316DF">
              <w:t>k=</w:t>
            </w:r>
            <w:r>
              <w:t>2</w:t>
            </w:r>
            <w:r w:rsidRPr="006316DF">
              <w:t xml:space="preserve"> RCT</w:t>
            </w:r>
            <w:r>
              <w:t>s</w:t>
            </w:r>
          </w:p>
        </w:tc>
        <w:tc>
          <w:tcPr>
            <w:tcW w:w="1701" w:type="dxa"/>
          </w:tcPr>
          <w:p w:rsidR="0075777C" w:rsidRPr="006316DF" w:rsidRDefault="0075777C" w:rsidP="000647C6">
            <w:pPr>
              <w:pStyle w:val="Tabletext"/>
            </w:pPr>
            <w:r>
              <w:t>Risk of bias: 0</w:t>
            </w:r>
          </w:p>
          <w:p w:rsidR="0075777C" w:rsidRPr="006316DF" w:rsidRDefault="0075777C" w:rsidP="000647C6">
            <w:pPr>
              <w:pStyle w:val="Tabletext"/>
            </w:pPr>
            <w:r w:rsidRPr="006316DF">
              <w:t>Inconsistency: 0</w:t>
            </w:r>
          </w:p>
          <w:p w:rsidR="0075777C" w:rsidRPr="006316DF" w:rsidRDefault="0075777C" w:rsidP="000647C6">
            <w:pPr>
              <w:pStyle w:val="Tabletext"/>
            </w:pPr>
            <w:r w:rsidRPr="006316DF">
              <w:t>Indirectness: 0</w:t>
            </w:r>
          </w:p>
          <w:p w:rsidR="0075777C" w:rsidRDefault="0075777C" w:rsidP="000647C6">
            <w:pPr>
              <w:pStyle w:val="Tabletext"/>
            </w:pPr>
            <w:r>
              <w:t>Imprecision: −1</w:t>
            </w:r>
          </w:p>
          <w:p w:rsidR="0075777C" w:rsidRDefault="0075777C" w:rsidP="000647C6">
            <w:pPr>
              <w:pStyle w:val="Tabletext"/>
            </w:pPr>
            <w:r w:rsidRPr="006316DF">
              <w:t>Publication bias: 0</w:t>
            </w:r>
          </w:p>
          <w:p w:rsidR="0075777C" w:rsidRPr="006316DF" w:rsidRDefault="00F95747" w:rsidP="000647C6">
            <w:pPr>
              <w:pStyle w:val="Tabletext"/>
            </w:pPr>
            <w:r>
              <w:t>Association: 0</w:t>
            </w:r>
          </w:p>
        </w:tc>
        <w:tc>
          <w:tcPr>
            <w:tcW w:w="1418" w:type="dxa"/>
          </w:tcPr>
          <w:p w:rsidR="0075777C" w:rsidRPr="002812F2" w:rsidRDefault="0075777C" w:rsidP="000647C6">
            <w:pPr>
              <w:pStyle w:val="Tabletext"/>
            </w:pPr>
            <w:r>
              <w:t xml:space="preserve">Pooled </w:t>
            </w:r>
            <w:r w:rsidRPr="002812F2">
              <w:t>RR = 1</w:t>
            </w:r>
            <w:r>
              <w:t>.65</w:t>
            </w:r>
            <w:r w:rsidRPr="002812F2">
              <w:t xml:space="preserve"> (</w:t>
            </w:r>
            <w:r>
              <w:t>95% CI 0.35</w:t>
            </w:r>
            <w:r w:rsidRPr="002812F2">
              <w:t xml:space="preserve">, </w:t>
            </w:r>
            <w:r>
              <w:t>7</w:t>
            </w:r>
            <w:r w:rsidRPr="002812F2">
              <w:t>.</w:t>
            </w:r>
            <w:r>
              <w:t>81</w:t>
            </w:r>
            <w:r w:rsidRPr="002812F2">
              <w:t>)</w:t>
            </w:r>
          </w:p>
        </w:tc>
        <w:tc>
          <w:tcPr>
            <w:tcW w:w="2693" w:type="dxa"/>
          </w:tcPr>
          <w:p w:rsidR="0075777C" w:rsidRPr="002812F2" w:rsidRDefault="0075777C" w:rsidP="000647C6">
            <w:pPr>
              <w:pStyle w:val="Tabletext"/>
            </w:pPr>
            <w:r>
              <w:t>M</w:t>
            </w:r>
            <w:r w:rsidRPr="002812F2">
              <w:t xml:space="preserve">ore patients </w:t>
            </w:r>
            <w:r>
              <w:t>needed to discontinue treatment due to</w:t>
            </w:r>
            <w:r w:rsidRPr="00424867">
              <w:t xml:space="preserve"> a</w:t>
            </w:r>
            <w:r>
              <w:t>n</w:t>
            </w:r>
            <w:r w:rsidRPr="00424867">
              <w:t xml:space="preserve"> AE with combination th</w:t>
            </w:r>
            <w:r>
              <w:t xml:space="preserve">erapy compared with monotherapy, </w:t>
            </w:r>
            <w:r w:rsidRPr="00424867">
              <w:t xml:space="preserve">but the </w:t>
            </w:r>
            <w:r w:rsidR="00D84687">
              <w:t>95% CI indicates</w:t>
            </w:r>
            <w:r w:rsidRPr="00424867">
              <w:t xml:space="preserve"> that there could also be no </w:t>
            </w:r>
            <w:r>
              <w:t xml:space="preserve">or the opposite </w:t>
            </w:r>
            <w:r w:rsidRPr="00424867">
              <w:t>effect</w:t>
            </w:r>
            <w:r>
              <w:t>.</w:t>
            </w:r>
          </w:p>
        </w:tc>
        <w:tc>
          <w:tcPr>
            <w:tcW w:w="992" w:type="dxa"/>
          </w:tcPr>
          <w:p w:rsidR="00F95747" w:rsidRDefault="00F95747" w:rsidP="00F95747">
            <w:pPr>
              <w:pStyle w:val="Tabletext"/>
              <w:rPr>
                <w:rFonts w:eastAsia="Times New Roman" w:cs="Tahoma"/>
                <w:bCs/>
              </w:rPr>
            </w:pPr>
            <w:r>
              <w:rPr>
                <w:rFonts w:eastAsia="Times New Roman" w:cs="Tahoma"/>
                <w:bCs/>
              </w:rPr>
              <w:t>Moderate</w:t>
            </w:r>
          </w:p>
          <w:p w:rsidR="00F95747" w:rsidRDefault="00F95747" w:rsidP="00F95747">
            <w:pPr>
              <w:pStyle w:val="Tabletext"/>
              <w:rPr>
                <w:rFonts w:ascii="Cambria Math" w:eastAsia="Times New Roman" w:hAnsi="Cambria Math" w:cs="Cambria Math"/>
                <w:bCs/>
              </w:rPr>
            </w:pP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75777C" w:rsidRPr="006316DF" w:rsidRDefault="0075777C" w:rsidP="000647C6">
            <w:pPr>
              <w:pStyle w:val="Tabletext"/>
            </w:pPr>
            <w:r w:rsidRPr="006316DF">
              <w:t>Important</w:t>
            </w:r>
          </w:p>
        </w:tc>
      </w:tr>
    </w:tbl>
    <w:p w:rsidR="0075777C" w:rsidRPr="006316DF" w:rsidRDefault="0075777C" w:rsidP="000647C6">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Default="0075777C" w:rsidP="000647C6">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F95747" w:rsidRPr="00E564DD" w:rsidRDefault="00F95747" w:rsidP="00F95747">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F24B06" w:rsidRDefault="0075777C" w:rsidP="000647C6">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F24B06" w:rsidRPr="00F24B06">
        <w:t xml:space="preserve">; k = number of studies; </w:t>
      </w:r>
      <w:r>
        <w:t xml:space="preserve">N = number of patients; </w:t>
      </w:r>
      <w:r w:rsidRPr="00C65B42">
        <w:t xml:space="preserve">PAH = pulmonary arterial hypertension; </w:t>
      </w:r>
      <w:r w:rsidRPr="009B5AB3">
        <w:t>PDE-5 = phosphodiesterase type-5</w:t>
      </w:r>
      <w:r>
        <w:t>;</w:t>
      </w:r>
      <w:r w:rsidRPr="009B5AB3">
        <w:t xml:space="preserve"> </w:t>
      </w:r>
      <w:r>
        <w:t>RCT = randomised controlled trial; RR = relative risk</w:t>
      </w:r>
    </w:p>
    <w:p w:rsidR="0075777C" w:rsidRDefault="0075777C" w:rsidP="0075777C">
      <w:r w:rsidRPr="006316DF">
        <w:t xml:space="preserve">The evidence for the </w:t>
      </w:r>
      <w:r>
        <w:t xml:space="preserve">safety </w:t>
      </w:r>
      <w:r w:rsidRPr="006316DF">
        <w:t xml:space="preserve">outcomes </w:t>
      </w:r>
      <w:r>
        <w:t xml:space="preserve">for patients with PAH-CTD is summarised </w:t>
      </w:r>
      <w:r w:rsidRPr="006316DF">
        <w:t>in</w:t>
      </w:r>
      <w:r>
        <w:t xml:space="preserve"> </w:t>
      </w:r>
      <w:r w:rsidR="003951FA">
        <w:t>Table 4.</w:t>
      </w:r>
      <w:r w:rsidR="003951FA">
        <w:rPr>
          <w:noProof/>
        </w:rPr>
        <w:t>134</w:t>
      </w:r>
      <w:r>
        <w:t xml:space="preserve">. </w:t>
      </w:r>
      <w:r w:rsidR="00E20AB7">
        <w:t>There were no new safety signal identified.</w:t>
      </w:r>
    </w:p>
    <w:p w:rsidR="0075777C" w:rsidRPr="00981BDF" w:rsidRDefault="0075777C" w:rsidP="0075777C">
      <w:r>
        <w:t xml:space="preserve">All outcomes </w:t>
      </w:r>
      <w:proofErr w:type="gramStart"/>
      <w:r>
        <w:t xml:space="preserve">were </w:t>
      </w:r>
      <w:r w:rsidRPr="006316DF">
        <w:t>considered</w:t>
      </w:r>
      <w:proofErr w:type="gramEnd"/>
      <w:r w:rsidRPr="006316DF">
        <w:t xml:space="preserve"> to be of </w:t>
      </w:r>
      <w:r>
        <w:t>high</w:t>
      </w:r>
      <w:r w:rsidRPr="006316DF">
        <w:t xml:space="preserve"> quality (GRADE </w:t>
      </w:r>
      <w:r w:rsidRPr="00920393">
        <w:rPr>
          <w:rFonts w:ascii="Cambria Math" w:eastAsia="Times New Roman" w:hAnsi="Cambria Math" w:cs="Tahoma"/>
          <w:bCs/>
          <w:color w:val="00B050"/>
        </w:rPr>
        <w:t>⨁⨁⨁⨁</w:t>
      </w:r>
      <w:r w:rsidRPr="00981BDF">
        <w:t xml:space="preserve">). Patients were just as likely to </w:t>
      </w:r>
      <w:r w:rsidR="007E3A84">
        <w:t xml:space="preserve">have </w:t>
      </w:r>
      <w:r w:rsidRPr="00981BDF">
        <w:t xml:space="preserve">an AE </w:t>
      </w:r>
      <w:r w:rsidR="007E3A84">
        <w:t xml:space="preserve">and less likely to experience AE-related treatment discontinuation </w:t>
      </w:r>
      <w:r w:rsidRPr="00981BDF">
        <w:t xml:space="preserve">after starting combination therapy as they were on monotherapy. </w:t>
      </w:r>
      <w:r w:rsidR="007E3A84">
        <w:t>However, p</w:t>
      </w:r>
      <w:r w:rsidRPr="00981BDF">
        <w:t xml:space="preserve">atients on combination therapy were more likely to have a serious AE compared with those on monotherapy, but the </w:t>
      </w:r>
      <w:r w:rsidR="00D84687">
        <w:t xml:space="preserve">95% CI </w:t>
      </w:r>
      <w:r w:rsidR="007E3A84">
        <w:t>did not reach statistical significance</w:t>
      </w:r>
      <w:r w:rsidRPr="00981BDF">
        <w:t>.</w:t>
      </w:r>
    </w:p>
    <w:p w:rsidR="0075777C" w:rsidRDefault="00981BDF" w:rsidP="0075777C">
      <w:r w:rsidRPr="00981BDF">
        <w:t xml:space="preserve">Thus, </w:t>
      </w:r>
      <w:r w:rsidR="007E3A84" w:rsidRPr="007E3A84">
        <w:t xml:space="preserve">there is </w:t>
      </w:r>
      <w:r w:rsidR="007E3A84">
        <w:t>potential</w:t>
      </w:r>
      <w:r w:rsidR="007E3A84" w:rsidRPr="007E3A84">
        <w:t xml:space="preserve"> safety concern </w:t>
      </w:r>
      <w:r w:rsidR="007E3A84">
        <w:t>associated with the</w:t>
      </w:r>
      <w:r w:rsidRPr="00981BDF">
        <w:t xml:space="preserve"> use of a PDE</w:t>
      </w:r>
      <w:r w:rsidR="007E3A84">
        <w:t xml:space="preserve">-5 inhibitor in addition to an ERA </w:t>
      </w:r>
      <w:r w:rsidRPr="00981BDF">
        <w:t xml:space="preserve">when treating </w:t>
      </w:r>
      <w:r w:rsidR="0075777C">
        <w:t>patients with PAH-CTD</w:t>
      </w:r>
      <w:r w:rsidR="002856B6">
        <w:t>.</w:t>
      </w:r>
    </w:p>
    <w:p w:rsidR="0075777C" w:rsidRPr="006316DF" w:rsidRDefault="00272F8F" w:rsidP="00BC5A2B">
      <w:pPr>
        <w:pStyle w:val="Caption"/>
      </w:pPr>
      <w:bookmarkStart w:id="375" w:name="_Ref505781993"/>
      <w:bookmarkStart w:id="376" w:name="_Toc38360431"/>
      <w:r>
        <w:t>Table 4.</w:t>
      </w:r>
      <w:r w:rsidR="003951FA">
        <w:rPr>
          <w:noProof/>
        </w:rPr>
        <w:t>134</w:t>
      </w:r>
      <w:bookmarkEnd w:id="375"/>
      <w:r w:rsidR="000647C6">
        <w:tab/>
      </w:r>
      <w:r w:rsidR="0075777C" w:rsidRPr="006316DF">
        <w:t xml:space="preserve">Balance of clinical harms of </w:t>
      </w:r>
      <w:r w:rsidR="001B552D">
        <w:t xml:space="preserve">a </w:t>
      </w:r>
      <w:r w:rsidR="0075777C" w:rsidRPr="006C4A08">
        <w:t xml:space="preserve">PDE-5 inhibitor in addition to </w:t>
      </w:r>
      <w:r w:rsidR="001B552D">
        <w:t xml:space="preserve">an </w:t>
      </w:r>
      <w:r w:rsidR="0075777C" w:rsidRPr="006C4A08">
        <w:t>ERA, relative to ERA monotherapy</w:t>
      </w:r>
      <w:r w:rsidR="0075777C" w:rsidRPr="004A69F0">
        <w:t xml:space="preserve"> </w:t>
      </w:r>
      <w:r w:rsidR="0075777C">
        <w:t xml:space="preserve">in patients </w:t>
      </w:r>
      <w:r w:rsidR="0075777C" w:rsidRPr="006C4A08">
        <w:t xml:space="preserve">with </w:t>
      </w:r>
      <w:r w:rsidR="0075777C">
        <w:t>PAH-CTD</w:t>
      </w:r>
      <w:bookmarkEnd w:id="376"/>
    </w:p>
    <w:tbl>
      <w:tblPr>
        <w:tblStyle w:val="TableGrid"/>
        <w:tblW w:w="9634" w:type="dxa"/>
        <w:tblLayout w:type="fixed"/>
        <w:tblLook w:val="04A0" w:firstRow="1" w:lastRow="0" w:firstColumn="1" w:lastColumn="0" w:noHBand="0" w:noVBand="1"/>
        <w:tblCaption w:val="Balance of clinical harms of a PDE-5 inhibitor in addition to an ERA, relative to ERA monotherapy in patients with PAH-CTD"/>
      </w:tblPr>
      <w:tblGrid>
        <w:gridCol w:w="1560"/>
        <w:gridCol w:w="1275"/>
        <w:gridCol w:w="1701"/>
        <w:gridCol w:w="1413"/>
        <w:gridCol w:w="2551"/>
        <w:gridCol w:w="1134"/>
      </w:tblGrid>
      <w:tr w:rsidR="0075777C" w:rsidRPr="00981BDF" w:rsidTr="0080588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981BDF" w:rsidRDefault="0075777C" w:rsidP="000647C6">
            <w:pPr>
              <w:pStyle w:val="Tabletext"/>
              <w:rPr>
                <w:b/>
                <w:noProof/>
              </w:rPr>
            </w:pPr>
            <w:r w:rsidRPr="00981BDF">
              <w:rPr>
                <w:b/>
                <w:noProof/>
              </w:rPr>
              <w:t xml:space="preserve">Outcomes </w:t>
            </w:r>
          </w:p>
        </w:tc>
        <w:tc>
          <w:tcPr>
            <w:tcW w:w="1275" w:type="dxa"/>
          </w:tcPr>
          <w:p w:rsidR="0075777C" w:rsidRPr="00981BDF" w:rsidRDefault="0075777C" w:rsidP="000647C6">
            <w:pPr>
              <w:pStyle w:val="Tabletext"/>
              <w:rPr>
                <w:b/>
                <w:noProof/>
              </w:rPr>
            </w:pPr>
            <w:r w:rsidRPr="00981BDF">
              <w:rPr>
                <w:b/>
                <w:noProof/>
              </w:rPr>
              <w:t>Participants (studies)</w:t>
            </w:r>
          </w:p>
        </w:tc>
        <w:tc>
          <w:tcPr>
            <w:tcW w:w="1701" w:type="dxa"/>
          </w:tcPr>
          <w:p w:rsidR="0075777C" w:rsidRPr="00981BDF" w:rsidRDefault="0075777C" w:rsidP="000647C6">
            <w:pPr>
              <w:pStyle w:val="Tabletext"/>
              <w:rPr>
                <w:b/>
                <w:noProof/>
              </w:rPr>
            </w:pPr>
            <w:r w:rsidRPr="00981BDF">
              <w:rPr>
                <w:b/>
                <w:noProof/>
              </w:rPr>
              <w:t>Quality of evidence</w:t>
            </w:r>
          </w:p>
        </w:tc>
        <w:tc>
          <w:tcPr>
            <w:tcW w:w="1413" w:type="dxa"/>
          </w:tcPr>
          <w:p w:rsidR="0075777C" w:rsidRPr="00981BDF" w:rsidRDefault="0075777C" w:rsidP="000647C6">
            <w:pPr>
              <w:pStyle w:val="Tabletext"/>
              <w:rPr>
                <w:b/>
                <w:noProof/>
              </w:rPr>
            </w:pPr>
            <w:r w:rsidRPr="00981BDF">
              <w:rPr>
                <w:b/>
                <w:noProof/>
              </w:rPr>
              <w:t>Results</w:t>
            </w:r>
          </w:p>
        </w:tc>
        <w:tc>
          <w:tcPr>
            <w:tcW w:w="2551" w:type="dxa"/>
          </w:tcPr>
          <w:p w:rsidR="0075777C" w:rsidRPr="00981BDF" w:rsidRDefault="0075777C" w:rsidP="000647C6">
            <w:pPr>
              <w:pStyle w:val="Tabletext"/>
              <w:rPr>
                <w:b/>
                <w:noProof/>
              </w:rPr>
            </w:pPr>
            <w:r w:rsidRPr="00981BDF">
              <w:rPr>
                <w:b/>
                <w:noProof/>
              </w:rPr>
              <w:t>Interpretation</w:t>
            </w:r>
          </w:p>
        </w:tc>
        <w:tc>
          <w:tcPr>
            <w:tcW w:w="1134" w:type="dxa"/>
          </w:tcPr>
          <w:p w:rsidR="0075777C" w:rsidRPr="00981BDF" w:rsidRDefault="0075777C" w:rsidP="000647C6">
            <w:pPr>
              <w:pStyle w:val="Tabletext"/>
              <w:rPr>
                <w:b/>
                <w:noProof/>
              </w:rPr>
            </w:pPr>
            <w:r w:rsidRPr="00981BDF">
              <w:rPr>
                <w:b/>
                <w:noProof/>
              </w:rPr>
              <w:t>GRADE</w:t>
            </w:r>
            <w:r w:rsidR="00F24B06" w:rsidRPr="00F24B06">
              <w:rPr>
                <w:b/>
                <w:noProof/>
                <w:vertAlign w:val="superscript"/>
              </w:rPr>
              <w:t>a</w:t>
            </w:r>
          </w:p>
          <w:p w:rsidR="0075777C" w:rsidRPr="00981BDF" w:rsidRDefault="0075777C" w:rsidP="000647C6">
            <w:pPr>
              <w:pStyle w:val="Tabletext"/>
              <w:rPr>
                <w:b/>
                <w:noProof/>
              </w:rPr>
            </w:pPr>
            <w:r w:rsidRPr="00981BDF">
              <w:rPr>
                <w:b/>
                <w:noProof/>
              </w:rPr>
              <w:t>Importance</w:t>
            </w:r>
          </w:p>
        </w:tc>
      </w:tr>
      <w:tr w:rsidR="0075777C" w:rsidRPr="006316DF" w:rsidTr="00805885">
        <w:tc>
          <w:tcPr>
            <w:tcW w:w="1560" w:type="dxa"/>
          </w:tcPr>
          <w:p w:rsidR="0075777C" w:rsidRPr="006316DF" w:rsidRDefault="0075777C" w:rsidP="000647C6">
            <w:pPr>
              <w:pStyle w:val="Tabletext"/>
              <w:rPr>
                <w:rFonts w:cs="Arial"/>
              </w:rPr>
            </w:pPr>
            <w:r>
              <w:rPr>
                <w:rFonts w:cs="Arial"/>
              </w:rPr>
              <w:t>Any AE</w:t>
            </w:r>
            <w:r w:rsidRPr="006316DF">
              <w:rPr>
                <w:rFonts w:cs="Arial"/>
              </w:rPr>
              <w:t xml:space="preserve"> </w:t>
            </w:r>
            <w:r>
              <w:rPr>
                <w:rFonts w:cs="Arial"/>
              </w:rPr>
              <w:t>in PAH-CTD</w:t>
            </w:r>
          </w:p>
        </w:tc>
        <w:tc>
          <w:tcPr>
            <w:tcW w:w="1275" w:type="dxa"/>
          </w:tcPr>
          <w:p w:rsidR="0075777C" w:rsidRPr="006316DF" w:rsidRDefault="0075777C" w:rsidP="000647C6">
            <w:pPr>
              <w:pStyle w:val="Tabletext"/>
              <w:rPr>
                <w:rFonts w:cs="Arial"/>
              </w:rPr>
            </w:pPr>
            <w:r>
              <w:rPr>
                <w:rFonts w:cs="Arial"/>
              </w:rPr>
              <w:t>N=146</w:t>
            </w:r>
          </w:p>
          <w:p w:rsidR="0075777C" w:rsidRPr="006316DF" w:rsidRDefault="0075777C" w:rsidP="000647C6">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0647C6">
            <w:pPr>
              <w:pStyle w:val="Tabletext"/>
              <w:rPr>
                <w:rFonts w:cs="Arial"/>
              </w:rPr>
            </w:pPr>
            <w:r>
              <w:rPr>
                <w:rFonts w:cs="Arial"/>
              </w:rPr>
              <w:t>Risk of bias: 0</w:t>
            </w:r>
          </w:p>
          <w:p w:rsidR="0075777C" w:rsidRPr="006316DF" w:rsidRDefault="0075777C" w:rsidP="000647C6">
            <w:pPr>
              <w:pStyle w:val="Tabletext"/>
              <w:rPr>
                <w:rFonts w:cs="Arial"/>
              </w:rPr>
            </w:pPr>
            <w:r w:rsidRPr="006316DF">
              <w:rPr>
                <w:rFonts w:cs="Arial"/>
              </w:rPr>
              <w:t>Inconsistency: 0</w:t>
            </w:r>
          </w:p>
          <w:p w:rsidR="0075777C" w:rsidRPr="006316DF" w:rsidRDefault="0075777C" w:rsidP="000647C6">
            <w:pPr>
              <w:pStyle w:val="Tabletext"/>
              <w:rPr>
                <w:rFonts w:cs="Arial"/>
              </w:rPr>
            </w:pPr>
            <w:r w:rsidRPr="006316DF">
              <w:rPr>
                <w:rFonts w:cs="Arial"/>
              </w:rPr>
              <w:t>Indirectness: 0</w:t>
            </w:r>
          </w:p>
          <w:p w:rsidR="0075777C" w:rsidRDefault="0075777C" w:rsidP="000647C6">
            <w:pPr>
              <w:pStyle w:val="Tabletext"/>
              <w:rPr>
                <w:rFonts w:cs="Arial"/>
              </w:rPr>
            </w:pPr>
            <w:r w:rsidRPr="006316DF">
              <w:rPr>
                <w:rFonts w:cs="Arial"/>
              </w:rPr>
              <w:t>Imprecision: 0</w:t>
            </w:r>
          </w:p>
          <w:p w:rsidR="0075777C" w:rsidRDefault="0075777C" w:rsidP="000647C6">
            <w:pPr>
              <w:pStyle w:val="Tabletext"/>
              <w:rPr>
                <w:rFonts w:cs="Arial"/>
              </w:rPr>
            </w:pPr>
            <w:r w:rsidRPr="006316DF">
              <w:rPr>
                <w:rFonts w:cs="Arial"/>
              </w:rPr>
              <w:t>Publication bias: 0</w:t>
            </w:r>
          </w:p>
          <w:p w:rsidR="0075777C" w:rsidRPr="006316DF" w:rsidRDefault="0075777C" w:rsidP="000647C6">
            <w:pPr>
              <w:pStyle w:val="Tabletext"/>
              <w:rPr>
                <w:rFonts w:cs="Arial"/>
              </w:rPr>
            </w:pPr>
            <w:r>
              <w:rPr>
                <w:rFonts w:cs="Arial"/>
              </w:rPr>
              <w:t>Association: 0</w:t>
            </w:r>
          </w:p>
        </w:tc>
        <w:tc>
          <w:tcPr>
            <w:tcW w:w="1413" w:type="dxa"/>
          </w:tcPr>
          <w:p w:rsidR="0075777C" w:rsidRPr="000E45D6" w:rsidRDefault="0075777C" w:rsidP="000647C6">
            <w:pPr>
              <w:pStyle w:val="Tabletext"/>
              <w:rPr>
                <w:rFonts w:cs="Arial"/>
              </w:rPr>
            </w:pPr>
            <w:r w:rsidRPr="000E45D6">
              <w:rPr>
                <w:rFonts w:cs="Arial"/>
              </w:rPr>
              <w:t xml:space="preserve">RR = </w:t>
            </w:r>
            <w:r>
              <w:rPr>
                <w:rFonts w:cs="Arial"/>
              </w:rPr>
              <w:t>1.</w:t>
            </w:r>
            <w:r w:rsidRPr="000E45D6">
              <w:rPr>
                <w:rFonts w:cs="Arial"/>
              </w:rPr>
              <w:t>0</w:t>
            </w:r>
            <w:r>
              <w:rPr>
                <w:rFonts w:cs="Arial"/>
              </w:rPr>
              <w:t>4</w:t>
            </w:r>
            <w:r w:rsidRPr="000E45D6">
              <w:rPr>
                <w:rFonts w:cs="Arial"/>
              </w:rPr>
              <w:t xml:space="preserve"> (95% CI 0.</w:t>
            </w:r>
            <w:r>
              <w:rPr>
                <w:rFonts w:cs="Arial"/>
              </w:rPr>
              <w:t>97</w:t>
            </w:r>
            <w:r w:rsidRPr="000E45D6">
              <w:rPr>
                <w:rFonts w:cs="Arial"/>
              </w:rPr>
              <w:t xml:space="preserve">, </w:t>
            </w:r>
            <w:r>
              <w:rPr>
                <w:rFonts w:cs="Arial"/>
              </w:rPr>
              <w:t>1.11</w:t>
            </w:r>
            <w:r w:rsidRPr="000E45D6">
              <w:rPr>
                <w:rFonts w:cs="Arial"/>
              </w:rPr>
              <w:t>)</w:t>
            </w:r>
          </w:p>
        </w:tc>
        <w:tc>
          <w:tcPr>
            <w:tcW w:w="2551" w:type="dxa"/>
          </w:tcPr>
          <w:p w:rsidR="0075777C" w:rsidRPr="000E45D6" w:rsidRDefault="0075777C" w:rsidP="000647C6">
            <w:pPr>
              <w:pStyle w:val="Tabletext"/>
              <w:rPr>
                <w:rFonts w:cs="Arial"/>
              </w:rPr>
            </w:pPr>
            <w:r>
              <w:rPr>
                <w:rFonts w:cs="Arial"/>
              </w:rPr>
              <w:t>T</w:t>
            </w:r>
            <w:r w:rsidRPr="000E45D6">
              <w:rPr>
                <w:rFonts w:cs="Arial"/>
              </w:rPr>
              <w:t xml:space="preserve">he </w:t>
            </w:r>
            <w:r>
              <w:rPr>
                <w:rFonts w:cs="Arial"/>
              </w:rPr>
              <w:t>proportion</w:t>
            </w:r>
            <w:r w:rsidRPr="000E45D6">
              <w:rPr>
                <w:rFonts w:cs="Arial"/>
              </w:rPr>
              <w:t xml:space="preserve"> of patients </w:t>
            </w:r>
            <w:r>
              <w:rPr>
                <w:rFonts w:cs="Arial"/>
              </w:rPr>
              <w:t>with PAH-CTD who</w:t>
            </w:r>
            <w:r w:rsidRPr="000E45D6">
              <w:rPr>
                <w:rFonts w:cs="Arial"/>
              </w:rPr>
              <w:t xml:space="preserve"> experience</w:t>
            </w:r>
            <w:r>
              <w:rPr>
                <w:rFonts w:cs="Arial"/>
              </w:rPr>
              <w:t>d</w:t>
            </w:r>
            <w:r w:rsidRPr="000E45D6">
              <w:rPr>
                <w:rFonts w:cs="Arial"/>
              </w:rPr>
              <w:t xml:space="preserve"> </w:t>
            </w:r>
            <w:r>
              <w:rPr>
                <w:rFonts w:cs="Arial"/>
              </w:rPr>
              <w:t>an AE</w:t>
            </w:r>
            <w:r w:rsidRPr="000E45D6">
              <w:rPr>
                <w:rFonts w:cs="Arial"/>
              </w:rPr>
              <w:t xml:space="preserve"> </w:t>
            </w:r>
            <w:r>
              <w:rPr>
                <w:rFonts w:cs="Arial"/>
              </w:rPr>
              <w:t>with combination therapy was similar to the proportion on monotherapy</w:t>
            </w:r>
          </w:p>
        </w:tc>
        <w:tc>
          <w:tcPr>
            <w:tcW w:w="1134" w:type="dxa"/>
          </w:tcPr>
          <w:p w:rsidR="0075777C" w:rsidRPr="006316DF" w:rsidRDefault="0075777C" w:rsidP="000647C6">
            <w:pPr>
              <w:pStyle w:val="Tabletext"/>
              <w:rPr>
                <w:rFonts w:cs="Arial"/>
              </w:rPr>
            </w:pPr>
            <w:r>
              <w:rPr>
                <w:rFonts w:cs="Arial"/>
              </w:rP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rPr>
                <w:rFonts w:cs="Arial"/>
              </w:rPr>
            </w:pPr>
            <w:r w:rsidRPr="006316DF">
              <w:rPr>
                <w:rFonts w:cs="Arial"/>
              </w:rPr>
              <w:t>Important</w:t>
            </w:r>
          </w:p>
        </w:tc>
      </w:tr>
      <w:tr w:rsidR="0075777C" w:rsidRPr="006316DF" w:rsidTr="00805885">
        <w:tc>
          <w:tcPr>
            <w:tcW w:w="1560" w:type="dxa"/>
          </w:tcPr>
          <w:p w:rsidR="0075777C" w:rsidRPr="006316DF" w:rsidRDefault="0075777C" w:rsidP="000647C6">
            <w:pPr>
              <w:pStyle w:val="Tabletext"/>
              <w:rPr>
                <w:rFonts w:cs="Arial"/>
              </w:rPr>
            </w:pPr>
            <w:r>
              <w:rPr>
                <w:rFonts w:cs="Arial"/>
              </w:rPr>
              <w:t>Serious AEs in PAH-CTD</w:t>
            </w:r>
          </w:p>
        </w:tc>
        <w:tc>
          <w:tcPr>
            <w:tcW w:w="1275" w:type="dxa"/>
          </w:tcPr>
          <w:p w:rsidR="0075777C" w:rsidRPr="006316DF" w:rsidRDefault="0075777C" w:rsidP="000647C6">
            <w:pPr>
              <w:pStyle w:val="Tabletext"/>
              <w:rPr>
                <w:rFonts w:cs="Arial"/>
              </w:rPr>
            </w:pPr>
            <w:r w:rsidRPr="006316DF">
              <w:rPr>
                <w:rFonts w:cs="Arial"/>
              </w:rPr>
              <w:t>N=</w:t>
            </w:r>
            <w:r>
              <w:rPr>
                <w:rFonts w:cs="Arial"/>
              </w:rPr>
              <w:t>146</w:t>
            </w:r>
          </w:p>
          <w:p w:rsidR="0075777C" w:rsidRPr="006316DF" w:rsidRDefault="0075777C" w:rsidP="000647C6">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0647C6">
            <w:pPr>
              <w:pStyle w:val="Tabletext"/>
              <w:rPr>
                <w:rFonts w:cs="Arial"/>
              </w:rPr>
            </w:pPr>
            <w:r>
              <w:rPr>
                <w:rFonts w:cs="Arial"/>
              </w:rPr>
              <w:t>Risk of bias: 0</w:t>
            </w:r>
          </w:p>
          <w:p w:rsidR="0075777C" w:rsidRPr="006316DF" w:rsidRDefault="0075777C" w:rsidP="000647C6">
            <w:pPr>
              <w:pStyle w:val="Tabletext"/>
              <w:rPr>
                <w:rFonts w:cs="Arial"/>
              </w:rPr>
            </w:pPr>
            <w:r w:rsidRPr="006316DF">
              <w:rPr>
                <w:rFonts w:cs="Arial"/>
              </w:rPr>
              <w:t>Inconsistency: 0</w:t>
            </w:r>
          </w:p>
          <w:p w:rsidR="0075777C" w:rsidRPr="006316DF" w:rsidRDefault="0075777C" w:rsidP="000647C6">
            <w:pPr>
              <w:pStyle w:val="Tabletext"/>
              <w:rPr>
                <w:rFonts w:cs="Arial"/>
              </w:rPr>
            </w:pPr>
            <w:r w:rsidRPr="006316DF">
              <w:rPr>
                <w:rFonts w:cs="Arial"/>
              </w:rPr>
              <w:t>Indirectness: 0</w:t>
            </w:r>
          </w:p>
          <w:p w:rsidR="0075777C" w:rsidRDefault="0075777C" w:rsidP="000647C6">
            <w:pPr>
              <w:pStyle w:val="Tabletext"/>
              <w:rPr>
                <w:rFonts w:cs="Arial"/>
              </w:rPr>
            </w:pPr>
            <w:r w:rsidRPr="006316DF">
              <w:rPr>
                <w:rFonts w:cs="Arial"/>
              </w:rPr>
              <w:t>Imprecision: 0</w:t>
            </w:r>
          </w:p>
          <w:p w:rsidR="0075777C" w:rsidRDefault="0075777C" w:rsidP="000647C6">
            <w:pPr>
              <w:pStyle w:val="Tabletext"/>
              <w:rPr>
                <w:rFonts w:cs="Arial"/>
              </w:rPr>
            </w:pPr>
            <w:r w:rsidRPr="006316DF">
              <w:rPr>
                <w:rFonts w:cs="Arial"/>
              </w:rPr>
              <w:t>Publication bias: 0</w:t>
            </w:r>
          </w:p>
          <w:p w:rsidR="0075777C" w:rsidRPr="006316DF" w:rsidRDefault="0075777C" w:rsidP="000647C6">
            <w:pPr>
              <w:pStyle w:val="Tabletext"/>
              <w:rPr>
                <w:rFonts w:cs="Arial"/>
              </w:rPr>
            </w:pPr>
            <w:r>
              <w:rPr>
                <w:rFonts w:cs="Arial"/>
              </w:rPr>
              <w:t>Association: 0</w:t>
            </w:r>
          </w:p>
        </w:tc>
        <w:tc>
          <w:tcPr>
            <w:tcW w:w="1413" w:type="dxa"/>
          </w:tcPr>
          <w:p w:rsidR="0075777C" w:rsidRPr="000E45D6" w:rsidRDefault="0075777C" w:rsidP="000647C6">
            <w:pPr>
              <w:pStyle w:val="Tabletext"/>
            </w:pPr>
            <w:r w:rsidRPr="000E45D6">
              <w:t xml:space="preserve">RR = </w:t>
            </w:r>
            <w:r>
              <w:t>1</w:t>
            </w:r>
            <w:r w:rsidRPr="000E45D6">
              <w:t>.</w:t>
            </w:r>
            <w:r>
              <w:t>28</w:t>
            </w:r>
            <w:r w:rsidRPr="000E45D6">
              <w:t xml:space="preserve"> (95% CI 0.</w:t>
            </w:r>
            <w:r>
              <w:t>80, 2</w:t>
            </w:r>
            <w:r w:rsidRPr="000E45D6">
              <w:t>.</w:t>
            </w:r>
            <w:r>
              <w:t>04</w:t>
            </w:r>
            <w:r w:rsidRPr="000E45D6">
              <w:t>)</w:t>
            </w:r>
          </w:p>
        </w:tc>
        <w:tc>
          <w:tcPr>
            <w:tcW w:w="2551" w:type="dxa"/>
          </w:tcPr>
          <w:p w:rsidR="0075777C" w:rsidRPr="000E45D6" w:rsidRDefault="0075777C" w:rsidP="000647C6">
            <w:pPr>
              <w:pStyle w:val="Tabletext"/>
            </w:pPr>
            <w:r>
              <w:rPr>
                <w:rFonts w:cs="Arial"/>
              </w:rPr>
              <w:t>More</w:t>
            </w:r>
            <w:r w:rsidRPr="000E45D6">
              <w:rPr>
                <w:rFonts w:cs="Arial"/>
              </w:rPr>
              <w:t xml:space="preserve"> patients </w:t>
            </w:r>
            <w:r>
              <w:rPr>
                <w:rFonts w:cs="Arial"/>
              </w:rPr>
              <w:t xml:space="preserve">with PAH-CTD experienced a serious AE </w:t>
            </w:r>
            <w:r w:rsidRPr="000E45D6">
              <w:rPr>
                <w:rFonts w:cs="Arial"/>
              </w:rPr>
              <w:t xml:space="preserve">with combination therapy compared with </w:t>
            </w:r>
            <w:r>
              <w:rPr>
                <w:rFonts w:cs="Arial"/>
              </w:rPr>
              <w:t xml:space="preserve">monotherapy, </w:t>
            </w:r>
            <w:r w:rsidRPr="003353E6">
              <w:rPr>
                <w:rFonts w:cs="Arial"/>
              </w:rPr>
              <w:t xml:space="preserve">but the </w:t>
            </w:r>
            <w:r w:rsidR="00D84687">
              <w:rPr>
                <w:rFonts w:cs="Arial"/>
              </w:rPr>
              <w:t>95% CI indicates</w:t>
            </w:r>
            <w:r w:rsidRPr="003353E6">
              <w:rPr>
                <w:rFonts w:cs="Arial"/>
              </w:rPr>
              <w:t xml:space="preserve"> that there could also be no or the opposite effect.</w:t>
            </w:r>
          </w:p>
        </w:tc>
        <w:tc>
          <w:tcPr>
            <w:tcW w:w="1134" w:type="dxa"/>
          </w:tcPr>
          <w:p w:rsidR="0075777C" w:rsidRPr="006316DF" w:rsidRDefault="0075777C" w:rsidP="000647C6">
            <w:pPr>
              <w:pStyle w:val="Tabletext"/>
              <w:rPr>
                <w:rFonts w:cs="Arial"/>
              </w:rPr>
            </w:pPr>
            <w:r>
              <w:rPr>
                <w:rFonts w:cs="Arial"/>
              </w:rP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rPr>
                <w:rFonts w:cs="Arial"/>
              </w:rPr>
            </w:pPr>
            <w:r w:rsidRPr="006316DF">
              <w:rPr>
                <w:rFonts w:cs="Arial"/>
              </w:rPr>
              <w:t>Important</w:t>
            </w:r>
          </w:p>
        </w:tc>
      </w:tr>
      <w:tr w:rsidR="0075777C" w:rsidRPr="006316DF" w:rsidTr="00805885">
        <w:tc>
          <w:tcPr>
            <w:tcW w:w="1560" w:type="dxa"/>
          </w:tcPr>
          <w:p w:rsidR="0075777C" w:rsidRPr="006316DF" w:rsidRDefault="0075777C" w:rsidP="000647C6">
            <w:pPr>
              <w:pStyle w:val="Tabletext"/>
              <w:rPr>
                <w:rFonts w:cs="Arial"/>
              </w:rPr>
            </w:pPr>
            <w:r w:rsidRPr="000E45D6">
              <w:rPr>
                <w:rFonts w:cs="Arial"/>
              </w:rPr>
              <w:t>AEs leading to treatment discontinuation</w:t>
            </w:r>
            <w:r>
              <w:rPr>
                <w:rFonts w:cs="Arial"/>
              </w:rPr>
              <w:t xml:space="preserve"> in PAH-CTD</w:t>
            </w:r>
          </w:p>
        </w:tc>
        <w:tc>
          <w:tcPr>
            <w:tcW w:w="1275" w:type="dxa"/>
          </w:tcPr>
          <w:p w:rsidR="0075777C" w:rsidRPr="006316DF" w:rsidRDefault="0075777C" w:rsidP="000647C6">
            <w:pPr>
              <w:pStyle w:val="Tabletext"/>
              <w:rPr>
                <w:rFonts w:cs="Arial"/>
              </w:rPr>
            </w:pPr>
            <w:r>
              <w:rPr>
                <w:rFonts w:cs="Arial"/>
              </w:rPr>
              <w:t>N=146</w:t>
            </w:r>
          </w:p>
          <w:p w:rsidR="0075777C" w:rsidRPr="006316DF" w:rsidRDefault="0075777C" w:rsidP="000647C6">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0647C6">
            <w:pPr>
              <w:pStyle w:val="Tabletext"/>
              <w:rPr>
                <w:rFonts w:cs="Arial"/>
              </w:rPr>
            </w:pPr>
            <w:r>
              <w:rPr>
                <w:rFonts w:cs="Arial"/>
              </w:rPr>
              <w:t>Risk of bias: 0</w:t>
            </w:r>
          </w:p>
          <w:p w:rsidR="0075777C" w:rsidRPr="006316DF" w:rsidRDefault="0075777C" w:rsidP="000647C6">
            <w:pPr>
              <w:pStyle w:val="Tabletext"/>
              <w:rPr>
                <w:rFonts w:cs="Arial"/>
              </w:rPr>
            </w:pPr>
            <w:r w:rsidRPr="006316DF">
              <w:rPr>
                <w:rFonts w:cs="Arial"/>
              </w:rPr>
              <w:t>Inconsistency: 0</w:t>
            </w:r>
          </w:p>
          <w:p w:rsidR="0075777C" w:rsidRPr="006316DF" w:rsidRDefault="0075777C" w:rsidP="000647C6">
            <w:pPr>
              <w:pStyle w:val="Tabletext"/>
              <w:rPr>
                <w:rFonts w:cs="Arial"/>
              </w:rPr>
            </w:pPr>
            <w:r w:rsidRPr="006316DF">
              <w:rPr>
                <w:rFonts w:cs="Arial"/>
              </w:rPr>
              <w:t>Indirectness: 0</w:t>
            </w:r>
          </w:p>
          <w:p w:rsidR="0075777C" w:rsidRDefault="0075777C" w:rsidP="000647C6">
            <w:pPr>
              <w:pStyle w:val="Tabletext"/>
              <w:rPr>
                <w:rFonts w:cs="Arial"/>
              </w:rPr>
            </w:pPr>
            <w:r w:rsidRPr="006316DF">
              <w:rPr>
                <w:rFonts w:cs="Arial"/>
              </w:rPr>
              <w:t>Imprecision: 0</w:t>
            </w:r>
          </w:p>
          <w:p w:rsidR="0075777C" w:rsidRDefault="0075777C" w:rsidP="000647C6">
            <w:pPr>
              <w:pStyle w:val="Tabletext"/>
              <w:rPr>
                <w:rFonts w:cs="Arial"/>
              </w:rPr>
            </w:pPr>
            <w:r w:rsidRPr="006316DF">
              <w:rPr>
                <w:rFonts w:cs="Arial"/>
              </w:rPr>
              <w:t>Publication bias: 0</w:t>
            </w:r>
          </w:p>
          <w:p w:rsidR="0075777C" w:rsidRPr="006316DF" w:rsidRDefault="0075777C" w:rsidP="000647C6">
            <w:pPr>
              <w:pStyle w:val="Tabletext"/>
              <w:rPr>
                <w:rFonts w:cs="Arial"/>
              </w:rPr>
            </w:pPr>
            <w:r>
              <w:rPr>
                <w:rFonts w:cs="Arial"/>
              </w:rPr>
              <w:t>Association: 0</w:t>
            </w:r>
          </w:p>
        </w:tc>
        <w:tc>
          <w:tcPr>
            <w:tcW w:w="1413" w:type="dxa"/>
          </w:tcPr>
          <w:p w:rsidR="0075777C" w:rsidRPr="002812F2" w:rsidRDefault="0075777C" w:rsidP="000647C6">
            <w:pPr>
              <w:pStyle w:val="Tabletext"/>
            </w:pPr>
            <w:r w:rsidRPr="002812F2">
              <w:t xml:space="preserve">RR = </w:t>
            </w:r>
            <w:r>
              <w:t>0.75</w:t>
            </w:r>
            <w:r w:rsidRPr="002812F2">
              <w:t xml:space="preserve"> (</w:t>
            </w:r>
            <w:r>
              <w:t>95% CI 0.34</w:t>
            </w:r>
            <w:r w:rsidRPr="002812F2">
              <w:t xml:space="preserve">, </w:t>
            </w:r>
            <w:r>
              <w:t>1</w:t>
            </w:r>
            <w:r w:rsidRPr="002812F2">
              <w:t>.</w:t>
            </w:r>
            <w:r>
              <w:t>65</w:t>
            </w:r>
            <w:r w:rsidRPr="002812F2">
              <w:t>)</w:t>
            </w:r>
          </w:p>
        </w:tc>
        <w:tc>
          <w:tcPr>
            <w:tcW w:w="2551" w:type="dxa"/>
          </w:tcPr>
          <w:p w:rsidR="0075777C" w:rsidRPr="002812F2" w:rsidRDefault="0075777C" w:rsidP="000647C6">
            <w:pPr>
              <w:pStyle w:val="Tabletext"/>
              <w:rPr>
                <w:rFonts w:cs="Arial"/>
              </w:rPr>
            </w:pPr>
            <w:r>
              <w:rPr>
                <w:rFonts w:cs="Arial"/>
              </w:rPr>
              <w:t>Fewer</w:t>
            </w:r>
            <w:r w:rsidRPr="002812F2">
              <w:rPr>
                <w:rFonts w:cs="Arial"/>
              </w:rPr>
              <w:t xml:space="preserve"> patients </w:t>
            </w:r>
            <w:r>
              <w:rPr>
                <w:rFonts w:cs="Arial"/>
              </w:rPr>
              <w:t>with PAH-CTD needed to discontinue treatment due to</w:t>
            </w:r>
            <w:r w:rsidRPr="00424867">
              <w:rPr>
                <w:rFonts w:cs="Arial"/>
              </w:rPr>
              <w:t xml:space="preserve"> a</w:t>
            </w:r>
            <w:r>
              <w:rPr>
                <w:rFonts w:cs="Arial"/>
              </w:rPr>
              <w:t>n</w:t>
            </w:r>
            <w:r w:rsidRPr="00424867">
              <w:rPr>
                <w:rFonts w:cs="Arial"/>
              </w:rPr>
              <w:t xml:space="preserve"> AE with combination th</w:t>
            </w:r>
            <w:r>
              <w:rPr>
                <w:rFonts w:cs="Arial"/>
              </w:rPr>
              <w:t xml:space="preserve">erapy compared with monotherapy, </w:t>
            </w:r>
            <w:r w:rsidRPr="00424867">
              <w:rPr>
                <w:rFonts w:cs="Arial"/>
              </w:rPr>
              <w:t xml:space="preserve">but the </w:t>
            </w:r>
            <w:r w:rsidR="00D84687">
              <w:rPr>
                <w:rFonts w:cs="Arial"/>
              </w:rPr>
              <w:t>95% CI indicates</w:t>
            </w:r>
            <w:r w:rsidRPr="00424867">
              <w:rPr>
                <w:rFonts w:cs="Arial"/>
              </w:rPr>
              <w:t xml:space="preserve"> that there could also be no </w:t>
            </w:r>
            <w:r>
              <w:rPr>
                <w:rFonts w:cs="Arial"/>
              </w:rPr>
              <w:t xml:space="preserve">or the opposite </w:t>
            </w:r>
            <w:r w:rsidRPr="00424867">
              <w:rPr>
                <w:rFonts w:cs="Arial"/>
              </w:rPr>
              <w:t>effect</w:t>
            </w:r>
            <w:r>
              <w:rPr>
                <w:rFonts w:cs="Arial"/>
              </w:rPr>
              <w:t>.</w:t>
            </w:r>
          </w:p>
        </w:tc>
        <w:tc>
          <w:tcPr>
            <w:tcW w:w="1134" w:type="dxa"/>
          </w:tcPr>
          <w:p w:rsidR="0075777C" w:rsidRPr="006316DF" w:rsidRDefault="0075777C" w:rsidP="000647C6">
            <w:pPr>
              <w:pStyle w:val="Tabletext"/>
              <w:rPr>
                <w:rFonts w:cs="Arial"/>
              </w:rPr>
            </w:pPr>
            <w:r>
              <w:rPr>
                <w:rFonts w:cs="Arial"/>
              </w:rPr>
              <w:t>High</w:t>
            </w:r>
          </w:p>
          <w:p w:rsidR="0075777C" w:rsidRPr="006316DF" w:rsidRDefault="0075777C" w:rsidP="000647C6">
            <w:pPr>
              <w:pStyle w:val="Tabletext"/>
              <w:rPr>
                <w:rFonts w:cs="Cambria Math"/>
                <w:bCs/>
              </w:rPr>
            </w:pPr>
            <w:r w:rsidRPr="006316DF">
              <w:rPr>
                <w:rFonts w:ascii="Cambria Math" w:hAnsi="Cambria Math" w:cs="Cambria Math"/>
                <w:bCs/>
                <w:color w:val="00B050"/>
              </w:rPr>
              <w:t>⨁⨁⨁⨁</w:t>
            </w:r>
          </w:p>
          <w:p w:rsidR="0075777C" w:rsidRPr="006316DF" w:rsidRDefault="0075777C" w:rsidP="000647C6">
            <w:pPr>
              <w:pStyle w:val="Tabletext"/>
              <w:rPr>
                <w:rFonts w:cs="Arial"/>
              </w:rPr>
            </w:pPr>
            <w:r w:rsidRPr="006316DF">
              <w:rPr>
                <w:rFonts w:cs="Arial"/>
              </w:rPr>
              <w:t>Important</w:t>
            </w:r>
          </w:p>
        </w:tc>
      </w:tr>
    </w:tbl>
    <w:p w:rsidR="0075777C" w:rsidRPr="006316DF" w:rsidRDefault="0075777C" w:rsidP="000647C6">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0647C6">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F24B06" w:rsidRDefault="0075777C" w:rsidP="000647C6">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F24B06" w:rsidRPr="00F24B06">
        <w:t xml:space="preserve">; k = number of studies; </w:t>
      </w:r>
      <w:r>
        <w:t xml:space="preserve">N = number of patients; </w:t>
      </w:r>
      <w:r w:rsidRPr="00C65B42">
        <w:t>PAH</w:t>
      </w:r>
      <w:r w:rsidR="00774E89">
        <w:t>-</w:t>
      </w:r>
      <w:r w:rsidR="00774E89" w:rsidRPr="00DC16A3">
        <w:t>CTD</w:t>
      </w:r>
      <w:r w:rsidRPr="00C65B42">
        <w:t xml:space="preserve"> = pulmonary arterial hypertension </w:t>
      </w:r>
      <w:r w:rsidR="00F24B06" w:rsidRPr="00DC16A3">
        <w:t xml:space="preserve">associated with connective tissue disease; </w:t>
      </w:r>
      <w:r w:rsidRPr="009B5AB3">
        <w:t>PDE-5 = phosphodiesterase type-5</w:t>
      </w:r>
      <w:r>
        <w:t>;</w:t>
      </w:r>
      <w:r w:rsidRPr="009B5AB3">
        <w:t xml:space="preserve"> </w:t>
      </w:r>
      <w:r>
        <w:t>RCT = randomised controlled trial; RR = relative risk</w:t>
      </w:r>
    </w:p>
    <w:p w:rsidR="0075777C" w:rsidRPr="006316DF" w:rsidRDefault="000E0079" w:rsidP="0017012F">
      <w:pPr>
        <w:pStyle w:val="Heading4"/>
      </w:pPr>
      <w:r>
        <w:t>4.5.3.4</w:t>
      </w:r>
      <w:r>
        <w:tab/>
      </w:r>
      <w:r w:rsidR="0075777C" w:rsidRPr="00EF6A61">
        <w:t>PDE-5 inhibitor</w:t>
      </w:r>
      <w:r w:rsidR="0075777C" w:rsidRPr="006C4A08">
        <w:t xml:space="preserve"> in addition to </w:t>
      </w:r>
      <w:r w:rsidR="0017012F" w:rsidRPr="0017012F">
        <w:t>prostanoid</w:t>
      </w:r>
    </w:p>
    <w:p w:rsidR="0075777C" w:rsidRPr="00107676" w:rsidRDefault="0075777C" w:rsidP="0075777C">
      <w:pPr>
        <w:pStyle w:val="Heading5"/>
      </w:pPr>
      <w:r w:rsidRPr="00107676">
        <w:t>Clinical effectiveness</w:t>
      </w:r>
    </w:p>
    <w:p w:rsidR="0075777C" w:rsidRDefault="0075777C" w:rsidP="0075777C">
      <w:r>
        <w:t xml:space="preserve">Only one RCT provided evidence for </w:t>
      </w:r>
      <w:r w:rsidRPr="000522D6">
        <w:t xml:space="preserve">comparing </w:t>
      </w:r>
      <w:r>
        <w:t xml:space="preserve">the effectiveness of </w:t>
      </w:r>
      <w:r w:rsidRPr="000522D6">
        <w:t>a PDE-5 inhibitor</w:t>
      </w:r>
      <w:r>
        <w:t xml:space="preserve"> </w:t>
      </w:r>
      <w:r w:rsidRPr="000522D6">
        <w:t xml:space="preserve">in addition to </w:t>
      </w:r>
      <w:r>
        <w:t xml:space="preserve">a </w:t>
      </w:r>
      <w:r w:rsidR="00981BDF">
        <w:t>prostanoid</w:t>
      </w:r>
      <w:r w:rsidRPr="000522D6">
        <w:t xml:space="preserve"> </w:t>
      </w:r>
      <w:r>
        <w:t>compared with</w:t>
      </w:r>
      <w:r w:rsidRPr="000522D6">
        <w:t xml:space="preserve"> </w:t>
      </w:r>
      <w:r w:rsidR="00981BDF">
        <w:t>prostanoid</w:t>
      </w:r>
      <w:r w:rsidRPr="000522D6">
        <w:t xml:space="preserve"> monotherapy</w:t>
      </w:r>
      <w:r>
        <w:t xml:space="preserve">, and enrolled patients were on stable </w:t>
      </w:r>
      <w:r w:rsidRPr="002F1CA5">
        <w:t xml:space="preserve">epoprostenol </w:t>
      </w:r>
      <w:r>
        <w:t xml:space="preserve">monotherapy (sequential combination therapy). No WHO FC or PAH aetiology subgroup analysis was undertaken. </w:t>
      </w:r>
      <w:r w:rsidRPr="006316DF">
        <w:t xml:space="preserve">The </w:t>
      </w:r>
      <w:r>
        <w:t xml:space="preserve">detailed </w:t>
      </w:r>
      <w:r w:rsidRPr="006316DF">
        <w:t>GRADE</w:t>
      </w:r>
      <w:r w:rsidR="001D34EE" w:rsidRPr="001D34EE">
        <w:rPr>
          <w:noProof/>
          <w:vertAlign w:val="superscript"/>
        </w:rPr>
        <w:t>1</w:t>
      </w:r>
      <w:r w:rsidRPr="006316DF">
        <w:t xml:space="preserve"> assessments of </w:t>
      </w:r>
      <w:r>
        <w:t>effectiveness</w:t>
      </w:r>
      <w:r w:rsidRPr="006316DF">
        <w:t xml:space="preserve"> outcomes when comparing a </w:t>
      </w:r>
      <w:r w:rsidRPr="00BB3BB5">
        <w:t>PDE-5 inhibitor</w:t>
      </w:r>
      <w:r w:rsidRPr="006316DF">
        <w:t xml:space="preserve"> </w:t>
      </w:r>
      <w:r w:rsidRPr="00BB3BB5">
        <w:t>in addition to</w:t>
      </w:r>
      <w:r>
        <w:t xml:space="preserve"> a </w:t>
      </w:r>
      <w:r w:rsidR="00981BDF">
        <w:t>prostanoid</w:t>
      </w:r>
      <w:r w:rsidRPr="00BB3BB5">
        <w:t xml:space="preserve">, relative to </w:t>
      </w:r>
      <w:r w:rsidR="00981BDF">
        <w:t>prostanoid</w:t>
      </w:r>
      <w:r w:rsidRPr="00BB3BB5">
        <w:t xml:space="preserve"> monotherapy </w:t>
      </w:r>
      <w:proofErr w:type="gramStart"/>
      <w:r w:rsidRPr="006316DF">
        <w:t>are reported</w:t>
      </w:r>
      <w:proofErr w:type="gramEnd"/>
      <w:r w:rsidRPr="006316DF">
        <w:t xml:space="preserve"> in</w:t>
      </w:r>
      <w:r>
        <w:t xml:space="preserve"> </w:t>
      </w:r>
      <w:r w:rsidR="003951FA">
        <w:t>Table 4.</w:t>
      </w:r>
      <w:r w:rsidR="003951FA">
        <w:rPr>
          <w:noProof/>
        </w:rPr>
        <w:t>161</w:t>
      </w:r>
      <w:r>
        <w:t xml:space="preserve"> </w:t>
      </w:r>
      <w:r w:rsidRPr="006316DF">
        <w:t xml:space="preserve">in Appendix </w:t>
      </w:r>
      <w:r w:rsidR="00DA2636">
        <w:t>4</w:t>
      </w:r>
      <w:r w:rsidR="001B552D">
        <w:t>C</w:t>
      </w:r>
      <w:r>
        <w:t xml:space="preserve">. </w:t>
      </w:r>
      <w:r w:rsidRPr="006316DF">
        <w:t xml:space="preserve">The evidence for the </w:t>
      </w:r>
      <w:r>
        <w:t xml:space="preserve">effectiveness </w:t>
      </w:r>
      <w:r w:rsidRPr="006316DF">
        <w:t xml:space="preserve">outcomes </w:t>
      </w:r>
      <w:r>
        <w:t xml:space="preserve">for all PAH patients is summarised </w:t>
      </w:r>
      <w:r w:rsidRPr="006316DF">
        <w:t>in</w:t>
      </w:r>
      <w:r>
        <w:t xml:space="preserve"> </w:t>
      </w:r>
      <w:r w:rsidR="003951FA">
        <w:t>Table 4.</w:t>
      </w:r>
      <w:r w:rsidR="003951FA">
        <w:rPr>
          <w:noProof/>
        </w:rPr>
        <w:t>135</w:t>
      </w:r>
      <w:r w:rsidR="002856B6">
        <w:t>.</w:t>
      </w:r>
    </w:p>
    <w:p w:rsidR="0075777C" w:rsidRPr="006316DF" w:rsidRDefault="00361A31" w:rsidP="0075777C">
      <w:r>
        <w:t xml:space="preserve">Both critical outcomes were </w:t>
      </w:r>
      <w:r w:rsidR="0075777C" w:rsidRPr="006316DF">
        <w:t xml:space="preserve">considered to be of </w:t>
      </w:r>
      <w:r w:rsidR="0075777C">
        <w:t>high</w:t>
      </w:r>
      <w:r w:rsidR="0075777C" w:rsidRPr="006316DF">
        <w:t xml:space="preserve"> quality (GRADE </w:t>
      </w:r>
      <w:r w:rsidR="0075777C" w:rsidRPr="00920393">
        <w:rPr>
          <w:rFonts w:ascii="Cambria Math" w:eastAsia="Times New Roman" w:hAnsi="Cambria Math" w:cs="Tahoma"/>
          <w:bCs/>
          <w:color w:val="00B050"/>
        </w:rPr>
        <w:t>⨁⨁⨁⨁</w:t>
      </w:r>
      <w:r w:rsidR="0075777C" w:rsidRPr="00981BDF">
        <w:t xml:space="preserve">), </w:t>
      </w:r>
      <w:r w:rsidR="00DD4DEC">
        <w:t>the important outcomes</w:t>
      </w:r>
      <w:r w:rsidR="0075777C" w:rsidRPr="00981BDF">
        <w:t xml:space="preserve"> were of m</w:t>
      </w:r>
      <w:r w:rsidR="0075777C" w:rsidRPr="006316DF">
        <w:t xml:space="preserve">oderate quality (GRADE </w:t>
      </w:r>
      <w:r w:rsidR="0075777C" w:rsidRPr="00920393">
        <w:rPr>
          <w:rFonts w:ascii="Cambria Math" w:eastAsia="Times New Roman" w:hAnsi="Cambria Math" w:cs="Tahoma"/>
          <w:bCs/>
          <w:color w:val="00B050"/>
        </w:rPr>
        <w:t>⨁⨁⨁</w:t>
      </w:r>
      <w:r w:rsidR="0075777C" w:rsidRPr="00920393">
        <w:rPr>
          <w:rFonts w:ascii="Cambria Math" w:eastAsia="Times New Roman" w:hAnsi="Cambria Math" w:cs="Cambria Math"/>
          <w:bCs/>
          <w:color w:val="C00000"/>
        </w:rPr>
        <w:t>⨀</w:t>
      </w:r>
      <w:r w:rsidR="0075777C" w:rsidRPr="00981BDF">
        <w:t xml:space="preserve">), and </w:t>
      </w:r>
      <w:r w:rsidR="00DD4DEC">
        <w:t>the surrogate outcome of change in haemodynamic parameters</w:t>
      </w:r>
      <w:r w:rsidR="0075777C" w:rsidRPr="00981BDF">
        <w:t xml:space="preserve"> was of low qualit</w:t>
      </w:r>
      <w:r w:rsidR="0075777C" w:rsidRPr="006316DF">
        <w:t xml:space="preserve">y (GRADE </w:t>
      </w:r>
      <w:r w:rsidR="0075777C" w:rsidRPr="00920393">
        <w:rPr>
          <w:rFonts w:ascii="Cambria Math" w:eastAsia="Times New Roman" w:hAnsi="Cambria Math" w:cs="Tahoma"/>
          <w:bCs/>
          <w:color w:val="00B050"/>
        </w:rPr>
        <w:t>⨁⨁</w:t>
      </w:r>
      <w:r w:rsidR="0075777C" w:rsidRPr="00920393">
        <w:rPr>
          <w:rFonts w:ascii="Cambria Math" w:eastAsia="Times New Roman" w:hAnsi="Cambria Math" w:cs="Cambria Math"/>
          <w:bCs/>
          <w:color w:val="C00000"/>
        </w:rPr>
        <w:t>⨀⨀</w:t>
      </w:r>
      <w:r w:rsidR="00981BDF">
        <w:t>).</w:t>
      </w:r>
    </w:p>
    <w:p w:rsidR="0075777C" w:rsidRDefault="0075777C" w:rsidP="0075777C">
      <w:r w:rsidRPr="006316DF">
        <w:t xml:space="preserve">When taking </w:t>
      </w:r>
      <w:r>
        <w:t>the whole body of evidence</w:t>
      </w:r>
      <w:r w:rsidRPr="006316DF">
        <w:t xml:space="preserve"> into account, </w:t>
      </w:r>
      <w:r>
        <w:t>significantly fewer</w:t>
      </w:r>
      <w:r w:rsidRPr="006316DF">
        <w:t xml:space="preserve"> patients experienc</w:t>
      </w:r>
      <w:r>
        <w:t>ed</w:t>
      </w:r>
      <w:r w:rsidRPr="006316DF">
        <w:t xml:space="preserve"> clinical worsening </w:t>
      </w:r>
      <w:r w:rsidR="00DD4DEC">
        <w:t xml:space="preserve">or died </w:t>
      </w:r>
      <w:r w:rsidRPr="006316DF">
        <w:t xml:space="preserve">when taking </w:t>
      </w:r>
      <w:r>
        <w:t xml:space="preserve">combination therapy </w:t>
      </w:r>
      <w:r w:rsidRPr="006316DF">
        <w:t xml:space="preserve">compared with </w:t>
      </w:r>
      <w:r>
        <w:t>monotherapy</w:t>
      </w:r>
      <w:r w:rsidRPr="006316DF">
        <w:t xml:space="preserve">. </w:t>
      </w:r>
      <w:r>
        <w:t xml:space="preserve">However, although the point estimate for hospitalisation favoured combination therapy over monotherapy, </w:t>
      </w:r>
      <w:r w:rsidR="00DD4DEC">
        <w:t xml:space="preserve">the 95% CIs indicated that there </w:t>
      </w:r>
      <w:proofErr w:type="gramStart"/>
      <w:r w:rsidR="00DD4DEC">
        <w:t>may</w:t>
      </w:r>
      <w:proofErr w:type="gramEnd"/>
      <w:r w:rsidR="00DD4DEC">
        <w:t xml:space="preserve"> also be the opposite effect</w:t>
      </w:r>
      <w:r>
        <w:t>. The mean difference in 6MWD for combination therapy versus monotherapy w</w:t>
      </w:r>
      <w:r w:rsidR="00DD4DEC">
        <w:t>as</w:t>
      </w:r>
      <w:r>
        <w:t xml:space="preserve"> not clinically important.</w:t>
      </w:r>
      <w:r w:rsidR="00DD4DEC">
        <w:t xml:space="preserve"> The mean difference for two of the three parameters reported may be clinically important.</w:t>
      </w:r>
    </w:p>
    <w:p w:rsidR="0075777C" w:rsidRDefault="0075777C" w:rsidP="0075777C">
      <w:r w:rsidRPr="006316DF">
        <w:t xml:space="preserve">Thus, </w:t>
      </w:r>
      <w:r w:rsidRPr="000522D6">
        <w:t xml:space="preserve">the </w:t>
      </w:r>
      <w:r w:rsidRPr="006316DF">
        <w:t xml:space="preserve">use of a </w:t>
      </w:r>
      <w:r w:rsidR="001B552D" w:rsidRPr="000522D6">
        <w:t>PDE-5 inhibitor</w:t>
      </w:r>
      <w:r w:rsidR="001B552D" w:rsidRPr="006316DF">
        <w:t xml:space="preserve"> </w:t>
      </w:r>
      <w:r w:rsidRPr="000522D6">
        <w:t>in addition to</w:t>
      </w:r>
      <w:r w:rsidR="001B552D">
        <w:t xml:space="preserve"> a prostanoid</w:t>
      </w:r>
      <w:r w:rsidRPr="000522D6">
        <w:t xml:space="preserve">, relative to </w:t>
      </w:r>
      <w:r w:rsidR="001B552D">
        <w:t>prostanoid</w:t>
      </w:r>
      <w:r w:rsidRPr="000522D6">
        <w:t xml:space="preserve"> monotherapy </w:t>
      </w:r>
      <w:r w:rsidRPr="006316DF">
        <w:t xml:space="preserve">to treat </w:t>
      </w:r>
      <w:r>
        <w:t xml:space="preserve">PAH patients </w:t>
      </w:r>
      <w:r w:rsidR="006A32C5">
        <w:t>is likely to be beneficial.</w:t>
      </w:r>
    </w:p>
    <w:p w:rsidR="0075777C" w:rsidRPr="006316DF" w:rsidRDefault="00272F8F" w:rsidP="00BC5A2B">
      <w:pPr>
        <w:pStyle w:val="Caption"/>
      </w:pPr>
      <w:bookmarkStart w:id="377" w:name="_Ref505782394"/>
      <w:bookmarkStart w:id="378" w:name="_Toc38360432"/>
      <w:r>
        <w:t>Table 4.</w:t>
      </w:r>
      <w:r w:rsidR="003951FA">
        <w:rPr>
          <w:noProof/>
        </w:rPr>
        <w:t>135</w:t>
      </w:r>
      <w:bookmarkEnd w:id="377"/>
      <w:r w:rsidR="008727D6">
        <w:tab/>
      </w:r>
      <w:r w:rsidR="0075777C" w:rsidRPr="006316DF">
        <w:t xml:space="preserve">Balance of clinical benefits of </w:t>
      </w:r>
      <w:r w:rsidR="001B552D">
        <w:t xml:space="preserve">a </w:t>
      </w:r>
      <w:r w:rsidR="0075777C" w:rsidRPr="006C4A08">
        <w:t xml:space="preserve">PDE-5 inhibitor in addition to </w:t>
      </w:r>
      <w:r w:rsidR="001B552D">
        <w:t xml:space="preserve">a </w:t>
      </w:r>
      <w:r w:rsidR="00805885" w:rsidRPr="006C4A08">
        <w:t>prost</w:t>
      </w:r>
      <w:r w:rsidR="00805885">
        <w:t>anoid</w:t>
      </w:r>
      <w:r w:rsidR="0075777C" w:rsidRPr="006316DF">
        <w:t xml:space="preserve">, relative to </w:t>
      </w:r>
      <w:r w:rsidR="00805885" w:rsidRPr="006C4A08">
        <w:t>prostanoid</w:t>
      </w:r>
      <w:r w:rsidR="0075777C" w:rsidRPr="006C4A08">
        <w:t xml:space="preserve"> </w:t>
      </w:r>
      <w:r w:rsidR="0075777C">
        <w:t>monotherapy in all PAH patients</w:t>
      </w:r>
      <w:bookmarkEnd w:id="378"/>
    </w:p>
    <w:tbl>
      <w:tblPr>
        <w:tblStyle w:val="TableGrid"/>
        <w:tblW w:w="9639" w:type="dxa"/>
        <w:tblLayout w:type="fixed"/>
        <w:tblLook w:val="04A0" w:firstRow="1" w:lastRow="0" w:firstColumn="1" w:lastColumn="0" w:noHBand="0" w:noVBand="1"/>
        <w:tblCaption w:val="Balance of clinical benefits of a PDE-5 inhibitor in addition to a prostanoid, relative to prostanoid monotherapy in all PAH patients"/>
      </w:tblPr>
      <w:tblGrid>
        <w:gridCol w:w="1560"/>
        <w:gridCol w:w="1275"/>
        <w:gridCol w:w="1701"/>
        <w:gridCol w:w="1418"/>
        <w:gridCol w:w="2551"/>
        <w:gridCol w:w="1134"/>
      </w:tblGrid>
      <w:tr w:rsidR="0075777C" w:rsidRPr="00805885" w:rsidTr="0080588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805885" w:rsidRDefault="0075777C" w:rsidP="00805885">
            <w:pPr>
              <w:pStyle w:val="Tabletext"/>
              <w:rPr>
                <w:b/>
                <w:noProof/>
              </w:rPr>
            </w:pPr>
            <w:r w:rsidRPr="00805885">
              <w:rPr>
                <w:b/>
                <w:noProof/>
              </w:rPr>
              <w:t xml:space="preserve">Outcomes </w:t>
            </w:r>
          </w:p>
        </w:tc>
        <w:tc>
          <w:tcPr>
            <w:tcW w:w="1275" w:type="dxa"/>
          </w:tcPr>
          <w:p w:rsidR="0075777C" w:rsidRPr="00805885" w:rsidRDefault="0075777C" w:rsidP="00805885">
            <w:pPr>
              <w:pStyle w:val="Tabletext"/>
              <w:rPr>
                <w:b/>
                <w:noProof/>
              </w:rPr>
            </w:pPr>
            <w:r w:rsidRPr="00805885">
              <w:rPr>
                <w:b/>
                <w:noProof/>
              </w:rPr>
              <w:t>Participants (studies)</w:t>
            </w:r>
          </w:p>
        </w:tc>
        <w:tc>
          <w:tcPr>
            <w:tcW w:w="1701" w:type="dxa"/>
          </w:tcPr>
          <w:p w:rsidR="0075777C" w:rsidRPr="00805885" w:rsidRDefault="0075777C" w:rsidP="00805885">
            <w:pPr>
              <w:pStyle w:val="Tabletext"/>
              <w:rPr>
                <w:b/>
                <w:noProof/>
              </w:rPr>
            </w:pPr>
            <w:r w:rsidRPr="00805885">
              <w:rPr>
                <w:b/>
                <w:noProof/>
              </w:rPr>
              <w:t>Quality of evidence</w:t>
            </w:r>
          </w:p>
        </w:tc>
        <w:tc>
          <w:tcPr>
            <w:tcW w:w="1418" w:type="dxa"/>
          </w:tcPr>
          <w:p w:rsidR="0075777C" w:rsidRPr="00805885" w:rsidRDefault="0075777C" w:rsidP="00805885">
            <w:pPr>
              <w:pStyle w:val="Tabletext"/>
              <w:rPr>
                <w:b/>
                <w:noProof/>
              </w:rPr>
            </w:pPr>
            <w:r w:rsidRPr="00805885">
              <w:rPr>
                <w:b/>
                <w:noProof/>
              </w:rPr>
              <w:t>Results</w:t>
            </w:r>
          </w:p>
        </w:tc>
        <w:tc>
          <w:tcPr>
            <w:tcW w:w="2551" w:type="dxa"/>
          </w:tcPr>
          <w:p w:rsidR="0075777C" w:rsidRPr="00805885" w:rsidRDefault="0075777C" w:rsidP="00805885">
            <w:pPr>
              <w:pStyle w:val="Tabletext"/>
              <w:rPr>
                <w:b/>
                <w:noProof/>
              </w:rPr>
            </w:pPr>
            <w:r w:rsidRPr="00805885">
              <w:rPr>
                <w:b/>
                <w:noProof/>
              </w:rPr>
              <w:t>Interpretation</w:t>
            </w:r>
          </w:p>
        </w:tc>
        <w:tc>
          <w:tcPr>
            <w:tcW w:w="1134" w:type="dxa"/>
          </w:tcPr>
          <w:p w:rsidR="0075777C" w:rsidRPr="00805885" w:rsidRDefault="0075777C" w:rsidP="00805885">
            <w:pPr>
              <w:pStyle w:val="Tabletext"/>
              <w:rPr>
                <w:b/>
                <w:noProof/>
              </w:rPr>
            </w:pPr>
            <w:r w:rsidRPr="00805885">
              <w:rPr>
                <w:b/>
                <w:noProof/>
              </w:rPr>
              <w:t>GRADE</w:t>
            </w:r>
            <w:r w:rsidR="00F24B06" w:rsidRPr="00F24B06">
              <w:rPr>
                <w:b/>
                <w:noProof/>
                <w:vertAlign w:val="superscript"/>
              </w:rPr>
              <w:t>a</w:t>
            </w:r>
          </w:p>
          <w:p w:rsidR="0075777C" w:rsidRPr="00805885" w:rsidRDefault="0075777C" w:rsidP="00805885">
            <w:pPr>
              <w:pStyle w:val="Tabletext"/>
              <w:rPr>
                <w:b/>
                <w:noProof/>
              </w:rPr>
            </w:pPr>
            <w:r w:rsidRPr="00805885">
              <w:rPr>
                <w:b/>
                <w:noProof/>
              </w:rPr>
              <w:t>Importance</w:t>
            </w:r>
          </w:p>
        </w:tc>
      </w:tr>
      <w:tr w:rsidR="0075777C" w:rsidRPr="006316DF" w:rsidTr="00805885">
        <w:tc>
          <w:tcPr>
            <w:tcW w:w="1560" w:type="dxa"/>
          </w:tcPr>
          <w:p w:rsidR="0075777C" w:rsidRPr="006316DF" w:rsidRDefault="0075777C" w:rsidP="00805885">
            <w:pPr>
              <w:pStyle w:val="Tabletext"/>
              <w:rPr>
                <w:rFonts w:cs="Arial"/>
              </w:rPr>
            </w:pPr>
            <w:r w:rsidRPr="006316DF">
              <w:rPr>
                <w:rFonts w:cs="Arial"/>
              </w:rPr>
              <w:t xml:space="preserve">Clinical worsening </w:t>
            </w:r>
          </w:p>
        </w:tc>
        <w:tc>
          <w:tcPr>
            <w:tcW w:w="1275" w:type="dxa"/>
          </w:tcPr>
          <w:p w:rsidR="0075777C" w:rsidRPr="006316DF" w:rsidRDefault="0075777C" w:rsidP="00805885">
            <w:pPr>
              <w:pStyle w:val="Tabletext"/>
              <w:rPr>
                <w:rFonts w:cs="Arial"/>
              </w:rPr>
            </w:pPr>
            <w:r w:rsidRPr="006316DF">
              <w:rPr>
                <w:rFonts w:cs="Arial"/>
              </w:rPr>
              <w:t>N=</w:t>
            </w:r>
            <w:r>
              <w:rPr>
                <w:rFonts w:cs="Arial"/>
              </w:rPr>
              <w:t>265</w:t>
            </w:r>
          </w:p>
          <w:p w:rsidR="0075777C" w:rsidRPr="006316DF" w:rsidRDefault="0075777C" w:rsidP="00805885">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805885">
            <w:pPr>
              <w:pStyle w:val="Tabletext"/>
              <w:rPr>
                <w:rFonts w:cs="Arial"/>
              </w:rPr>
            </w:pPr>
            <w:r>
              <w:rPr>
                <w:rFonts w:cs="Arial"/>
              </w:rPr>
              <w:t>Risk of bias: 0</w:t>
            </w:r>
          </w:p>
          <w:p w:rsidR="0075777C" w:rsidRPr="006316DF" w:rsidRDefault="0075777C" w:rsidP="00805885">
            <w:pPr>
              <w:pStyle w:val="Tabletext"/>
              <w:rPr>
                <w:rFonts w:cs="Arial"/>
              </w:rPr>
            </w:pPr>
            <w:r w:rsidRPr="006316DF">
              <w:rPr>
                <w:rFonts w:cs="Arial"/>
              </w:rPr>
              <w:t>Inconsistency: 0</w:t>
            </w:r>
          </w:p>
          <w:p w:rsidR="0075777C" w:rsidRPr="006316DF" w:rsidRDefault="0075777C" w:rsidP="00805885">
            <w:pPr>
              <w:pStyle w:val="Tabletext"/>
              <w:rPr>
                <w:rFonts w:cs="Arial"/>
              </w:rPr>
            </w:pPr>
            <w:r w:rsidRPr="006316DF">
              <w:rPr>
                <w:rFonts w:cs="Arial"/>
              </w:rPr>
              <w:t>Indirectness: 0</w:t>
            </w:r>
          </w:p>
          <w:p w:rsidR="0075777C" w:rsidRDefault="0075777C" w:rsidP="00805885">
            <w:pPr>
              <w:pStyle w:val="Tabletext"/>
              <w:rPr>
                <w:rFonts w:cs="Arial"/>
              </w:rPr>
            </w:pPr>
            <w:r w:rsidRPr="006316DF">
              <w:rPr>
                <w:rFonts w:cs="Arial"/>
              </w:rPr>
              <w:t>Imprecision: 0</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+1</w:t>
            </w:r>
          </w:p>
        </w:tc>
        <w:tc>
          <w:tcPr>
            <w:tcW w:w="1418" w:type="dxa"/>
          </w:tcPr>
          <w:p w:rsidR="0075777C" w:rsidRPr="0068036B" w:rsidRDefault="0075777C" w:rsidP="00805885">
            <w:pPr>
              <w:pStyle w:val="Tabletext"/>
              <w:rPr>
                <w:rFonts w:cs="Arial"/>
              </w:rPr>
            </w:pPr>
            <w:r w:rsidRPr="00482160">
              <w:t xml:space="preserve">RR </w:t>
            </w:r>
            <w:r>
              <w:t xml:space="preserve">= </w:t>
            </w:r>
            <w:r w:rsidRPr="00482160">
              <w:t>0.33</w:t>
            </w:r>
            <w:r>
              <w:t xml:space="preserve"> </w:t>
            </w:r>
            <w:r w:rsidRPr="00482160">
              <w:t>(</w:t>
            </w:r>
            <w:r>
              <w:t xml:space="preserve">95% CI </w:t>
            </w:r>
            <w:r w:rsidRPr="00482160">
              <w:t>0.15</w:t>
            </w:r>
            <w:r>
              <w:t>,</w:t>
            </w:r>
            <w:r w:rsidRPr="00482160">
              <w:t xml:space="preserve"> </w:t>
            </w:r>
            <w:r>
              <w:t>0.70)</w:t>
            </w:r>
          </w:p>
        </w:tc>
        <w:tc>
          <w:tcPr>
            <w:tcW w:w="2551" w:type="dxa"/>
          </w:tcPr>
          <w:p w:rsidR="0075777C" w:rsidRPr="0068036B" w:rsidRDefault="0075777C" w:rsidP="00805885">
            <w:pPr>
              <w:pStyle w:val="Tabletext"/>
              <w:rPr>
                <w:rFonts w:cs="Arial"/>
              </w:rPr>
            </w:pPr>
            <w:r>
              <w:rPr>
                <w:rFonts w:cs="Arial"/>
              </w:rPr>
              <w:t>Significantly fewer</w:t>
            </w:r>
            <w:r w:rsidRPr="0068036B">
              <w:rPr>
                <w:rFonts w:cs="Arial"/>
              </w:rPr>
              <w:t xml:space="preserve"> patients experience</w:t>
            </w:r>
            <w:r>
              <w:rPr>
                <w:rFonts w:cs="Arial"/>
              </w:rPr>
              <w:t>d</w:t>
            </w:r>
            <w:r w:rsidRPr="0068036B">
              <w:rPr>
                <w:rFonts w:cs="Arial"/>
              </w:rPr>
              <w:t xml:space="preserve"> clinical worsening with combination therapy compared with monotherapy</w:t>
            </w:r>
          </w:p>
        </w:tc>
        <w:tc>
          <w:tcPr>
            <w:tcW w:w="1134" w:type="dxa"/>
          </w:tcPr>
          <w:p w:rsidR="0075777C" w:rsidRPr="006316DF" w:rsidRDefault="0075777C" w:rsidP="00805885">
            <w:pPr>
              <w:pStyle w:val="Tabletext"/>
              <w:rPr>
                <w:rFonts w:cs="Arial"/>
              </w:rPr>
            </w:pPr>
            <w:r>
              <w:rPr>
                <w:rFonts w:cs="Arial"/>
              </w:rPr>
              <w:t>High</w:t>
            </w:r>
          </w:p>
          <w:p w:rsidR="0075777C" w:rsidRPr="006316DF" w:rsidRDefault="0075777C" w:rsidP="00805885">
            <w:pPr>
              <w:pStyle w:val="Tabletext"/>
              <w:rPr>
                <w:rFonts w:cs="Cambria Math"/>
                <w:bCs/>
              </w:rPr>
            </w:pPr>
            <w:r w:rsidRPr="006316DF">
              <w:rPr>
                <w:rFonts w:ascii="Cambria Math" w:hAnsi="Cambria Math" w:cs="Cambria Math"/>
                <w:bCs/>
                <w:color w:val="00B050"/>
              </w:rPr>
              <w:t>⨁⨁⨁⨁</w:t>
            </w:r>
          </w:p>
          <w:p w:rsidR="0075777C" w:rsidRPr="006316DF" w:rsidRDefault="0075777C" w:rsidP="00805885">
            <w:pPr>
              <w:pStyle w:val="Tabletext"/>
              <w:rPr>
                <w:rFonts w:cs="Arial"/>
              </w:rPr>
            </w:pPr>
            <w:r w:rsidRPr="006316DF">
              <w:rPr>
                <w:rFonts w:cs="Cambria Math"/>
                <w:bCs/>
              </w:rPr>
              <w:t xml:space="preserve">Critical </w:t>
            </w:r>
          </w:p>
        </w:tc>
      </w:tr>
      <w:tr w:rsidR="0075777C" w:rsidRPr="006316DF" w:rsidTr="00805885">
        <w:tc>
          <w:tcPr>
            <w:tcW w:w="1560" w:type="dxa"/>
          </w:tcPr>
          <w:p w:rsidR="0075777C" w:rsidRPr="006316DF" w:rsidRDefault="0075777C" w:rsidP="00805885">
            <w:pPr>
              <w:pStyle w:val="Tabletext"/>
              <w:rPr>
                <w:rFonts w:cs="Arial"/>
              </w:rPr>
            </w:pPr>
            <w:r w:rsidRPr="006316DF">
              <w:rPr>
                <w:rFonts w:cs="Arial"/>
              </w:rPr>
              <w:t>All-cause mortality</w:t>
            </w:r>
          </w:p>
        </w:tc>
        <w:tc>
          <w:tcPr>
            <w:tcW w:w="1275" w:type="dxa"/>
          </w:tcPr>
          <w:p w:rsidR="0075777C" w:rsidRPr="006316DF" w:rsidRDefault="0075777C" w:rsidP="00805885">
            <w:pPr>
              <w:pStyle w:val="Tabletext"/>
              <w:rPr>
                <w:rFonts w:cs="Arial"/>
              </w:rPr>
            </w:pPr>
            <w:r w:rsidRPr="006316DF">
              <w:rPr>
                <w:rFonts w:cs="Arial"/>
              </w:rPr>
              <w:t>N=</w:t>
            </w:r>
            <w:r>
              <w:rPr>
                <w:rFonts w:cs="Arial"/>
              </w:rPr>
              <w:t>2</w:t>
            </w:r>
            <w:r w:rsidRPr="006316DF">
              <w:rPr>
                <w:rFonts w:cs="Arial"/>
              </w:rPr>
              <w:t>6</w:t>
            </w:r>
            <w:r>
              <w:rPr>
                <w:rFonts w:cs="Arial"/>
              </w:rPr>
              <w:t>5</w:t>
            </w:r>
          </w:p>
          <w:p w:rsidR="0075777C" w:rsidRPr="006316DF" w:rsidRDefault="0075777C" w:rsidP="00805885">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805885">
            <w:pPr>
              <w:pStyle w:val="Tabletext"/>
              <w:rPr>
                <w:rFonts w:cs="Arial"/>
              </w:rPr>
            </w:pPr>
            <w:r>
              <w:rPr>
                <w:rFonts w:cs="Arial"/>
              </w:rPr>
              <w:t>Risk of bias: 0</w:t>
            </w:r>
          </w:p>
          <w:p w:rsidR="0075777C" w:rsidRPr="006316DF" w:rsidRDefault="0075777C" w:rsidP="00805885">
            <w:pPr>
              <w:pStyle w:val="Tabletext"/>
              <w:rPr>
                <w:rFonts w:cs="Arial"/>
              </w:rPr>
            </w:pPr>
            <w:r w:rsidRPr="006316DF">
              <w:rPr>
                <w:rFonts w:cs="Arial"/>
              </w:rPr>
              <w:t xml:space="preserve">Inconsistency: </w:t>
            </w:r>
            <w:r>
              <w:rPr>
                <w:rFonts w:cs="Arial"/>
              </w:rPr>
              <w:t>0</w:t>
            </w:r>
          </w:p>
          <w:p w:rsidR="0075777C" w:rsidRPr="006316DF" w:rsidRDefault="0075777C" w:rsidP="00805885">
            <w:pPr>
              <w:pStyle w:val="Tabletext"/>
              <w:rPr>
                <w:rFonts w:cs="Arial"/>
              </w:rPr>
            </w:pPr>
            <w:r w:rsidRPr="006316DF">
              <w:rPr>
                <w:rFonts w:cs="Arial"/>
              </w:rPr>
              <w:t>Indirectness: 0</w:t>
            </w:r>
          </w:p>
          <w:p w:rsidR="0075777C" w:rsidRDefault="0075777C" w:rsidP="00805885">
            <w:pPr>
              <w:pStyle w:val="Tabletext"/>
              <w:rPr>
                <w:rFonts w:cs="Arial"/>
              </w:rPr>
            </w:pPr>
            <w:r w:rsidRPr="006316DF">
              <w:rPr>
                <w:rFonts w:cs="Arial"/>
              </w:rPr>
              <w:t>Imprecision: 0</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0</w:t>
            </w:r>
          </w:p>
        </w:tc>
        <w:tc>
          <w:tcPr>
            <w:tcW w:w="1418" w:type="dxa"/>
          </w:tcPr>
          <w:p w:rsidR="0075777C" w:rsidRPr="0068036B" w:rsidRDefault="00B21201" w:rsidP="00805885">
            <w:pPr>
              <w:pStyle w:val="Tabletext"/>
            </w:pPr>
            <w:r>
              <w:t>ARD</w:t>
            </w:r>
            <w:r w:rsidR="0075777C" w:rsidRPr="00482160">
              <w:t xml:space="preserve"> = </w:t>
            </w:r>
            <w:r w:rsidR="0075777C" w:rsidRPr="0045220D">
              <w:t>−5.3%; 95% CI −9.2, −1.5</w:t>
            </w:r>
            <w:r w:rsidR="0075777C">
              <w:t>)</w:t>
            </w:r>
          </w:p>
        </w:tc>
        <w:tc>
          <w:tcPr>
            <w:tcW w:w="2551" w:type="dxa"/>
          </w:tcPr>
          <w:p w:rsidR="0075777C" w:rsidRPr="0068036B" w:rsidRDefault="0075777C" w:rsidP="00196DB5">
            <w:pPr>
              <w:pStyle w:val="Tabletext"/>
            </w:pPr>
            <w:r>
              <w:rPr>
                <w:rFonts w:cs="Arial"/>
              </w:rPr>
              <w:t>Significantly f</w:t>
            </w:r>
            <w:r w:rsidRPr="0068036B">
              <w:rPr>
                <w:rFonts w:cs="Arial"/>
              </w:rPr>
              <w:t>ewer patients die</w:t>
            </w:r>
            <w:r>
              <w:rPr>
                <w:rFonts w:cs="Arial"/>
              </w:rPr>
              <w:t>d</w:t>
            </w:r>
            <w:r w:rsidRPr="0068036B">
              <w:rPr>
                <w:rFonts w:cs="Arial"/>
              </w:rPr>
              <w:t xml:space="preserve"> </w:t>
            </w:r>
            <w:r w:rsidRPr="0068036B">
              <w:t xml:space="preserve">from any cause </w:t>
            </w:r>
            <w:r w:rsidRPr="0068036B">
              <w:rPr>
                <w:rFonts w:cs="Arial"/>
              </w:rPr>
              <w:t>with combination therapy compared with monotherapy</w:t>
            </w:r>
            <w:r w:rsidR="00196DB5">
              <w:rPr>
                <w:rFonts w:cs="Arial"/>
              </w:rPr>
              <w:t xml:space="preserve"> (p = 0.007)</w:t>
            </w:r>
          </w:p>
        </w:tc>
        <w:tc>
          <w:tcPr>
            <w:tcW w:w="1134" w:type="dxa"/>
          </w:tcPr>
          <w:p w:rsidR="0075777C" w:rsidRPr="006316DF" w:rsidRDefault="0075777C" w:rsidP="00805885">
            <w:pPr>
              <w:pStyle w:val="Tabletext"/>
              <w:rPr>
                <w:rFonts w:cs="Arial"/>
              </w:rPr>
            </w:pPr>
            <w:r>
              <w:rPr>
                <w:rFonts w:cs="Arial"/>
              </w:rPr>
              <w:t>High</w:t>
            </w:r>
          </w:p>
          <w:p w:rsidR="0075777C" w:rsidRPr="006316DF" w:rsidRDefault="0075777C" w:rsidP="00805885">
            <w:pPr>
              <w:pStyle w:val="Tabletext"/>
              <w:rPr>
                <w:rFonts w:cs="Cambria Math"/>
                <w:bCs/>
              </w:rPr>
            </w:pPr>
            <w:r w:rsidRPr="006316DF">
              <w:rPr>
                <w:rFonts w:ascii="Cambria Math" w:hAnsi="Cambria Math" w:cs="Cambria Math"/>
                <w:bCs/>
                <w:color w:val="00B050"/>
              </w:rPr>
              <w:t>⨁⨁⨁⨁</w:t>
            </w:r>
          </w:p>
          <w:p w:rsidR="0075777C" w:rsidRPr="006316DF" w:rsidRDefault="0075777C" w:rsidP="00805885">
            <w:pPr>
              <w:pStyle w:val="Tabletext"/>
              <w:rPr>
                <w:rFonts w:cs="Arial"/>
              </w:rPr>
            </w:pPr>
            <w:r w:rsidRPr="00660FF3">
              <w:rPr>
                <w:rFonts w:cs="Arial"/>
              </w:rPr>
              <w:t>Critical</w:t>
            </w:r>
          </w:p>
        </w:tc>
      </w:tr>
      <w:tr w:rsidR="0075777C" w:rsidRPr="006316DF" w:rsidTr="00805885">
        <w:tc>
          <w:tcPr>
            <w:tcW w:w="1560" w:type="dxa"/>
          </w:tcPr>
          <w:p w:rsidR="0075777C" w:rsidRPr="006316DF" w:rsidRDefault="0075777C" w:rsidP="00805885">
            <w:pPr>
              <w:pStyle w:val="Tabletext"/>
              <w:rPr>
                <w:rFonts w:cs="Arial"/>
              </w:rPr>
            </w:pPr>
            <w:r>
              <w:rPr>
                <w:rFonts w:cs="Arial"/>
              </w:rPr>
              <w:t>Hospitalisation</w:t>
            </w:r>
            <w:r w:rsidR="00086A04">
              <w:rPr>
                <w:rFonts w:cs="Arial"/>
              </w:rPr>
              <w:t xml:space="preserve"> due to </w:t>
            </w:r>
            <w:r w:rsidR="00B97B32">
              <w:rPr>
                <w:rFonts w:cs="Arial"/>
              </w:rPr>
              <w:t xml:space="preserve">worsening </w:t>
            </w:r>
            <w:r w:rsidR="00086A04">
              <w:rPr>
                <w:rFonts w:cs="Arial"/>
              </w:rPr>
              <w:t>PAH</w:t>
            </w:r>
          </w:p>
        </w:tc>
        <w:tc>
          <w:tcPr>
            <w:tcW w:w="1275" w:type="dxa"/>
          </w:tcPr>
          <w:p w:rsidR="0075777C" w:rsidRPr="006316DF" w:rsidRDefault="0075777C" w:rsidP="00805885">
            <w:pPr>
              <w:pStyle w:val="Tabletext"/>
              <w:rPr>
                <w:rFonts w:cs="Arial"/>
              </w:rPr>
            </w:pPr>
            <w:r w:rsidRPr="006316DF">
              <w:rPr>
                <w:rFonts w:cs="Arial"/>
              </w:rPr>
              <w:t>N=</w:t>
            </w:r>
            <w:r>
              <w:rPr>
                <w:rFonts w:cs="Arial"/>
              </w:rPr>
              <w:t>265</w:t>
            </w:r>
          </w:p>
          <w:p w:rsidR="0075777C" w:rsidRPr="006316DF" w:rsidRDefault="0075777C" w:rsidP="00805885">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805885">
            <w:pPr>
              <w:pStyle w:val="Tabletext"/>
              <w:rPr>
                <w:rFonts w:cs="Arial"/>
              </w:rPr>
            </w:pPr>
            <w:r>
              <w:rPr>
                <w:rFonts w:cs="Arial"/>
              </w:rPr>
              <w:t>Risk of bias: 0</w:t>
            </w:r>
          </w:p>
          <w:p w:rsidR="0075777C" w:rsidRPr="006316DF" w:rsidRDefault="0075777C" w:rsidP="00805885">
            <w:pPr>
              <w:pStyle w:val="Tabletext"/>
              <w:rPr>
                <w:rFonts w:cs="Arial"/>
              </w:rPr>
            </w:pPr>
            <w:r w:rsidRPr="006316DF">
              <w:rPr>
                <w:rFonts w:cs="Arial"/>
              </w:rPr>
              <w:t xml:space="preserve">Inconsistency: </w:t>
            </w:r>
            <w:r>
              <w:rPr>
                <w:rFonts w:cs="Arial"/>
              </w:rPr>
              <w:t>0</w:t>
            </w:r>
          </w:p>
          <w:p w:rsidR="0075777C" w:rsidRPr="006316DF" w:rsidRDefault="0075777C" w:rsidP="00805885">
            <w:pPr>
              <w:pStyle w:val="Tabletext"/>
              <w:rPr>
                <w:rFonts w:cs="Arial"/>
              </w:rPr>
            </w:pPr>
            <w:r w:rsidRPr="006316DF">
              <w:rPr>
                <w:rFonts w:cs="Arial"/>
              </w:rPr>
              <w:t>Indirectness: 0</w:t>
            </w:r>
          </w:p>
          <w:p w:rsidR="0075777C" w:rsidRDefault="0075777C" w:rsidP="00805885">
            <w:pPr>
              <w:pStyle w:val="Tabletext"/>
              <w:rPr>
                <w:rFonts w:cs="Arial"/>
              </w:rPr>
            </w:pPr>
            <w:r>
              <w:rPr>
                <w:rFonts w:cs="Arial"/>
              </w:rPr>
              <w:t>Imprecision: −1</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0</w:t>
            </w:r>
          </w:p>
        </w:tc>
        <w:tc>
          <w:tcPr>
            <w:tcW w:w="1418" w:type="dxa"/>
          </w:tcPr>
          <w:p w:rsidR="0075777C" w:rsidRPr="004A69F0" w:rsidRDefault="0075777C" w:rsidP="00FF1A9C">
            <w:pPr>
              <w:pStyle w:val="Tabletext"/>
            </w:pPr>
            <w:r w:rsidRPr="00AC54F2">
              <w:t xml:space="preserve">RR </w:t>
            </w:r>
            <w:r>
              <w:t xml:space="preserve">= </w:t>
            </w:r>
            <w:r w:rsidRPr="00AC54F2">
              <w:t>0.</w:t>
            </w:r>
            <w:r w:rsidR="00FF1A9C">
              <w:t>71</w:t>
            </w:r>
            <w:r>
              <w:t xml:space="preserve"> </w:t>
            </w:r>
            <w:r w:rsidRPr="00AC54F2">
              <w:t>(</w:t>
            </w:r>
            <w:r>
              <w:t xml:space="preserve">95% CI </w:t>
            </w:r>
            <w:r w:rsidRPr="00AC54F2">
              <w:t>0.3</w:t>
            </w:r>
            <w:r w:rsidR="00FF1A9C">
              <w:t>0</w:t>
            </w:r>
            <w:r>
              <w:t>,</w:t>
            </w:r>
            <w:r w:rsidRPr="00AC54F2">
              <w:t xml:space="preserve"> </w:t>
            </w:r>
            <w:r w:rsidR="00FF1A9C">
              <w:t>1.71</w:t>
            </w:r>
            <w:r w:rsidRPr="00AC54F2">
              <w:t>)</w:t>
            </w:r>
          </w:p>
        </w:tc>
        <w:tc>
          <w:tcPr>
            <w:tcW w:w="2551" w:type="dxa"/>
          </w:tcPr>
          <w:p w:rsidR="0075777C" w:rsidRPr="004A69F0" w:rsidRDefault="0075777C" w:rsidP="00805885">
            <w:pPr>
              <w:pStyle w:val="Tabletext"/>
            </w:pPr>
            <w:r>
              <w:rPr>
                <w:rFonts w:cs="Arial"/>
              </w:rPr>
              <w:t>F</w:t>
            </w:r>
            <w:r w:rsidRPr="004A69F0">
              <w:rPr>
                <w:rFonts w:cs="Arial"/>
              </w:rPr>
              <w:t xml:space="preserve">ewer </w:t>
            </w:r>
            <w:r>
              <w:rPr>
                <w:rFonts w:cs="Arial"/>
              </w:rPr>
              <w:t>patients were hospitalised</w:t>
            </w:r>
            <w:r w:rsidRPr="004A69F0">
              <w:t xml:space="preserve"> </w:t>
            </w:r>
            <w:r w:rsidRPr="004A69F0">
              <w:rPr>
                <w:rFonts w:cs="Arial"/>
              </w:rPr>
              <w:t>with combination therapy compared with monotherapy</w:t>
            </w:r>
            <w:r>
              <w:rPr>
                <w:rFonts w:cs="Arial"/>
              </w:rPr>
              <w:t>,</w:t>
            </w:r>
            <w:r>
              <w:t xml:space="preserve"> but</w:t>
            </w:r>
            <w:r w:rsidRPr="004B26E4">
              <w:t xml:space="preserve"> the </w:t>
            </w:r>
            <w:r w:rsidR="00D84687">
              <w:t>95% CI indicates</w:t>
            </w:r>
            <w:r w:rsidRPr="004B26E4">
              <w:t xml:space="preserve"> that there may also be the opposite effect.</w:t>
            </w:r>
          </w:p>
        </w:tc>
        <w:tc>
          <w:tcPr>
            <w:tcW w:w="1134" w:type="dxa"/>
          </w:tcPr>
          <w:p w:rsidR="0075777C" w:rsidRDefault="0075777C" w:rsidP="00805885">
            <w:pPr>
              <w:pStyle w:val="Tabletext"/>
              <w:rPr>
                <w:bCs/>
              </w:rPr>
            </w:pPr>
            <w:r w:rsidRPr="00E564DD">
              <w:rPr>
                <w:bCs/>
              </w:rPr>
              <w:t>Moderate</w:t>
            </w:r>
          </w:p>
          <w:p w:rsidR="0075777C" w:rsidRDefault="0075777C" w:rsidP="00805885">
            <w:pPr>
              <w:pStyle w:val="Tabletext"/>
              <w:rPr>
                <w:rFonts w:ascii="Cambria Math" w:hAnsi="Cambria Math" w:cs="Cambria Math"/>
                <w:bCs/>
              </w:rPr>
            </w:pPr>
            <w:r w:rsidRPr="00E564DD">
              <w:rPr>
                <w:rFonts w:ascii="Cambria Math" w:hAnsi="Cambria Math" w:cs="Cambria Math"/>
                <w:bCs/>
                <w:color w:val="00B050"/>
              </w:rPr>
              <w:t>⨁⨁⨁</w:t>
            </w:r>
            <w:r w:rsidRPr="00E564DD">
              <w:rPr>
                <w:rFonts w:ascii="Cambria Math" w:hAnsi="Cambria Math" w:cs="Cambria Math"/>
                <w:bCs/>
                <w:color w:val="FF0000"/>
              </w:rPr>
              <w:t>⨀</w:t>
            </w:r>
          </w:p>
          <w:p w:rsidR="0075777C" w:rsidRPr="006316DF" w:rsidRDefault="00805885" w:rsidP="00805885">
            <w:pPr>
              <w:pStyle w:val="Tabletext"/>
              <w:rPr>
                <w:rFonts w:cs="Arial"/>
              </w:rPr>
            </w:pPr>
            <w:r>
              <w:rPr>
                <w:rFonts w:cs="Arial"/>
              </w:rPr>
              <w:t>Important</w:t>
            </w:r>
          </w:p>
        </w:tc>
      </w:tr>
      <w:tr w:rsidR="00805885" w:rsidRPr="006316DF" w:rsidTr="00805885">
        <w:tc>
          <w:tcPr>
            <w:tcW w:w="1560" w:type="dxa"/>
          </w:tcPr>
          <w:p w:rsidR="00805885" w:rsidRPr="006316DF" w:rsidRDefault="00805885" w:rsidP="00805885">
            <w:pPr>
              <w:pStyle w:val="Tabletext"/>
              <w:rPr>
                <w:rFonts w:cs="Arial"/>
              </w:rPr>
            </w:pPr>
            <w:r w:rsidRPr="006316DF">
              <w:rPr>
                <w:rFonts w:cs="Arial"/>
              </w:rPr>
              <w:t>Change in 6MWD</w:t>
            </w:r>
            <w:r w:rsidR="00B97B32">
              <w:rPr>
                <w:rFonts w:cs="Arial"/>
              </w:rPr>
              <w:t xml:space="preserve"> from baseline</w:t>
            </w:r>
          </w:p>
        </w:tc>
        <w:tc>
          <w:tcPr>
            <w:tcW w:w="1275" w:type="dxa"/>
          </w:tcPr>
          <w:p w:rsidR="00805885" w:rsidRPr="006316DF" w:rsidRDefault="00805885" w:rsidP="00805885">
            <w:pPr>
              <w:pStyle w:val="Tabletext"/>
              <w:rPr>
                <w:rFonts w:cs="Arial"/>
              </w:rPr>
            </w:pPr>
            <w:r w:rsidRPr="006316DF">
              <w:rPr>
                <w:rFonts w:cs="Arial"/>
              </w:rPr>
              <w:t>N=</w:t>
            </w:r>
            <w:r w:rsidR="001B552D">
              <w:rPr>
                <w:rFonts w:cs="Arial"/>
              </w:rPr>
              <w:t>2</w:t>
            </w:r>
            <w:r>
              <w:rPr>
                <w:rFonts w:cs="Arial"/>
              </w:rPr>
              <w:t>6</w:t>
            </w:r>
            <w:r w:rsidR="001B552D">
              <w:rPr>
                <w:rFonts w:cs="Arial"/>
              </w:rPr>
              <w:t>5</w:t>
            </w:r>
          </w:p>
          <w:p w:rsidR="00805885" w:rsidRPr="006316DF" w:rsidRDefault="00805885" w:rsidP="00805885">
            <w:pPr>
              <w:pStyle w:val="Tabletext"/>
              <w:rPr>
                <w:rFonts w:cs="Arial"/>
              </w:rPr>
            </w:pPr>
            <w:r w:rsidRPr="006316DF">
              <w:rPr>
                <w:rFonts w:cs="Arial"/>
              </w:rPr>
              <w:t>k=1 RCT</w:t>
            </w:r>
          </w:p>
        </w:tc>
        <w:tc>
          <w:tcPr>
            <w:tcW w:w="1701" w:type="dxa"/>
          </w:tcPr>
          <w:p w:rsidR="00805885" w:rsidRPr="006316DF" w:rsidRDefault="00805885" w:rsidP="00805885">
            <w:pPr>
              <w:pStyle w:val="Tabletext"/>
              <w:rPr>
                <w:rFonts w:cs="Arial"/>
              </w:rPr>
            </w:pPr>
            <w:r>
              <w:rPr>
                <w:rFonts w:cs="Arial"/>
              </w:rPr>
              <w:t>Risk of bias: 0</w:t>
            </w:r>
          </w:p>
          <w:p w:rsidR="00805885" w:rsidRPr="006316DF" w:rsidRDefault="00805885" w:rsidP="00805885">
            <w:pPr>
              <w:pStyle w:val="Tabletext"/>
              <w:rPr>
                <w:rFonts w:cs="Arial"/>
              </w:rPr>
            </w:pPr>
            <w:r w:rsidRPr="006316DF">
              <w:rPr>
                <w:rFonts w:cs="Arial"/>
              </w:rPr>
              <w:t>Inconsistency: 0</w:t>
            </w:r>
          </w:p>
          <w:p w:rsidR="00805885" w:rsidRPr="006316DF" w:rsidRDefault="00805885" w:rsidP="00805885">
            <w:pPr>
              <w:pStyle w:val="Tabletext"/>
              <w:rPr>
                <w:rFonts w:cs="Arial"/>
              </w:rPr>
            </w:pPr>
            <w:r w:rsidRPr="006316DF">
              <w:rPr>
                <w:rFonts w:cs="Arial"/>
              </w:rPr>
              <w:t xml:space="preserve">Indirectness: </w:t>
            </w:r>
            <w:r w:rsidR="00B47224">
              <w:rPr>
                <w:rFonts w:cs="Arial"/>
              </w:rPr>
              <w:t>−1</w:t>
            </w:r>
          </w:p>
          <w:p w:rsidR="00805885" w:rsidRDefault="00805885" w:rsidP="00805885">
            <w:pPr>
              <w:pStyle w:val="Tabletext"/>
              <w:rPr>
                <w:rFonts w:cs="Arial"/>
              </w:rPr>
            </w:pPr>
            <w:r w:rsidRPr="006316DF">
              <w:rPr>
                <w:rFonts w:cs="Arial"/>
              </w:rPr>
              <w:t>Imprecision: 0</w:t>
            </w:r>
          </w:p>
          <w:p w:rsidR="00805885" w:rsidRDefault="00805885" w:rsidP="00805885">
            <w:pPr>
              <w:pStyle w:val="Tabletext"/>
              <w:rPr>
                <w:rFonts w:cs="Arial"/>
              </w:rPr>
            </w:pPr>
            <w:r w:rsidRPr="006316DF">
              <w:rPr>
                <w:rFonts w:cs="Arial"/>
              </w:rPr>
              <w:t>Publication bias: 0</w:t>
            </w:r>
          </w:p>
          <w:p w:rsidR="00805885" w:rsidRPr="006316DF" w:rsidRDefault="00805885" w:rsidP="00805885">
            <w:pPr>
              <w:pStyle w:val="Tabletext"/>
              <w:rPr>
                <w:rFonts w:cs="Arial"/>
              </w:rPr>
            </w:pPr>
            <w:r>
              <w:rPr>
                <w:rFonts w:cs="Arial"/>
              </w:rPr>
              <w:t>Association: 0</w:t>
            </w:r>
          </w:p>
        </w:tc>
        <w:tc>
          <w:tcPr>
            <w:tcW w:w="1418" w:type="dxa"/>
          </w:tcPr>
          <w:p w:rsidR="00805885" w:rsidRPr="005A3D42" w:rsidRDefault="00805885" w:rsidP="004F21C9">
            <w:pPr>
              <w:pStyle w:val="Tabletext"/>
              <w:rPr>
                <w:highlight w:val="cyan"/>
              </w:rPr>
            </w:pPr>
            <w:r>
              <w:t>MD = 28.8 m further</w:t>
            </w:r>
            <w:r>
              <w:br/>
              <w:t>(</w:t>
            </w:r>
            <w:r w:rsidR="004F21C9">
              <w:t xml:space="preserve">95% CI </w:t>
            </w:r>
            <w:r>
              <w:t>13.9</w:t>
            </w:r>
            <w:r w:rsidR="004F21C9">
              <w:t>,</w:t>
            </w:r>
            <w:r w:rsidRPr="00944F0A">
              <w:t xml:space="preserve"> </w:t>
            </w:r>
            <w:r w:rsidR="004F21C9">
              <w:t>43.8</w:t>
            </w:r>
            <w:r>
              <w:t>)</w:t>
            </w:r>
          </w:p>
        </w:tc>
        <w:tc>
          <w:tcPr>
            <w:tcW w:w="2551" w:type="dxa"/>
          </w:tcPr>
          <w:p w:rsidR="00805885" w:rsidRPr="004B26E4" w:rsidRDefault="00805885" w:rsidP="00805885">
            <w:pPr>
              <w:pStyle w:val="Tabletext"/>
              <w:rPr>
                <w:rFonts w:cs="Arial"/>
              </w:rPr>
            </w:pPr>
            <w:r>
              <w:rPr>
                <w:rFonts w:cs="Arial"/>
              </w:rPr>
              <w:t>P</w:t>
            </w:r>
            <w:r w:rsidRPr="004B26E4">
              <w:rPr>
                <w:rFonts w:cs="Arial"/>
              </w:rPr>
              <w:t>atients on combination th</w:t>
            </w:r>
            <w:r>
              <w:rPr>
                <w:rFonts w:cs="Arial"/>
              </w:rPr>
              <w:t>e</w:t>
            </w:r>
            <w:r w:rsidRPr="004B26E4">
              <w:rPr>
                <w:rFonts w:cs="Arial"/>
              </w:rPr>
              <w:t>rapy ha</w:t>
            </w:r>
            <w:r>
              <w:rPr>
                <w:rFonts w:cs="Arial"/>
              </w:rPr>
              <w:t>d</w:t>
            </w:r>
            <w:r w:rsidRPr="004B26E4">
              <w:rPr>
                <w:rFonts w:cs="Arial"/>
              </w:rPr>
              <w:t xml:space="preserve"> a larger </w:t>
            </w:r>
            <w:r>
              <w:rPr>
                <w:rFonts w:cs="Arial"/>
              </w:rPr>
              <w:t xml:space="preserve">mean </w:t>
            </w:r>
            <w:r w:rsidRPr="004B26E4">
              <w:rPr>
                <w:rFonts w:cs="Arial"/>
              </w:rPr>
              <w:t xml:space="preserve">improvement in their 6MWD </w:t>
            </w:r>
            <w:r>
              <w:rPr>
                <w:rFonts w:cs="Arial"/>
              </w:rPr>
              <w:t>compared with</w:t>
            </w:r>
            <w:r w:rsidRPr="004B26E4">
              <w:rPr>
                <w:rFonts w:cs="Arial"/>
              </w:rPr>
              <w:t xml:space="preserve"> those on monotherapy</w:t>
            </w:r>
            <w:r w:rsidR="00196DB5" w:rsidRPr="009F0131">
              <w:rPr>
                <w:rFonts w:cs="Arial"/>
              </w:rPr>
              <w:t>, but the difference was not clinically important</w:t>
            </w:r>
          </w:p>
        </w:tc>
        <w:tc>
          <w:tcPr>
            <w:tcW w:w="1134" w:type="dxa"/>
          </w:tcPr>
          <w:p w:rsidR="00805885" w:rsidRPr="006316DF" w:rsidRDefault="00B47224" w:rsidP="00805885">
            <w:pPr>
              <w:pStyle w:val="Tabletext"/>
              <w:rPr>
                <w:rFonts w:cs="Arial"/>
              </w:rPr>
            </w:pPr>
            <w:r>
              <w:rPr>
                <w:rFonts w:cs="Arial"/>
              </w:rPr>
              <w:t>Moderate</w:t>
            </w:r>
          </w:p>
          <w:p w:rsidR="00805885" w:rsidRPr="006316DF" w:rsidRDefault="00805885" w:rsidP="00805885">
            <w:pPr>
              <w:pStyle w:val="Tabletext"/>
              <w:rPr>
                <w:rFonts w:cs="Cambria Math"/>
                <w:bCs/>
              </w:rPr>
            </w:pPr>
            <w:r w:rsidRPr="006316DF">
              <w:rPr>
                <w:rFonts w:ascii="Cambria Math" w:hAnsi="Cambria Math" w:cs="Cambria Math"/>
                <w:bCs/>
                <w:color w:val="00B050"/>
              </w:rPr>
              <w:t>⨁⨁⨁</w:t>
            </w:r>
            <w:r w:rsidR="00B47224" w:rsidRPr="006316DF">
              <w:rPr>
                <w:rFonts w:ascii="Cambria Math" w:hAnsi="Cambria Math" w:cs="Cambria Math"/>
                <w:color w:val="C00000"/>
              </w:rPr>
              <w:t>⨀</w:t>
            </w:r>
          </w:p>
          <w:p w:rsidR="00805885" w:rsidRPr="006316DF" w:rsidRDefault="00805885" w:rsidP="00805885">
            <w:pPr>
              <w:pStyle w:val="Tabletext"/>
              <w:rPr>
                <w:rFonts w:cs="Arial"/>
              </w:rPr>
            </w:pPr>
            <w:r>
              <w:rPr>
                <w:rFonts w:cs="Arial"/>
              </w:rPr>
              <w:t>I</w:t>
            </w:r>
            <w:r w:rsidRPr="006316DF">
              <w:rPr>
                <w:rFonts w:cs="Arial"/>
              </w:rPr>
              <w:t>mportant</w:t>
            </w:r>
          </w:p>
        </w:tc>
      </w:tr>
      <w:tr w:rsidR="0075777C" w:rsidRPr="006316DF" w:rsidTr="00805885">
        <w:tc>
          <w:tcPr>
            <w:tcW w:w="1560" w:type="dxa"/>
          </w:tcPr>
          <w:p w:rsidR="0075777C" w:rsidRPr="006316DF" w:rsidRDefault="0075777C" w:rsidP="00805885">
            <w:pPr>
              <w:pStyle w:val="Tabletext"/>
              <w:rPr>
                <w:rFonts w:cs="Arial"/>
              </w:rPr>
            </w:pPr>
            <w:r w:rsidRPr="006C4A08">
              <w:rPr>
                <w:rFonts w:cs="Arial"/>
              </w:rPr>
              <w:t>Change in haemodynamic parameters from baseline</w:t>
            </w:r>
          </w:p>
        </w:tc>
        <w:tc>
          <w:tcPr>
            <w:tcW w:w="1275" w:type="dxa"/>
          </w:tcPr>
          <w:p w:rsidR="0075777C" w:rsidRPr="001B552D" w:rsidRDefault="0075777C" w:rsidP="00805885">
            <w:pPr>
              <w:pStyle w:val="Tabletext"/>
              <w:rPr>
                <w:rFonts w:cs="Arial"/>
              </w:rPr>
            </w:pPr>
            <w:r w:rsidRPr="001B552D">
              <w:rPr>
                <w:rFonts w:cs="Arial"/>
              </w:rPr>
              <w:t>N=</w:t>
            </w:r>
            <w:r w:rsidR="001B552D" w:rsidRPr="001B552D">
              <w:rPr>
                <w:rFonts w:cs="Arial"/>
              </w:rPr>
              <w:t>2</w:t>
            </w:r>
            <w:r w:rsidRPr="001B552D">
              <w:rPr>
                <w:rFonts w:cs="Arial"/>
              </w:rPr>
              <w:t>6</w:t>
            </w:r>
            <w:r w:rsidR="001B552D" w:rsidRPr="001B552D">
              <w:rPr>
                <w:rFonts w:cs="Arial"/>
              </w:rPr>
              <w:t>5</w:t>
            </w:r>
          </w:p>
          <w:p w:rsidR="0075777C" w:rsidRPr="001B552D" w:rsidRDefault="001B552D" w:rsidP="00805885">
            <w:pPr>
              <w:pStyle w:val="Tabletext"/>
              <w:rPr>
                <w:rFonts w:cs="Arial"/>
              </w:rPr>
            </w:pPr>
            <w:r w:rsidRPr="001B552D">
              <w:rPr>
                <w:rFonts w:cs="Arial"/>
              </w:rPr>
              <w:t>k=1</w:t>
            </w:r>
            <w:r w:rsidR="0075777C" w:rsidRPr="001B552D">
              <w:rPr>
                <w:rFonts w:cs="Arial"/>
              </w:rPr>
              <w:t xml:space="preserve"> RCT</w:t>
            </w:r>
          </w:p>
        </w:tc>
        <w:tc>
          <w:tcPr>
            <w:tcW w:w="1701" w:type="dxa"/>
          </w:tcPr>
          <w:p w:rsidR="0075777C" w:rsidRPr="001B552D" w:rsidRDefault="0075777C" w:rsidP="00805885">
            <w:pPr>
              <w:pStyle w:val="Tabletext"/>
              <w:rPr>
                <w:rFonts w:cs="Arial"/>
              </w:rPr>
            </w:pPr>
            <w:r w:rsidRPr="001B552D">
              <w:rPr>
                <w:rFonts w:cs="Arial"/>
              </w:rPr>
              <w:t>Risk of bias: 0</w:t>
            </w:r>
          </w:p>
          <w:p w:rsidR="0075777C" w:rsidRPr="001B552D" w:rsidRDefault="0075777C" w:rsidP="00805885">
            <w:pPr>
              <w:pStyle w:val="Tabletext"/>
              <w:rPr>
                <w:rFonts w:cs="Arial"/>
              </w:rPr>
            </w:pPr>
            <w:r w:rsidRPr="001B552D">
              <w:rPr>
                <w:rFonts w:cs="Arial"/>
              </w:rPr>
              <w:t>Inconsistency: 0</w:t>
            </w:r>
          </w:p>
          <w:p w:rsidR="0075777C" w:rsidRPr="001B552D" w:rsidRDefault="0075777C" w:rsidP="00805885">
            <w:pPr>
              <w:pStyle w:val="Tabletext"/>
              <w:rPr>
                <w:rFonts w:cs="Arial"/>
              </w:rPr>
            </w:pPr>
            <w:r w:rsidRPr="001B552D">
              <w:rPr>
                <w:rFonts w:cs="Arial"/>
              </w:rPr>
              <w:t xml:space="preserve">Indirectness: </w:t>
            </w:r>
            <w:r w:rsidR="00B47224">
              <w:rPr>
                <w:rFonts w:cs="Arial"/>
              </w:rPr>
              <w:t>−2</w:t>
            </w:r>
          </w:p>
          <w:p w:rsidR="0075777C" w:rsidRPr="001B552D" w:rsidRDefault="0075777C" w:rsidP="00805885">
            <w:pPr>
              <w:pStyle w:val="Tabletext"/>
              <w:rPr>
                <w:rFonts w:cs="Arial"/>
              </w:rPr>
            </w:pPr>
            <w:r w:rsidRPr="001B552D">
              <w:rPr>
                <w:rFonts w:cs="Arial"/>
              </w:rPr>
              <w:t>Imprecision: 0</w:t>
            </w:r>
          </w:p>
          <w:p w:rsidR="0075777C" w:rsidRPr="001B552D" w:rsidRDefault="0075777C" w:rsidP="00805885">
            <w:pPr>
              <w:pStyle w:val="Tabletext"/>
              <w:rPr>
                <w:rFonts w:cs="Arial"/>
              </w:rPr>
            </w:pPr>
            <w:r w:rsidRPr="001B552D">
              <w:rPr>
                <w:rFonts w:cs="Arial"/>
              </w:rPr>
              <w:t>Publication bias: 0</w:t>
            </w:r>
          </w:p>
          <w:p w:rsidR="0075777C" w:rsidRPr="001B552D" w:rsidRDefault="0075777C" w:rsidP="00805885">
            <w:pPr>
              <w:pStyle w:val="Tabletext"/>
              <w:rPr>
                <w:rFonts w:cs="Arial"/>
              </w:rPr>
            </w:pPr>
            <w:r w:rsidRPr="001B552D">
              <w:rPr>
                <w:rFonts w:cs="Arial"/>
              </w:rPr>
              <w:t>Association: 0</w:t>
            </w:r>
            <w:r w:rsidR="00310F4A">
              <w:rPr>
                <w:rFonts w:cs="Arial"/>
              </w:rPr>
              <w:t xml:space="preserve"> to +1</w:t>
            </w:r>
          </w:p>
        </w:tc>
        <w:tc>
          <w:tcPr>
            <w:tcW w:w="1418" w:type="dxa"/>
          </w:tcPr>
          <w:p w:rsidR="0075777C" w:rsidRPr="001B552D" w:rsidRDefault="0075777C" w:rsidP="00805885">
            <w:pPr>
              <w:pStyle w:val="Tabletext"/>
            </w:pPr>
            <w:r w:rsidRPr="001B552D">
              <w:t>PVR</w:t>
            </w:r>
            <w:r w:rsidRPr="001B552D">
              <w:br/>
              <w:t>MD = 20.8% improvement</w:t>
            </w:r>
          </w:p>
          <w:p w:rsidR="0075777C" w:rsidRPr="001B552D" w:rsidRDefault="0075777C" w:rsidP="00805885">
            <w:pPr>
              <w:pStyle w:val="Tabletext"/>
            </w:pPr>
            <w:r w:rsidRPr="001B552D">
              <w:t>mPAP</w:t>
            </w:r>
            <w:r w:rsidRPr="001B552D">
              <w:br/>
              <w:t>MD = 7.5% improvement</w:t>
            </w:r>
          </w:p>
          <w:p w:rsidR="0075777C" w:rsidRPr="001B552D" w:rsidRDefault="0075777C" w:rsidP="00805885">
            <w:pPr>
              <w:pStyle w:val="Tabletext"/>
            </w:pPr>
            <w:r w:rsidRPr="001B552D">
              <w:t>mRAP</w:t>
            </w:r>
            <w:r w:rsidRPr="001B552D">
              <w:br/>
              <w:t>2.1 mmHg improvement</w:t>
            </w:r>
          </w:p>
        </w:tc>
        <w:tc>
          <w:tcPr>
            <w:tcW w:w="2551" w:type="dxa"/>
          </w:tcPr>
          <w:p w:rsidR="0075777C" w:rsidRPr="002812F2" w:rsidRDefault="0075777C" w:rsidP="00805885">
            <w:pPr>
              <w:pStyle w:val="Tabletext"/>
              <w:rPr>
                <w:rFonts w:cs="Arial"/>
              </w:rPr>
            </w:pPr>
            <w:r>
              <w:rPr>
                <w:rFonts w:cs="Arial"/>
              </w:rPr>
              <w:t>P</w:t>
            </w:r>
            <w:r w:rsidRPr="002812F2">
              <w:rPr>
                <w:rFonts w:cs="Arial"/>
              </w:rPr>
              <w:t xml:space="preserve">atients </w:t>
            </w:r>
            <w:r>
              <w:rPr>
                <w:rFonts w:cs="Arial"/>
              </w:rPr>
              <w:t>on combination therapy</w:t>
            </w:r>
            <w:r w:rsidRPr="002812F2">
              <w:rPr>
                <w:rFonts w:cs="Arial"/>
              </w:rPr>
              <w:t xml:space="preserve"> </w:t>
            </w:r>
            <w:r w:rsidRPr="004B26E4">
              <w:rPr>
                <w:rFonts w:cs="Arial"/>
              </w:rPr>
              <w:t>ha</w:t>
            </w:r>
            <w:r>
              <w:rPr>
                <w:rFonts w:cs="Arial"/>
              </w:rPr>
              <w:t>d</w:t>
            </w:r>
            <w:r w:rsidRPr="004B26E4">
              <w:rPr>
                <w:rFonts w:cs="Arial"/>
              </w:rPr>
              <w:t xml:space="preserve"> a larger </w:t>
            </w:r>
            <w:r>
              <w:rPr>
                <w:rFonts w:cs="Arial"/>
              </w:rPr>
              <w:t xml:space="preserve">mean </w:t>
            </w:r>
            <w:r w:rsidRPr="004B26E4">
              <w:rPr>
                <w:rFonts w:cs="Arial"/>
              </w:rPr>
              <w:t xml:space="preserve">improvement in their </w:t>
            </w:r>
            <w:r>
              <w:rPr>
                <w:rFonts w:cs="Arial"/>
              </w:rPr>
              <w:t>haemodynamic parameters compared with</w:t>
            </w:r>
            <w:r w:rsidRPr="002812F2">
              <w:rPr>
                <w:rFonts w:cs="Arial"/>
              </w:rPr>
              <w:t xml:space="preserve"> those </w:t>
            </w:r>
            <w:r>
              <w:rPr>
                <w:rFonts w:cs="Arial"/>
              </w:rPr>
              <w:t>on monotherapy</w:t>
            </w:r>
            <w:r w:rsidR="00B97B32" w:rsidRPr="00B97B32">
              <w:rPr>
                <w:rFonts w:cs="Arial"/>
              </w:rPr>
              <w:t xml:space="preserve"> and this improvement may be clinically important </w:t>
            </w:r>
            <w:r w:rsidR="00B97B32">
              <w:rPr>
                <w:rFonts w:cs="Arial"/>
              </w:rPr>
              <w:t xml:space="preserve">for </w:t>
            </w:r>
            <w:r w:rsidR="00B97B32" w:rsidRPr="00B97B32">
              <w:rPr>
                <w:rFonts w:cs="Arial"/>
              </w:rPr>
              <w:t>PVR and mRAP</w:t>
            </w:r>
          </w:p>
        </w:tc>
        <w:tc>
          <w:tcPr>
            <w:tcW w:w="1134" w:type="dxa"/>
          </w:tcPr>
          <w:p w:rsidR="0075777C" w:rsidRPr="006316DF" w:rsidRDefault="00B47224" w:rsidP="00805885">
            <w:pPr>
              <w:pStyle w:val="Tabletext"/>
              <w:rPr>
                <w:rFonts w:cs="Arial"/>
              </w:rPr>
            </w:pPr>
            <w:r>
              <w:rPr>
                <w:rFonts w:cs="Arial"/>
              </w:rPr>
              <w:t>Low</w:t>
            </w:r>
          </w:p>
          <w:p w:rsidR="0075777C" w:rsidRPr="006316DF" w:rsidRDefault="0075777C" w:rsidP="00805885">
            <w:pPr>
              <w:pStyle w:val="Tabletext"/>
              <w:rPr>
                <w:rFonts w:cs="Cambria Math"/>
                <w:bCs/>
              </w:rPr>
            </w:pPr>
            <w:r w:rsidRPr="006316DF">
              <w:rPr>
                <w:rFonts w:ascii="Cambria Math" w:hAnsi="Cambria Math" w:cs="Cambria Math"/>
                <w:bCs/>
                <w:color w:val="00B050"/>
              </w:rPr>
              <w:t>⨁⨁</w:t>
            </w:r>
            <w:r w:rsidR="00B47224" w:rsidRPr="006316DF">
              <w:rPr>
                <w:rFonts w:ascii="Cambria Math" w:hAnsi="Cambria Math" w:cs="Cambria Math"/>
                <w:color w:val="C00000"/>
              </w:rPr>
              <w:t>⨀⨀</w:t>
            </w:r>
          </w:p>
          <w:p w:rsidR="0075777C" w:rsidRPr="006316DF" w:rsidRDefault="00805885" w:rsidP="00805885">
            <w:pPr>
              <w:pStyle w:val="Tabletext"/>
              <w:rPr>
                <w:rFonts w:cs="Arial"/>
              </w:rPr>
            </w:pPr>
            <w:r>
              <w:rPr>
                <w:rFonts w:cs="Arial"/>
              </w:rPr>
              <w:t>Not i</w:t>
            </w:r>
            <w:r w:rsidR="0075777C" w:rsidRPr="006316DF">
              <w:rPr>
                <w:rFonts w:cs="Arial"/>
              </w:rPr>
              <w:t>mportant</w:t>
            </w:r>
          </w:p>
        </w:tc>
      </w:tr>
    </w:tbl>
    <w:p w:rsidR="0075777C" w:rsidRPr="006316DF" w:rsidRDefault="0075777C" w:rsidP="00805885">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805885">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75777C" w:rsidRPr="006316DF" w:rsidRDefault="0075777C" w:rsidP="00805885">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C95108" w:rsidRPr="006316DF" w:rsidRDefault="00C95108" w:rsidP="00C95108">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F24B06" w:rsidRDefault="0075777C" w:rsidP="00B21201">
      <w:pPr>
        <w:pStyle w:val="Tablenote"/>
        <w:tabs>
          <w:tab w:val="left" w:pos="2410"/>
        </w:tabs>
      </w:pPr>
      <w:r>
        <w:t xml:space="preserve">6MWD = 6-minute </w:t>
      </w:r>
      <w:r w:rsidR="0082368E">
        <w:t>walk distance</w:t>
      </w:r>
      <w:r w:rsidR="00B21201">
        <w:t>; ARD</w:t>
      </w:r>
      <w:r>
        <w:t xml:space="preserve"> = absolute risk </w:t>
      </w:r>
      <w:r w:rsidR="00B21201">
        <w:t>difference</w:t>
      </w:r>
      <w:r>
        <w:t xml:space="preserve">; CI = confidence interval; </w:t>
      </w:r>
      <w:r w:rsidR="00385E5A">
        <w:t>GRADE = grading of recommendations assessment, development and evaluation</w:t>
      </w:r>
      <w:r w:rsidR="001D34EE" w:rsidRPr="001D34EE">
        <w:rPr>
          <w:noProof/>
          <w:vertAlign w:val="superscript"/>
        </w:rPr>
        <w:t>1</w:t>
      </w:r>
      <w:r w:rsidR="00F24B06" w:rsidRPr="00F24B06">
        <w:t xml:space="preserve">; k = number of studies; </w:t>
      </w:r>
      <w:r>
        <w:t>MD = mean difference</w:t>
      </w:r>
      <w:r w:rsidR="00214AC1">
        <w:t>; mPAP = mean pulmonary artery</w:t>
      </w:r>
      <w:r>
        <w:t xml:space="preserve"> pressure; mRAP = mean right atrial pressure; N = number of patients; </w:t>
      </w:r>
      <w:r w:rsidRPr="00C65B42">
        <w:t xml:space="preserve">PAH = pulmonary arterial hypertension; </w:t>
      </w:r>
      <w:r w:rsidRPr="009B5AB3">
        <w:t>PDE-5 = phosphodiesterase type-5</w:t>
      </w:r>
      <w:r>
        <w:t>;</w:t>
      </w:r>
      <w:r w:rsidRPr="009B5AB3">
        <w:t xml:space="preserve"> </w:t>
      </w:r>
      <w:r w:rsidRPr="009123E2">
        <w:t>PVR</w:t>
      </w:r>
      <w:r>
        <w:t xml:space="preserve"> = p</w:t>
      </w:r>
      <w:r w:rsidRPr="009123E2">
        <w:t xml:space="preserve">ulmonary </w:t>
      </w:r>
      <w:r>
        <w:t>v</w:t>
      </w:r>
      <w:r w:rsidRPr="009123E2">
        <w:t xml:space="preserve">ascular </w:t>
      </w:r>
      <w:r>
        <w:t>r</w:t>
      </w:r>
      <w:r w:rsidRPr="009123E2">
        <w:t>esistance</w:t>
      </w:r>
      <w:r>
        <w:t>; RCT = randomised controlled trial; RR = relative risk</w:t>
      </w:r>
    </w:p>
    <w:p w:rsidR="0075777C" w:rsidRPr="006316DF" w:rsidRDefault="0075777C" w:rsidP="0075777C">
      <w:pPr>
        <w:pStyle w:val="Heading5"/>
      </w:pPr>
      <w:r w:rsidRPr="006316DF">
        <w:t>Safety</w:t>
      </w:r>
    </w:p>
    <w:p w:rsidR="0075777C"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w:t>
      </w:r>
      <w:r>
        <w:t>safety</w:t>
      </w:r>
      <w:r w:rsidRPr="006316DF">
        <w:t xml:space="preserve"> outco</w:t>
      </w:r>
      <w:r>
        <w:t>mes when comparing a</w:t>
      </w:r>
      <w:r w:rsidRPr="006316DF">
        <w:t xml:space="preserve"> </w:t>
      </w:r>
      <w:r w:rsidRPr="00BB3BB5">
        <w:t>PDE-5 inhibitor</w:t>
      </w:r>
      <w:r w:rsidRPr="006316DF">
        <w:t xml:space="preserve"> </w:t>
      </w:r>
      <w:r w:rsidRPr="00BB3BB5">
        <w:t>in addition to</w:t>
      </w:r>
      <w:r w:rsidRPr="00AD232F">
        <w:t xml:space="preserve"> </w:t>
      </w:r>
      <w:r w:rsidR="00976CAA">
        <w:t>a prostanoid</w:t>
      </w:r>
      <w:r w:rsidRPr="00BB3BB5">
        <w:t xml:space="preserve">, relative to </w:t>
      </w:r>
      <w:r w:rsidR="00976CAA">
        <w:t>prostanoid</w:t>
      </w:r>
      <w:r w:rsidRPr="00BB3BB5">
        <w:t xml:space="preserve"> monotherapy </w:t>
      </w:r>
      <w:proofErr w:type="gramStart"/>
      <w:r w:rsidRPr="006316DF">
        <w:t>are reported</w:t>
      </w:r>
      <w:proofErr w:type="gramEnd"/>
      <w:r w:rsidRPr="006316DF">
        <w:t xml:space="preserve"> in</w:t>
      </w:r>
      <w:r>
        <w:t xml:space="preserve"> </w:t>
      </w:r>
      <w:r w:rsidR="003951FA">
        <w:t>Table 4.</w:t>
      </w:r>
      <w:r w:rsidR="003951FA">
        <w:rPr>
          <w:noProof/>
        </w:rPr>
        <w:t>162</w:t>
      </w:r>
      <w:r>
        <w:t xml:space="preserve"> i</w:t>
      </w:r>
      <w:r w:rsidRPr="006316DF">
        <w:t xml:space="preserve">n Appendix </w:t>
      </w:r>
      <w:r w:rsidR="00DA2636">
        <w:t>4</w:t>
      </w:r>
      <w:r w:rsidR="001B552D">
        <w:t>C</w:t>
      </w:r>
      <w:r>
        <w:t xml:space="preserve">. </w:t>
      </w:r>
      <w:r w:rsidRPr="006316DF">
        <w:t xml:space="preserve">The evidence for the </w:t>
      </w:r>
      <w:r>
        <w:t xml:space="preserve">safety </w:t>
      </w:r>
      <w:r w:rsidRPr="006316DF">
        <w:t xml:space="preserve">outcomes </w:t>
      </w:r>
      <w:r>
        <w:t xml:space="preserve">for all PAH patients is summarised </w:t>
      </w:r>
      <w:r w:rsidRPr="006316DF">
        <w:t>in</w:t>
      </w:r>
      <w:r>
        <w:t xml:space="preserve"> </w:t>
      </w:r>
      <w:r w:rsidR="003951FA">
        <w:t>Table 4.</w:t>
      </w:r>
      <w:r w:rsidR="003951FA">
        <w:rPr>
          <w:noProof/>
        </w:rPr>
        <w:t>136</w:t>
      </w:r>
      <w:r>
        <w:t xml:space="preserve">. </w:t>
      </w:r>
      <w:r w:rsidR="00E20AB7">
        <w:t>There were no new safety signal identified.</w:t>
      </w:r>
    </w:p>
    <w:p w:rsidR="0075777C" w:rsidRPr="008727D6" w:rsidRDefault="0075777C" w:rsidP="0075777C">
      <w:r>
        <w:t xml:space="preserve">All outcomes </w:t>
      </w:r>
      <w:proofErr w:type="gramStart"/>
      <w:r>
        <w:t xml:space="preserve">were </w:t>
      </w:r>
      <w:r w:rsidRPr="006316DF">
        <w:t>considered</w:t>
      </w:r>
      <w:proofErr w:type="gramEnd"/>
      <w:r w:rsidRPr="006316DF">
        <w:t xml:space="preserve"> to be of </w:t>
      </w:r>
      <w:r>
        <w:t>high</w:t>
      </w:r>
      <w:r w:rsidRPr="006316DF">
        <w:t xml:space="preserve"> quality (GRADE </w:t>
      </w:r>
      <w:r w:rsidRPr="00920393">
        <w:rPr>
          <w:rFonts w:ascii="Cambria Math" w:eastAsia="Times New Roman" w:hAnsi="Cambria Math" w:cs="Tahoma"/>
          <w:bCs/>
          <w:color w:val="00B050"/>
        </w:rPr>
        <w:t>⨁⨁⨁⨁</w:t>
      </w:r>
      <w:r w:rsidRPr="008727D6">
        <w:t xml:space="preserve">). Patients were just as likely to experience any AE after starting combination therapy as they were on monotherapy. Patients on combination therapy were less likely to have a serious AE and more likely to have an AE that would lead to treatment discontinuation compared with those on monotherapy, but the </w:t>
      </w:r>
      <w:r w:rsidR="00D84687">
        <w:t>95% CI indicates</w:t>
      </w:r>
      <w:r w:rsidRPr="008727D6">
        <w:t xml:space="preserve"> that there could also be no or the opposite effect.</w:t>
      </w:r>
    </w:p>
    <w:p w:rsidR="0075777C" w:rsidRDefault="0075777C" w:rsidP="0075777C">
      <w:r w:rsidRPr="006316DF">
        <w:t>Th</w:t>
      </w:r>
      <w:r w:rsidR="001E5DED">
        <w:t xml:space="preserve">us, </w:t>
      </w:r>
      <w:r w:rsidR="001E5DED" w:rsidRPr="001E5DED">
        <w:t xml:space="preserve">the use of a PDE-5 inhibitor in addition to a prostanoid is likely to be </w:t>
      </w:r>
      <w:r w:rsidR="009C65FF">
        <w:t>non-inferior to</w:t>
      </w:r>
      <w:r w:rsidR="001E5DED" w:rsidRPr="001E5DED">
        <w:t xml:space="preserve"> prostanoid monotherapy </w:t>
      </w:r>
      <w:r w:rsidR="009C65FF">
        <w:t xml:space="preserve">in term of safety </w:t>
      </w:r>
      <w:r w:rsidR="001E5DED" w:rsidRPr="001E5DED">
        <w:t>when treating PAH patients</w:t>
      </w:r>
      <w:r w:rsidR="002856B6">
        <w:t>.</w:t>
      </w:r>
    </w:p>
    <w:p w:rsidR="00A73209" w:rsidRDefault="00A73209">
      <w:pPr>
        <w:spacing w:before="0" w:line="240" w:lineRule="auto"/>
        <w:rPr>
          <w:b/>
          <w:iCs/>
          <w:szCs w:val="18"/>
        </w:rPr>
      </w:pPr>
      <w:bookmarkStart w:id="379" w:name="_Ref505862025"/>
      <w:bookmarkStart w:id="380" w:name="_Toc38360433"/>
      <w:r>
        <w:br w:type="page"/>
      </w:r>
    </w:p>
    <w:p w:rsidR="0075777C" w:rsidRPr="006316DF" w:rsidRDefault="00272F8F" w:rsidP="00BC5A2B">
      <w:pPr>
        <w:pStyle w:val="Caption"/>
      </w:pPr>
      <w:r>
        <w:t>Table 4.</w:t>
      </w:r>
      <w:r w:rsidR="003951FA">
        <w:rPr>
          <w:noProof/>
        </w:rPr>
        <w:t>136</w:t>
      </w:r>
      <w:bookmarkEnd w:id="379"/>
      <w:r w:rsidR="008727D6">
        <w:tab/>
      </w:r>
      <w:r w:rsidR="0075777C" w:rsidRPr="006316DF">
        <w:t xml:space="preserve">Balance of clinical harms of </w:t>
      </w:r>
      <w:r w:rsidR="001B552D">
        <w:t xml:space="preserve">a </w:t>
      </w:r>
      <w:r w:rsidR="0075777C" w:rsidRPr="006C4A08">
        <w:t xml:space="preserve">PDE-5 inhibitor in addition to </w:t>
      </w:r>
      <w:r w:rsidR="001B552D">
        <w:t xml:space="preserve">a </w:t>
      </w:r>
      <w:r w:rsidR="00805885" w:rsidRPr="006C4A08">
        <w:t>prostanoid</w:t>
      </w:r>
      <w:r w:rsidR="0075777C" w:rsidRPr="006C4A08">
        <w:t xml:space="preserve">, relative to </w:t>
      </w:r>
      <w:r w:rsidR="00805885" w:rsidRPr="006C4A08">
        <w:t>prostanoid</w:t>
      </w:r>
      <w:r w:rsidR="0075777C" w:rsidRPr="006C4A08">
        <w:t xml:space="preserve"> </w:t>
      </w:r>
      <w:r w:rsidR="0075777C" w:rsidRPr="004A69F0">
        <w:t>monotherapy</w:t>
      </w:r>
      <w:r w:rsidR="0075777C">
        <w:t xml:space="preserve"> in all patients with PAH</w:t>
      </w:r>
      <w:bookmarkEnd w:id="380"/>
    </w:p>
    <w:tbl>
      <w:tblPr>
        <w:tblStyle w:val="TableGrid"/>
        <w:tblW w:w="9639" w:type="dxa"/>
        <w:tblLayout w:type="fixed"/>
        <w:tblLook w:val="04A0" w:firstRow="1" w:lastRow="0" w:firstColumn="1" w:lastColumn="0" w:noHBand="0" w:noVBand="1"/>
        <w:tblCaption w:val="Balance of clinical harms of a PDE-5 inhibitor in addition to a prostanoid, relative to prostanoid monotherapy in all patients with PAH"/>
      </w:tblPr>
      <w:tblGrid>
        <w:gridCol w:w="1560"/>
        <w:gridCol w:w="1275"/>
        <w:gridCol w:w="1701"/>
        <w:gridCol w:w="1418"/>
        <w:gridCol w:w="2551"/>
        <w:gridCol w:w="1134"/>
      </w:tblGrid>
      <w:tr w:rsidR="0075777C" w:rsidRPr="00805885" w:rsidTr="0080588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805885" w:rsidRDefault="0075777C" w:rsidP="00805885">
            <w:pPr>
              <w:pStyle w:val="Tabletext"/>
              <w:rPr>
                <w:b/>
                <w:noProof/>
              </w:rPr>
            </w:pPr>
            <w:r w:rsidRPr="00805885">
              <w:rPr>
                <w:b/>
                <w:noProof/>
              </w:rPr>
              <w:t xml:space="preserve">Outcomes </w:t>
            </w:r>
          </w:p>
        </w:tc>
        <w:tc>
          <w:tcPr>
            <w:tcW w:w="1275" w:type="dxa"/>
          </w:tcPr>
          <w:p w:rsidR="0075777C" w:rsidRPr="00805885" w:rsidRDefault="0075777C" w:rsidP="00805885">
            <w:pPr>
              <w:pStyle w:val="Tabletext"/>
              <w:rPr>
                <w:b/>
                <w:noProof/>
              </w:rPr>
            </w:pPr>
            <w:r w:rsidRPr="00805885">
              <w:rPr>
                <w:b/>
                <w:noProof/>
              </w:rPr>
              <w:t>Participants (studies)</w:t>
            </w:r>
          </w:p>
        </w:tc>
        <w:tc>
          <w:tcPr>
            <w:tcW w:w="1701" w:type="dxa"/>
          </w:tcPr>
          <w:p w:rsidR="0075777C" w:rsidRPr="00805885" w:rsidRDefault="0075777C" w:rsidP="00805885">
            <w:pPr>
              <w:pStyle w:val="Tabletext"/>
              <w:rPr>
                <w:b/>
                <w:noProof/>
              </w:rPr>
            </w:pPr>
            <w:r w:rsidRPr="00805885">
              <w:rPr>
                <w:b/>
                <w:noProof/>
              </w:rPr>
              <w:t>Quality of evidence</w:t>
            </w:r>
          </w:p>
        </w:tc>
        <w:tc>
          <w:tcPr>
            <w:tcW w:w="1418" w:type="dxa"/>
          </w:tcPr>
          <w:p w:rsidR="0075777C" w:rsidRPr="00805885" w:rsidRDefault="0075777C" w:rsidP="00805885">
            <w:pPr>
              <w:pStyle w:val="Tabletext"/>
              <w:rPr>
                <w:b/>
                <w:noProof/>
              </w:rPr>
            </w:pPr>
            <w:r w:rsidRPr="00805885">
              <w:rPr>
                <w:b/>
                <w:noProof/>
              </w:rPr>
              <w:t>Results</w:t>
            </w:r>
          </w:p>
        </w:tc>
        <w:tc>
          <w:tcPr>
            <w:tcW w:w="2551" w:type="dxa"/>
          </w:tcPr>
          <w:p w:rsidR="0075777C" w:rsidRPr="00805885" w:rsidRDefault="0075777C" w:rsidP="00805885">
            <w:pPr>
              <w:pStyle w:val="Tabletext"/>
              <w:rPr>
                <w:b/>
                <w:noProof/>
              </w:rPr>
            </w:pPr>
            <w:r w:rsidRPr="00805885">
              <w:rPr>
                <w:b/>
                <w:noProof/>
              </w:rPr>
              <w:t>Interpretation</w:t>
            </w:r>
          </w:p>
        </w:tc>
        <w:tc>
          <w:tcPr>
            <w:tcW w:w="1134" w:type="dxa"/>
          </w:tcPr>
          <w:p w:rsidR="0075777C" w:rsidRPr="00805885" w:rsidRDefault="0075777C" w:rsidP="00805885">
            <w:pPr>
              <w:pStyle w:val="Tabletext"/>
              <w:rPr>
                <w:b/>
                <w:noProof/>
              </w:rPr>
            </w:pPr>
            <w:r w:rsidRPr="00805885">
              <w:rPr>
                <w:b/>
                <w:noProof/>
              </w:rPr>
              <w:t>GRADE</w:t>
            </w:r>
            <w:r w:rsidR="007446CB" w:rsidRPr="007446CB">
              <w:rPr>
                <w:b/>
                <w:noProof/>
                <w:vertAlign w:val="superscript"/>
              </w:rPr>
              <w:t>a</w:t>
            </w:r>
          </w:p>
          <w:p w:rsidR="0075777C" w:rsidRPr="00805885" w:rsidRDefault="0075777C" w:rsidP="00805885">
            <w:pPr>
              <w:pStyle w:val="Tabletext"/>
              <w:rPr>
                <w:b/>
                <w:noProof/>
              </w:rPr>
            </w:pPr>
            <w:r w:rsidRPr="00805885">
              <w:rPr>
                <w:b/>
                <w:noProof/>
              </w:rPr>
              <w:t>Importance</w:t>
            </w:r>
          </w:p>
        </w:tc>
      </w:tr>
      <w:tr w:rsidR="0075777C" w:rsidRPr="006316DF" w:rsidTr="00805885">
        <w:tc>
          <w:tcPr>
            <w:tcW w:w="1560" w:type="dxa"/>
          </w:tcPr>
          <w:p w:rsidR="0075777C" w:rsidRPr="006316DF" w:rsidRDefault="0075777C" w:rsidP="00805885">
            <w:pPr>
              <w:pStyle w:val="Tabletext"/>
              <w:rPr>
                <w:rFonts w:cs="Arial"/>
              </w:rPr>
            </w:pPr>
            <w:r>
              <w:rPr>
                <w:rFonts w:cs="Arial"/>
              </w:rPr>
              <w:t>Any AE</w:t>
            </w:r>
            <w:r w:rsidRPr="006316DF">
              <w:rPr>
                <w:rFonts w:cs="Arial"/>
              </w:rPr>
              <w:t xml:space="preserve"> </w:t>
            </w:r>
          </w:p>
        </w:tc>
        <w:tc>
          <w:tcPr>
            <w:tcW w:w="1275" w:type="dxa"/>
          </w:tcPr>
          <w:p w:rsidR="0075777C" w:rsidRPr="006316DF" w:rsidRDefault="0075777C" w:rsidP="00805885">
            <w:pPr>
              <w:pStyle w:val="Tabletext"/>
              <w:rPr>
                <w:rFonts w:cs="Arial"/>
              </w:rPr>
            </w:pPr>
            <w:r>
              <w:rPr>
                <w:rFonts w:cs="Arial"/>
              </w:rPr>
              <w:t>N=265</w:t>
            </w:r>
          </w:p>
          <w:p w:rsidR="0075777C" w:rsidRPr="006316DF" w:rsidRDefault="0075777C" w:rsidP="00805885">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805885">
            <w:pPr>
              <w:pStyle w:val="Tabletext"/>
              <w:rPr>
                <w:rFonts w:cs="Arial"/>
              </w:rPr>
            </w:pPr>
            <w:r>
              <w:rPr>
                <w:rFonts w:cs="Arial"/>
              </w:rPr>
              <w:t>Risk of bias: 0</w:t>
            </w:r>
          </w:p>
          <w:p w:rsidR="0075777C" w:rsidRPr="006316DF" w:rsidRDefault="0075777C" w:rsidP="00805885">
            <w:pPr>
              <w:pStyle w:val="Tabletext"/>
              <w:rPr>
                <w:rFonts w:cs="Arial"/>
              </w:rPr>
            </w:pPr>
            <w:r w:rsidRPr="006316DF">
              <w:rPr>
                <w:rFonts w:cs="Arial"/>
              </w:rPr>
              <w:t>Inconsistency: 0</w:t>
            </w:r>
          </w:p>
          <w:p w:rsidR="0075777C" w:rsidRPr="006316DF" w:rsidRDefault="0075777C" w:rsidP="00805885">
            <w:pPr>
              <w:pStyle w:val="Tabletext"/>
              <w:rPr>
                <w:rFonts w:cs="Arial"/>
              </w:rPr>
            </w:pPr>
            <w:r w:rsidRPr="006316DF">
              <w:rPr>
                <w:rFonts w:cs="Arial"/>
              </w:rPr>
              <w:t>Indirectness: 0</w:t>
            </w:r>
          </w:p>
          <w:p w:rsidR="0075777C" w:rsidRDefault="0075777C" w:rsidP="00805885">
            <w:pPr>
              <w:pStyle w:val="Tabletext"/>
              <w:rPr>
                <w:rFonts w:cs="Arial"/>
              </w:rPr>
            </w:pPr>
            <w:r w:rsidRPr="006316DF">
              <w:rPr>
                <w:rFonts w:cs="Arial"/>
              </w:rPr>
              <w:t>Imprecision: 0</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0</w:t>
            </w:r>
          </w:p>
        </w:tc>
        <w:tc>
          <w:tcPr>
            <w:tcW w:w="1418" w:type="dxa"/>
          </w:tcPr>
          <w:p w:rsidR="0075777C" w:rsidRPr="000E45D6" w:rsidRDefault="0075777C" w:rsidP="00805885">
            <w:pPr>
              <w:pStyle w:val="Tabletext"/>
              <w:rPr>
                <w:rFonts w:cs="Arial"/>
              </w:rPr>
            </w:pPr>
            <w:r w:rsidRPr="00AC54F2">
              <w:t xml:space="preserve">RR </w:t>
            </w:r>
            <w:r>
              <w:t xml:space="preserve">= </w:t>
            </w:r>
            <w:r w:rsidRPr="00AC54F2">
              <w:t>0.95</w:t>
            </w:r>
            <w:r>
              <w:t xml:space="preserve"> </w:t>
            </w:r>
            <w:r w:rsidRPr="00AC54F2">
              <w:t>(</w:t>
            </w:r>
            <w:r>
              <w:t xml:space="preserve">95% CI </w:t>
            </w:r>
            <w:r w:rsidRPr="00AC54F2">
              <w:t>0.90</w:t>
            </w:r>
            <w:r>
              <w:t>,</w:t>
            </w:r>
            <w:r w:rsidRPr="00AC54F2">
              <w:t xml:space="preserve"> 1.00)</w:t>
            </w:r>
          </w:p>
        </w:tc>
        <w:tc>
          <w:tcPr>
            <w:tcW w:w="2551" w:type="dxa"/>
          </w:tcPr>
          <w:p w:rsidR="0075777C" w:rsidRPr="000E45D6" w:rsidRDefault="0075777C" w:rsidP="00805885">
            <w:pPr>
              <w:pStyle w:val="Tabletext"/>
              <w:rPr>
                <w:rFonts w:cs="Arial"/>
              </w:rPr>
            </w:pPr>
            <w:r>
              <w:rPr>
                <w:rFonts w:cs="Arial"/>
              </w:rPr>
              <w:t>T</w:t>
            </w:r>
            <w:r w:rsidRPr="000E45D6">
              <w:rPr>
                <w:rFonts w:cs="Arial"/>
              </w:rPr>
              <w:t xml:space="preserve">he </w:t>
            </w:r>
            <w:r>
              <w:rPr>
                <w:rFonts w:cs="Arial"/>
              </w:rPr>
              <w:t>proportion</w:t>
            </w:r>
            <w:r w:rsidRPr="000E45D6">
              <w:rPr>
                <w:rFonts w:cs="Arial"/>
              </w:rPr>
              <w:t xml:space="preserve"> of patients </w:t>
            </w:r>
            <w:r>
              <w:rPr>
                <w:rFonts w:cs="Arial"/>
              </w:rPr>
              <w:t>who</w:t>
            </w:r>
            <w:r w:rsidRPr="000E45D6">
              <w:rPr>
                <w:rFonts w:cs="Arial"/>
              </w:rPr>
              <w:t xml:space="preserve"> experience</w:t>
            </w:r>
            <w:r>
              <w:rPr>
                <w:rFonts w:cs="Arial"/>
              </w:rPr>
              <w:t>d</w:t>
            </w:r>
            <w:r w:rsidRPr="000E45D6">
              <w:rPr>
                <w:rFonts w:cs="Arial"/>
              </w:rPr>
              <w:t xml:space="preserve"> </w:t>
            </w:r>
            <w:r>
              <w:rPr>
                <w:rFonts w:cs="Arial"/>
              </w:rPr>
              <w:t>an AE</w:t>
            </w:r>
            <w:r w:rsidRPr="000E45D6">
              <w:rPr>
                <w:rFonts w:cs="Arial"/>
              </w:rPr>
              <w:t xml:space="preserve"> </w:t>
            </w:r>
            <w:r>
              <w:rPr>
                <w:rFonts w:cs="Arial"/>
              </w:rPr>
              <w:t>with combination therapy was similar to the proportion on monotherapy</w:t>
            </w:r>
          </w:p>
        </w:tc>
        <w:tc>
          <w:tcPr>
            <w:tcW w:w="1134" w:type="dxa"/>
          </w:tcPr>
          <w:p w:rsidR="0075777C" w:rsidRPr="006316DF" w:rsidRDefault="0075777C" w:rsidP="00805885">
            <w:pPr>
              <w:pStyle w:val="Tabletext"/>
              <w:rPr>
                <w:rFonts w:cs="Arial"/>
              </w:rPr>
            </w:pPr>
            <w:r>
              <w:rPr>
                <w:rFonts w:cs="Arial"/>
              </w:rPr>
              <w:t>High</w:t>
            </w:r>
          </w:p>
          <w:p w:rsidR="0075777C" w:rsidRPr="006316DF" w:rsidRDefault="0075777C" w:rsidP="00805885">
            <w:pPr>
              <w:pStyle w:val="Tabletext"/>
              <w:rPr>
                <w:rFonts w:cs="Cambria Math"/>
                <w:bCs/>
              </w:rPr>
            </w:pPr>
            <w:r w:rsidRPr="006316DF">
              <w:rPr>
                <w:rFonts w:ascii="Cambria Math" w:hAnsi="Cambria Math" w:cs="Cambria Math"/>
                <w:bCs/>
                <w:color w:val="00B050"/>
              </w:rPr>
              <w:t>⨁⨁⨁⨁</w:t>
            </w:r>
          </w:p>
          <w:p w:rsidR="0075777C" w:rsidRPr="006316DF" w:rsidRDefault="0075777C" w:rsidP="00805885">
            <w:pPr>
              <w:pStyle w:val="Tabletext"/>
              <w:rPr>
                <w:rFonts w:cs="Arial"/>
              </w:rPr>
            </w:pPr>
            <w:r w:rsidRPr="006316DF">
              <w:rPr>
                <w:rFonts w:cs="Arial"/>
              </w:rPr>
              <w:t>Important</w:t>
            </w:r>
          </w:p>
        </w:tc>
      </w:tr>
      <w:tr w:rsidR="0075777C" w:rsidRPr="006316DF" w:rsidTr="00805885">
        <w:tc>
          <w:tcPr>
            <w:tcW w:w="1560" w:type="dxa"/>
          </w:tcPr>
          <w:p w:rsidR="0075777C" w:rsidRPr="006316DF" w:rsidRDefault="0075777C" w:rsidP="00805885">
            <w:pPr>
              <w:pStyle w:val="Tabletext"/>
              <w:rPr>
                <w:rFonts w:cs="Arial"/>
              </w:rPr>
            </w:pPr>
            <w:r>
              <w:rPr>
                <w:rFonts w:cs="Arial"/>
              </w:rPr>
              <w:t>Serious AEs</w:t>
            </w:r>
          </w:p>
        </w:tc>
        <w:tc>
          <w:tcPr>
            <w:tcW w:w="1275" w:type="dxa"/>
          </w:tcPr>
          <w:p w:rsidR="0075777C" w:rsidRPr="006316DF" w:rsidRDefault="0075777C" w:rsidP="00805885">
            <w:pPr>
              <w:pStyle w:val="Tabletext"/>
              <w:rPr>
                <w:rFonts w:cs="Arial"/>
              </w:rPr>
            </w:pPr>
            <w:r w:rsidRPr="006316DF">
              <w:rPr>
                <w:rFonts w:cs="Arial"/>
              </w:rPr>
              <w:t>N=</w:t>
            </w:r>
            <w:r>
              <w:rPr>
                <w:rFonts w:cs="Arial"/>
              </w:rPr>
              <w:t>26</w:t>
            </w:r>
            <w:r w:rsidRPr="006316DF">
              <w:rPr>
                <w:rFonts w:cs="Arial"/>
              </w:rPr>
              <w:t>5</w:t>
            </w:r>
          </w:p>
          <w:p w:rsidR="0075777C" w:rsidRPr="006316DF" w:rsidRDefault="0075777C" w:rsidP="00805885">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805885">
            <w:pPr>
              <w:pStyle w:val="Tabletext"/>
              <w:rPr>
                <w:rFonts w:cs="Arial"/>
              </w:rPr>
            </w:pPr>
            <w:r>
              <w:rPr>
                <w:rFonts w:cs="Arial"/>
              </w:rPr>
              <w:t>Risk of bias: 0</w:t>
            </w:r>
          </w:p>
          <w:p w:rsidR="0075777C" w:rsidRPr="006316DF" w:rsidRDefault="0075777C" w:rsidP="00805885">
            <w:pPr>
              <w:pStyle w:val="Tabletext"/>
              <w:rPr>
                <w:rFonts w:cs="Arial"/>
              </w:rPr>
            </w:pPr>
            <w:r w:rsidRPr="006316DF">
              <w:rPr>
                <w:rFonts w:cs="Arial"/>
              </w:rPr>
              <w:t>Inconsistency: 0</w:t>
            </w:r>
          </w:p>
          <w:p w:rsidR="0075777C" w:rsidRPr="006316DF" w:rsidRDefault="0075777C" w:rsidP="00805885">
            <w:pPr>
              <w:pStyle w:val="Tabletext"/>
              <w:rPr>
                <w:rFonts w:cs="Arial"/>
              </w:rPr>
            </w:pPr>
            <w:r w:rsidRPr="006316DF">
              <w:rPr>
                <w:rFonts w:cs="Arial"/>
              </w:rPr>
              <w:t>Indirectness: 0</w:t>
            </w:r>
          </w:p>
          <w:p w:rsidR="0075777C" w:rsidRDefault="0075777C" w:rsidP="00805885">
            <w:pPr>
              <w:pStyle w:val="Tabletext"/>
              <w:rPr>
                <w:rFonts w:cs="Arial"/>
              </w:rPr>
            </w:pPr>
            <w:r w:rsidRPr="006316DF">
              <w:rPr>
                <w:rFonts w:cs="Arial"/>
              </w:rPr>
              <w:t>Imprecision: 0</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0</w:t>
            </w:r>
          </w:p>
        </w:tc>
        <w:tc>
          <w:tcPr>
            <w:tcW w:w="1418" w:type="dxa"/>
          </w:tcPr>
          <w:p w:rsidR="0075777C" w:rsidRPr="000E45D6" w:rsidRDefault="0075777C" w:rsidP="00805885">
            <w:pPr>
              <w:pStyle w:val="Tabletext"/>
            </w:pPr>
            <w:r w:rsidRPr="00AC54F2">
              <w:t xml:space="preserve">RR </w:t>
            </w:r>
            <w:r>
              <w:t xml:space="preserve">= </w:t>
            </w:r>
            <w:r w:rsidRPr="00AC54F2">
              <w:t>0.73</w:t>
            </w:r>
            <w:r>
              <w:t xml:space="preserve"> </w:t>
            </w:r>
            <w:r w:rsidRPr="00AC54F2">
              <w:t>(</w:t>
            </w:r>
            <w:r>
              <w:t xml:space="preserve">95% CI </w:t>
            </w:r>
            <w:r w:rsidRPr="00AC54F2">
              <w:t>0.48</w:t>
            </w:r>
            <w:r>
              <w:t>,</w:t>
            </w:r>
            <w:r w:rsidRPr="00AC54F2">
              <w:t xml:space="preserve"> 1.10)</w:t>
            </w:r>
          </w:p>
        </w:tc>
        <w:tc>
          <w:tcPr>
            <w:tcW w:w="2551" w:type="dxa"/>
          </w:tcPr>
          <w:p w:rsidR="0075777C" w:rsidRPr="000E45D6" w:rsidRDefault="0075777C" w:rsidP="00805885">
            <w:pPr>
              <w:pStyle w:val="Tabletext"/>
            </w:pPr>
            <w:r>
              <w:rPr>
                <w:rFonts w:cs="Arial"/>
              </w:rPr>
              <w:t>F</w:t>
            </w:r>
            <w:r w:rsidRPr="000E45D6">
              <w:rPr>
                <w:rFonts w:cs="Arial"/>
              </w:rPr>
              <w:t xml:space="preserve">ewer patients </w:t>
            </w:r>
            <w:r>
              <w:rPr>
                <w:rFonts w:cs="Arial"/>
              </w:rPr>
              <w:t xml:space="preserve">experienced a serious AE </w:t>
            </w:r>
            <w:r w:rsidRPr="000E45D6">
              <w:rPr>
                <w:rFonts w:cs="Arial"/>
              </w:rPr>
              <w:t xml:space="preserve">with combination therapy compared with </w:t>
            </w:r>
            <w:r>
              <w:rPr>
                <w:rFonts w:cs="Arial"/>
              </w:rPr>
              <w:t>monotherapy,</w:t>
            </w:r>
            <w:r>
              <w:t xml:space="preserve"> </w:t>
            </w:r>
            <w:r w:rsidRPr="004B26E4">
              <w:rPr>
                <w:rFonts w:cs="Arial"/>
              </w:rPr>
              <w:t xml:space="preserve">but the </w:t>
            </w:r>
            <w:r w:rsidR="00D84687">
              <w:rPr>
                <w:rFonts w:cs="Arial"/>
              </w:rPr>
              <w:t>95% CI indicates</w:t>
            </w:r>
            <w:r w:rsidRPr="004B26E4">
              <w:rPr>
                <w:rFonts w:cs="Arial"/>
              </w:rPr>
              <w:t xml:space="preserve"> that there could also be </w:t>
            </w:r>
            <w:r>
              <w:rPr>
                <w:rFonts w:cs="Arial"/>
              </w:rPr>
              <w:t xml:space="preserve">no </w:t>
            </w:r>
            <w:r w:rsidR="00196DB5">
              <w:rPr>
                <w:rFonts w:cs="Arial"/>
              </w:rPr>
              <w:t xml:space="preserve">or the opposite </w:t>
            </w:r>
            <w:r>
              <w:rPr>
                <w:rFonts w:cs="Arial"/>
              </w:rPr>
              <w:t>effect.</w:t>
            </w:r>
          </w:p>
        </w:tc>
        <w:tc>
          <w:tcPr>
            <w:tcW w:w="1134" w:type="dxa"/>
          </w:tcPr>
          <w:p w:rsidR="0075777C" w:rsidRPr="006316DF" w:rsidRDefault="0075777C" w:rsidP="00805885">
            <w:pPr>
              <w:pStyle w:val="Tabletext"/>
              <w:rPr>
                <w:rFonts w:cs="Arial"/>
              </w:rPr>
            </w:pPr>
            <w:r>
              <w:rPr>
                <w:rFonts w:cs="Arial"/>
              </w:rPr>
              <w:t>High</w:t>
            </w:r>
          </w:p>
          <w:p w:rsidR="0075777C" w:rsidRPr="006316DF" w:rsidRDefault="0075777C" w:rsidP="00805885">
            <w:pPr>
              <w:pStyle w:val="Tabletext"/>
              <w:rPr>
                <w:rFonts w:cs="Cambria Math"/>
                <w:bCs/>
              </w:rPr>
            </w:pPr>
            <w:r w:rsidRPr="006316DF">
              <w:rPr>
                <w:rFonts w:ascii="Cambria Math" w:hAnsi="Cambria Math" w:cs="Cambria Math"/>
                <w:bCs/>
                <w:color w:val="00B050"/>
              </w:rPr>
              <w:t>⨁⨁⨁⨁</w:t>
            </w:r>
          </w:p>
          <w:p w:rsidR="0075777C" w:rsidRPr="006316DF" w:rsidRDefault="0075777C" w:rsidP="00805885">
            <w:pPr>
              <w:pStyle w:val="Tabletext"/>
              <w:rPr>
                <w:rFonts w:cs="Arial"/>
              </w:rPr>
            </w:pPr>
            <w:r w:rsidRPr="006316DF">
              <w:rPr>
                <w:rFonts w:cs="Arial"/>
              </w:rPr>
              <w:t>Important</w:t>
            </w:r>
          </w:p>
        </w:tc>
      </w:tr>
      <w:tr w:rsidR="0075777C" w:rsidRPr="006316DF" w:rsidTr="00805885">
        <w:tc>
          <w:tcPr>
            <w:tcW w:w="1560" w:type="dxa"/>
          </w:tcPr>
          <w:p w:rsidR="0075777C" w:rsidRPr="006316DF" w:rsidRDefault="0075777C" w:rsidP="00805885">
            <w:pPr>
              <w:pStyle w:val="Tabletext"/>
              <w:rPr>
                <w:rFonts w:cs="Arial"/>
              </w:rPr>
            </w:pPr>
            <w:r w:rsidRPr="000E45D6">
              <w:rPr>
                <w:rFonts w:cs="Arial"/>
              </w:rPr>
              <w:t>AEs leading to treatment discontinuation</w:t>
            </w:r>
          </w:p>
        </w:tc>
        <w:tc>
          <w:tcPr>
            <w:tcW w:w="1275" w:type="dxa"/>
          </w:tcPr>
          <w:p w:rsidR="0075777C" w:rsidRPr="006316DF" w:rsidRDefault="0075777C" w:rsidP="00805885">
            <w:pPr>
              <w:pStyle w:val="Tabletext"/>
              <w:rPr>
                <w:rFonts w:cs="Arial"/>
              </w:rPr>
            </w:pPr>
            <w:r>
              <w:rPr>
                <w:rFonts w:cs="Arial"/>
              </w:rPr>
              <w:t>N=265</w:t>
            </w:r>
          </w:p>
          <w:p w:rsidR="0075777C" w:rsidRPr="006316DF" w:rsidRDefault="0075777C" w:rsidP="001B552D">
            <w:pPr>
              <w:pStyle w:val="Tabletext"/>
              <w:rPr>
                <w:rFonts w:cs="Arial"/>
              </w:rPr>
            </w:pPr>
            <w:r w:rsidRPr="006316DF">
              <w:rPr>
                <w:rFonts w:cs="Arial"/>
              </w:rPr>
              <w:t>k=</w:t>
            </w:r>
            <w:r w:rsidR="001B552D">
              <w:rPr>
                <w:rFonts w:cs="Arial"/>
              </w:rPr>
              <w:t>1</w:t>
            </w:r>
            <w:r w:rsidRPr="006316DF">
              <w:rPr>
                <w:rFonts w:cs="Arial"/>
              </w:rPr>
              <w:t xml:space="preserve"> RCT</w:t>
            </w:r>
          </w:p>
        </w:tc>
        <w:tc>
          <w:tcPr>
            <w:tcW w:w="1701" w:type="dxa"/>
          </w:tcPr>
          <w:p w:rsidR="0075777C" w:rsidRPr="006316DF" w:rsidRDefault="0075777C" w:rsidP="00805885">
            <w:pPr>
              <w:pStyle w:val="Tabletext"/>
              <w:rPr>
                <w:rFonts w:cs="Arial"/>
              </w:rPr>
            </w:pPr>
            <w:r>
              <w:rPr>
                <w:rFonts w:cs="Arial"/>
              </w:rPr>
              <w:t>Risk of bias: 0</w:t>
            </w:r>
          </w:p>
          <w:p w:rsidR="0075777C" w:rsidRPr="006316DF" w:rsidRDefault="0075777C" w:rsidP="00805885">
            <w:pPr>
              <w:pStyle w:val="Tabletext"/>
              <w:rPr>
                <w:rFonts w:cs="Arial"/>
              </w:rPr>
            </w:pPr>
            <w:r w:rsidRPr="006316DF">
              <w:rPr>
                <w:rFonts w:cs="Arial"/>
              </w:rPr>
              <w:t>Inconsistency: 0</w:t>
            </w:r>
          </w:p>
          <w:p w:rsidR="0075777C" w:rsidRPr="006316DF" w:rsidRDefault="0075777C" w:rsidP="00805885">
            <w:pPr>
              <w:pStyle w:val="Tabletext"/>
              <w:rPr>
                <w:rFonts w:cs="Arial"/>
              </w:rPr>
            </w:pPr>
            <w:r w:rsidRPr="006316DF">
              <w:rPr>
                <w:rFonts w:cs="Arial"/>
              </w:rPr>
              <w:t>Indirectness: 0</w:t>
            </w:r>
          </w:p>
          <w:p w:rsidR="0075777C" w:rsidRDefault="0075777C" w:rsidP="00805885">
            <w:pPr>
              <w:pStyle w:val="Tabletext"/>
              <w:rPr>
                <w:rFonts w:cs="Arial"/>
              </w:rPr>
            </w:pPr>
            <w:r w:rsidRPr="006316DF">
              <w:rPr>
                <w:rFonts w:cs="Arial"/>
              </w:rPr>
              <w:t>Imprecision: 0</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0</w:t>
            </w:r>
          </w:p>
        </w:tc>
        <w:tc>
          <w:tcPr>
            <w:tcW w:w="1418" w:type="dxa"/>
          </w:tcPr>
          <w:p w:rsidR="0075777C" w:rsidRPr="002812F2" w:rsidRDefault="0075777C" w:rsidP="00E70D1D">
            <w:pPr>
              <w:pStyle w:val="Tabletext"/>
            </w:pPr>
            <w:r w:rsidRPr="00AC54F2">
              <w:t xml:space="preserve">RR </w:t>
            </w:r>
            <w:r>
              <w:t xml:space="preserve">= </w:t>
            </w:r>
            <w:r w:rsidR="00E70D1D">
              <w:t>0.49</w:t>
            </w:r>
            <w:r>
              <w:t xml:space="preserve"> </w:t>
            </w:r>
            <w:r w:rsidRPr="00AC54F2">
              <w:t>(</w:t>
            </w:r>
            <w:r>
              <w:t xml:space="preserve">95% CI </w:t>
            </w:r>
            <w:r w:rsidRPr="00AC54F2">
              <w:t>0.</w:t>
            </w:r>
            <w:r w:rsidR="00E70D1D">
              <w:t>2</w:t>
            </w:r>
            <w:r w:rsidRPr="00AC54F2">
              <w:t>0</w:t>
            </w:r>
            <w:r>
              <w:t>,</w:t>
            </w:r>
            <w:r w:rsidRPr="00AC54F2">
              <w:t xml:space="preserve"> 1</w:t>
            </w:r>
            <w:r w:rsidR="00E70D1D">
              <w:t>.17</w:t>
            </w:r>
            <w:r w:rsidRPr="00AC54F2">
              <w:t>)</w:t>
            </w:r>
          </w:p>
        </w:tc>
        <w:tc>
          <w:tcPr>
            <w:tcW w:w="2551" w:type="dxa"/>
          </w:tcPr>
          <w:p w:rsidR="0075777C" w:rsidRPr="002812F2" w:rsidRDefault="00444C33" w:rsidP="00805885">
            <w:pPr>
              <w:pStyle w:val="Tabletext"/>
              <w:rPr>
                <w:rFonts w:cs="Arial"/>
              </w:rPr>
            </w:pPr>
            <w:r>
              <w:rPr>
                <w:rFonts w:cs="Arial"/>
              </w:rPr>
              <w:t>Fewer</w:t>
            </w:r>
            <w:r w:rsidRPr="002812F2">
              <w:rPr>
                <w:rFonts w:cs="Arial"/>
              </w:rPr>
              <w:t xml:space="preserve"> </w:t>
            </w:r>
            <w:r w:rsidR="0075777C" w:rsidRPr="002812F2">
              <w:rPr>
                <w:rFonts w:cs="Arial"/>
              </w:rPr>
              <w:t xml:space="preserve">patients </w:t>
            </w:r>
            <w:r w:rsidR="0075777C">
              <w:rPr>
                <w:rFonts w:cs="Arial"/>
              </w:rPr>
              <w:t>needed to discontinue treatment due to</w:t>
            </w:r>
            <w:r w:rsidR="0075777C" w:rsidRPr="00424867">
              <w:rPr>
                <w:rFonts w:cs="Arial"/>
              </w:rPr>
              <w:t xml:space="preserve"> a</w:t>
            </w:r>
            <w:r w:rsidR="0075777C">
              <w:rPr>
                <w:rFonts w:cs="Arial"/>
              </w:rPr>
              <w:t>n</w:t>
            </w:r>
            <w:r w:rsidR="0075777C" w:rsidRPr="00424867">
              <w:rPr>
                <w:rFonts w:cs="Arial"/>
              </w:rPr>
              <w:t xml:space="preserve"> AE with combination th</w:t>
            </w:r>
            <w:r w:rsidR="0075777C">
              <w:rPr>
                <w:rFonts w:cs="Arial"/>
              </w:rPr>
              <w:t xml:space="preserve">erapy compared with monotherapy, </w:t>
            </w:r>
            <w:r w:rsidR="0075777C" w:rsidRPr="00424867">
              <w:rPr>
                <w:rFonts w:cs="Arial"/>
              </w:rPr>
              <w:t xml:space="preserve">but the </w:t>
            </w:r>
            <w:r w:rsidR="00D84687">
              <w:rPr>
                <w:rFonts w:cs="Arial"/>
              </w:rPr>
              <w:t>95% CI indicates</w:t>
            </w:r>
            <w:r w:rsidR="0075777C" w:rsidRPr="00424867">
              <w:rPr>
                <w:rFonts w:cs="Arial"/>
              </w:rPr>
              <w:t xml:space="preserve"> that there could also be </w:t>
            </w:r>
            <w:r w:rsidR="0075777C">
              <w:rPr>
                <w:rFonts w:cs="Arial"/>
              </w:rPr>
              <w:t>the opposite</w:t>
            </w:r>
            <w:r w:rsidR="0075777C" w:rsidRPr="00424867">
              <w:rPr>
                <w:rFonts w:cs="Arial"/>
              </w:rPr>
              <w:t xml:space="preserve"> effect</w:t>
            </w:r>
            <w:r w:rsidR="0075777C">
              <w:rPr>
                <w:rFonts w:cs="Arial"/>
              </w:rPr>
              <w:t>.</w:t>
            </w:r>
          </w:p>
        </w:tc>
        <w:tc>
          <w:tcPr>
            <w:tcW w:w="1134" w:type="dxa"/>
          </w:tcPr>
          <w:p w:rsidR="0075777C" w:rsidRPr="006316DF" w:rsidRDefault="0075777C" w:rsidP="00805885">
            <w:pPr>
              <w:pStyle w:val="Tabletext"/>
              <w:rPr>
                <w:rFonts w:cs="Arial"/>
              </w:rPr>
            </w:pPr>
            <w:r>
              <w:rPr>
                <w:rFonts w:cs="Arial"/>
              </w:rPr>
              <w:t>High</w:t>
            </w:r>
          </w:p>
          <w:p w:rsidR="0075777C" w:rsidRPr="006316DF" w:rsidRDefault="0075777C" w:rsidP="00805885">
            <w:pPr>
              <w:pStyle w:val="Tabletext"/>
              <w:rPr>
                <w:rFonts w:cs="Cambria Math"/>
                <w:bCs/>
              </w:rPr>
            </w:pPr>
            <w:r w:rsidRPr="006316DF">
              <w:rPr>
                <w:rFonts w:ascii="Cambria Math" w:hAnsi="Cambria Math" w:cs="Cambria Math"/>
                <w:bCs/>
                <w:color w:val="00B050"/>
              </w:rPr>
              <w:t>⨁⨁⨁⨁</w:t>
            </w:r>
          </w:p>
          <w:p w:rsidR="0075777C" w:rsidRPr="006316DF" w:rsidRDefault="0075777C" w:rsidP="00805885">
            <w:pPr>
              <w:pStyle w:val="Tabletext"/>
              <w:rPr>
                <w:rFonts w:cs="Arial"/>
              </w:rPr>
            </w:pPr>
            <w:r w:rsidRPr="006316DF">
              <w:rPr>
                <w:rFonts w:cs="Arial"/>
              </w:rPr>
              <w:t>Important</w:t>
            </w:r>
          </w:p>
        </w:tc>
      </w:tr>
    </w:tbl>
    <w:p w:rsidR="0075777C" w:rsidRPr="006316DF" w:rsidRDefault="0075777C" w:rsidP="00805885">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805885">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7446CB" w:rsidRDefault="0075777C" w:rsidP="00805885">
      <w:pPr>
        <w:pStyle w:val="Tablenote"/>
      </w:pPr>
      <w:r>
        <w:t xml:space="preserve">AE = adverse event; CI = confidence interval; </w:t>
      </w:r>
      <w:r w:rsidR="00385E5A">
        <w:t>GRADE = grading of recommendations assessment, development and evaluation</w:t>
      </w:r>
      <w:r w:rsidR="001D34EE" w:rsidRPr="001D34EE">
        <w:rPr>
          <w:noProof/>
          <w:vertAlign w:val="superscript"/>
        </w:rPr>
        <w:t>1</w:t>
      </w:r>
      <w:r w:rsidR="007446CB" w:rsidRPr="00F24B06">
        <w:t xml:space="preserve">; k = number of studies; </w:t>
      </w:r>
      <w:r>
        <w:t xml:space="preserve">N = number of patients; </w:t>
      </w:r>
      <w:r w:rsidRPr="00C65B42">
        <w:t xml:space="preserve">PAH = pulmonary arterial hypertension; </w:t>
      </w:r>
      <w:r w:rsidRPr="009B5AB3">
        <w:t>PDE-5 = phosphodiesterase type-5</w:t>
      </w:r>
      <w:r>
        <w:t>;</w:t>
      </w:r>
      <w:r w:rsidRPr="009B5AB3">
        <w:t xml:space="preserve"> </w:t>
      </w:r>
      <w:r>
        <w:t>RCT = randomised controlled trial; RR = relative risk</w:t>
      </w:r>
    </w:p>
    <w:p w:rsidR="0075777C" w:rsidRPr="006316DF" w:rsidRDefault="000E0079" w:rsidP="0017012F">
      <w:pPr>
        <w:pStyle w:val="Heading4"/>
      </w:pPr>
      <w:r>
        <w:t>4.5.3.5</w:t>
      </w:r>
      <w:r>
        <w:tab/>
      </w:r>
      <w:r w:rsidR="0017012F">
        <w:t>P</w:t>
      </w:r>
      <w:r w:rsidR="0017012F" w:rsidRPr="0017012F">
        <w:t xml:space="preserve">rostanoid </w:t>
      </w:r>
      <w:r w:rsidR="0075777C" w:rsidRPr="006C4A08">
        <w:t xml:space="preserve">in addition to </w:t>
      </w:r>
      <w:r w:rsidR="0075777C">
        <w:t>an ERA</w:t>
      </w:r>
    </w:p>
    <w:p w:rsidR="0075777C" w:rsidRPr="00107676" w:rsidRDefault="0075777C" w:rsidP="0075777C">
      <w:pPr>
        <w:pStyle w:val="Heading5"/>
      </w:pPr>
      <w:r w:rsidRPr="00107676">
        <w:t>Clinical effectiveness</w:t>
      </w:r>
    </w:p>
    <w:p w:rsidR="0075777C" w:rsidRDefault="0075777C" w:rsidP="0075777C">
      <w:r>
        <w:t xml:space="preserve">Both of the RCTs that provided the evidence base for </w:t>
      </w:r>
      <w:r w:rsidRPr="000522D6">
        <w:t xml:space="preserve">comparing </w:t>
      </w:r>
      <w:r>
        <w:t xml:space="preserve">the effectiveness of </w:t>
      </w:r>
      <w:r w:rsidRPr="000522D6">
        <w:t xml:space="preserve">a </w:t>
      </w:r>
      <w:r w:rsidR="004F2B0B">
        <w:t>prostanoid</w:t>
      </w:r>
      <w:r>
        <w:t xml:space="preserve"> </w:t>
      </w:r>
      <w:r w:rsidRPr="000522D6">
        <w:t xml:space="preserve">in addition to </w:t>
      </w:r>
      <w:r>
        <w:t xml:space="preserve">an </w:t>
      </w:r>
      <w:r w:rsidRPr="000522D6">
        <w:t xml:space="preserve">ERA </w:t>
      </w:r>
      <w:r>
        <w:t>compared with</w:t>
      </w:r>
      <w:r w:rsidRPr="000522D6">
        <w:t xml:space="preserve"> </w:t>
      </w:r>
      <w:r>
        <w:t>ERA</w:t>
      </w:r>
      <w:r w:rsidRPr="000522D6">
        <w:t xml:space="preserve"> monotherapy</w:t>
      </w:r>
      <w:r>
        <w:t xml:space="preserve"> enrolled patients on stable ERA monotherapy (sequential combination therapy). One trial enrolled patients with </w:t>
      </w:r>
      <w:r w:rsidRPr="00C754B8">
        <w:t xml:space="preserve">WHO FC III IPAH </w:t>
      </w:r>
      <w:r>
        <w:t xml:space="preserve">and the other patients with </w:t>
      </w:r>
      <w:r w:rsidR="006B4B22">
        <w:t>WHO</w:t>
      </w:r>
      <w:r w:rsidRPr="00C754B8">
        <w:t xml:space="preserve"> FC III/IV PAH</w:t>
      </w:r>
      <w:r>
        <w:t>.</w:t>
      </w:r>
    </w:p>
    <w:p w:rsidR="0075777C" w:rsidRPr="006316DF" w:rsidRDefault="0075777C" w:rsidP="00503643">
      <w:r w:rsidRPr="006316DF">
        <w:t xml:space="preserve">The </w:t>
      </w:r>
      <w:r>
        <w:t xml:space="preserve">detailed </w:t>
      </w:r>
      <w:r w:rsidRPr="006316DF">
        <w:t>GRADE</w:t>
      </w:r>
      <w:r w:rsidR="001D34EE" w:rsidRPr="001D34EE">
        <w:rPr>
          <w:noProof/>
          <w:vertAlign w:val="superscript"/>
        </w:rPr>
        <w:t>1</w:t>
      </w:r>
      <w:r w:rsidRPr="006316DF">
        <w:t xml:space="preserve"> assessments of the outcomes when comparing </w:t>
      </w:r>
      <w:r>
        <w:t xml:space="preserve">a </w:t>
      </w:r>
      <w:r w:rsidR="00920393" w:rsidRPr="00687533">
        <w:t>prostanoid</w:t>
      </w:r>
      <w:r w:rsidRPr="00687533">
        <w:t xml:space="preserve"> in addition to an ERA</w:t>
      </w:r>
      <w:r>
        <w:t>, relative to</w:t>
      </w:r>
      <w:r w:rsidRPr="00687533">
        <w:t xml:space="preserve"> ERA monotherapy </w:t>
      </w:r>
      <w:r>
        <w:t xml:space="preserve">in patients with WHO FC III/IV PAH </w:t>
      </w:r>
      <w:proofErr w:type="gramStart"/>
      <w:r>
        <w:t>are reported</w:t>
      </w:r>
      <w:proofErr w:type="gramEnd"/>
      <w:r>
        <w:t xml:space="preserve"> in </w:t>
      </w:r>
      <w:r w:rsidR="003951FA">
        <w:t>Table 4.</w:t>
      </w:r>
      <w:r w:rsidR="003951FA">
        <w:rPr>
          <w:noProof/>
        </w:rPr>
        <w:t>163</w:t>
      </w:r>
      <w:r>
        <w:t xml:space="preserve"> </w:t>
      </w:r>
      <w:r w:rsidRPr="006316DF">
        <w:t xml:space="preserve">in Appendix </w:t>
      </w:r>
      <w:r w:rsidR="00DA2636">
        <w:t>4</w:t>
      </w:r>
      <w:r w:rsidR="001B552D">
        <w:t>C</w:t>
      </w:r>
      <w:r w:rsidRPr="006316DF">
        <w:t xml:space="preserve">. A summary of these results </w:t>
      </w:r>
      <w:proofErr w:type="gramStart"/>
      <w:r w:rsidRPr="006316DF">
        <w:t>is provided</w:t>
      </w:r>
      <w:proofErr w:type="gramEnd"/>
      <w:r w:rsidRPr="006316DF">
        <w:t xml:space="preserve"> in</w:t>
      </w:r>
      <w:r w:rsidR="003F6AC4">
        <w:t xml:space="preserve"> Table 4.137</w:t>
      </w:r>
      <w:r w:rsidRPr="006316DF">
        <w:t xml:space="preserve">. The evidence base for </w:t>
      </w:r>
      <w:r>
        <w:t>the critical outcome</w:t>
      </w:r>
      <w:r w:rsidR="00DD4DEC">
        <w:t>s</w:t>
      </w:r>
      <w:r>
        <w:t xml:space="preserve"> </w:t>
      </w:r>
      <w:proofErr w:type="gramStart"/>
      <w:r>
        <w:t>was considered</w:t>
      </w:r>
      <w:proofErr w:type="gramEnd"/>
      <w:r>
        <w:t xml:space="preserve"> to be of </w:t>
      </w:r>
      <w:r w:rsidR="00DD4DEC">
        <w:t xml:space="preserve">very </w:t>
      </w:r>
      <w:r>
        <w:t xml:space="preserve">low quality </w:t>
      </w:r>
      <w:r w:rsidRPr="006316DF">
        <w:t xml:space="preserve">(GRADE </w:t>
      </w:r>
      <w:r w:rsidRPr="00920393">
        <w:rPr>
          <w:rFonts w:ascii="Cambria Math" w:eastAsia="Times New Roman" w:hAnsi="Cambria Math" w:cs="Tahoma"/>
          <w:bCs/>
          <w:color w:val="00B050"/>
        </w:rPr>
        <w:t>⨁⨁</w:t>
      </w:r>
      <w:r w:rsidRPr="00920393">
        <w:rPr>
          <w:rFonts w:ascii="Cambria Math" w:eastAsia="Times New Roman" w:hAnsi="Cambria Math" w:cs="Cambria Math"/>
          <w:bCs/>
          <w:color w:val="C00000"/>
        </w:rPr>
        <w:t>⨀⨀</w:t>
      </w:r>
      <w:r w:rsidRPr="00920393">
        <w:t xml:space="preserve">) </w:t>
      </w:r>
      <w:r w:rsidR="00DD4DEC">
        <w:t xml:space="preserve">for clinical worsening </w:t>
      </w:r>
      <w:r w:rsidRPr="00920393">
        <w:t xml:space="preserve">and </w:t>
      </w:r>
      <w:r w:rsidR="00DD4DEC">
        <w:t>moderate</w:t>
      </w:r>
      <w:r w:rsidR="00DD4DEC" w:rsidRPr="00DD4DEC">
        <w:t xml:space="preserve"> quality </w:t>
      </w:r>
      <w:r w:rsidR="00DD4DEC" w:rsidRPr="006316DF">
        <w:t xml:space="preserve">(GRADE </w:t>
      </w:r>
      <w:r w:rsidR="00DD4DEC" w:rsidRPr="00920393">
        <w:rPr>
          <w:rFonts w:ascii="Cambria Math" w:eastAsia="Times New Roman" w:hAnsi="Cambria Math" w:cs="Tahoma"/>
          <w:bCs/>
          <w:color w:val="00B050"/>
        </w:rPr>
        <w:t>⨁⨁⨁</w:t>
      </w:r>
      <w:r w:rsidR="00DD4DEC" w:rsidRPr="00920393">
        <w:rPr>
          <w:rFonts w:ascii="Cambria Math" w:eastAsia="Times New Roman" w:hAnsi="Cambria Math" w:cs="Cambria Math"/>
          <w:bCs/>
          <w:color w:val="C00000"/>
        </w:rPr>
        <w:t>⨀</w:t>
      </w:r>
      <w:r w:rsidR="00DD4DEC" w:rsidRPr="00920393">
        <w:t xml:space="preserve">) </w:t>
      </w:r>
      <w:r w:rsidR="00DD4DEC">
        <w:t>for</w:t>
      </w:r>
      <w:r w:rsidRPr="00920393">
        <w:t xml:space="preserve"> </w:t>
      </w:r>
      <w:r w:rsidR="00DD4DEC">
        <w:t xml:space="preserve">the </w:t>
      </w:r>
      <w:r w:rsidRPr="00920393">
        <w:t>mortality</w:t>
      </w:r>
      <w:r>
        <w:t xml:space="preserve"> rate</w:t>
      </w:r>
      <w:r w:rsidR="00DD4DEC">
        <w:t>.</w:t>
      </w:r>
      <w:r>
        <w:t xml:space="preserve"> </w:t>
      </w:r>
      <w:r w:rsidR="00DD4DEC">
        <w:t xml:space="preserve">Other outcomes </w:t>
      </w:r>
      <w:proofErr w:type="gramStart"/>
      <w:r w:rsidR="00DD4DEC">
        <w:t>were considered</w:t>
      </w:r>
      <w:proofErr w:type="gramEnd"/>
      <w:r w:rsidR="00DD4DEC">
        <w:t xml:space="preserve"> to be of moderate to very low quality.</w:t>
      </w:r>
    </w:p>
    <w:p w:rsidR="0075777C" w:rsidRPr="006316DF" w:rsidRDefault="0075777C" w:rsidP="0075777C">
      <w:r w:rsidRPr="006316DF">
        <w:t xml:space="preserve">When taking </w:t>
      </w:r>
      <w:r>
        <w:t>the whole body of evidence</w:t>
      </w:r>
      <w:r w:rsidRPr="006316DF">
        <w:t xml:space="preserve"> into account, </w:t>
      </w:r>
      <w:r>
        <w:t>significantly more patients improved their WHO FC on combination therapy compared with monotherapy</w:t>
      </w:r>
      <w:r w:rsidR="0055519E">
        <w:t>, but this was a low</w:t>
      </w:r>
      <w:r w:rsidR="0055519E" w:rsidRPr="00DD4DEC">
        <w:t xml:space="preserve"> quality </w:t>
      </w:r>
      <w:r w:rsidR="0055519E" w:rsidRPr="006316DF">
        <w:t xml:space="preserve">(GRADE </w:t>
      </w:r>
      <w:r w:rsidR="0055519E" w:rsidRPr="00920393">
        <w:rPr>
          <w:rFonts w:ascii="Cambria Math" w:eastAsia="Times New Roman" w:hAnsi="Cambria Math" w:cs="Tahoma"/>
          <w:bCs/>
          <w:color w:val="00B050"/>
        </w:rPr>
        <w:t>⨁⨁</w:t>
      </w:r>
      <w:r w:rsidR="0055519E" w:rsidRPr="00920393">
        <w:rPr>
          <w:rFonts w:ascii="Cambria Math" w:eastAsia="Times New Roman" w:hAnsi="Cambria Math" w:cs="Cambria Math"/>
          <w:bCs/>
          <w:color w:val="C00000"/>
        </w:rPr>
        <w:t>⨀⨀</w:t>
      </w:r>
      <w:r w:rsidR="0055519E" w:rsidRPr="00920393">
        <w:t xml:space="preserve">) </w:t>
      </w:r>
      <w:r w:rsidR="0055519E">
        <w:t>outcome</w:t>
      </w:r>
      <w:r>
        <w:t xml:space="preserve">. Less </w:t>
      </w:r>
      <w:r w:rsidRPr="006316DF">
        <w:t>patients experienc</w:t>
      </w:r>
      <w:r>
        <w:t>ed</w:t>
      </w:r>
      <w:r w:rsidRPr="006316DF">
        <w:t xml:space="preserve"> clinical worsening</w:t>
      </w:r>
      <w:r>
        <w:t xml:space="preserve"> on combination therapy compared with monotherapy but the 95% CI indicates that there could also be the opposite effect.</w:t>
      </w:r>
      <w:r w:rsidRPr="006316DF">
        <w:t xml:space="preserve"> </w:t>
      </w:r>
      <w:r>
        <w:t>No patients died during the study periods of the two included RCTs, so the effect of combination therapy compared with monotherapy on all-cause mortality could not be determined.</w:t>
      </w:r>
      <w:r w:rsidRPr="00095280">
        <w:t xml:space="preserve"> There </w:t>
      </w:r>
      <w:r>
        <w:t>wa</w:t>
      </w:r>
      <w:r w:rsidRPr="00095280">
        <w:t xml:space="preserve">s </w:t>
      </w:r>
      <w:r>
        <w:t>some</w:t>
      </w:r>
      <w:r w:rsidRPr="00095280">
        <w:t xml:space="preserve"> evidence to suggest that fewer patients </w:t>
      </w:r>
      <w:r>
        <w:t>we</w:t>
      </w:r>
      <w:r w:rsidRPr="00095280">
        <w:t xml:space="preserve">re hospitalised </w:t>
      </w:r>
      <w:r>
        <w:t xml:space="preserve">or had worsening of their WHO FC </w:t>
      </w:r>
      <w:r w:rsidRPr="00095280">
        <w:t>with combination therapy compared with monotherapy</w:t>
      </w:r>
      <w:r>
        <w:t xml:space="preserve">, but the </w:t>
      </w:r>
      <w:r w:rsidR="00B21201">
        <w:t>ARD</w:t>
      </w:r>
      <w:r>
        <w:t xml:space="preserve"> was small (3−7%). P</w:t>
      </w:r>
      <w:r w:rsidRPr="006316DF">
        <w:t xml:space="preserve">atients </w:t>
      </w:r>
      <w:r>
        <w:t>on combination therapy</w:t>
      </w:r>
      <w:r w:rsidRPr="006316DF">
        <w:t xml:space="preserve"> ha</w:t>
      </w:r>
      <w:r>
        <w:t>d</w:t>
      </w:r>
      <w:r w:rsidRPr="006316DF">
        <w:t xml:space="preserve"> a larger </w:t>
      </w:r>
      <w:r>
        <w:t xml:space="preserve">mean </w:t>
      </w:r>
      <w:r w:rsidRPr="006316DF">
        <w:t>improvement in their 6MWD</w:t>
      </w:r>
      <w:r>
        <w:t>, haemodynamic parameters and QoL than those on monotherapy, but only the mean differences in PVR and QoL improvement were large enough to be clinically important</w:t>
      </w:r>
      <w:r w:rsidRPr="006316DF">
        <w:t>.</w:t>
      </w:r>
    </w:p>
    <w:p w:rsidR="0075777C" w:rsidRDefault="0075777C" w:rsidP="0075777C">
      <w:r w:rsidRPr="006316DF">
        <w:t xml:space="preserve">Thus, </w:t>
      </w:r>
      <w:r w:rsidRPr="000522D6">
        <w:t xml:space="preserve">the </w:t>
      </w:r>
      <w:r w:rsidRPr="006316DF">
        <w:t xml:space="preserve">use of a </w:t>
      </w:r>
      <w:r w:rsidR="00805885" w:rsidRPr="00FF0F23">
        <w:t>prostanoid</w:t>
      </w:r>
      <w:r w:rsidRPr="00FF0F23">
        <w:t xml:space="preserve"> in addition to an ERA</w:t>
      </w:r>
      <w:r w:rsidRPr="000522D6">
        <w:t xml:space="preserve">, relative to </w:t>
      </w:r>
      <w:r>
        <w:t>ERA</w:t>
      </w:r>
      <w:r w:rsidRPr="000522D6">
        <w:t xml:space="preserve"> monotherapy </w:t>
      </w:r>
      <w:r w:rsidRPr="006316DF">
        <w:t xml:space="preserve">to treat </w:t>
      </w:r>
      <w:r w:rsidR="00403921">
        <w:t xml:space="preserve">patients with WHO FC III/IV PAH may be </w:t>
      </w:r>
      <w:r w:rsidR="002856B6">
        <w:t>beneficial.</w:t>
      </w:r>
    </w:p>
    <w:p w:rsidR="0075777C" w:rsidRPr="006316DF" w:rsidRDefault="00272F8F" w:rsidP="00BC5A2B">
      <w:pPr>
        <w:pStyle w:val="Caption"/>
      </w:pPr>
      <w:bookmarkStart w:id="381" w:name="_Ref505863045"/>
      <w:bookmarkStart w:id="382" w:name="_Toc38360434"/>
      <w:r>
        <w:t>Table 4.</w:t>
      </w:r>
      <w:r w:rsidR="003951FA">
        <w:rPr>
          <w:noProof/>
        </w:rPr>
        <w:t>137</w:t>
      </w:r>
      <w:bookmarkEnd w:id="381"/>
      <w:r w:rsidR="008727D6">
        <w:tab/>
      </w:r>
      <w:r w:rsidR="0075777C" w:rsidRPr="006316DF">
        <w:t xml:space="preserve">Balance of clinical benefits of </w:t>
      </w:r>
      <w:r w:rsidR="001B552D">
        <w:t xml:space="preserve">a </w:t>
      </w:r>
      <w:r w:rsidR="00805885" w:rsidRPr="006C4A08">
        <w:t>prost</w:t>
      </w:r>
      <w:r w:rsidR="00805885">
        <w:t>anoid</w:t>
      </w:r>
      <w:r w:rsidR="0075777C" w:rsidRPr="006C4A08">
        <w:t xml:space="preserve"> in addition to</w:t>
      </w:r>
      <w:r w:rsidR="0075777C">
        <w:t xml:space="preserve"> </w:t>
      </w:r>
      <w:r w:rsidR="001B552D">
        <w:t xml:space="preserve">an </w:t>
      </w:r>
      <w:r w:rsidR="0075777C">
        <w:t>ERA</w:t>
      </w:r>
      <w:r w:rsidR="0075777C" w:rsidRPr="006316DF">
        <w:t xml:space="preserve">, relative to </w:t>
      </w:r>
      <w:r w:rsidR="0075777C">
        <w:t>ERA</w:t>
      </w:r>
      <w:r w:rsidR="0075777C" w:rsidRPr="006C4A08">
        <w:t xml:space="preserve"> </w:t>
      </w:r>
      <w:r w:rsidR="0075777C">
        <w:t xml:space="preserve">monotherapy in </w:t>
      </w:r>
      <w:r w:rsidR="0075777C" w:rsidRPr="006C4A08">
        <w:t>patients with WHO FC III/IV PAH</w:t>
      </w:r>
      <w:bookmarkEnd w:id="382"/>
    </w:p>
    <w:tbl>
      <w:tblPr>
        <w:tblStyle w:val="TableGrid"/>
        <w:tblW w:w="9639" w:type="dxa"/>
        <w:tblLayout w:type="fixed"/>
        <w:tblLook w:val="04A0" w:firstRow="1" w:lastRow="0" w:firstColumn="1" w:lastColumn="0" w:noHBand="0" w:noVBand="1"/>
        <w:tblCaption w:val="Balance of clinical benefits of a prostanoid in addition to an ERA, relative to ERA monotherapy in patients with WHO FC III/IV PAH"/>
      </w:tblPr>
      <w:tblGrid>
        <w:gridCol w:w="1560"/>
        <w:gridCol w:w="1275"/>
        <w:gridCol w:w="1701"/>
        <w:gridCol w:w="1418"/>
        <w:gridCol w:w="2551"/>
        <w:gridCol w:w="1134"/>
      </w:tblGrid>
      <w:tr w:rsidR="0075777C" w:rsidRPr="00805885" w:rsidTr="0080588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805885" w:rsidRDefault="0075777C" w:rsidP="00805885">
            <w:pPr>
              <w:pStyle w:val="Tabletext"/>
              <w:rPr>
                <w:b/>
                <w:noProof/>
              </w:rPr>
            </w:pPr>
            <w:r w:rsidRPr="00805885">
              <w:rPr>
                <w:b/>
                <w:noProof/>
              </w:rPr>
              <w:t xml:space="preserve">Outcomes </w:t>
            </w:r>
          </w:p>
        </w:tc>
        <w:tc>
          <w:tcPr>
            <w:tcW w:w="1275" w:type="dxa"/>
          </w:tcPr>
          <w:p w:rsidR="0075777C" w:rsidRPr="00805885" w:rsidRDefault="0075777C" w:rsidP="00805885">
            <w:pPr>
              <w:pStyle w:val="Tabletext"/>
              <w:rPr>
                <w:b/>
                <w:noProof/>
              </w:rPr>
            </w:pPr>
            <w:r w:rsidRPr="00805885">
              <w:rPr>
                <w:b/>
                <w:noProof/>
              </w:rPr>
              <w:t>Participants (studies)</w:t>
            </w:r>
          </w:p>
        </w:tc>
        <w:tc>
          <w:tcPr>
            <w:tcW w:w="1701" w:type="dxa"/>
          </w:tcPr>
          <w:p w:rsidR="0075777C" w:rsidRPr="00805885" w:rsidRDefault="0075777C" w:rsidP="00805885">
            <w:pPr>
              <w:pStyle w:val="Tabletext"/>
              <w:rPr>
                <w:b/>
                <w:noProof/>
              </w:rPr>
            </w:pPr>
            <w:r w:rsidRPr="00805885">
              <w:rPr>
                <w:b/>
                <w:noProof/>
              </w:rPr>
              <w:t>Quality of evidence</w:t>
            </w:r>
          </w:p>
        </w:tc>
        <w:tc>
          <w:tcPr>
            <w:tcW w:w="1418" w:type="dxa"/>
          </w:tcPr>
          <w:p w:rsidR="0075777C" w:rsidRPr="00805885" w:rsidRDefault="0075777C" w:rsidP="00805885">
            <w:pPr>
              <w:pStyle w:val="Tabletext"/>
              <w:rPr>
                <w:b/>
                <w:noProof/>
              </w:rPr>
            </w:pPr>
            <w:r w:rsidRPr="00805885">
              <w:rPr>
                <w:b/>
                <w:noProof/>
              </w:rPr>
              <w:t>Results</w:t>
            </w:r>
          </w:p>
        </w:tc>
        <w:tc>
          <w:tcPr>
            <w:tcW w:w="2551" w:type="dxa"/>
          </w:tcPr>
          <w:p w:rsidR="0075777C" w:rsidRPr="00805885" w:rsidRDefault="0075777C" w:rsidP="00805885">
            <w:pPr>
              <w:pStyle w:val="Tabletext"/>
              <w:rPr>
                <w:b/>
                <w:noProof/>
              </w:rPr>
            </w:pPr>
            <w:r w:rsidRPr="00805885">
              <w:rPr>
                <w:b/>
                <w:noProof/>
              </w:rPr>
              <w:t>Interpretation</w:t>
            </w:r>
          </w:p>
        </w:tc>
        <w:tc>
          <w:tcPr>
            <w:tcW w:w="1134" w:type="dxa"/>
          </w:tcPr>
          <w:p w:rsidR="0075777C" w:rsidRPr="00805885" w:rsidRDefault="0075777C" w:rsidP="00805885">
            <w:pPr>
              <w:pStyle w:val="Tabletext"/>
              <w:rPr>
                <w:b/>
                <w:noProof/>
              </w:rPr>
            </w:pPr>
            <w:r w:rsidRPr="00805885">
              <w:rPr>
                <w:b/>
                <w:noProof/>
              </w:rPr>
              <w:t>GRADE</w:t>
            </w:r>
            <w:r w:rsidR="007446CB" w:rsidRPr="007446CB">
              <w:rPr>
                <w:b/>
                <w:noProof/>
                <w:vertAlign w:val="superscript"/>
              </w:rPr>
              <w:t>a</w:t>
            </w:r>
          </w:p>
          <w:p w:rsidR="0075777C" w:rsidRPr="00805885" w:rsidRDefault="0075777C" w:rsidP="00805885">
            <w:pPr>
              <w:pStyle w:val="Tabletext"/>
              <w:rPr>
                <w:b/>
                <w:noProof/>
              </w:rPr>
            </w:pPr>
            <w:r w:rsidRPr="00805885">
              <w:rPr>
                <w:b/>
                <w:noProof/>
              </w:rPr>
              <w:t>Importance</w:t>
            </w:r>
          </w:p>
        </w:tc>
      </w:tr>
      <w:tr w:rsidR="00B97B32" w:rsidRPr="006316DF" w:rsidTr="00805885">
        <w:tc>
          <w:tcPr>
            <w:tcW w:w="1560" w:type="dxa"/>
          </w:tcPr>
          <w:p w:rsidR="00B97B32" w:rsidRPr="006316DF" w:rsidRDefault="00B97B32" w:rsidP="00B97B32">
            <w:pPr>
              <w:pStyle w:val="Tabletext"/>
              <w:rPr>
                <w:rFonts w:cs="Arial"/>
              </w:rPr>
            </w:pPr>
            <w:r w:rsidRPr="006316DF">
              <w:rPr>
                <w:rFonts w:cs="Arial"/>
              </w:rPr>
              <w:t xml:space="preserve">Clinical worsening </w:t>
            </w:r>
          </w:p>
        </w:tc>
        <w:tc>
          <w:tcPr>
            <w:tcW w:w="1275" w:type="dxa"/>
          </w:tcPr>
          <w:p w:rsidR="00B97B32" w:rsidRPr="006316DF" w:rsidRDefault="00B97B32" w:rsidP="00B97B32">
            <w:pPr>
              <w:pStyle w:val="Tabletext"/>
              <w:rPr>
                <w:rFonts w:cs="Arial"/>
              </w:rPr>
            </w:pPr>
            <w:r w:rsidRPr="006316DF">
              <w:rPr>
                <w:rFonts w:cs="Arial"/>
              </w:rPr>
              <w:t>N=</w:t>
            </w:r>
            <w:r>
              <w:rPr>
                <w:rFonts w:cs="Arial"/>
              </w:rPr>
              <w:t>105</w:t>
            </w:r>
          </w:p>
          <w:p w:rsidR="00B97B32" w:rsidRPr="006316DF" w:rsidRDefault="00B97B32" w:rsidP="00B97B32">
            <w:pPr>
              <w:pStyle w:val="Tabletext"/>
              <w:rPr>
                <w:rFonts w:cs="Arial"/>
              </w:rPr>
            </w:pPr>
            <w:r w:rsidRPr="006316DF">
              <w:rPr>
                <w:rFonts w:cs="Arial"/>
              </w:rPr>
              <w:t>k=</w:t>
            </w:r>
            <w:r>
              <w:rPr>
                <w:rFonts w:cs="Arial"/>
              </w:rPr>
              <w:t>2</w:t>
            </w:r>
            <w:r w:rsidRPr="006316DF">
              <w:rPr>
                <w:rFonts w:cs="Arial"/>
              </w:rPr>
              <w:t xml:space="preserve"> RCTs</w:t>
            </w:r>
          </w:p>
        </w:tc>
        <w:tc>
          <w:tcPr>
            <w:tcW w:w="1701" w:type="dxa"/>
          </w:tcPr>
          <w:p w:rsidR="00B97B32" w:rsidRPr="006316DF" w:rsidRDefault="00B97B32" w:rsidP="00B97B32">
            <w:pPr>
              <w:pStyle w:val="Tabletext"/>
              <w:rPr>
                <w:rFonts w:cs="Arial"/>
              </w:rPr>
            </w:pPr>
            <w:r>
              <w:rPr>
                <w:rFonts w:cs="Arial"/>
              </w:rPr>
              <w:t>Risk of bias: −1</w:t>
            </w:r>
          </w:p>
          <w:p w:rsidR="00B97B32" w:rsidRPr="006316DF" w:rsidRDefault="00B97B32" w:rsidP="00B97B32">
            <w:pPr>
              <w:pStyle w:val="Tabletext"/>
              <w:rPr>
                <w:rFonts w:cs="Arial"/>
              </w:rPr>
            </w:pPr>
            <w:r w:rsidRPr="006316DF">
              <w:rPr>
                <w:rFonts w:cs="Arial"/>
              </w:rPr>
              <w:t>Inconsistency: 0</w:t>
            </w:r>
          </w:p>
          <w:p w:rsidR="00B97B32" w:rsidRPr="006316DF" w:rsidRDefault="00B97B32" w:rsidP="00B97B32">
            <w:pPr>
              <w:pStyle w:val="Tabletext"/>
              <w:rPr>
                <w:rFonts w:cs="Arial"/>
              </w:rPr>
            </w:pPr>
            <w:r w:rsidRPr="006316DF">
              <w:rPr>
                <w:rFonts w:cs="Arial"/>
              </w:rPr>
              <w:t>Indirectness: 0</w:t>
            </w:r>
          </w:p>
          <w:p w:rsidR="00B97B32" w:rsidRDefault="00B97B32" w:rsidP="00B97B32">
            <w:pPr>
              <w:pStyle w:val="Tabletext"/>
              <w:rPr>
                <w:rFonts w:cs="Arial"/>
              </w:rPr>
            </w:pPr>
            <w:r w:rsidRPr="006316DF">
              <w:rPr>
                <w:rFonts w:cs="Arial"/>
              </w:rPr>
              <w:t>Im</w:t>
            </w:r>
            <w:r>
              <w:rPr>
                <w:rFonts w:cs="Arial"/>
              </w:rPr>
              <w:t>precision: −2</w:t>
            </w:r>
          </w:p>
          <w:p w:rsidR="00B97B32" w:rsidRDefault="00B97B32" w:rsidP="00B97B32">
            <w:pPr>
              <w:pStyle w:val="Tabletext"/>
              <w:rPr>
                <w:rFonts w:cs="Arial"/>
              </w:rPr>
            </w:pPr>
            <w:r w:rsidRPr="006316DF">
              <w:rPr>
                <w:rFonts w:cs="Arial"/>
              </w:rPr>
              <w:t>Publication bias: 0</w:t>
            </w:r>
          </w:p>
          <w:p w:rsidR="00B97B32" w:rsidRPr="006316DF" w:rsidRDefault="00B97B32" w:rsidP="00B97B32">
            <w:pPr>
              <w:pStyle w:val="Tabletext"/>
              <w:rPr>
                <w:rFonts w:cs="Arial"/>
              </w:rPr>
            </w:pPr>
            <w:r>
              <w:rPr>
                <w:rFonts w:cs="Arial"/>
              </w:rPr>
              <w:t>Association: 0</w:t>
            </w:r>
          </w:p>
        </w:tc>
        <w:tc>
          <w:tcPr>
            <w:tcW w:w="1418" w:type="dxa"/>
          </w:tcPr>
          <w:p w:rsidR="00B97B32" w:rsidRPr="00F03461" w:rsidRDefault="00B97B32" w:rsidP="00B97B32">
            <w:pPr>
              <w:pStyle w:val="Tabletext"/>
              <w:rPr>
                <w:rFonts w:cs="Arial"/>
              </w:rPr>
            </w:pPr>
            <w:r>
              <w:t xml:space="preserve">Pooled </w:t>
            </w:r>
            <w:r w:rsidRPr="00A72EDD">
              <w:t xml:space="preserve">RR </w:t>
            </w:r>
            <w:r>
              <w:t xml:space="preserve">= </w:t>
            </w:r>
            <w:r w:rsidRPr="00A72EDD">
              <w:t>0.39</w:t>
            </w:r>
            <w:r>
              <w:t xml:space="preserve"> </w:t>
            </w:r>
            <w:r w:rsidRPr="00A72EDD">
              <w:t>(</w:t>
            </w:r>
            <w:r>
              <w:t xml:space="preserve">95% CI </w:t>
            </w:r>
            <w:r w:rsidRPr="00A72EDD">
              <w:t>0.04</w:t>
            </w:r>
            <w:r>
              <w:t>,</w:t>
            </w:r>
            <w:r w:rsidRPr="00A72EDD">
              <w:t xml:space="preserve"> 3.45)</w:t>
            </w:r>
          </w:p>
        </w:tc>
        <w:tc>
          <w:tcPr>
            <w:tcW w:w="2551" w:type="dxa"/>
          </w:tcPr>
          <w:p w:rsidR="00B97B32" w:rsidRPr="00F03461" w:rsidRDefault="00B97B32" w:rsidP="00B97B32">
            <w:pPr>
              <w:pStyle w:val="Tabletext"/>
              <w:rPr>
                <w:rFonts w:cs="Arial"/>
              </w:rPr>
            </w:pPr>
            <w:r>
              <w:rPr>
                <w:rFonts w:cs="Arial"/>
              </w:rPr>
              <w:t xml:space="preserve">Fewer </w:t>
            </w:r>
            <w:r w:rsidRPr="00F03461">
              <w:rPr>
                <w:rFonts w:cs="Arial"/>
              </w:rPr>
              <w:t>patients experience</w:t>
            </w:r>
            <w:r>
              <w:rPr>
                <w:rFonts w:cs="Arial"/>
              </w:rPr>
              <w:t>d</w:t>
            </w:r>
            <w:r w:rsidRPr="00F03461">
              <w:rPr>
                <w:rFonts w:cs="Arial"/>
              </w:rPr>
              <w:t xml:space="preserve"> clinical worsening with combination therapy compared with monotherapy</w:t>
            </w:r>
            <w:r w:rsidRPr="00F032EC">
              <w:rPr>
                <w:rFonts w:cs="Arial"/>
              </w:rPr>
              <w:t xml:space="preserve">, but the </w:t>
            </w:r>
            <w:r>
              <w:rPr>
                <w:rFonts w:cs="Arial"/>
              </w:rPr>
              <w:t>95% CI indicates</w:t>
            </w:r>
            <w:r w:rsidRPr="00F032EC">
              <w:rPr>
                <w:rFonts w:cs="Arial"/>
              </w:rPr>
              <w:t xml:space="preserve"> that there could also be the opposite effect.</w:t>
            </w:r>
          </w:p>
        </w:tc>
        <w:tc>
          <w:tcPr>
            <w:tcW w:w="1134" w:type="dxa"/>
          </w:tcPr>
          <w:p w:rsidR="00B97B32" w:rsidRDefault="00B97B32" w:rsidP="00B97B32">
            <w:pPr>
              <w:pStyle w:val="Tabletext"/>
              <w:rPr>
                <w:bCs/>
              </w:rPr>
            </w:pPr>
            <w:r>
              <w:rPr>
                <w:bCs/>
              </w:rPr>
              <w:t>Very low</w:t>
            </w:r>
          </w:p>
          <w:p w:rsidR="00B97B32" w:rsidRDefault="00B97B32" w:rsidP="00B97B32">
            <w:pPr>
              <w:pStyle w:val="Tabletext"/>
              <w:rPr>
                <w:rFonts w:ascii="Cambria Math" w:hAnsi="Cambria Math" w:cs="Cambria Math"/>
                <w:bCs/>
              </w:rPr>
            </w:pPr>
            <w:r>
              <w:rPr>
                <w:rFonts w:ascii="Cambria Math" w:hAnsi="Cambria Math" w:cs="Cambria Math"/>
                <w:bCs/>
                <w:color w:val="00B050"/>
              </w:rPr>
              <w:t>⨁</w:t>
            </w:r>
            <w:r w:rsidRPr="00E564DD">
              <w:rPr>
                <w:rFonts w:ascii="Cambria Math" w:hAnsi="Cambria Math" w:cs="Cambria Math"/>
                <w:bCs/>
                <w:color w:val="FF0000"/>
              </w:rPr>
              <w:t>⨀⨀⨀</w:t>
            </w:r>
          </w:p>
          <w:p w:rsidR="00B97B32" w:rsidRPr="006316DF" w:rsidRDefault="00B97B32" w:rsidP="00B97B32">
            <w:pPr>
              <w:pStyle w:val="Tabletext"/>
              <w:rPr>
                <w:rFonts w:cs="Arial"/>
              </w:rPr>
            </w:pPr>
            <w:r w:rsidRPr="006316DF">
              <w:rPr>
                <w:rFonts w:cs="Cambria Math"/>
                <w:bCs/>
              </w:rPr>
              <w:t xml:space="preserve">Critical </w:t>
            </w:r>
          </w:p>
        </w:tc>
      </w:tr>
      <w:tr w:rsidR="0075777C" w:rsidRPr="006316DF" w:rsidTr="00805885">
        <w:tc>
          <w:tcPr>
            <w:tcW w:w="1560" w:type="dxa"/>
          </w:tcPr>
          <w:p w:rsidR="0075777C" w:rsidRPr="006316DF" w:rsidRDefault="0075777C" w:rsidP="00805885">
            <w:pPr>
              <w:pStyle w:val="Tabletext"/>
              <w:rPr>
                <w:rFonts w:cs="Arial"/>
              </w:rPr>
            </w:pPr>
            <w:r w:rsidRPr="006316DF">
              <w:rPr>
                <w:rFonts w:cs="Arial"/>
              </w:rPr>
              <w:t>All-cause mortality</w:t>
            </w:r>
          </w:p>
        </w:tc>
        <w:tc>
          <w:tcPr>
            <w:tcW w:w="1275" w:type="dxa"/>
          </w:tcPr>
          <w:p w:rsidR="0075777C" w:rsidRPr="006316DF" w:rsidRDefault="0075777C" w:rsidP="00805885">
            <w:pPr>
              <w:pStyle w:val="Tabletext"/>
              <w:rPr>
                <w:rFonts w:cs="Arial"/>
              </w:rPr>
            </w:pPr>
            <w:r w:rsidRPr="006316DF">
              <w:rPr>
                <w:rFonts w:cs="Arial"/>
              </w:rPr>
              <w:t>N=</w:t>
            </w:r>
            <w:r>
              <w:rPr>
                <w:rFonts w:cs="Arial"/>
              </w:rPr>
              <w:t>105</w:t>
            </w:r>
          </w:p>
          <w:p w:rsidR="0075777C" w:rsidRPr="006316DF" w:rsidRDefault="0075777C" w:rsidP="00805885">
            <w:pPr>
              <w:pStyle w:val="Tabletext"/>
              <w:rPr>
                <w:rFonts w:cs="Arial"/>
              </w:rPr>
            </w:pPr>
            <w:r w:rsidRPr="006316DF">
              <w:rPr>
                <w:rFonts w:cs="Arial"/>
              </w:rPr>
              <w:t>k=</w:t>
            </w:r>
            <w:r>
              <w:rPr>
                <w:rFonts w:cs="Arial"/>
              </w:rPr>
              <w:t>2</w:t>
            </w:r>
            <w:r w:rsidRPr="006316DF">
              <w:rPr>
                <w:rFonts w:cs="Arial"/>
              </w:rPr>
              <w:t xml:space="preserve"> RCTs</w:t>
            </w:r>
          </w:p>
        </w:tc>
        <w:tc>
          <w:tcPr>
            <w:tcW w:w="1701" w:type="dxa"/>
          </w:tcPr>
          <w:p w:rsidR="0075777C" w:rsidRPr="006316DF" w:rsidRDefault="0075777C" w:rsidP="00805885">
            <w:pPr>
              <w:pStyle w:val="Tabletext"/>
              <w:rPr>
                <w:rFonts w:cs="Arial"/>
              </w:rPr>
            </w:pPr>
            <w:r>
              <w:rPr>
                <w:rFonts w:cs="Arial"/>
              </w:rPr>
              <w:t>Risk of bias: −1</w:t>
            </w:r>
          </w:p>
          <w:p w:rsidR="0075777C" w:rsidRPr="006316DF" w:rsidRDefault="0075777C" w:rsidP="00805885">
            <w:pPr>
              <w:pStyle w:val="Tabletext"/>
              <w:rPr>
                <w:rFonts w:cs="Arial"/>
              </w:rPr>
            </w:pPr>
            <w:r w:rsidRPr="006316DF">
              <w:rPr>
                <w:rFonts w:cs="Arial"/>
              </w:rPr>
              <w:t xml:space="preserve">Inconsistency: </w:t>
            </w:r>
            <w:r>
              <w:rPr>
                <w:rFonts w:cs="Arial"/>
              </w:rPr>
              <w:t>0</w:t>
            </w:r>
          </w:p>
          <w:p w:rsidR="0075777C" w:rsidRPr="006316DF" w:rsidRDefault="0075777C" w:rsidP="00805885">
            <w:pPr>
              <w:pStyle w:val="Tabletext"/>
              <w:rPr>
                <w:rFonts w:cs="Arial"/>
              </w:rPr>
            </w:pPr>
            <w:r w:rsidRPr="006316DF">
              <w:rPr>
                <w:rFonts w:cs="Arial"/>
              </w:rPr>
              <w:t>Indirectness: 0</w:t>
            </w:r>
          </w:p>
          <w:p w:rsidR="0075777C" w:rsidRDefault="0075777C" w:rsidP="00805885">
            <w:pPr>
              <w:pStyle w:val="Tabletext"/>
              <w:rPr>
                <w:rFonts w:cs="Arial"/>
              </w:rPr>
            </w:pPr>
            <w:r w:rsidRPr="006316DF">
              <w:rPr>
                <w:rFonts w:cs="Arial"/>
              </w:rPr>
              <w:t>Imprecision: 0</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0</w:t>
            </w:r>
          </w:p>
        </w:tc>
        <w:tc>
          <w:tcPr>
            <w:tcW w:w="1418" w:type="dxa"/>
          </w:tcPr>
          <w:p w:rsidR="0075777C" w:rsidRPr="00F03461" w:rsidRDefault="0075777C" w:rsidP="00805885">
            <w:pPr>
              <w:pStyle w:val="Tabletext"/>
            </w:pPr>
            <w:r>
              <w:t>N</w:t>
            </w:r>
            <w:r w:rsidRPr="00A72EDD">
              <w:t>ot estimable</w:t>
            </w:r>
          </w:p>
        </w:tc>
        <w:tc>
          <w:tcPr>
            <w:tcW w:w="2551" w:type="dxa"/>
          </w:tcPr>
          <w:p w:rsidR="0075777C" w:rsidRPr="00F03461" w:rsidRDefault="0075777C" w:rsidP="00805885">
            <w:pPr>
              <w:pStyle w:val="Tabletext"/>
            </w:pPr>
            <w:r>
              <w:rPr>
                <w:rFonts w:cs="Arial"/>
              </w:rPr>
              <w:t xml:space="preserve">There were no deaths during the study period </w:t>
            </w:r>
          </w:p>
        </w:tc>
        <w:tc>
          <w:tcPr>
            <w:tcW w:w="1134" w:type="dxa"/>
          </w:tcPr>
          <w:p w:rsidR="0075777C" w:rsidRDefault="0075777C" w:rsidP="00805885">
            <w:pPr>
              <w:pStyle w:val="Tabletext"/>
              <w:rPr>
                <w:bCs/>
              </w:rPr>
            </w:pPr>
            <w:r w:rsidRPr="00E564DD">
              <w:rPr>
                <w:bCs/>
              </w:rPr>
              <w:t>Moderate</w:t>
            </w:r>
          </w:p>
          <w:p w:rsidR="0075777C" w:rsidRDefault="0075777C" w:rsidP="00805885">
            <w:pPr>
              <w:pStyle w:val="Tabletext"/>
              <w:rPr>
                <w:rFonts w:ascii="Cambria Math" w:hAnsi="Cambria Math" w:cs="Cambria Math"/>
                <w:bCs/>
              </w:rPr>
            </w:pPr>
            <w:r w:rsidRPr="00E564DD">
              <w:rPr>
                <w:rFonts w:ascii="Cambria Math" w:hAnsi="Cambria Math" w:cs="Cambria Math"/>
                <w:bCs/>
                <w:color w:val="00B050"/>
              </w:rPr>
              <w:t>⨁⨁⨁</w:t>
            </w:r>
            <w:r w:rsidRPr="00E564DD">
              <w:rPr>
                <w:rFonts w:ascii="Cambria Math" w:hAnsi="Cambria Math" w:cs="Cambria Math"/>
                <w:bCs/>
                <w:color w:val="FF0000"/>
              </w:rPr>
              <w:t>⨀</w:t>
            </w:r>
          </w:p>
          <w:p w:rsidR="0075777C" w:rsidRPr="006316DF" w:rsidRDefault="0075777C" w:rsidP="00805885">
            <w:pPr>
              <w:pStyle w:val="Tabletext"/>
              <w:rPr>
                <w:rFonts w:cs="Arial"/>
              </w:rPr>
            </w:pPr>
            <w:r w:rsidRPr="006316DF">
              <w:rPr>
                <w:rFonts w:cs="Arial"/>
              </w:rPr>
              <w:t>Critical</w:t>
            </w:r>
          </w:p>
        </w:tc>
      </w:tr>
      <w:tr w:rsidR="0075777C" w:rsidRPr="006316DF" w:rsidTr="00805885">
        <w:tc>
          <w:tcPr>
            <w:tcW w:w="1560" w:type="dxa"/>
          </w:tcPr>
          <w:p w:rsidR="0075777C" w:rsidRPr="00163A1F" w:rsidRDefault="0075777C" w:rsidP="00805885">
            <w:pPr>
              <w:pStyle w:val="Tabletext"/>
              <w:rPr>
                <w:rFonts w:cs="Arial"/>
              </w:rPr>
            </w:pPr>
            <w:r w:rsidRPr="00163A1F">
              <w:rPr>
                <w:rFonts w:cs="Arial"/>
              </w:rPr>
              <w:t>Hospitalisation</w:t>
            </w:r>
            <w:r w:rsidR="00086A04">
              <w:rPr>
                <w:rFonts w:cs="Arial"/>
              </w:rPr>
              <w:t xml:space="preserve"> due to </w:t>
            </w:r>
            <w:r w:rsidR="00B97B32">
              <w:rPr>
                <w:rFonts w:cs="Arial"/>
              </w:rPr>
              <w:t xml:space="preserve">worsening </w:t>
            </w:r>
            <w:r w:rsidR="00086A04">
              <w:rPr>
                <w:rFonts w:cs="Arial"/>
              </w:rPr>
              <w:t>PAH</w:t>
            </w:r>
          </w:p>
        </w:tc>
        <w:tc>
          <w:tcPr>
            <w:tcW w:w="1275" w:type="dxa"/>
          </w:tcPr>
          <w:p w:rsidR="0075777C" w:rsidRPr="00163A1F" w:rsidRDefault="0075777C" w:rsidP="00805885">
            <w:pPr>
              <w:pStyle w:val="Tabletext"/>
              <w:rPr>
                <w:rFonts w:cs="Arial"/>
              </w:rPr>
            </w:pPr>
            <w:r w:rsidRPr="00163A1F">
              <w:rPr>
                <w:rFonts w:cs="Arial"/>
              </w:rPr>
              <w:t>N=105</w:t>
            </w:r>
          </w:p>
          <w:p w:rsidR="0075777C" w:rsidRPr="00163A1F" w:rsidRDefault="0075777C" w:rsidP="00805885">
            <w:pPr>
              <w:pStyle w:val="Tabletext"/>
              <w:rPr>
                <w:rFonts w:cs="Arial"/>
              </w:rPr>
            </w:pPr>
            <w:r w:rsidRPr="00163A1F">
              <w:rPr>
                <w:rFonts w:cs="Arial"/>
              </w:rPr>
              <w:t>k=2 RCTs</w:t>
            </w:r>
          </w:p>
        </w:tc>
        <w:tc>
          <w:tcPr>
            <w:tcW w:w="1701" w:type="dxa"/>
          </w:tcPr>
          <w:p w:rsidR="0075777C" w:rsidRPr="00163A1F" w:rsidRDefault="0075777C" w:rsidP="00805885">
            <w:pPr>
              <w:pStyle w:val="Tabletext"/>
              <w:rPr>
                <w:rFonts w:cs="Arial"/>
              </w:rPr>
            </w:pPr>
            <w:r w:rsidRPr="00163A1F">
              <w:rPr>
                <w:rFonts w:cs="Arial"/>
              </w:rPr>
              <w:t>Risk of bias: −1</w:t>
            </w:r>
          </w:p>
          <w:p w:rsidR="0075777C" w:rsidRPr="00163A1F" w:rsidRDefault="0075777C" w:rsidP="00805885">
            <w:pPr>
              <w:pStyle w:val="Tabletext"/>
              <w:rPr>
                <w:rFonts w:cs="Arial"/>
              </w:rPr>
            </w:pPr>
            <w:r w:rsidRPr="00163A1F">
              <w:rPr>
                <w:rFonts w:cs="Arial"/>
              </w:rPr>
              <w:t>Inconsistency: 0</w:t>
            </w:r>
          </w:p>
          <w:p w:rsidR="0075777C" w:rsidRPr="00163A1F" w:rsidRDefault="0075777C" w:rsidP="00805885">
            <w:pPr>
              <w:pStyle w:val="Tabletext"/>
              <w:rPr>
                <w:rFonts w:cs="Arial"/>
              </w:rPr>
            </w:pPr>
            <w:r w:rsidRPr="00163A1F">
              <w:rPr>
                <w:rFonts w:cs="Arial"/>
              </w:rPr>
              <w:t>Indirectness: 0</w:t>
            </w:r>
          </w:p>
          <w:p w:rsidR="0075777C" w:rsidRPr="00163A1F" w:rsidRDefault="0075777C" w:rsidP="00805885">
            <w:pPr>
              <w:pStyle w:val="Tabletext"/>
              <w:rPr>
                <w:rFonts w:cs="Arial"/>
              </w:rPr>
            </w:pPr>
            <w:r w:rsidRPr="00163A1F">
              <w:rPr>
                <w:rFonts w:cs="Arial"/>
              </w:rPr>
              <w:t>Imprecision: 0</w:t>
            </w:r>
          </w:p>
          <w:p w:rsidR="0075777C" w:rsidRPr="00163A1F" w:rsidRDefault="0075777C" w:rsidP="00805885">
            <w:pPr>
              <w:pStyle w:val="Tabletext"/>
              <w:rPr>
                <w:rFonts w:cs="Arial"/>
              </w:rPr>
            </w:pPr>
            <w:r w:rsidRPr="00163A1F">
              <w:rPr>
                <w:rFonts w:cs="Arial"/>
              </w:rPr>
              <w:t>Publication bias: 0</w:t>
            </w:r>
          </w:p>
          <w:p w:rsidR="0075777C" w:rsidRPr="00163A1F" w:rsidRDefault="0075777C" w:rsidP="00805885">
            <w:pPr>
              <w:pStyle w:val="Tabletext"/>
              <w:rPr>
                <w:rFonts w:cs="Arial"/>
              </w:rPr>
            </w:pPr>
            <w:r w:rsidRPr="00163A1F">
              <w:rPr>
                <w:rFonts w:cs="Arial"/>
              </w:rPr>
              <w:t>Association: 0</w:t>
            </w:r>
          </w:p>
        </w:tc>
        <w:tc>
          <w:tcPr>
            <w:tcW w:w="1418" w:type="dxa"/>
          </w:tcPr>
          <w:p w:rsidR="0075777C" w:rsidRPr="00163A1F" w:rsidRDefault="00C035C0" w:rsidP="00C035C0">
            <w:pPr>
              <w:pStyle w:val="Tabletext"/>
            </w:pPr>
            <w:r>
              <w:t xml:space="preserve">Pooled </w:t>
            </w:r>
            <w:r w:rsidR="00B21201">
              <w:t>ARD</w:t>
            </w:r>
            <w:r w:rsidR="0075777C" w:rsidRPr="00163A1F">
              <w:t xml:space="preserve"> = −</w:t>
            </w:r>
            <w:r>
              <w:t>5.5</w:t>
            </w:r>
            <w:r w:rsidR="0075777C" w:rsidRPr="00163A1F">
              <w:t>% (95% CI −1</w:t>
            </w:r>
            <w:r>
              <w:t>8.9</w:t>
            </w:r>
            <w:r w:rsidR="0075777C" w:rsidRPr="00163A1F">
              <w:t xml:space="preserve">, </w:t>
            </w:r>
            <w:r>
              <w:t>7.8</w:t>
            </w:r>
            <w:r w:rsidR="0075777C" w:rsidRPr="00163A1F">
              <w:t>)</w:t>
            </w:r>
          </w:p>
        </w:tc>
        <w:tc>
          <w:tcPr>
            <w:tcW w:w="2551" w:type="dxa"/>
          </w:tcPr>
          <w:p w:rsidR="0075777C" w:rsidRPr="00163A1F" w:rsidRDefault="00C035C0" w:rsidP="00C035C0">
            <w:pPr>
              <w:pStyle w:val="Tabletext"/>
            </w:pPr>
            <w:r>
              <w:rPr>
                <w:rFonts w:cs="Arial"/>
              </w:rPr>
              <w:t>F</w:t>
            </w:r>
            <w:r w:rsidR="0075777C" w:rsidRPr="00163A1F">
              <w:rPr>
                <w:rFonts w:cs="Arial"/>
              </w:rPr>
              <w:t>ewer patients were hospitalised</w:t>
            </w:r>
            <w:r w:rsidR="0075777C" w:rsidRPr="00163A1F">
              <w:t xml:space="preserve"> </w:t>
            </w:r>
            <w:r w:rsidR="0075777C" w:rsidRPr="00163A1F">
              <w:rPr>
                <w:rFonts w:cs="Arial"/>
              </w:rPr>
              <w:t>with combination therapy compared with monotherapy</w:t>
            </w:r>
            <w:r w:rsidRPr="00F032EC">
              <w:rPr>
                <w:rFonts w:cs="Arial"/>
              </w:rPr>
              <w:t xml:space="preserve">, but the </w:t>
            </w:r>
            <w:r>
              <w:rPr>
                <w:rFonts w:cs="Arial"/>
              </w:rPr>
              <w:t>95% CI indicates</w:t>
            </w:r>
            <w:r w:rsidRPr="00F032EC">
              <w:rPr>
                <w:rFonts w:cs="Arial"/>
              </w:rPr>
              <w:t xml:space="preserve"> that there could also be the opposite effect.</w:t>
            </w:r>
            <w:r w:rsidR="0075777C" w:rsidRPr="00163A1F">
              <w:rPr>
                <w:rFonts w:cs="Arial"/>
              </w:rPr>
              <w:t xml:space="preserve"> </w:t>
            </w:r>
          </w:p>
        </w:tc>
        <w:tc>
          <w:tcPr>
            <w:tcW w:w="1134" w:type="dxa"/>
          </w:tcPr>
          <w:p w:rsidR="0075777C" w:rsidRPr="00163A1F" w:rsidRDefault="0075777C" w:rsidP="00805885">
            <w:pPr>
              <w:pStyle w:val="Tabletext"/>
              <w:rPr>
                <w:bCs/>
              </w:rPr>
            </w:pPr>
            <w:r w:rsidRPr="00163A1F">
              <w:rPr>
                <w:bCs/>
              </w:rPr>
              <w:t>Moderate</w:t>
            </w:r>
          </w:p>
          <w:p w:rsidR="0075777C" w:rsidRPr="00163A1F" w:rsidRDefault="0075777C" w:rsidP="00805885">
            <w:pPr>
              <w:pStyle w:val="Tabletext"/>
              <w:rPr>
                <w:rFonts w:ascii="Cambria Math" w:hAnsi="Cambria Math" w:cs="Cambria Math"/>
                <w:bCs/>
              </w:rPr>
            </w:pPr>
            <w:r w:rsidRPr="00163A1F">
              <w:rPr>
                <w:rFonts w:ascii="Cambria Math" w:hAnsi="Cambria Math" w:cs="Cambria Math"/>
                <w:bCs/>
                <w:color w:val="00B050"/>
              </w:rPr>
              <w:t>⨁⨁⨁</w:t>
            </w:r>
            <w:r w:rsidRPr="00163A1F">
              <w:rPr>
                <w:rFonts w:ascii="Cambria Math" w:hAnsi="Cambria Math" w:cs="Cambria Math"/>
                <w:bCs/>
                <w:color w:val="FF0000"/>
              </w:rPr>
              <w:t>⨀</w:t>
            </w:r>
          </w:p>
          <w:p w:rsidR="0075777C" w:rsidRPr="00163A1F" w:rsidRDefault="00805885" w:rsidP="00805885">
            <w:pPr>
              <w:pStyle w:val="Tabletext"/>
              <w:rPr>
                <w:rFonts w:cs="Arial"/>
              </w:rPr>
            </w:pPr>
            <w:r>
              <w:rPr>
                <w:rFonts w:cs="Arial"/>
              </w:rPr>
              <w:t>Important</w:t>
            </w:r>
          </w:p>
        </w:tc>
      </w:tr>
      <w:tr w:rsidR="00B97B32" w:rsidRPr="006316DF" w:rsidTr="00805885">
        <w:tc>
          <w:tcPr>
            <w:tcW w:w="1560" w:type="dxa"/>
          </w:tcPr>
          <w:p w:rsidR="00B97B32" w:rsidRPr="006316DF" w:rsidRDefault="00B97B32" w:rsidP="00B97B32">
            <w:pPr>
              <w:pStyle w:val="Tabletext"/>
              <w:rPr>
                <w:rFonts w:cs="Arial"/>
              </w:rPr>
            </w:pPr>
            <w:r w:rsidRPr="006316DF">
              <w:rPr>
                <w:rFonts w:cs="Arial"/>
              </w:rPr>
              <w:t>Improved WHO FC</w:t>
            </w:r>
          </w:p>
        </w:tc>
        <w:tc>
          <w:tcPr>
            <w:tcW w:w="1275" w:type="dxa"/>
          </w:tcPr>
          <w:p w:rsidR="00B97B32" w:rsidRPr="006316DF" w:rsidRDefault="00B97B32" w:rsidP="00B97B32">
            <w:pPr>
              <w:pStyle w:val="Tabletext"/>
              <w:rPr>
                <w:rFonts w:cs="Arial"/>
              </w:rPr>
            </w:pPr>
            <w:r w:rsidRPr="006316DF">
              <w:rPr>
                <w:rFonts w:cs="Arial"/>
              </w:rPr>
              <w:t>N=</w:t>
            </w:r>
            <w:r>
              <w:rPr>
                <w:rFonts w:cs="Arial"/>
              </w:rPr>
              <w:t>65</w:t>
            </w:r>
          </w:p>
          <w:p w:rsidR="00B97B32" w:rsidRPr="006316DF" w:rsidRDefault="00B97B32" w:rsidP="00B97B32">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B97B32" w:rsidRPr="006316DF" w:rsidRDefault="00B97B32" w:rsidP="00B97B32">
            <w:pPr>
              <w:pStyle w:val="Tabletext"/>
              <w:rPr>
                <w:rFonts w:cs="Arial"/>
              </w:rPr>
            </w:pPr>
            <w:r>
              <w:rPr>
                <w:rFonts w:cs="Arial"/>
              </w:rPr>
              <w:t>Risk of bias: 0</w:t>
            </w:r>
          </w:p>
          <w:p w:rsidR="00B97B32" w:rsidRPr="006316DF" w:rsidRDefault="00B97B32" w:rsidP="00B97B32">
            <w:pPr>
              <w:pStyle w:val="Tabletext"/>
              <w:rPr>
                <w:rFonts w:cs="Arial"/>
              </w:rPr>
            </w:pPr>
            <w:r w:rsidRPr="006316DF">
              <w:rPr>
                <w:rFonts w:cs="Arial"/>
              </w:rPr>
              <w:t>Inconsistency: 0</w:t>
            </w:r>
          </w:p>
          <w:p w:rsidR="00B97B32" w:rsidRPr="006316DF" w:rsidRDefault="00B97B32" w:rsidP="00B97B32">
            <w:pPr>
              <w:pStyle w:val="Tabletext"/>
              <w:rPr>
                <w:rFonts w:cs="Arial"/>
              </w:rPr>
            </w:pPr>
            <w:r w:rsidRPr="006316DF">
              <w:rPr>
                <w:rFonts w:cs="Arial"/>
              </w:rPr>
              <w:t>Indirectness: 0</w:t>
            </w:r>
          </w:p>
          <w:p w:rsidR="00B97B32" w:rsidRDefault="00B97B32" w:rsidP="00B97B32">
            <w:pPr>
              <w:pStyle w:val="Tabletext"/>
              <w:rPr>
                <w:rFonts w:cs="Arial"/>
              </w:rPr>
            </w:pPr>
            <w:r w:rsidRPr="006316DF">
              <w:rPr>
                <w:rFonts w:cs="Arial"/>
              </w:rPr>
              <w:t xml:space="preserve">Imprecision: </w:t>
            </w:r>
            <w:r>
              <w:rPr>
                <w:rFonts w:cs="Arial"/>
              </w:rPr>
              <w:t>−2</w:t>
            </w:r>
          </w:p>
          <w:p w:rsidR="00B97B32" w:rsidRDefault="00B97B32" w:rsidP="00B97B32">
            <w:pPr>
              <w:pStyle w:val="Tabletext"/>
              <w:rPr>
                <w:rFonts w:cs="Arial"/>
              </w:rPr>
            </w:pPr>
            <w:r w:rsidRPr="006316DF">
              <w:rPr>
                <w:rFonts w:cs="Arial"/>
              </w:rPr>
              <w:t>Publication bias: 0</w:t>
            </w:r>
          </w:p>
          <w:p w:rsidR="00B97B32" w:rsidRPr="006316DF" w:rsidRDefault="00B97B32" w:rsidP="00B97B32">
            <w:pPr>
              <w:pStyle w:val="Tabletext"/>
              <w:rPr>
                <w:rFonts w:cs="Arial"/>
              </w:rPr>
            </w:pPr>
            <w:r>
              <w:rPr>
                <w:rFonts w:cs="Arial"/>
              </w:rPr>
              <w:t>Association: 0</w:t>
            </w:r>
          </w:p>
        </w:tc>
        <w:tc>
          <w:tcPr>
            <w:tcW w:w="1418" w:type="dxa"/>
          </w:tcPr>
          <w:p w:rsidR="00B97B32" w:rsidRPr="006E6ADE" w:rsidRDefault="00B97B32" w:rsidP="00B97B32">
            <w:pPr>
              <w:pStyle w:val="Tabletext"/>
            </w:pPr>
            <w:r w:rsidRPr="00A72EDD">
              <w:t xml:space="preserve">RR </w:t>
            </w:r>
            <w:r>
              <w:t xml:space="preserve">= </w:t>
            </w:r>
            <w:r w:rsidRPr="00A72EDD">
              <w:t>5.67</w:t>
            </w:r>
            <w:r>
              <w:t xml:space="preserve"> </w:t>
            </w:r>
            <w:r w:rsidRPr="00A72EDD">
              <w:t>(</w:t>
            </w:r>
            <w:r>
              <w:t xml:space="preserve">95% CI </w:t>
            </w:r>
            <w:r w:rsidRPr="00A72EDD">
              <w:t>1.36</w:t>
            </w:r>
            <w:r>
              <w:t>, 23.61)</w:t>
            </w:r>
          </w:p>
        </w:tc>
        <w:tc>
          <w:tcPr>
            <w:tcW w:w="2551" w:type="dxa"/>
          </w:tcPr>
          <w:p w:rsidR="00B97B32" w:rsidRPr="002812F2" w:rsidRDefault="00B97B32" w:rsidP="00B97B32">
            <w:pPr>
              <w:pStyle w:val="Tabletext"/>
              <w:rPr>
                <w:rFonts w:cs="Arial"/>
              </w:rPr>
            </w:pPr>
            <w:r>
              <w:rPr>
                <w:rFonts w:cs="Arial"/>
              </w:rPr>
              <w:t>Significantly m</w:t>
            </w:r>
            <w:r w:rsidRPr="002812F2">
              <w:rPr>
                <w:rFonts w:cs="Arial"/>
              </w:rPr>
              <w:t xml:space="preserve">ore patients </w:t>
            </w:r>
            <w:r>
              <w:rPr>
                <w:rFonts w:cs="Arial"/>
              </w:rPr>
              <w:t>on combination therapy</w:t>
            </w:r>
            <w:r w:rsidRPr="002812F2">
              <w:rPr>
                <w:rFonts w:cs="Arial"/>
              </w:rPr>
              <w:t xml:space="preserve"> improve</w:t>
            </w:r>
            <w:r>
              <w:rPr>
                <w:rFonts w:cs="Arial"/>
              </w:rPr>
              <w:t>d</w:t>
            </w:r>
            <w:r w:rsidRPr="002812F2">
              <w:rPr>
                <w:rFonts w:cs="Arial"/>
              </w:rPr>
              <w:t xml:space="preserve"> their WHO FC than those </w:t>
            </w:r>
            <w:r>
              <w:rPr>
                <w:rFonts w:cs="Arial"/>
              </w:rPr>
              <w:t>on monotherapy</w:t>
            </w:r>
          </w:p>
        </w:tc>
        <w:tc>
          <w:tcPr>
            <w:tcW w:w="1134" w:type="dxa"/>
          </w:tcPr>
          <w:p w:rsidR="00B97B32" w:rsidRPr="006316DF" w:rsidRDefault="00B97B32" w:rsidP="00B97B32">
            <w:pPr>
              <w:pStyle w:val="Tabletext"/>
              <w:rPr>
                <w:rFonts w:cs="Arial"/>
              </w:rPr>
            </w:pPr>
            <w:r>
              <w:rPr>
                <w:rFonts w:cs="Arial"/>
              </w:rPr>
              <w:t>Low</w:t>
            </w:r>
          </w:p>
          <w:p w:rsidR="00B97B32" w:rsidRPr="006316DF" w:rsidRDefault="00B97B32" w:rsidP="00B97B32">
            <w:pPr>
              <w:pStyle w:val="Tabletext"/>
              <w:rPr>
                <w:rFonts w:cs="Cambria Math"/>
                <w:bCs/>
              </w:rPr>
            </w:pPr>
            <w:r w:rsidRPr="006316DF">
              <w:rPr>
                <w:rFonts w:ascii="Cambria Math" w:hAnsi="Cambria Math" w:cs="Cambria Math"/>
                <w:bCs/>
                <w:color w:val="00B050"/>
              </w:rPr>
              <w:t>⨁⨁</w:t>
            </w:r>
            <w:r w:rsidRPr="00E564DD">
              <w:rPr>
                <w:rFonts w:ascii="Cambria Math" w:eastAsia="Times New Roman" w:hAnsi="Cambria Math" w:cs="Cambria Math"/>
                <w:bCs/>
                <w:color w:val="C00000"/>
              </w:rPr>
              <w:t>⨀</w:t>
            </w:r>
            <w:r w:rsidRPr="006316DF">
              <w:rPr>
                <w:rFonts w:ascii="Cambria Math" w:hAnsi="Cambria Math" w:cs="Cambria Math"/>
                <w:color w:val="C00000"/>
              </w:rPr>
              <w:t>⨀</w:t>
            </w:r>
          </w:p>
          <w:p w:rsidR="00B97B32" w:rsidRPr="006316DF" w:rsidRDefault="00B97B32" w:rsidP="00B97B32">
            <w:pPr>
              <w:pStyle w:val="Tabletext"/>
              <w:rPr>
                <w:rFonts w:cs="Arial"/>
              </w:rPr>
            </w:pPr>
            <w:r w:rsidRPr="006316DF">
              <w:rPr>
                <w:rFonts w:cs="Arial"/>
              </w:rPr>
              <w:t>Important</w:t>
            </w:r>
          </w:p>
        </w:tc>
      </w:tr>
      <w:tr w:rsidR="00B97B32" w:rsidRPr="006316DF" w:rsidTr="00805885">
        <w:tc>
          <w:tcPr>
            <w:tcW w:w="1560" w:type="dxa"/>
          </w:tcPr>
          <w:p w:rsidR="00B97B32" w:rsidRPr="00163A1F" w:rsidRDefault="00B97B32" w:rsidP="00B97B32">
            <w:pPr>
              <w:pStyle w:val="Tabletext"/>
              <w:rPr>
                <w:rFonts w:cs="Arial"/>
              </w:rPr>
            </w:pPr>
            <w:r w:rsidRPr="00163A1F">
              <w:rPr>
                <w:rFonts w:cs="Arial"/>
              </w:rPr>
              <w:t>Worsened WHO FC</w:t>
            </w:r>
          </w:p>
        </w:tc>
        <w:tc>
          <w:tcPr>
            <w:tcW w:w="1275" w:type="dxa"/>
          </w:tcPr>
          <w:p w:rsidR="00B97B32" w:rsidRPr="00163A1F" w:rsidRDefault="00B97B32" w:rsidP="00B97B32">
            <w:pPr>
              <w:pStyle w:val="Tabletext"/>
              <w:rPr>
                <w:rFonts w:cs="Arial"/>
              </w:rPr>
            </w:pPr>
            <w:r w:rsidRPr="00163A1F">
              <w:rPr>
                <w:rFonts w:cs="Arial"/>
              </w:rPr>
              <w:t>N=65</w:t>
            </w:r>
          </w:p>
          <w:p w:rsidR="00B97B32" w:rsidRPr="00163A1F" w:rsidRDefault="00B97B32" w:rsidP="00B97B32">
            <w:pPr>
              <w:pStyle w:val="Tabletext"/>
              <w:rPr>
                <w:rFonts w:cs="Arial"/>
              </w:rPr>
            </w:pPr>
            <w:r w:rsidRPr="00163A1F">
              <w:rPr>
                <w:rFonts w:cs="Arial"/>
              </w:rPr>
              <w:t>k=1 RCT</w:t>
            </w:r>
          </w:p>
        </w:tc>
        <w:tc>
          <w:tcPr>
            <w:tcW w:w="1701" w:type="dxa"/>
          </w:tcPr>
          <w:p w:rsidR="00B97B32" w:rsidRPr="00163A1F" w:rsidRDefault="00B97B32" w:rsidP="00B97B32">
            <w:pPr>
              <w:pStyle w:val="Tabletext"/>
              <w:rPr>
                <w:rFonts w:cs="Arial"/>
              </w:rPr>
            </w:pPr>
            <w:r w:rsidRPr="00163A1F">
              <w:rPr>
                <w:rFonts w:cs="Arial"/>
              </w:rPr>
              <w:t>Risk of bias: 0</w:t>
            </w:r>
          </w:p>
          <w:p w:rsidR="00B97B32" w:rsidRPr="00163A1F" w:rsidRDefault="00B97B32" w:rsidP="00B97B32">
            <w:pPr>
              <w:pStyle w:val="Tabletext"/>
              <w:rPr>
                <w:rFonts w:cs="Arial"/>
              </w:rPr>
            </w:pPr>
            <w:r w:rsidRPr="00163A1F">
              <w:rPr>
                <w:rFonts w:cs="Arial"/>
              </w:rPr>
              <w:t>Inconsistency: 0</w:t>
            </w:r>
          </w:p>
          <w:p w:rsidR="00B97B32" w:rsidRPr="00163A1F" w:rsidRDefault="00B97B32" w:rsidP="00B97B32">
            <w:pPr>
              <w:pStyle w:val="Tabletext"/>
              <w:rPr>
                <w:rFonts w:cs="Arial"/>
              </w:rPr>
            </w:pPr>
            <w:r w:rsidRPr="00163A1F">
              <w:rPr>
                <w:rFonts w:cs="Arial"/>
              </w:rPr>
              <w:t>Indirectness: 0</w:t>
            </w:r>
          </w:p>
          <w:p w:rsidR="00B97B32" w:rsidRPr="00163A1F" w:rsidRDefault="00B97B32" w:rsidP="00B97B32">
            <w:pPr>
              <w:pStyle w:val="Tabletext"/>
              <w:rPr>
                <w:rFonts w:cs="Arial"/>
              </w:rPr>
            </w:pPr>
            <w:r w:rsidRPr="00163A1F">
              <w:rPr>
                <w:rFonts w:cs="Arial"/>
              </w:rPr>
              <w:t xml:space="preserve">Imprecision: </w:t>
            </w:r>
            <w:r>
              <w:rPr>
                <w:rFonts w:cs="Arial"/>
              </w:rPr>
              <w:t>−1</w:t>
            </w:r>
          </w:p>
          <w:p w:rsidR="00B97B32" w:rsidRPr="00163A1F" w:rsidRDefault="00B97B32" w:rsidP="00B97B32">
            <w:pPr>
              <w:pStyle w:val="Tabletext"/>
              <w:rPr>
                <w:rFonts w:cs="Arial"/>
              </w:rPr>
            </w:pPr>
            <w:r w:rsidRPr="00163A1F">
              <w:rPr>
                <w:rFonts w:cs="Arial"/>
              </w:rPr>
              <w:t>Publication bias: 0</w:t>
            </w:r>
          </w:p>
          <w:p w:rsidR="00B97B32" w:rsidRPr="00163A1F" w:rsidRDefault="00B97B32" w:rsidP="00B97B32">
            <w:pPr>
              <w:pStyle w:val="Tabletext"/>
              <w:rPr>
                <w:rFonts w:cs="Arial"/>
              </w:rPr>
            </w:pPr>
            <w:r w:rsidRPr="00163A1F">
              <w:rPr>
                <w:rFonts w:cs="Arial"/>
              </w:rPr>
              <w:t>Association: 0</w:t>
            </w:r>
          </w:p>
        </w:tc>
        <w:tc>
          <w:tcPr>
            <w:tcW w:w="1418" w:type="dxa"/>
          </w:tcPr>
          <w:p w:rsidR="00B97B32" w:rsidRPr="00163A1F" w:rsidRDefault="00B97B32" w:rsidP="00B97B32">
            <w:pPr>
              <w:pStyle w:val="Tabletext"/>
            </w:pPr>
            <w:r>
              <w:t>ARD</w:t>
            </w:r>
            <w:r w:rsidRPr="00163A1F">
              <w:t xml:space="preserve"> = −3.0% (95% CI −8.9, 2.8)</w:t>
            </w:r>
          </w:p>
        </w:tc>
        <w:tc>
          <w:tcPr>
            <w:tcW w:w="2551" w:type="dxa"/>
          </w:tcPr>
          <w:p w:rsidR="00B97B32" w:rsidRPr="00163A1F" w:rsidRDefault="00B97B32" w:rsidP="00B97B32">
            <w:pPr>
              <w:pStyle w:val="Tabletext"/>
              <w:rPr>
                <w:rFonts w:cs="Arial"/>
              </w:rPr>
            </w:pPr>
            <w:r w:rsidRPr="00163A1F">
              <w:rPr>
                <w:rFonts w:cs="Arial"/>
              </w:rPr>
              <w:t>Fewer patients experienced clinical worsening with combination therapy compared with monotherapy, but the difference was not statistically significant (p = 0.32)</w:t>
            </w:r>
          </w:p>
        </w:tc>
        <w:tc>
          <w:tcPr>
            <w:tcW w:w="1134" w:type="dxa"/>
          </w:tcPr>
          <w:p w:rsidR="00B97B32" w:rsidRPr="00163A1F" w:rsidRDefault="00B97B32" w:rsidP="00B97B32">
            <w:pPr>
              <w:pStyle w:val="Tabletext"/>
              <w:rPr>
                <w:rFonts w:cs="Arial"/>
              </w:rPr>
            </w:pPr>
            <w:r>
              <w:rPr>
                <w:rFonts w:cs="Arial"/>
              </w:rPr>
              <w:t>Moderate</w:t>
            </w:r>
          </w:p>
          <w:p w:rsidR="00B97B32" w:rsidRPr="00163A1F" w:rsidRDefault="00B97B32" w:rsidP="00B97B32">
            <w:pPr>
              <w:pStyle w:val="Tabletext"/>
              <w:rPr>
                <w:rFonts w:cs="Cambria Math"/>
                <w:bCs/>
              </w:rPr>
            </w:pPr>
            <w:r w:rsidRPr="00163A1F">
              <w:rPr>
                <w:rFonts w:ascii="Cambria Math" w:hAnsi="Cambria Math" w:cs="Cambria Math"/>
                <w:bCs/>
                <w:color w:val="00B050"/>
              </w:rPr>
              <w:t>⨁⨁⨁</w:t>
            </w:r>
            <w:r w:rsidRPr="00E564DD">
              <w:rPr>
                <w:rFonts w:ascii="Cambria Math" w:eastAsia="Times New Roman" w:hAnsi="Cambria Math" w:cs="Cambria Math"/>
                <w:bCs/>
                <w:color w:val="C00000"/>
              </w:rPr>
              <w:t>⨀</w:t>
            </w:r>
          </w:p>
          <w:p w:rsidR="00B97B32" w:rsidRPr="00163A1F" w:rsidRDefault="00B97B32" w:rsidP="00B97B32">
            <w:pPr>
              <w:pStyle w:val="Tabletext"/>
              <w:rPr>
                <w:rFonts w:cs="Arial"/>
              </w:rPr>
            </w:pPr>
            <w:r w:rsidRPr="00163A1F">
              <w:rPr>
                <w:rFonts w:cs="Arial"/>
              </w:rPr>
              <w:t>Important</w:t>
            </w:r>
          </w:p>
        </w:tc>
      </w:tr>
      <w:tr w:rsidR="00B97B32" w:rsidRPr="006316DF" w:rsidTr="00805885">
        <w:tc>
          <w:tcPr>
            <w:tcW w:w="1560" w:type="dxa"/>
          </w:tcPr>
          <w:p w:rsidR="00B97B32" w:rsidRPr="006316DF" w:rsidRDefault="00B97B32" w:rsidP="00B97B32">
            <w:pPr>
              <w:pStyle w:val="Tabletext"/>
              <w:rPr>
                <w:rFonts w:cs="Arial"/>
              </w:rPr>
            </w:pPr>
            <w:r w:rsidRPr="006316DF">
              <w:rPr>
                <w:rFonts w:cs="Arial"/>
              </w:rPr>
              <w:t>Change in 6MWD</w:t>
            </w:r>
            <w:r>
              <w:rPr>
                <w:rFonts w:cs="Arial"/>
              </w:rPr>
              <w:t xml:space="preserve"> from baseline</w:t>
            </w:r>
          </w:p>
        </w:tc>
        <w:tc>
          <w:tcPr>
            <w:tcW w:w="1275" w:type="dxa"/>
          </w:tcPr>
          <w:p w:rsidR="00B97B32" w:rsidRPr="006316DF" w:rsidRDefault="00B97B32" w:rsidP="00B97B32">
            <w:pPr>
              <w:pStyle w:val="Tabletext"/>
              <w:rPr>
                <w:rFonts w:cs="Arial"/>
              </w:rPr>
            </w:pPr>
            <w:r w:rsidRPr="006316DF">
              <w:rPr>
                <w:rFonts w:cs="Arial"/>
              </w:rPr>
              <w:t>N=1</w:t>
            </w:r>
            <w:r>
              <w:rPr>
                <w:rFonts w:cs="Arial"/>
              </w:rPr>
              <w:t>05</w:t>
            </w:r>
          </w:p>
          <w:p w:rsidR="00B97B32" w:rsidRPr="006316DF" w:rsidRDefault="00B97B32" w:rsidP="00B97B32">
            <w:pPr>
              <w:pStyle w:val="Tabletext"/>
              <w:rPr>
                <w:rFonts w:cs="Arial"/>
              </w:rPr>
            </w:pPr>
            <w:r w:rsidRPr="006316DF">
              <w:rPr>
                <w:rFonts w:cs="Arial"/>
              </w:rPr>
              <w:t>k=</w:t>
            </w:r>
            <w:r>
              <w:rPr>
                <w:rFonts w:cs="Arial"/>
              </w:rPr>
              <w:t>2</w:t>
            </w:r>
            <w:r w:rsidRPr="006316DF">
              <w:rPr>
                <w:rFonts w:cs="Arial"/>
              </w:rPr>
              <w:t xml:space="preserve"> RCT</w:t>
            </w:r>
            <w:r>
              <w:rPr>
                <w:rFonts w:cs="Arial"/>
              </w:rPr>
              <w:t>s</w:t>
            </w:r>
          </w:p>
        </w:tc>
        <w:tc>
          <w:tcPr>
            <w:tcW w:w="1701" w:type="dxa"/>
          </w:tcPr>
          <w:p w:rsidR="00B97B32" w:rsidRPr="006316DF" w:rsidRDefault="00B97B32" w:rsidP="00B97B32">
            <w:pPr>
              <w:pStyle w:val="Tabletext"/>
              <w:rPr>
                <w:rFonts w:cs="Arial"/>
              </w:rPr>
            </w:pPr>
            <w:r>
              <w:rPr>
                <w:rFonts w:cs="Arial"/>
              </w:rPr>
              <w:t>Risk of bias: −1</w:t>
            </w:r>
          </w:p>
          <w:p w:rsidR="00B97B32" w:rsidRPr="006316DF" w:rsidRDefault="00B97B32" w:rsidP="00B97B32">
            <w:pPr>
              <w:pStyle w:val="Tabletext"/>
              <w:rPr>
                <w:rFonts w:cs="Arial"/>
              </w:rPr>
            </w:pPr>
            <w:r w:rsidRPr="006316DF">
              <w:rPr>
                <w:rFonts w:cs="Arial"/>
              </w:rPr>
              <w:t>Inconsistency: 0</w:t>
            </w:r>
          </w:p>
          <w:p w:rsidR="00B97B32" w:rsidRPr="006316DF" w:rsidRDefault="00B97B32" w:rsidP="00B97B32">
            <w:pPr>
              <w:pStyle w:val="Tabletext"/>
              <w:rPr>
                <w:rFonts w:cs="Arial"/>
              </w:rPr>
            </w:pPr>
            <w:r w:rsidRPr="006316DF">
              <w:rPr>
                <w:rFonts w:cs="Arial"/>
              </w:rPr>
              <w:t xml:space="preserve">Indirectness: </w:t>
            </w:r>
            <w:r>
              <w:rPr>
                <w:rFonts w:cs="Arial"/>
              </w:rPr>
              <w:t>−1</w:t>
            </w:r>
          </w:p>
          <w:p w:rsidR="00B97B32" w:rsidRDefault="00B97B32" w:rsidP="00B97B32">
            <w:pPr>
              <w:pStyle w:val="Tabletext"/>
              <w:rPr>
                <w:rFonts w:cs="Arial"/>
              </w:rPr>
            </w:pPr>
            <w:r w:rsidRPr="006316DF">
              <w:rPr>
                <w:rFonts w:cs="Arial"/>
              </w:rPr>
              <w:t>Imprecision: 0</w:t>
            </w:r>
          </w:p>
          <w:p w:rsidR="00B97B32" w:rsidRDefault="00B97B32" w:rsidP="00B97B32">
            <w:pPr>
              <w:pStyle w:val="Tabletext"/>
              <w:rPr>
                <w:rFonts w:cs="Arial"/>
              </w:rPr>
            </w:pPr>
            <w:r w:rsidRPr="006316DF">
              <w:rPr>
                <w:rFonts w:cs="Arial"/>
              </w:rPr>
              <w:t>Publication bias: 0</w:t>
            </w:r>
          </w:p>
          <w:p w:rsidR="00B97B32" w:rsidRPr="006316DF" w:rsidRDefault="00B97B32" w:rsidP="00B97B32">
            <w:pPr>
              <w:pStyle w:val="Tabletext"/>
              <w:rPr>
                <w:rFonts w:cs="Arial"/>
              </w:rPr>
            </w:pPr>
            <w:r>
              <w:rPr>
                <w:rFonts w:cs="Arial"/>
              </w:rPr>
              <w:t>Association: 0</w:t>
            </w:r>
          </w:p>
        </w:tc>
        <w:tc>
          <w:tcPr>
            <w:tcW w:w="1418" w:type="dxa"/>
          </w:tcPr>
          <w:p w:rsidR="00B97B32" w:rsidRPr="0006289E" w:rsidRDefault="00B97B32" w:rsidP="00B97B32">
            <w:pPr>
              <w:pStyle w:val="Tabletext"/>
            </w:pPr>
            <w:r>
              <w:t>Range 10−26 m further</w:t>
            </w:r>
          </w:p>
        </w:tc>
        <w:tc>
          <w:tcPr>
            <w:tcW w:w="2551" w:type="dxa"/>
          </w:tcPr>
          <w:p w:rsidR="00B97B32" w:rsidRPr="0006289E" w:rsidRDefault="00B97B32" w:rsidP="00B97B32">
            <w:pPr>
              <w:pStyle w:val="Tabletext"/>
              <w:rPr>
                <w:rFonts w:cs="Arial"/>
              </w:rPr>
            </w:pPr>
            <w:r>
              <w:rPr>
                <w:rFonts w:cs="Arial"/>
              </w:rPr>
              <w:t>P</w:t>
            </w:r>
            <w:r w:rsidRPr="0006289E">
              <w:rPr>
                <w:rFonts w:cs="Arial"/>
              </w:rPr>
              <w:t>atients on combination th</w:t>
            </w:r>
            <w:r>
              <w:rPr>
                <w:rFonts w:cs="Arial"/>
              </w:rPr>
              <w:t>e</w:t>
            </w:r>
            <w:r w:rsidRPr="0006289E">
              <w:rPr>
                <w:rFonts w:cs="Arial"/>
              </w:rPr>
              <w:t>rapy ha</w:t>
            </w:r>
            <w:r>
              <w:rPr>
                <w:rFonts w:cs="Arial"/>
              </w:rPr>
              <w:t>d</w:t>
            </w:r>
            <w:r w:rsidRPr="0006289E">
              <w:rPr>
                <w:rFonts w:cs="Arial"/>
              </w:rPr>
              <w:t xml:space="preserve"> a larger </w:t>
            </w:r>
            <w:r>
              <w:rPr>
                <w:rFonts w:cs="Arial"/>
              </w:rPr>
              <w:t xml:space="preserve">mean </w:t>
            </w:r>
            <w:r w:rsidRPr="0006289E">
              <w:rPr>
                <w:rFonts w:cs="Arial"/>
              </w:rPr>
              <w:t>improvement in their 6MWD than those on monotherapy</w:t>
            </w:r>
            <w:r w:rsidR="00196DB5">
              <w:rPr>
                <w:rFonts w:cs="Arial"/>
              </w:rPr>
              <w:t>, but the difference was not clinically important</w:t>
            </w:r>
          </w:p>
        </w:tc>
        <w:tc>
          <w:tcPr>
            <w:tcW w:w="1134" w:type="dxa"/>
          </w:tcPr>
          <w:p w:rsidR="00B97B32" w:rsidRDefault="00B97B32" w:rsidP="00B97B32">
            <w:pPr>
              <w:pStyle w:val="Tabletext"/>
              <w:rPr>
                <w:bCs/>
              </w:rPr>
            </w:pPr>
            <w:r>
              <w:rPr>
                <w:bCs/>
              </w:rPr>
              <w:t>Low</w:t>
            </w:r>
          </w:p>
          <w:p w:rsidR="00B97B32" w:rsidRDefault="00B97B32" w:rsidP="00B97B32">
            <w:pPr>
              <w:pStyle w:val="Tabletext"/>
              <w:rPr>
                <w:rFonts w:ascii="Cambria Math" w:hAnsi="Cambria Math" w:cs="Cambria Math"/>
                <w:bCs/>
              </w:rPr>
            </w:pPr>
            <w:r w:rsidRPr="00E564DD">
              <w:rPr>
                <w:rFonts w:ascii="Cambria Math" w:hAnsi="Cambria Math" w:cs="Cambria Math"/>
                <w:bCs/>
                <w:color w:val="00B050"/>
              </w:rPr>
              <w:t>⨁⨁</w:t>
            </w:r>
            <w:r w:rsidRPr="006316DF">
              <w:rPr>
                <w:rFonts w:ascii="Cambria Math" w:hAnsi="Cambria Math" w:cs="Cambria Math"/>
                <w:color w:val="C00000"/>
              </w:rPr>
              <w:t>⨀</w:t>
            </w:r>
            <w:r w:rsidRPr="00E564DD">
              <w:rPr>
                <w:rFonts w:ascii="Cambria Math" w:hAnsi="Cambria Math" w:cs="Cambria Math"/>
                <w:bCs/>
                <w:color w:val="FF0000"/>
              </w:rPr>
              <w:t>⨀</w:t>
            </w:r>
          </w:p>
          <w:p w:rsidR="00B97B32" w:rsidRPr="006316DF" w:rsidRDefault="00B97B32" w:rsidP="00B97B32">
            <w:pPr>
              <w:pStyle w:val="Tabletext"/>
              <w:rPr>
                <w:rFonts w:cs="Arial"/>
              </w:rPr>
            </w:pPr>
            <w:r>
              <w:rPr>
                <w:rFonts w:cs="Arial"/>
              </w:rPr>
              <w:t>I</w:t>
            </w:r>
            <w:r w:rsidRPr="006316DF">
              <w:rPr>
                <w:rFonts w:cs="Arial"/>
              </w:rPr>
              <w:t>mportant</w:t>
            </w:r>
          </w:p>
        </w:tc>
      </w:tr>
      <w:tr w:rsidR="00B97B32" w:rsidRPr="006316DF" w:rsidTr="00805885">
        <w:tc>
          <w:tcPr>
            <w:tcW w:w="1560" w:type="dxa"/>
          </w:tcPr>
          <w:p w:rsidR="00B97B32" w:rsidRPr="006316DF" w:rsidRDefault="00B97B32" w:rsidP="00B97B32">
            <w:pPr>
              <w:pStyle w:val="Tabletext"/>
              <w:rPr>
                <w:rFonts w:cs="Arial"/>
              </w:rPr>
            </w:pPr>
            <w:r w:rsidRPr="006316DF">
              <w:rPr>
                <w:rFonts w:cs="Arial"/>
              </w:rPr>
              <w:t xml:space="preserve">Change in </w:t>
            </w:r>
            <w:r>
              <w:rPr>
                <w:rFonts w:cs="Arial"/>
              </w:rPr>
              <w:t>QoL from baseline</w:t>
            </w:r>
          </w:p>
        </w:tc>
        <w:tc>
          <w:tcPr>
            <w:tcW w:w="1275" w:type="dxa"/>
          </w:tcPr>
          <w:p w:rsidR="00B97B32" w:rsidRPr="006316DF" w:rsidRDefault="00B97B32" w:rsidP="00B97B32">
            <w:pPr>
              <w:pStyle w:val="Tabletext"/>
              <w:rPr>
                <w:rFonts w:cs="Arial"/>
              </w:rPr>
            </w:pPr>
            <w:r w:rsidRPr="006316DF">
              <w:rPr>
                <w:rFonts w:cs="Arial"/>
              </w:rPr>
              <w:t>N=4</w:t>
            </w:r>
            <w:r>
              <w:rPr>
                <w:rFonts w:cs="Arial"/>
              </w:rPr>
              <w:t>0</w:t>
            </w:r>
          </w:p>
          <w:p w:rsidR="00B97B32" w:rsidRPr="006316DF" w:rsidRDefault="00B97B32" w:rsidP="00B97B32">
            <w:pPr>
              <w:pStyle w:val="Tabletext"/>
              <w:rPr>
                <w:rFonts w:cs="Arial"/>
              </w:rPr>
            </w:pPr>
            <w:r w:rsidRPr="006316DF">
              <w:rPr>
                <w:rFonts w:cs="Arial"/>
              </w:rPr>
              <w:t>k=1 RCT</w:t>
            </w:r>
          </w:p>
        </w:tc>
        <w:tc>
          <w:tcPr>
            <w:tcW w:w="1701" w:type="dxa"/>
          </w:tcPr>
          <w:p w:rsidR="00B97B32" w:rsidRPr="006316DF" w:rsidRDefault="00B97B32" w:rsidP="00B97B32">
            <w:pPr>
              <w:pStyle w:val="Tabletext"/>
              <w:rPr>
                <w:rFonts w:cs="Arial"/>
              </w:rPr>
            </w:pPr>
            <w:r>
              <w:rPr>
                <w:rFonts w:cs="Arial"/>
              </w:rPr>
              <w:t>Risk of bias: −2</w:t>
            </w:r>
          </w:p>
          <w:p w:rsidR="00B97B32" w:rsidRPr="006316DF" w:rsidRDefault="00B97B32" w:rsidP="00B97B32">
            <w:pPr>
              <w:pStyle w:val="Tabletext"/>
              <w:rPr>
                <w:rFonts w:cs="Arial"/>
              </w:rPr>
            </w:pPr>
            <w:r w:rsidRPr="006316DF">
              <w:rPr>
                <w:rFonts w:cs="Arial"/>
              </w:rPr>
              <w:t>Inconsistency: 0</w:t>
            </w:r>
          </w:p>
          <w:p w:rsidR="00B97B32" w:rsidRPr="006316DF" w:rsidRDefault="00B97B32" w:rsidP="00B97B32">
            <w:pPr>
              <w:pStyle w:val="Tabletext"/>
              <w:rPr>
                <w:rFonts w:cs="Arial"/>
              </w:rPr>
            </w:pPr>
            <w:r w:rsidRPr="006316DF">
              <w:rPr>
                <w:rFonts w:cs="Arial"/>
              </w:rPr>
              <w:t>Indirectness: 0</w:t>
            </w:r>
          </w:p>
          <w:p w:rsidR="00B97B32" w:rsidRDefault="00B97B32" w:rsidP="00B97B32">
            <w:pPr>
              <w:pStyle w:val="Tabletext"/>
              <w:rPr>
                <w:rFonts w:cs="Arial"/>
              </w:rPr>
            </w:pPr>
            <w:r w:rsidRPr="006316DF">
              <w:rPr>
                <w:rFonts w:cs="Arial"/>
              </w:rPr>
              <w:t xml:space="preserve">Imprecision: </w:t>
            </w:r>
            <w:r>
              <w:rPr>
                <w:rFonts w:cs="Arial"/>
              </w:rPr>
              <w:t>−2</w:t>
            </w:r>
          </w:p>
          <w:p w:rsidR="00B97B32" w:rsidRDefault="00B97B32" w:rsidP="00B97B32">
            <w:pPr>
              <w:pStyle w:val="Tabletext"/>
              <w:rPr>
                <w:rFonts w:cs="Arial"/>
              </w:rPr>
            </w:pPr>
            <w:r w:rsidRPr="006316DF">
              <w:rPr>
                <w:rFonts w:cs="Arial"/>
              </w:rPr>
              <w:t>Publication bias: 0</w:t>
            </w:r>
          </w:p>
          <w:p w:rsidR="00B97B32" w:rsidRPr="006316DF" w:rsidRDefault="00B97B32" w:rsidP="00B97B32">
            <w:pPr>
              <w:pStyle w:val="Tabletext"/>
              <w:rPr>
                <w:rFonts w:cs="Arial"/>
              </w:rPr>
            </w:pPr>
            <w:r>
              <w:rPr>
                <w:rFonts w:cs="Arial"/>
              </w:rPr>
              <w:t>Association: +1</w:t>
            </w:r>
          </w:p>
        </w:tc>
        <w:tc>
          <w:tcPr>
            <w:tcW w:w="1418" w:type="dxa"/>
          </w:tcPr>
          <w:p w:rsidR="00B97B32" w:rsidRPr="0006289E" w:rsidRDefault="00B97B32" w:rsidP="00B97B32">
            <w:pPr>
              <w:pStyle w:val="Tabletext"/>
            </w:pPr>
            <w:r w:rsidRPr="0043303C">
              <w:t>EQ-</w:t>
            </w:r>
            <w:r>
              <w:t>VAS</w:t>
            </w:r>
            <w:r w:rsidRPr="0017449B">
              <w:rPr>
                <w:vertAlign w:val="superscript"/>
              </w:rPr>
              <w:t>b</w:t>
            </w:r>
            <w:r>
              <w:br/>
              <w:t>MD = 10 point improvement</w:t>
            </w:r>
          </w:p>
        </w:tc>
        <w:tc>
          <w:tcPr>
            <w:tcW w:w="2551" w:type="dxa"/>
          </w:tcPr>
          <w:p w:rsidR="00B97B32" w:rsidRPr="0006289E" w:rsidRDefault="00B97B32" w:rsidP="00B97B32">
            <w:pPr>
              <w:pStyle w:val="Tabletext"/>
              <w:rPr>
                <w:rFonts w:cs="Arial"/>
              </w:rPr>
            </w:pPr>
            <w:r>
              <w:rPr>
                <w:rFonts w:cs="Arial"/>
              </w:rPr>
              <w:t>P</w:t>
            </w:r>
            <w:r w:rsidRPr="0006289E">
              <w:rPr>
                <w:rFonts w:cs="Arial"/>
              </w:rPr>
              <w:t>atients on combination th</w:t>
            </w:r>
            <w:r>
              <w:rPr>
                <w:rFonts w:cs="Arial"/>
              </w:rPr>
              <w:t>e</w:t>
            </w:r>
            <w:r w:rsidRPr="0006289E">
              <w:rPr>
                <w:rFonts w:cs="Arial"/>
              </w:rPr>
              <w:t>rapy ha</w:t>
            </w:r>
            <w:r>
              <w:rPr>
                <w:rFonts w:cs="Arial"/>
              </w:rPr>
              <w:t>d</w:t>
            </w:r>
            <w:r w:rsidRPr="0006289E">
              <w:rPr>
                <w:rFonts w:cs="Arial"/>
              </w:rPr>
              <w:t xml:space="preserve"> a larger </w:t>
            </w:r>
            <w:r>
              <w:rPr>
                <w:rFonts w:cs="Arial"/>
              </w:rPr>
              <w:t xml:space="preserve">clinically important mean </w:t>
            </w:r>
            <w:r w:rsidRPr="0006289E">
              <w:rPr>
                <w:rFonts w:cs="Arial"/>
              </w:rPr>
              <w:t xml:space="preserve">improvement in their </w:t>
            </w:r>
            <w:r>
              <w:rPr>
                <w:rFonts w:cs="Arial"/>
              </w:rPr>
              <w:t>QoL</w:t>
            </w:r>
            <w:r w:rsidRPr="0006289E">
              <w:rPr>
                <w:rFonts w:cs="Arial"/>
              </w:rPr>
              <w:t xml:space="preserve"> than those on monotherapy</w:t>
            </w:r>
          </w:p>
        </w:tc>
        <w:tc>
          <w:tcPr>
            <w:tcW w:w="1134" w:type="dxa"/>
          </w:tcPr>
          <w:p w:rsidR="00B97B32" w:rsidRDefault="00B97B32" w:rsidP="00B97B32">
            <w:pPr>
              <w:pStyle w:val="Tabletext"/>
              <w:rPr>
                <w:bCs/>
              </w:rPr>
            </w:pPr>
            <w:r>
              <w:rPr>
                <w:bCs/>
              </w:rPr>
              <w:t>Very low</w:t>
            </w:r>
          </w:p>
          <w:p w:rsidR="00B97B32" w:rsidRDefault="00B97B32" w:rsidP="00B97B32">
            <w:pPr>
              <w:pStyle w:val="Tabletext"/>
              <w:rPr>
                <w:rFonts w:ascii="Cambria Math" w:hAnsi="Cambria Math" w:cs="Cambria Math"/>
                <w:bCs/>
              </w:rPr>
            </w:pPr>
            <w:r w:rsidRPr="00E564DD">
              <w:rPr>
                <w:rFonts w:ascii="Cambria Math" w:hAnsi="Cambria Math" w:cs="Cambria Math"/>
                <w:bCs/>
                <w:color w:val="00B050"/>
              </w:rPr>
              <w:t>⨁</w:t>
            </w:r>
            <w:r w:rsidRPr="00E564DD">
              <w:rPr>
                <w:rFonts w:ascii="Cambria Math" w:eastAsia="Times New Roman" w:hAnsi="Cambria Math" w:cs="Cambria Math"/>
                <w:bCs/>
                <w:color w:val="C00000"/>
              </w:rPr>
              <w:t>⨀</w:t>
            </w:r>
            <w:r w:rsidRPr="006316DF">
              <w:rPr>
                <w:rFonts w:ascii="Cambria Math" w:hAnsi="Cambria Math" w:cs="Cambria Math"/>
                <w:color w:val="C00000"/>
              </w:rPr>
              <w:t>⨀</w:t>
            </w:r>
            <w:r w:rsidRPr="00E564DD">
              <w:rPr>
                <w:rFonts w:ascii="Cambria Math" w:hAnsi="Cambria Math" w:cs="Cambria Math"/>
                <w:bCs/>
                <w:color w:val="FF0000"/>
              </w:rPr>
              <w:t>⨀</w:t>
            </w:r>
          </w:p>
          <w:p w:rsidR="00B97B32" w:rsidRPr="006316DF" w:rsidRDefault="00B97B32" w:rsidP="00B97B32">
            <w:pPr>
              <w:pStyle w:val="Tabletext"/>
              <w:rPr>
                <w:rFonts w:cs="Arial"/>
              </w:rPr>
            </w:pPr>
            <w:r>
              <w:rPr>
                <w:rFonts w:cs="Arial"/>
              </w:rPr>
              <w:t>I</w:t>
            </w:r>
            <w:r w:rsidRPr="006316DF">
              <w:rPr>
                <w:rFonts w:cs="Arial"/>
              </w:rPr>
              <w:t>mportant</w:t>
            </w:r>
          </w:p>
        </w:tc>
      </w:tr>
      <w:tr w:rsidR="00B97B32" w:rsidRPr="006316DF" w:rsidTr="007446CB">
        <w:trPr>
          <w:trHeight w:val="1298"/>
        </w:trPr>
        <w:tc>
          <w:tcPr>
            <w:tcW w:w="1560" w:type="dxa"/>
          </w:tcPr>
          <w:p w:rsidR="00B97B32" w:rsidRPr="006316DF" w:rsidRDefault="00B97B32" w:rsidP="00B97B32">
            <w:pPr>
              <w:pStyle w:val="Tabletext"/>
              <w:rPr>
                <w:rFonts w:cs="Arial"/>
              </w:rPr>
            </w:pPr>
            <w:r w:rsidRPr="006C4A08">
              <w:rPr>
                <w:rFonts w:cs="Arial"/>
              </w:rPr>
              <w:t>Change in haemodynamic parameters from baseline</w:t>
            </w:r>
          </w:p>
        </w:tc>
        <w:tc>
          <w:tcPr>
            <w:tcW w:w="1275" w:type="dxa"/>
          </w:tcPr>
          <w:p w:rsidR="00B97B32" w:rsidRPr="006316DF" w:rsidRDefault="00B97B32" w:rsidP="00B97B32">
            <w:pPr>
              <w:pStyle w:val="Tabletext"/>
              <w:rPr>
                <w:rFonts w:cs="Arial"/>
              </w:rPr>
            </w:pPr>
            <w:r>
              <w:rPr>
                <w:rFonts w:cs="Arial"/>
              </w:rPr>
              <w:t>N=65</w:t>
            </w:r>
          </w:p>
          <w:p w:rsidR="00B97B32" w:rsidRPr="006316DF" w:rsidRDefault="00B97B32" w:rsidP="00B97B32">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B97B32" w:rsidRPr="006316DF" w:rsidRDefault="00B97B32" w:rsidP="00B97B32">
            <w:pPr>
              <w:pStyle w:val="Tabletext"/>
              <w:rPr>
                <w:rFonts w:cs="Arial"/>
              </w:rPr>
            </w:pPr>
            <w:r w:rsidRPr="006316DF">
              <w:rPr>
                <w:rFonts w:cs="Arial"/>
              </w:rPr>
              <w:t xml:space="preserve">Risk of bias: </w:t>
            </w:r>
            <w:r>
              <w:rPr>
                <w:rFonts w:cs="Arial"/>
              </w:rPr>
              <w:t>0</w:t>
            </w:r>
          </w:p>
          <w:p w:rsidR="00B97B32" w:rsidRPr="006316DF" w:rsidRDefault="00B97B32" w:rsidP="00B97B32">
            <w:pPr>
              <w:pStyle w:val="Tabletext"/>
              <w:rPr>
                <w:rFonts w:cs="Arial"/>
              </w:rPr>
            </w:pPr>
            <w:r w:rsidRPr="006316DF">
              <w:rPr>
                <w:rFonts w:cs="Arial"/>
              </w:rPr>
              <w:t>Inconsistency: 0</w:t>
            </w:r>
          </w:p>
          <w:p w:rsidR="00B97B32" w:rsidRPr="006316DF" w:rsidRDefault="00B97B32" w:rsidP="00B97B32">
            <w:pPr>
              <w:pStyle w:val="Tabletext"/>
              <w:rPr>
                <w:rFonts w:cs="Arial"/>
              </w:rPr>
            </w:pPr>
            <w:r w:rsidRPr="006316DF">
              <w:rPr>
                <w:rFonts w:cs="Arial"/>
              </w:rPr>
              <w:t xml:space="preserve">Indirectness: </w:t>
            </w:r>
            <w:r>
              <w:rPr>
                <w:rFonts w:cs="Arial"/>
              </w:rPr>
              <w:t>−2</w:t>
            </w:r>
          </w:p>
          <w:p w:rsidR="00B97B32" w:rsidRDefault="00B97B32" w:rsidP="00B97B32">
            <w:pPr>
              <w:pStyle w:val="Tabletext"/>
              <w:rPr>
                <w:rFonts w:cs="Arial"/>
              </w:rPr>
            </w:pPr>
            <w:r>
              <w:rPr>
                <w:rFonts w:cs="Arial"/>
              </w:rPr>
              <w:t>Imprecision: −1</w:t>
            </w:r>
          </w:p>
          <w:p w:rsidR="00B97B32" w:rsidRDefault="00B97B32" w:rsidP="00B97B32">
            <w:pPr>
              <w:pStyle w:val="Tabletext"/>
              <w:rPr>
                <w:rFonts w:cs="Arial"/>
              </w:rPr>
            </w:pPr>
            <w:r w:rsidRPr="006316DF">
              <w:rPr>
                <w:rFonts w:cs="Arial"/>
              </w:rPr>
              <w:t>Publication bias: 0</w:t>
            </w:r>
          </w:p>
          <w:p w:rsidR="00B97B32" w:rsidRPr="006316DF" w:rsidRDefault="00B97B32" w:rsidP="00B97B32">
            <w:pPr>
              <w:pStyle w:val="Tabletext"/>
              <w:rPr>
                <w:rFonts w:cs="Arial"/>
              </w:rPr>
            </w:pPr>
            <w:r>
              <w:rPr>
                <w:rFonts w:cs="Arial"/>
              </w:rPr>
              <w:t>Association: +1</w:t>
            </w:r>
          </w:p>
        </w:tc>
        <w:tc>
          <w:tcPr>
            <w:tcW w:w="1418" w:type="dxa"/>
          </w:tcPr>
          <w:p w:rsidR="00B97B32" w:rsidRDefault="00B97B32" w:rsidP="00B97B32">
            <w:pPr>
              <w:pStyle w:val="Tabletext"/>
            </w:pPr>
            <w:r>
              <w:t>PVR</w:t>
            </w:r>
            <w:r>
              <w:br/>
              <w:t>MD = 30.4% improvement</w:t>
            </w:r>
          </w:p>
          <w:p w:rsidR="00B97B32" w:rsidRPr="002812F2" w:rsidRDefault="00B97B32" w:rsidP="00B97B32">
            <w:pPr>
              <w:pStyle w:val="Tabletext"/>
            </w:pPr>
            <w:r>
              <w:t>mPAP</w:t>
            </w:r>
            <w:r>
              <w:br/>
              <w:t>MD = 15.6% improvement</w:t>
            </w:r>
          </w:p>
        </w:tc>
        <w:tc>
          <w:tcPr>
            <w:tcW w:w="2551" w:type="dxa"/>
          </w:tcPr>
          <w:p w:rsidR="00B97B32" w:rsidRPr="002812F2" w:rsidRDefault="00B97B32" w:rsidP="00B97B32">
            <w:pPr>
              <w:pStyle w:val="Tabletext"/>
              <w:rPr>
                <w:rFonts w:cs="Arial"/>
              </w:rPr>
            </w:pPr>
            <w:r>
              <w:rPr>
                <w:rFonts w:cs="Arial"/>
              </w:rPr>
              <w:t>Patients on combination therapy</w:t>
            </w:r>
            <w:r w:rsidRPr="00F032EC">
              <w:rPr>
                <w:rFonts w:cs="Arial"/>
              </w:rPr>
              <w:t xml:space="preserve"> ha</w:t>
            </w:r>
            <w:r>
              <w:rPr>
                <w:rFonts w:cs="Arial"/>
              </w:rPr>
              <w:t>d</w:t>
            </w:r>
            <w:r w:rsidRPr="00F032EC">
              <w:rPr>
                <w:rFonts w:cs="Arial"/>
              </w:rPr>
              <w:t xml:space="preserve"> a larger </w:t>
            </w:r>
            <w:r>
              <w:rPr>
                <w:rFonts w:cs="Arial"/>
              </w:rPr>
              <w:t xml:space="preserve">mean </w:t>
            </w:r>
            <w:r w:rsidRPr="00F032EC">
              <w:rPr>
                <w:rFonts w:cs="Arial"/>
              </w:rPr>
              <w:t xml:space="preserve">improvement in their </w:t>
            </w:r>
            <w:r>
              <w:rPr>
                <w:rFonts w:cs="Arial"/>
              </w:rPr>
              <w:t>haemodynamic parameters</w:t>
            </w:r>
            <w:r w:rsidRPr="00F032EC">
              <w:rPr>
                <w:rFonts w:cs="Arial"/>
              </w:rPr>
              <w:t xml:space="preserve"> than those on monotherapy</w:t>
            </w:r>
            <w:r>
              <w:rPr>
                <w:rFonts w:cs="Arial"/>
              </w:rPr>
              <w:t>. The differences were likely to be clinically important</w:t>
            </w:r>
          </w:p>
        </w:tc>
        <w:tc>
          <w:tcPr>
            <w:tcW w:w="1134" w:type="dxa"/>
          </w:tcPr>
          <w:p w:rsidR="00B97B32" w:rsidRPr="006316DF" w:rsidRDefault="00B97B32" w:rsidP="00B97B32">
            <w:pPr>
              <w:pStyle w:val="Tabletext"/>
              <w:rPr>
                <w:rFonts w:cs="Arial"/>
              </w:rPr>
            </w:pPr>
            <w:r>
              <w:rPr>
                <w:rFonts w:cs="Arial"/>
              </w:rPr>
              <w:t>Low</w:t>
            </w:r>
          </w:p>
          <w:p w:rsidR="00B97B32" w:rsidRPr="006316DF" w:rsidRDefault="00B97B32" w:rsidP="00B97B32">
            <w:pPr>
              <w:pStyle w:val="Tabletext"/>
              <w:rPr>
                <w:rFonts w:cs="Cambria Math"/>
                <w:bCs/>
              </w:rPr>
            </w:pPr>
            <w:r w:rsidRPr="006316DF">
              <w:rPr>
                <w:rFonts w:ascii="Cambria Math" w:hAnsi="Cambria Math" w:cs="Cambria Math"/>
                <w:bCs/>
                <w:color w:val="00B050"/>
              </w:rPr>
              <w:t>⨁⨁</w:t>
            </w:r>
            <w:r w:rsidRPr="00E564DD">
              <w:rPr>
                <w:rFonts w:ascii="Cambria Math" w:eastAsia="Times New Roman" w:hAnsi="Cambria Math" w:cs="Cambria Math"/>
                <w:bCs/>
                <w:color w:val="C00000"/>
              </w:rPr>
              <w:t>⨀</w:t>
            </w:r>
            <w:r w:rsidRPr="006316DF">
              <w:rPr>
                <w:rFonts w:ascii="Cambria Math" w:hAnsi="Cambria Math" w:cs="Cambria Math"/>
                <w:color w:val="C00000"/>
              </w:rPr>
              <w:t>⨀</w:t>
            </w:r>
          </w:p>
          <w:p w:rsidR="00B97B32" w:rsidRPr="006316DF" w:rsidRDefault="00B97B32" w:rsidP="00B97B32">
            <w:pPr>
              <w:pStyle w:val="Tabletext"/>
              <w:rPr>
                <w:rFonts w:cs="Arial"/>
              </w:rPr>
            </w:pPr>
            <w:r>
              <w:rPr>
                <w:rFonts w:cs="Arial"/>
              </w:rPr>
              <w:t>Not i</w:t>
            </w:r>
            <w:r w:rsidRPr="006316DF">
              <w:rPr>
                <w:rFonts w:cs="Arial"/>
              </w:rPr>
              <w:t>mportant</w:t>
            </w:r>
          </w:p>
        </w:tc>
      </w:tr>
    </w:tbl>
    <w:p w:rsidR="0075777C" w:rsidRPr="006316DF" w:rsidRDefault="0075777C" w:rsidP="00805885">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17449B" w:rsidRDefault="0017449B" w:rsidP="0017449B">
      <w:pPr>
        <w:pStyle w:val="Tablenote"/>
      </w:pPr>
      <w:proofErr w:type="gramStart"/>
      <w:r w:rsidRPr="0017449B">
        <w:rPr>
          <w:vertAlign w:val="superscript"/>
        </w:rPr>
        <w:t>b</w:t>
      </w:r>
      <w:proofErr w:type="gramEnd"/>
      <w:r>
        <w:t xml:space="preserve"> </w:t>
      </w:r>
      <w:r w:rsidRPr="000054CF">
        <w:t xml:space="preserve">EQ-VAS scores range from 0 to 100. A higher score represents better </w:t>
      </w:r>
      <w:r>
        <w:t>QoL</w:t>
      </w:r>
      <w:r w:rsidRPr="000054CF">
        <w:t xml:space="preserve">. </w:t>
      </w:r>
    </w:p>
    <w:p w:rsidR="0075777C" w:rsidRPr="006316DF" w:rsidRDefault="0075777C" w:rsidP="00805885">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75777C" w:rsidRPr="006316DF" w:rsidRDefault="0075777C" w:rsidP="00805885">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B97B32" w:rsidRPr="00E564DD" w:rsidRDefault="00B97B32" w:rsidP="00B97B32">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7446CB" w:rsidRDefault="0075777C" w:rsidP="00805885">
      <w:pPr>
        <w:pStyle w:val="Tablenote"/>
      </w:pPr>
      <w:proofErr w:type="gramStart"/>
      <w:r>
        <w:t xml:space="preserve">6MWD = 6-minute </w:t>
      </w:r>
      <w:r w:rsidR="0082368E">
        <w:t>walk distance</w:t>
      </w:r>
      <w:r w:rsidR="00B21201">
        <w:t>; ARD</w:t>
      </w:r>
      <w:r>
        <w:t xml:space="preserve"> = absolute risk </w:t>
      </w:r>
      <w:r w:rsidR="00B21201">
        <w:t>difference</w:t>
      </w:r>
      <w:r>
        <w:t xml:space="preserve">; CI = confidence interval; </w:t>
      </w:r>
      <w:r w:rsidR="00107963" w:rsidRPr="00107963">
        <w:t>EQ-VAS = EuroQoL visual analogue scale</w:t>
      </w:r>
      <w:r w:rsidR="00107963">
        <w:t xml:space="preserve">; </w:t>
      </w:r>
      <w:r>
        <w:t>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7446CB" w:rsidRPr="00F24B06">
        <w:t xml:space="preserve">; k = number of studies; </w:t>
      </w:r>
      <w:r>
        <w:t>MD = mean difference</w:t>
      </w:r>
      <w:r w:rsidR="00214AC1">
        <w:t>; mPAP = mean pulmonary artery</w:t>
      </w:r>
      <w:r>
        <w:t xml:space="preserve"> pressure; N = number of patients;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QoL = quality of life; RCT = randomised controlled trial; RR = relative risk; WHO = World Health Organization</w:t>
      </w:r>
      <w:proofErr w:type="gramEnd"/>
    </w:p>
    <w:p w:rsidR="0075777C" w:rsidRPr="006316DF" w:rsidRDefault="0075777C" w:rsidP="0075777C">
      <w:pPr>
        <w:pStyle w:val="Heading5"/>
      </w:pPr>
      <w:r w:rsidRPr="006316DF">
        <w:t>Safety</w:t>
      </w:r>
    </w:p>
    <w:p w:rsidR="0075777C" w:rsidRDefault="0075777C" w:rsidP="003F6AC4">
      <w:pPr>
        <w:spacing w:before="0" w:line="240" w:lineRule="auto"/>
      </w:pPr>
      <w:r w:rsidRPr="006316DF">
        <w:t xml:space="preserve">The </w:t>
      </w:r>
      <w:r>
        <w:t xml:space="preserve">detailed </w:t>
      </w:r>
      <w:r w:rsidRPr="006316DF">
        <w:t>GRADE</w:t>
      </w:r>
      <w:r w:rsidR="001D34EE" w:rsidRPr="001D34EE">
        <w:rPr>
          <w:noProof/>
          <w:vertAlign w:val="superscript"/>
        </w:rPr>
        <w:t>1</w:t>
      </w:r>
      <w:r w:rsidRPr="006316DF">
        <w:t xml:space="preserve"> assessments of </w:t>
      </w:r>
      <w:r>
        <w:t>safety</w:t>
      </w:r>
      <w:r w:rsidRPr="006316DF">
        <w:t xml:space="preserve"> outco</w:t>
      </w:r>
      <w:r>
        <w:t>mes when comparing a</w:t>
      </w:r>
      <w:r w:rsidRPr="006316DF">
        <w:t xml:space="preserve"> </w:t>
      </w:r>
      <w:r w:rsidR="00920393">
        <w:t>prostanoid</w:t>
      </w:r>
      <w:r w:rsidRPr="006316DF">
        <w:t xml:space="preserve"> </w:t>
      </w:r>
      <w:r w:rsidRPr="00BB3BB5">
        <w:t>in addition to</w:t>
      </w:r>
      <w:r w:rsidRPr="00AD232F">
        <w:t xml:space="preserve"> </w:t>
      </w:r>
      <w:r w:rsidRPr="006316DF">
        <w:t>ERA</w:t>
      </w:r>
      <w:r w:rsidRPr="00BB3BB5">
        <w:t xml:space="preserve">, relative to </w:t>
      </w:r>
      <w:r>
        <w:t>ERA</w:t>
      </w:r>
      <w:r w:rsidRPr="00BB3BB5">
        <w:t xml:space="preserve"> monotherapy </w:t>
      </w:r>
      <w:r>
        <w:t xml:space="preserve">in patients with WHO FC III/IV PAH </w:t>
      </w:r>
      <w:proofErr w:type="gramStart"/>
      <w:r w:rsidRPr="006316DF">
        <w:t>are reported</w:t>
      </w:r>
      <w:proofErr w:type="gramEnd"/>
      <w:r w:rsidRPr="006316DF">
        <w:t xml:space="preserve"> in</w:t>
      </w:r>
      <w:r>
        <w:t xml:space="preserve"> </w:t>
      </w:r>
      <w:r w:rsidR="003951FA">
        <w:t>Table 4.</w:t>
      </w:r>
      <w:r w:rsidR="003951FA">
        <w:rPr>
          <w:noProof/>
        </w:rPr>
        <w:t>164</w:t>
      </w:r>
      <w:r>
        <w:t xml:space="preserve"> i</w:t>
      </w:r>
      <w:r w:rsidRPr="006316DF">
        <w:t xml:space="preserve">n Appendix </w:t>
      </w:r>
      <w:r w:rsidR="00DA2636">
        <w:t>4</w:t>
      </w:r>
      <w:r w:rsidR="001B552D">
        <w:t>C</w:t>
      </w:r>
      <w:r>
        <w:t xml:space="preserve">. </w:t>
      </w:r>
      <w:r w:rsidRPr="006316DF">
        <w:t xml:space="preserve">The evidence for the </w:t>
      </w:r>
      <w:r>
        <w:t xml:space="preserve">safety </w:t>
      </w:r>
      <w:r w:rsidRPr="006316DF">
        <w:t xml:space="preserve">outcomes </w:t>
      </w:r>
      <w:r>
        <w:t xml:space="preserve">for all PAH patients is summarised </w:t>
      </w:r>
      <w:r w:rsidRPr="006316DF">
        <w:t>in</w:t>
      </w:r>
      <w:r>
        <w:t xml:space="preserve"> </w:t>
      </w:r>
      <w:r w:rsidR="003F6AC4">
        <w:t>Table 4.138</w:t>
      </w:r>
      <w:r>
        <w:t xml:space="preserve">. </w:t>
      </w:r>
      <w:r w:rsidR="00E20AB7">
        <w:t>There were no new safety signal identified by any of the included trials</w:t>
      </w:r>
      <w:r>
        <w:t>.</w:t>
      </w:r>
    </w:p>
    <w:p w:rsidR="0075777C" w:rsidRDefault="0075777C" w:rsidP="0075777C">
      <w:r>
        <w:t xml:space="preserve">Two outcomes were of </w:t>
      </w:r>
      <w:r w:rsidR="0055519E">
        <w:t xml:space="preserve">very </w:t>
      </w:r>
      <w:r>
        <w:t xml:space="preserve">low quality </w:t>
      </w:r>
      <w:r w:rsidRPr="006316DF">
        <w:t xml:space="preserve">(GRADE </w:t>
      </w:r>
      <w:r w:rsidRPr="00920393">
        <w:rPr>
          <w:rFonts w:ascii="Cambria Math" w:eastAsia="Times New Roman" w:hAnsi="Cambria Math" w:cs="Tahoma"/>
          <w:bCs/>
          <w:color w:val="00B050"/>
        </w:rPr>
        <w:t>⨁</w:t>
      </w:r>
      <w:r w:rsidR="0055519E" w:rsidRPr="00920393">
        <w:rPr>
          <w:rFonts w:ascii="Cambria Math" w:eastAsia="Times New Roman" w:hAnsi="Cambria Math" w:cs="Cambria Math"/>
          <w:bCs/>
          <w:color w:val="C00000"/>
        </w:rPr>
        <w:t>⨀</w:t>
      </w:r>
      <w:r w:rsidRPr="00920393">
        <w:rPr>
          <w:rFonts w:ascii="Cambria Math" w:eastAsia="Times New Roman" w:hAnsi="Cambria Math" w:cs="Cambria Math"/>
          <w:bCs/>
          <w:color w:val="C00000"/>
        </w:rPr>
        <w:t>⨀⨀</w:t>
      </w:r>
      <w:r w:rsidRPr="00920393">
        <w:t xml:space="preserve">) and one outcome was of </w:t>
      </w:r>
      <w:r w:rsidR="0055519E">
        <w:t>low</w:t>
      </w:r>
      <w:r w:rsidRPr="00920393">
        <w:t xml:space="preserve"> quality</w:t>
      </w:r>
      <w:r>
        <w:rPr>
          <w:rFonts w:eastAsia="Times New Roman" w:cs="Cambria Math"/>
          <w:bCs/>
        </w:rPr>
        <w:t xml:space="preserve"> </w:t>
      </w:r>
      <w:r w:rsidRPr="006316DF">
        <w:t xml:space="preserve">(GRADE </w:t>
      </w:r>
      <w:r w:rsidRPr="00920393">
        <w:rPr>
          <w:rFonts w:ascii="Cambria Math" w:eastAsia="Times New Roman" w:hAnsi="Cambria Math" w:cs="Tahoma"/>
          <w:bCs/>
          <w:color w:val="00B050"/>
        </w:rPr>
        <w:t>⨁⨁</w:t>
      </w:r>
      <w:r w:rsidR="0055519E" w:rsidRPr="00920393">
        <w:rPr>
          <w:rFonts w:ascii="Cambria Math" w:eastAsia="Times New Roman" w:hAnsi="Cambria Math" w:cs="Cambria Math"/>
          <w:bCs/>
          <w:color w:val="C00000"/>
        </w:rPr>
        <w:t>⨀</w:t>
      </w:r>
      <w:r w:rsidRPr="00920393">
        <w:rPr>
          <w:rFonts w:ascii="Cambria Math" w:eastAsia="Times New Roman" w:hAnsi="Cambria Math" w:cs="Cambria Math"/>
          <w:bCs/>
          <w:color w:val="C00000"/>
        </w:rPr>
        <w:t>⨀</w:t>
      </w:r>
      <w:r w:rsidRPr="00920393">
        <w:t>).</w:t>
      </w:r>
      <w:r w:rsidR="00920393">
        <w:t xml:space="preserve"> </w:t>
      </w:r>
      <w:r w:rsidRPr="00920393">
        <w:t xml:space="preserve">Patients on combination therapy were more likely to have an AE </w:t>
      </w:r>
      <w:r w:rsidR="0055519E" w:rsidRPr="00920393">
        <w:t xml:space="preserve">and less likely to have a serious AE compared with those on monotherapy, but the wide </w:t>
      </w:r>
      <w:r w:rsidR="0055519E">
        <w:t>95% CI indicates</w:t>
      </w:r>
      <w:r w:rsidR="0055519E" w:rsidRPr="00920393">
        <w:t xml:space="preserve"> that there could also be the</w:t>
      </w:r>
      <w:r w:rsidR="0055519E" w:rsidRPr="00621F68">
        <w:t xml:space="preserve"> opposite effect</w:t>
      </w:r>
      <w:r w:rsidR="0055519E" w:rsidRPr="006316DF">
        <w:rPr>
          <w:rFonts w:eastAsia="Times New Roman" w:cs="Cambria Math"/>
          <w:bCs/>
        </w:rPr>
        <w:t>.</w:t>
      </w:r>
      <w:r w:rsidR="0055519E">
        <w:rPr>
          <w:rFonts w:eastAsia="Times New Roman" w:cs="Cambria Math"/>
          <w:bCs/>
        </w:rPr>
        <w:t xml:space="preserve"> </w:t>
      </w:r>
      <w:r>
        <w:t>There wa</w:t>
      </w:r>
      <w:r w:rsidRPr="004F7ADF">
        <w:t xml:space="preserve">s </w:t>
      </w:r>
      <w:r>
        <w:t>little</w:t>
      </w:r>
      <w:r w:rsidRPr="004F7ADF">
        <w:t xml:space="preserve"> evidence to </w:t>
      </w:r>
      <w:r>
        <w:t>determine</w:t>
      </w:r>
      <w:r w:rsidRPr="004F7ADF">
        <w:t xml:space="preserve"> </w:t>
      </w:r>
      <w:r>
        <w:t>whether</w:t>
      </w:r>
      <w:r w:rsidRPr="004F7ADF">
        <w:t xml:space="preserve"> more patients with combination therapy compared with monotherapy</w:t>
      </w:r>
      <w:r>
        <w:t xml:space="preserve"> as only one patient (in the combination therapy group) discontinued treatment due to an AE.</w:t>
      </w:r>
    </w:p>
    <w:p w:rsidR="0075777C" w:rsidRDefault="0075777C" w:rsidP="0075777C">
      <w:r w:rsidRPr="006316DF">
        <w:t>Th</w:t>
      </w:r>
      <w:r>
        <w:t xml:space="preserve">us, </w:t>
      </w:r>
      <w:r w:rsidR="004F2B0B" w:rsidRPr="004F2B0B">
        <w:t xml:space="preserve">there is considerable uncertainty as to whether the </w:t>
      </w:r>
      <w:r w:rsidRPr="006316DF">
        <w:t xml:space="preserve">use of a </w:t>
      </w:r>
      <w:r w:rsidR="00920393">
        <w:t>prostanoid</w:t>
      </w:r>
      <w:r w:rsidRPr="00621F68">
        <w:t xml:space="preserve"> in addition to ERA </w:t>
      </w:r>
      <w:r w:rsidR="004F2B0B" w:rsidRPr="006316DF">
        <w:t xml:space="preserve">is likely to be </w:t>
      </w:r>
      <w:r w:rsidR="004F2B0B">
        <w:t>as safe</w:t>
      </w:r>
      <w:r w:rsidR="004F2B0B" w:rsidRPr="006316DF">
        <w:t xml:space="preserve"> </w:t>
      </w:r>
      <w:r w:rsidR="004F2B0B">
        <w:t>as</w:t>
      </w:r>
      <w:r w:rsidRPr="00621F68">
        <w:t xml:space="preserve"> ERA monotherapy </w:t>
      </w:r>
      <w:r w:rsidR="004F2B0B">
        <w:t>in</w:t>
      </w:r>
      <w:r w:rsidRPr="006316DF">
        <w:t xml:space="preserve"> </w:t>
      </w:r>
      <w:r>
        <w:t xml:space="preserve">patients </w:t>
      </w:r>
      <w:r w:rsidRPr="00C754B8">
        <w:t>with WHO FC III/IV PAH</w:t>
      </w:r>
      <w:r w:rsidR="002856B6">
        <w:t>.</w:t>
      </w:r>
    </w:p>
    <w:p w:rsidR="0075777C" w:rsidRPr="006316DF" w:rsidRDefault="00272F8F" w:rsidP="00BC5A2B">
      <w:pPr>
        <w:pStyle w:val="Caption"/>
      </w:pPr>
      <w:bookmarkStart w:id="383" w:name="_Ref505863106"/>
      <w:bookmarkStart w:id="384" w:name="_Toc38360435"/>
      <w:r>
        <w:t>Table 4.</w:t>
      </w:r>
      <w:r w:rsidR="003951FA">
        <w:rPr>
          <w:noProof/>
        </w:rPr>
        <w:t>138</w:t>
      </w:r>
      <w:bookmarkEnd w:id="383"/>
      <w:r w:rsidR="008727D6">
        <w:tab/>
      </w:r>
      <w:r w:rsidR="0075777C" w:rsidRPr="006316DF">
        <w:t xml:space="preserve">Balance of clinical harms of </w:t>
      </w:r>
      <w:r w:rsidR="001B552D">
        <w:t xml:space="preserve">a </w:t>
      </w:r>
      <w:r w:rsidR="00920393" w:rsidRPr="0006289E">
        <w:t>prostanoid</w:t>
      </w:r>
      <w:r w:rsidR="0075777C" w:rsidRPr="0006289E">
        <w:t xml:space="preserve"> in addition to </w:t>
      </w:r>
      <w:r w:rsidR="001B552D">
        <w:t xml:space="preserve">an </w:t>
      </w:r>
      <w:r w:rsidR="0075777C" w:rsidRPr="0006289E">
        <w:t>ERA, relative to ERA monotherapy in patients with WHO FC III/IV PAH</w:t>
      </w:r>
      <w:bookmarkEnd w:id="384"/>
    </w:p>
    <w:tbl>
      <w:tblPr>
        <w:tblStyle w:val="TableGrid"/>
        <w:tblW w:w="9639" w:type="dxa"/>
        <w:tblLayout w:type="fixed"/>
        <w:tblLook w:val="04A0" w:firstRow="1" w:lastRow="0" w:firstColumn="1" w:lastColumn="0" w:noHBand="0" w:noVBand="1"/>
        <w:tblCaption w:val="Balance of clinical harms of a prostanoid in addition to an ERA, relative to ERA monotherapy in patients with WHO FC III/IV PAH"/>
      </w:tblPr>
      <w:tblGrid>
        <w:gridCol w:w="1560"/>
        <w:gridCol w:w="1275"/>
        <w:gridCol w:w="1701"/>
        <w:gridCol w:w="1418"/>
        <w:gridCol w:w="2551"/>
        <w:gridCol w:w="1134"/>
      </w:tblGrid>
      <w:tr w:rsidR="0075777C" w:rsidRPr="00805885" w:rsidTr="0080588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805885" w:rsidRDefault="0075777C" w:rsidP="00805885">
            <w:pPr>
              <w:pStyle w:val="Tabletext"/>
              <w:rPr>
                <w:b/>
                <w:noProof/>
              </w:rPr>
            </w:pPr>
            <w:r w:rsidRPr="00805885">
              <w:rPr>
                <w:b/>
                <w:noProof/>
              </w:rPr>
              <w:t xml:space="preserve">Outcomes </w:t>
            </w:r>
          </w:p>
        </w:tc>
        <w:tc>
          <w:tcPr>
            <w:tcW w:w="1275" w:type="dxa"/>
          </w:tcPr>
          <w:p w:rsidR="0075777C" w:rsidRPr="00805885" w:rsidRDefault="0075777C" w:rsidP="00805885">
            <w:pPr>
              <w:pStyle w:val="Tabletext"/>
              <w:rPr>
                <w:b/>
                <w:noProof/>
              </w:rPr>
            </w:pPr>
            <w:r w:rsidRPr="00805885">
              <w:rPr>
                <w:b/>
                <w:noProof/>
              </w:rPr>
              <w:t>Participants (studies)</w:t>
            </w:r>
          </w:p>
        </w:tc>
        <w:tc>
          <w:tcPr>
            <w:tcW w:w="1701" w:type="dxa"/>
          </w:tcPr>
          <w:p w:rsidR="0075777C" w:rsidRPr="00805885" w:rsidRDefault="0075777C" w:rsidP="00805885">
            <w:pPr>
              <w:pStyle w:val="Tabletext"/>
              <w:rPr>
                <w:b/>
                <w:noProof/>
              </w:rPr>
            </w:pPr>
            <w:r w:rsidRPr="00805885">
              <w:rPr>
                <w:b/>
                <w:noProof/>
              </w:rPr>
              <w:t>Quality of evidence</w:t>
            </w:r>
          </w:p>
        </w:tc>
        <w:tc>
          <w:tcPr>
            <w:tcW w:w="1418" w:type="dxa"/>
          </w:tcPr>
          <w:p w:rsidR="0075777C" w:rsidRPr="00805885" w:rsidRDefault="0075777C" w:rsidP="00805885">
            <w:pPr>
              <w:pStyle w:val="Tabletext"/>
              <w:rPr>
                <w:b/>
                <w:noProof/>
              </w:rPr>
            </w:pPr>
            <w:r w:rsidRPr="00805885">
              <w:rPr>
                <w:b/>
                <w:noProof/>
              </w:rPr>
              <w:t>Results</w:t>
            </w:r>
          </w:p>
        </w:tc>
        <w:tc>
          <w:tcPr>
            <w:tcW w:w="2551" w:type="dxa"/>
          </w:tcPr>
          <w:p w:rsidR="0075777C" w:rsidRPr="00805885" w:rsidRDefault="0075777C" w:rsidP="00805885">
            <w:pPr>
              <w:pStyle w:val="Tabletext"/>
              <w:rPr>
                <w:b/>
                <w:noProof/>
              </w:rPr>
            </w:pPr>
            <w:r w:rsidRPr="00805885">
              <w:rPr>
                <w:b/>
                <w:noProof/>
              </w:rPr>
              <w:t>Interpretation</w:t>
            </w:r>
          </w:p>
        </w:tc>
        <w:tc>
          <w:tcPr>
            <w:tcW w:w="1134" w:type="dxa"/>
          </w:tcPr>
          <w:p w:rsidR="0075777C" w:rsidRPr="00805885" w:rsidRDefault="0075777C" w:rsidP="00805885">
            <w:pPr>
              <w:pStyle w:val="Tabletext"/>
              <w:rPr>
                <w:b/>
                <w:noProof/>
              </w:rPr>
            </w:pPr>
            <w:r w:rsidRPr="00805885">
              <w:rPr>
                <w:b/>
                <w:noProof/>
              </w:rPr>
              <w:t>GRADE</w:t>
            </w:r>
            <w:r w:rsidR="007446CB" w:rsidRPr="007446CB">
              <w:rPr>
                <w:b/>
                <w:noProof/>
                <w:vertAlign w:val="superscript"/>
              </w:rPr>
              <w:t>a</w:t>
            </w:r>
          </w:p>
          <w:p w:rsidR="0075777C" w:rsidRPr="00805885" w:rsidRDefault="0075777C" w:rsidP="00805885">
            <w:pPr>
              <w:pStyle w:val="Tabletext"/>
              <w:rPr>
                <w:b/>
                <w:noProof/>
              </w:rPr>
            </w:pPr>
            <w:r w:rsidRPr="00805885">
              <w:rPr>
                <w:b/>
                <w:noProof/>
              </w:rPr>
              <w:t>Importance</w:t>
            </w:r>
          </w:p>
        </w:tc>
      </w:tr>
      <w:tr w:rsidR="0075777C" w:rsidRPr="006316DF" w:rsidTr="00805885">
        <w:tc>
          <w:tcPr>
            <w:tcW w:w="1560" w:type="dxa"/>
          </w:tcPr>
          <w:p w:rsidR="0075777C" w:rsidRPr="006316DF" w:rsidRDefault="0075777C" w:rsidP="00805885">
            <w:pPr>
              <w:pStyle w:val="Tabletext"/>
              <w:rPr>
                <w:rFonts w:cs="Arial"/>
              </w:rPr>
            </w:pPr>
            <w:r>
              <w:rPr>
                <w:rFonts w:cs="Arial"/>
              </w:rPr>
              <w:t>Any AE</w:t>
            </w:r>
            <w:r w:rsidRPr="006316DF">
              <w:rPr>
                <w:rFonts w:cs="Arial"/>
              </w:rPr>
              <w:t xml:space="preserve"> </w:t>
            </w:r>
          </w:p>
        </w:tc>
        <w:tc>
          <w:tcPr>
            <w:tcW w:w="1275" w:type="dxa"/>
          </w:tcPr>
          <w:p w:rsidR="0075777C" w:rsidRPr="006316DF" w:rsidRDefault="0075777C" w:rsidP="00805885">
            <w:pPr>
              <w:pStyle w:val="Tabletext"/>
              <w:rPr>
                <w:rFonts w:cs="Arial"/>
              </w:rPr>
            </w:pPr>
            <w:r>
              <w:rPr>
                <w:rFonts w:cs="Arial"/>
              </w:rPr>
              <w:t>N=107</w:t>
            </w:r>
          </w:p>
          <w:p w:rsidR="0075777C" w:rsidRPr="006316DF" w:rsidRDefault="0075777C" w:rsidP="00805885">
            <w:pPr>
              <w:pStyle w:val="Tabletext"/>
              <w:rPr>
                <w:rFonts w:cs="Arial"/>
              </w:rPr>
            </w:pPr>
            <w:r w:rsidRPr="006316DF">
              <w:rPr>
                <w:rFonts w:cs="Arial"/>
              </w:rPr>
              <w:t>k=</w:t>
            </w:r>
            <w:r>
              <w:rPr>
                <w:rFonts w:cs="Arial"/>
              </w:rPr>
              <w:t>2</w:t>
            </w:r>
            <w:r w:rsidRPr="006316DF">
              <w:rPr>
                <w:rFonts w:cs="Arial"/>
              </w:rPr>
              <w:t xml:space="preserve"> RCT</w:t>
            </w:r>
            <w:r>
              <w:rPr>
                <w:rFonts w:cs="Arial"/>
              </w:rPr>
              <w:t>s</w:t>
            </w:r>
          </w:p>
        </w:tc>
        <w:tc>
          <w:tcPr>
            <w:tcW w:w="1701" w:type="dxa"/>
          </w:tcPr>
          <w:p w:rsidR="0075777C" w:rsidRPr="006316DF" w:rsidRDefault="0075777C" w:rsidP="00805885">
            <w:pPr>
              <w:pStyle w:val="Tabletext"/>
              <w:rPr>
                <w:rFonts w:cs="Arial"/>
              </w:rPr>
            </w:pPr>
            <w:r>
              <w:rPr>
                <w:rFonts w:cs="Arial"/>
              </w:rPr>
              <w:t>Risk of bias: −1</w:t>
            </w:r>
          </w:p>
          <w:p w:rsidR="0075777C" w:rsidRPr="006316DF" w:rsidRDefault="0075777C" w:rsidP="00805885">
            <w:pPr>
              <w:pStyle w:val="Tabletext"/>
              <w:rPr>
                <w:rFonts w:cs="Arial"/>
              </w:rPr>
            </w:pPr>
            <w:r w:rsidRPr="006316DF">
              <w:rPr>
                <w:rFonts w:cs="Arial"/>
              </w:rPr>
              <w:t>Inconsistency: 0</w:t>
            </w:r>
          </w:p>
          <w:p w:rsidR="0075777C" w:rsidRPr="006316DF" w:rsidRDefault="0075777C" w:rsidP="00805885">
            <w:pPr>
              <w:pStyle w:val="Tabletext"/>
              <w:rPr>
                <w:rFonts w:cs="Arial"/>
              </w:rPr>
            </w:pPr>
            <w:r w:rsidRPr="006316DF">
              <w:rPr>
                <w:rFonts w:cs="Arial"/>
              </w:rPr>
              <w:t>Indirectness: 0</w:t>
            </w:r>
          </w:p>
          <w:p w:rsidR="0075777C" w:rsidRDefault="00F95747" w:rsidP="00805885">
            <w:pPr>
              <w:pStyle w:val="Tabletext"/>
              <w:rPr>
                <w:rFonts w:cs="Arial"/>
              </w:rPr>
            </w:pPr>
            <w:r>
              <w:rPr>
                <w:rFonts w:cs="Arial"/>
              </w:rPr>
              <w:t>Imprecision: −2</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0</w:t>
            </w:r>
          </w:p>
        </w:tc>
        <w:tc>
          <w:tcPr>
            <w:tcW w:w="1418" w:type="dxa"/>
          </w:tcPr>
          <w:p w:rsidR="0075777C" w:rsidRPr="000E45D6" w:rsidRDefault="0075777C" w:rsidP="00805885">
            <w:pPr>
              <w:pStyle w:val="Tabletext"/>
              <w:rPr>
                <w:rFonts w:cs="Arial"/>
              </w:rPr>
            </w:pPr>
            <w:r>
              <w:t xml:space="preserve">Pooled </w:t>
            </w:r>
            <w:r w:rsidRPr="0043303C">
              <w:t xml:space="preserve">RR </w:t>
            </w:r>
            <w:r>
              <w:t xml:space="preserve">= </w:t>
            </w:r>
            <w:r w:rsidRPr="0043303C">
              <w:t>2.40</w:t>
            </w:r>
            <w:r>
              <w:t xml:space="preserve"> </w:t>
            </w:r>
            <w:r w:rsidRPr="0043303C">
              <w:t>(</w:t>
            </w:r>
            <w:r>
              <w:t xml:space="preserve">95% CI </w:t>
            </w:r>
            <w:r w:rsidRPr="0043303C">
              <w:t>0.15</w:t>
            </w:r>
            <w:r>
              <w:t>,</w:t>
            </w:r>
            <w:r w:rsidRPr="0043303C">
              <w:t xml:space="preserve"> </w:t>
            </w:r>
            <w:r>
              <w:t>37.41)</w:t>
            </w:r>
          </w:p>
        </w:tc>
        <w:tc>
          <w:tcPr>
            <w:tcW w:w="2551" w:type="dxa"/>
          </w:tcPr>
          <w:p w:rsidR="0075777C" w:rsidRPr="000E45D6" w:rsidRDefault="0075777C" w:rsidP="00805885">
            <w:pPr>
              <w:pStyle w:val="Tabletext"/>
              <w:rPr>
                <w:rFonts w:cs="Arial"/>
              </w:rPr>
            </w:pPr>
            <w:r>
              <w:rPr>
                <w:rFonts w:cs="Arial"/>
              </w:rPr>
              <w:t>More</w:t>
            </w:r>
            <w:r w:rsidRPr="000E45D6">
              <w:rPr>
                <w:rFonts w:cs="Arial"/>
              </w:rPr>
              <w:t xml:space="preserve"> patients </w:t>
            </w:r>
            <w:r>
              <w:rPr>
                <w:rFonts w:cs="Arial"/>
              </w:rPr>
              <w:t xml:space="preserve">experienced an AE </w:t>
            </w:r>
            <w:r w:rsidRPr="000E45D6">
              <w:rPr>
                <w:rFonts w:cs="Arial"/>
              </w:rPr>
              <w:t xml:space="preserve">with combination therapy compared with </w:t>
            </w:r>
            <w:r>
              <w:rPr>
                <w:rFonts w:cs="Arial"/>
              </w:rPr>
              <w:t xml:space="preserve">monotherapy, </w:t>
            </w:r>
            <w:r w:rsidRPr="00424867">
              <w:rPr>
                <w:rFonts w:cs="Arial"/>
              </w:rPr>
              <w:t xml:space="preserve">but the </w:t>
            </w:r>
            <w:r w:rsidR="00D84687">
              <w:rPr>
                <w:rFonts w:cs="Arial"/>
              </w:rPr>
              <w:t>95% CI indicates</w:t>
            </w:r>
            <w:r w:rsidRPr="00424867">
              <w:rPr>
                <w:rFonts w:cs="Arial"/>
              </w:rPr>
              <w:t xml:space="preserve"> that there could also be </w:t>
            </w:r>
            <w:r>
              <w:rPr>
                <w:rFonts w:cs="Arial"/>
              </w:rPr>
              <w:t>the opposite</w:t>
            </w:r>
            <w:r w:rsidRPr="00424867">
              <w:rPr>
                <w:rFonts w:cs="Arial"/>
              </w:rPr>
              <w:t xml:space="preserve"> effect</w:t>
            </w:r>
            <w:r>
              <w:rPr>
                <w:rFonts w:cs="Arial"/>
              </w:rPr>
              <w:t>.</w:t>
            </w:r>
          </w:p>
        </w:tc>
        <w:tc>
          <w:tcPr>
            <w:tcW w:w="1134" w:type="dxa"/>
          </w:tcPr>
          <w:p w:rsidR="0075777C" w:rsidRDefault="00F95747" w:rsidP="00805885">
            <w:pPr>
              <w:pStyle w:val="Tabletext"/>
              <w:rPr>
                <w:bCs/>
              </w:rPr>
            </w:pPr>
            <w:r>
              <w:rPr>
                <w:bCs/>
              </w:rPr>
              <w:t>Very l</w:t>
            </w:r>
            <w:r w:rsidR="0075777C">
              <w:rPr>
                <w:bCs/>
              </w:rPr>
              <w:t>ow</w:t>
            </w:r>
          </w:p>
          <w:p w:rsidR="0075777C" w:rsidRDefault="0075777C" w:rsidP="00805885">
            <w:pPr>
              <w:pStyle w:val="Tabletext"/>
              <w:rPr>
                <w:rFonts w:ascii="Cambria Math" w:hAnsi="Cambria Math" w:cs="Cambria Math"/>
                <w:bCs/>
              </w:rPr>
            </w:pPr>
            <w:r>
              <w:rPr>
                <w:rFonts w:ascii="Cambria Math" w:hAnsi="Cambria Math" w:cs="Cambria Math"/>
                <w:bCs/>
                <w:color w:val="00B050"/>
              </w:rPr>
              <w:t>⨁</w:t>
            </w:r>
            <w:r w:rsidR="00F95747" w:rsidRPr="00E564DD">
              <w:rPr>
                <w:rFonts w:ascii="Cambria Math" w:eastAsia="Times New Roman" w:hAnsi="Cambria Math" w:cs="Cambria Math"/>
                <w:bCs/>
                <w:color w:val="FF0000"/>
              </w:rPr>
              <w:t>⨀</w:t>
            </w:r>
            <w:r w:rsidRPr="00E564DD">
              <w:rPr>
                <w:rFonts w:ascii="Cambria Math" w:hAnsi="Cambria Math" w:cs="Cambria Math"/>
                <w:bCs/>
                <w:color w:val="FF0000"/>
              </w:rPr>
              <w:t>⨀⨀</w:t>
            </w:r>
          </w:p>
          <w:p w:rsidR="0075777C" w:rsidRPr="006316DF" w:rsidRDefault="0075777C" w:rsidP="00805885">
            <w:pPr>
              <w:pStyle w:val="Tabletext"/>
              <w:rPr>
                <w:rFonts w:cs="Arial"/>
              </w:rPr>
            </w:pPr>
            <w:r w:rsidRPr="006316DF">
              <w:rPr>
                <w:rFonts w:cs="Arial"/>
              </w:rPr>
              <w:t>Important</w:t>
            </w:r>
          </w:p>
        </w:tc>
      </w:tr>
      <w:tr w:rsidR="0075777C" w:rsidRPr="006316DF" w:rsidTr="00805885">
        <w:tc>
          <w:tcPr>
            <w:tcW w:w="1560" w:type="dxa"/>
          </w:tcPr>
          <w:p w:rsidR="0075777C" w:rsidRPr="006316DF" w:rsidRDefault="0075777C" w:rsidP="00805885">
            <w:pPr>
              <w:pStyle w:val="Tabletext"/>
              <w:rPr>
                <w:rFonts w:cs="Arial"/>
              </w:rPr>
            </w:pPr>
            <w:r>
              <w:rPr>
                <w:rFonts w:cs="Arial"/>
              </w:rPr>
              <w:t>Serious AEs</w:t>
            </w:r>
          </w:p>
        </w:tc>
        <w:tc>
          <w:tcPr>
            <w:tcW w:w="1275" w:type="dxa"/>
          </w:tcPr>
          <w:p w:rsidR="0075777C" w:rsidRPr="006316DF" w:rsidRDefault="0075777C" w:rsidP="00805885">
            <w:pPr>
              <w:pStyle w:val="Tabletext"/>
              <w:rPr>
                <w:rFonts w:cs="Arial"/>
              </w:rPr>
            </w:pPr>
            <w:r w:rsidRPr="006316DF">
              <w:rPr>
                <w:rFonts w:cs="Arial"/>
              </w:rPr>
              <w:t>N=</w:t>
            </w:r>
            <w:r>
              <w:rPr>
                <w:rFonts w:cs="Arial"/>
              </w:rPr>
              <w:t>67</w:t>
            </w:r>
          </w:p>
          <w:p w:rsidR="0075777C" w:rsidRPr="006316DF" w:rsidRDefault="0075777C" w:rsidP="00805885">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75777C" w:rsidRPr="006316DF" w:rsidRDefault="0075777C" w:rsidP="00805885">
            <w:pPr>
              <w:pStyle w:val="Tabletext"/>
              <w:rPr>
                <w:rFonts w:cs="Arial"/>
              </w:rPr>
            </w:pPr>
            <w:r>
              <w:rPr>
                <w:rFonts w:cs="Arial"/>
              </w:rPr>
              <w:t>Risk of bias: 0</w:t>
            </w:r>
          </w:p>
          <w:p w:rsidR="0075777C" w:rsidRPr="006316DF" w:rsidRDefault="0075777C" w:rsidP="00805885">
            <w:pPr>
              <w:pStyle w:val="Tabletext"/>
              <w:rPr>
                <w:rFonts w:cs="Arial"/>
              </w:rPr>
            </w:pPr>
            <w:r w:rsidRPr="006316DF">
              <w:rPr>
                <w:rFonts w:cs="Arial"/>
              </w:rPr>
              <w:t>Inconsistency: 0</w:t>
            </w:r>
          </w:p>
          <w:p w:rsidR="0075777C" w:rsidRPr="006316DF" w:rsidRDefault="0075777C" w:rsidP="00805885">
            <w:pPr>
              <w:pStyle w:val="Tabletext"/>
              <w:rPr>
                <w:rFonts w:cs="Arial"/>
              </w:rPr>
            </w:pPr>
            <w:r w:rsidRPr="006316DF">
              <w:rPr>
                <w:rFonts w:cs="Arial"/>
              </w:rPr>
              <w:t>Indirectness: 0</w:t>
            </w:r>
          </w:p>
          <w:p w:rsidR="0075777C" w:rsidRDefault="0075777C" w:rsidP="00805885">
            <w:pPr>
              <w:pStyle w:val="Tabletext"/>
              <w:rPr>
                <w:rFonts w:cs="Arial"/>
              </w:rPr>
            </w:pPr>
            <w:r w:rsidRPr="006316DF">
              <w:rPr>
                <w:rFonts w:cs="Arial"/>
              </w:rPr>
              <w:t xml:space="preserve">Imprecision: </w:t>
            </w:r>
            <w:r>
              <w:rPr>
                <w:rFonts w:cs="Arial"/>
              </w:rPr>
              <w:t>−</w:t>
            </w:r>
            <w:r w:rsidR="00B97B32">
              <w:rPr>
                <w:rFonts w:cs="Arial"/>
              </w:rPr>
              <w:t>2</w:t>
            </w:r>
          </w:p>
          <w:p w:rsidR="0075777C" w:rsidRDefault="0075777C" w:rsidP="00805885">
            <w:pPr>
              <w:pStyle w:val="Tabletext"/>
              <w:rPr>
                <w:rFonts w:cs="Arial"/>
              </w:rPr>
            </w:pPr>
            <w:r w:rsidRPr="006316DF">
              <w:rPr>
                <w:rFonts w:cs="Arial"/>
              </w:rPr>
              <w:t>Publication bias: 0</w:t>
            </w:r>
          </w:p>
          <w:p w:rsidR="0075777C" w:rsidRPr="006316DF" w:rsidRDefault="0075777C" w:rsidP="00805885">
            <w:pPr>
              <w:pStyle w:val="Tabletext"/>
              <w:rPr>
                <w:rFonts w:cs="Arial"/>
              </w:rPr>
            </w:pPr>
            <w:r>
              <w:rPr>
                <w:rFonts w:cs="Arial"/>
              </w:rPr>
              <w:t>Association: 0</w:t>
            </w:r>
          </w:p>
        </w:tc>
        <w:tc>
          <w:tcPr>
            <w:tcW w:w="1418" w:type="dxa"/>
          </w:tcPr>
          <w:p w:rsidR="0075777C" w:rsidRPr="000E45D6" w:rsidRDefault="0075777C" w:rsidP="00805885">
            <w:pPr>
              <w:pStyle w:val="Tabletext"/>
            </w:pPr>
            <w:r w:rsidRPr="0043303C">
              <w:t xml:space="preserve">RR </w:t>
            </w:r>
            <w:r>
              <w:t xml:space="preserve">= </w:t>
            </w:r>
            <w:r w:rsidRPr="0043303C">
              <w:t>0.65</w:t>
            </w:r>
            <w:r>
              <w:t xml:space="preserve"> </w:t>
            </w:r>
            <w:r w:rsidRPr="0043303C">
              <w:t>(</w:t>
            </w:r>
            <w:r>
              <w:t xml:space="preserve">95% CI </w:t>
            </w:r>
            <w:r w:rsidRPr="0043303C">
              <w:t>0.23</w:t>
            </w:r>
            <w:r>
              <w:t>,</w:t>
            </w:r>
            <w:r w:rsidRPr="0043303C">
              <w:t xml:space="preserve"> 1.85)</w:t>
            </w:r>
          </w:p>
        </w:tc>
        <w:tc>
          <w:tcPr>
            <w:tcW w:w="2551" w:type="dxa"/>
          </w:tcPr>
          <w:p w:rsidR="0075777C" w:rsidRPr="000E45D6" w:rsidRDefault="0075777C" w:rsidP="00805885">
            <w:pPr>
              <w:pStyle w:val="Tabletext"/>
            </w:pPr>
            <w:r>
              <w:rPr>
                <w:rFonts w:cs="Arial"/>
              </w:rPr>
              <w:t>F</w:t>
            </w:r>
            <w:r w:rsidRPr="000E45D6">
              <w:rPr>
                <w:rFonts w:cs="Arial"/>
              </w:rPr>
              <w:t xml:space="preserve">ewer patients </w:t>
            </w:r>
            <w:r>
              <w:rPr>
                <w:rFonts w:cs="Arial"/>
              </w:rPr>
              <w:t xml:space="preserve">had a serious AE </w:t>
            </w:r>
            <w:r w:rsidRPr="000E45D6">
              <w:rPr>
                <w:rFonts w:cs="Arial"/>
              </w:rPr>
              <w:t xml:space="preserve">with combination therapy compared with </w:t>
            </w:r>
            <w:r>
              <w:rPr>
                <w:rFonts w:cs="Arial"/>
              </w:rPr>
              <w:t>monotherapy,</w:t>
            </w:r>
            <w:r>
              <w:t xml:space="preserve"> </w:t>
            </w:r>
            <w:r w:rsidRPr="00574104">
              <w:rPr>
                <w:rFonts w:cs="Arial"/>
              </w:rPr>
              <w:t xml:space="preserve">but the </w:t>
            </w:r>
            <w:r w:rsidR="00D84687">
              <w:rPr>
                <w:rFonts w:cs="Arial"/>
              </w:rPr>
              <w:t>95% CI indicates</w:t>
            </w:r>
            <w:r w:rsidRPr="00574104">
              <w:rPr>
                <w:rFonts w:cs="Arial"/>
              </w:rPr>
              <w:t xml:space="preserve"> that there could also be the opposite effect.</w:t>
            </w:r>
          </w:p>
        </w:tc>
        <w:tc>
          <w:tcPr>
            <w:tcW w:w="1134" w:type="dxa"/>
          </w:tcPr>
          <w:p w:rsidR="0075777C" w:rsidRDefault="00B97B32" w:rsidP="00805885">
            <w:pPr>
              <w:pStyle w:val="Tabletext"/>
              <w:rPr>
                <w:bCs/>
              </w:rPr>
            </w:pPr>
            <w:r>
              <w:rPr>
                <w:bCs/>
              </w:rPr>
              <w:t>Low</w:t>
            </w:r>
          </w:p>
          <w:p w:rsidR="0075777C" w:rsidRDefault="0075777C" w:rsidP="00805885">
            <w:pPr>
              <w:pStyle w:val="Tabletext"/>
              <w:rPr>
                <w:rFonts w:ascii="Cambria Math" w:hAnsi="Cambria Math" w:cs="Cambria Math"/>
                <w:bCs/>
              </w:rPr>
            </w:pPr>
            <w:r w:rsidRPr="00E564DD">
              <w:rPr>
                <w:rFonts w:ascii="Cambria Math" w:hAnsi="Cambria Math" w:cs="Cambria Math"/>
                <w:bCs/>
                <w:color w:val="00B050"/>
              </w:rPr>
              <w:t>⨁⨁</w:t>
            </w:r>
            <w:r w:rsidR="00B97B32" w:rsidRPr="00E564DD">
              <w:rPr>
                <w:rFonts w:ascii="Cambria Math" w:hAnsi="Cambria Math" w:cs="Cambria Math"/>
                <w:bCs/>
                <w:color w:val="FF0000"/>
              </w:rPr>
              <w:t>⨀</w:t>
            </w:r>
            <w:r w:rsidRPr="00E564DD">
              <w:rPr>
                <w:rFonts w:ascii="Cambria Math" w:hAnsi="Cambria Math" w:cs="Cambria Math"/>
                <w:bCs/>
                <w:color w:val="FF0000"/>
              </w:rPr>
              <w:t>⨀</w:t>
            </w:r>
          </w:p>
          <w:p w:rsidR="0075777C" w:rsidRPr="006316DF" w:rsidRDefault="0075777C" w:rsidP="00805885">
            <w:pPr>
              <w:pStyle w:val="Tabletext"/>
              <w:rPr>
                <w:rFonts w:cs="Arial"/>
              </w:rPr>
            </w:pPr>
            <w:r w:rsidRPr="006316DF">
              <w:rPr>
                <w:rFonts w:cs="Arial"/>
              </w:rPr>
              <w:t>Important</w:t>
            </w:r>
          </w:p>
        </w:tc>
      </w:tr>
      <w:tr w:rsidR="00B97B32" w:rsidRPr="006316DF" w:rsidTr="00805885">
        <w:tc>
          <w:tcPr>
            <w:tcW w:w="1560" w:type="dxa"/>
          </w:tcPr>
          <w:p w:rsidR="00B97B32" w:rsidRPr="00163A1F" w:rsidRDefault="00B97B32" w:rsidP="00B97B32">
            <w:pPr>
              <w:pStyle w:val="Tabletext"/>
              <w:rPr>
                <w:rFonts w:cs="Arial"/>
              </w:rPr>
            </w:pPr>
            <w:r w:rsidRPr="00163A1F">
              <w:rPr>
                <w:rFonts w:cs="Arial"/>
              </w:rPr>
              <w:t>AEs leading to treatment discontinuation</w:t>
            </w:r>
          </w:p>
        </w:tc>
        <w:tc>
          <w:tcPr>
            <w:tcW w:w="1275" w:type="dxa"/>
          </w:tcPr>
          <w:p w:rsidR="00B97B32" w:rsidRPr="00163A1F" w:rsidRDefault="00B97B32" w:rsidP="00B97B32">
            <w:pPr>
              <w:pStyle w:val="Tabletext"/>
              <w:rPr>
                <w:rFonts w:cs="Arial"/>
              </w:rPr>
            </w:pPr>
            <w:r w:rsidRPr="00163A1F">
              <w:rPr>
                <w:rFonts w:cs="Arial"/>
              </w:rPr>
              <w:t>N=40</w:t>
            </w:r>
          </w:p>
          <w:p w:rsidR="00B97B32" w:rsidRPr="00163A1F" w:rsidRDefault="00B97B32" w:rsidP="00B97B32">
            <w:pPr>
              <w:pStyle w:val="Tabletext"/>
              <w:rPr>
                <w:rFonts w:cs="Arial"/>
              </w:rPr>
            </w:pPr>
            <w:r w:rsidRPr="00163A1F">
              <w:rPr>
                <w:rFonts w:cs="Arial"/>
              </w:rPr>
              <w:t>k=1 RCT</w:t>
            </w:r>
          </w:p>
        </w:tc>
        <w:tc>
          <w:tcPr>
            <w:tcW w:w="1701" w:type="dxa"/>
          </w:tcPr>
          <w:p w:rsidR="00B97B32" w:rsidRPr="00163A1F" w:rsidRDefault="00B97B32" w:rsidP="00B97B32">
            <w:pPr>
              <w:pStyle w:val="Tabletext"/>
              <w:rPr>
                <w:rFonts w:cs="Arial"/>
              </w:rPr>
            </w:pPr>
            <w:r w:rsidRPr="00163A1F">
              <w:rPr>
                <w:rFonts w:cs="Arial"/>
              </w:rPr>
              <w:t>Risk of bias: −2</w:t>
            </w:r>
          </w:p>
          <w:p w:rsidR="00B97B32" w:rsidRPr="00163A1F" w:rsidRDefault="00B97B32" w:rsidP="00B97B32">
            <w:pPr>
              <w:pStyle w:val="Tabletext"/>
              <w:rPr>
                <w:rFonts w:cs="Arial"/>
              </w:rPr>
            </w:pPr>
            <w:r w:rsidRPr="00163A1F">
              <w:rPr>
                <w:rFonts w:cs="Arial"/>
              </w:rPr>
              <w:t>Inconsistency: 0</w:t>
            </w:r>
          </w:p>
          <w:p w:rsidR="00B97B32" w:rsidRPr="00163A1F" w:rsidRDefault="00B97B32" w:rsidP="00B97B32">
            <w:pPr>
              <w:pStyle w:val="Tabletext"/>
              <w:rPr>
                <w:rFonts w:cs="Arial"/>
              </w:rPr>
            </w:pPr>
            <w:r w:rsidRPr="00163A1F">
              <w:rPr>
                <w:rFonts w:cs="Arial"/>
              </w:rPr>
              <w:t>Indirectness: 0</w:t>
            </w:r>
          </w:p>
          <w:p w:rsidR="00B97B32" w:rsidRPr="00163A1F" w:rsidRDefault="00B97B32" w:rsidP="00B97B32">
            <w:pPr>
              <w:pStyle w:val="Tabletext"/>
              <w:rPr>
                <w:rFonts w:cs="Arial"/>
              </w:rPr>
            </w:pPr>
            <w:r w:rsidRPr="00163A1F">
              <w:rPr>
                <w:rFonts w:cs="Arial"/>
              </w:rPr>
              <w:t>Imprecisio</w:t>
            </w:r>
            <w:r>
              <w:rPr>
                <w:rFonts w:cs="Arial"/>
              </w:rPr>
              <w:t>n: −2</w:t>
            </w:r>
          </w:p>
          <w:p w:rsidR="00B97B32" w:rsidRPr="00163A1F" w:rsidRDefault="00B97B32" w:rsidP="00B97B32">
            <w:pPr>
              <w:pStyle w:val="Tabletext"/>
              <w:rPr>
                <w:rFonts w:cs="Arial"/>
              </w:rPr>
            </w:pPr>
            <w:r w:rsidRPr="00163A1F">
              <w:rPr>
                <w:rFonts w:cs="Arial"/>
              </w:rPr>
              <w:t>Publication bias: 0</w:t>
            </w:r>
          </w:p>
          <w:p w:rsidR="00B97B32" w:rsidRPr="00163A1F" w:rsidRDefault="00B97B32" w:rsidP="00B97B32">
            <w:pPr>
              <w:pStyle w:val="Tabletext"/>
              <w:rPr>
                <w:rFonts w:cs="Arial"/>
              </w:rPr>
            </w:pPr>
            <w:r w:rsidRPr="00163A1F">
              <w:rPr>
                <w:rFonts w:cs="Arial"/>
              </w:rPr>
              <w:t>Association: 0</w:t>
            </w:r>
          </w:p>
        </w:tc>
        <w:tc>
          <w:tcPr>
            <w:tcW w:w="1418" w:type="dxa"/>
          </w:tcPr>
          <w:p w:rsidR="00B97B32" w:rsidRPr="00163A1F" w:rsidRDefault="00B97B32" w:rsidP="00B97B32">
            <w:pPr>
              <w:pStyle w:val="Tabletext"/>
            </w:pPr>
            <w:r>
              <w:t>ARD</w:t>
            </w:r>
            <w:r w:rsidRPr="00163A1F">
              <w:t xml:space="preserve"> = 5.2% (95% CI −4.8, 15.3)</w:t>
            </w:r>
          </w:p>
        </w:tc>
        <w:tc>
          <w:tcPr>
            <w:tcW w:w="2551" w:type="dxa"/>
          </w:tcPr>
          <w:p w:rsidR="00B97B32" w:rsidRPr="00163A1F" w:rsidRDefault="00B97B32" w:rsidP="00B97B32">
            <w:pPr>
              <w:pStyle w:val="Tabletext"/>
              <w:rPr>
                <w:rFonts w:cs="Arial"/>
              </w:rPr>
            </w:pPr>
            <w:r w:rsidRPr="00163A1F">
              <w:rPr>
                <w:rFonts w:cs="Arial"/>
              </w:rPr>
              <w:t>More patients needed to discontinue treatment due to an AE with combination therapy compared with monotherapy,</w:t>
            </w:r>
            <w:r w:rsidRPr="00163A1F">
              <w:t xml:space="preserve"> </w:t>
            </w:r>
            <w:r w:rsidRPr="00163A1F">
              <w:rPr>
                <w:rFonts w:cs="Arial"/>
              </w:rPr>
              <w:t>but the difference was not statistically significant (p = 0.29)</w:t>
            </w:r>
          </w:p>
        </w:tc>
        <w:tc>
          <w:tcPr>
            <w:tcW w:w="1134" w:type="dxa"/>
          </w:tcPr>
          <w:p w:rsidR="00B97B32" w:rsidRDefault="00B97B32" w:rsidP="00B97B32">
            <w:pPr>
              <w:pStyle w:val="Tabletext"/>
              <w:rPr>
                <w:bCs/>
              </w:rPr>
            </w:pPr>
            <w:r>
              <w:rPr>
                <w:bCs/>
              </w:rPr>
              <w:t>Very low</w:t>
            </w:r>
          </w:p>
          <w:p w:rsidR="00B97B32" w:rsidRDefault="00B97B32" w:rsidP="00B97B32">
            <w:pPr>
              <w:pStyle w:val="Tabletext"/>
              <w:rPr>
                <w:rFonts w:ascii="Cambria Math" w:hAnsi="Cambria Math" w:cs="Cambria Math"/>
                <w:bCs/>
              </w:rPr>
            </w:pPr>
            <w:r>
              <w:rPr>
                <w:rFonts w:ascii="Cambria Math" w:hAnsi="Cambria Math" w:cs="Cambria Math"/>
                <w:bCs/>
                <w:color w:val="00B050"/>
              </w:rPr>
              <w:t>⨁</w:t>
            </w:r>
            <w:r w:rsidRPr="00E564DD">
              <w:rPr>
                <w:rFonts w:ascii="Cambria Math" w:eastAsia="Times New Roman" w:hAnsi="Cambria Math" w:cs="Cambria Math"/>
                <w:bCs/>
                <w:color w:val="FF0000"/>
              </w:rPr>
              <w:t>⨀</w:t>
            </w:r>
            <w:r w:rsidRPr="00E564DD">
              <w:rPr>
                <w:rFonts w:ascii="Cambria Math" w:hAnsi="Cambria Math" w:cs="Cambria Math"/>
                <w:bCs/>
                <w:color w:val="FF0000"/>
              </w:rPr>
              <w:t>⨀⨀</w:t>
            </w:r>
          </w:p>
          <w:p w:rsidR="00B97B32" w:rsidRPr="00163A1F" w:rsidRDefault="00B97B32" w:rsidP="00B97B32">
            <w:pPr>
              <w:pStyle w:val="Tabletext"/>
              <w:rPr>
                <w:rFonts w:cs="Arial"/>
              </w:rPr>
            </w:pPr>
            <w:r w:rsidRPr="006316DF">
              <w:rPr>
                <w:rFonts w:cs="Arial"/>
              </w:rPr>
              <w:t>Important</w:t>
            </w:r>
          </w:p>
        </w:tc>
      </w:tr>
    </w:tbl>
    <w:p w:rsidR="0075777C" w:rsidRPr="006316DF" w:rsidRDefault="0075777C" w:rsidP="00805885">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75777C" w:rsidRPr="006316DF" w:rsidRDefault="0075777C" w:rsidP="00805885">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F95747" w:rsidRPr="00E564DD" w:rsidRDefault="00F95747" w:rsidP="00F95747">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7446CB" w:rsidRDefault="0075777C" w:rsidP="00805885">
      <w:pPr>
        <w:pStyle w:val="Tablenote"/>
      </w:pPr>
      <w:r>
        <w:t>AE = adverse even</w:t>
      </w:r>
      <w:r w:rsidR="00B21201">
        <w:t>t; ARD</w:t>
      </w:r>
      <w:r>
        <w:t xml:space="preserve"> = absolute risk </w:t>
      </w:r>
      <w:r w:rsidR="00B21201">
        <w:t>difference</w:t>
      </w:r>
      <w:r>
        <w: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7446CB" w:rsidRPr="00F24B06">
        <w:t>; k = number of studies;</w:t>
      </w:r>
      <w:r w:rsidR="007446CB">
        <w:t xml:space="preserve"> </w:t>
      </w:r>
      <w:r>
        <w:t xml:space="preserve">N = number of patients; </w:t>
      </w:r>
      <w:r w:rsidRPr="00C65B42">
        <w:t xml:space="preserve">PAH = pulmonary arterial hypertension; </w:t>
      </w:r>
      <w:r>
        <w:t>RCT = randomised controlled trial; RR = relative risk; WHO = World Health Organization</w:t>
      </w:r>
    </w:p>
    <w:p w:rsidR="0075777C" w:rsidRPr="006316DF" w:rsidRDefault="000E0079" w:rsidP="0075777C">
      <w:pPr>
        <w:pStyle w:val="Heading4"/>
      </w:pPr>
      <w:r>
        <w:t>4.5.3.6</w:t>
      </w:r>
      <w:r>
        <w:tab/>
      </w:r>
      <w:proofErr w:type="gramStart"/>
      <w:r w:rsidR="0075777C">
        <w:t>sGC</w:t>
      </w:r>
      <w:proofErr w:type="gramEnd"/>
      <w:r w:rsidR="0075777C">
        <w:t xml:space="preserve"> stimulator</w:t>
      </w:r>
      <w:r w:rsidR="0075777C" w:rsidRPr="00EF6A61">
        <w:t xml:space="preserve"> </w:t>
      </w:r>
      <w:r w:rsidR="0075777C" w:rsidRPr="006C4A08">
        <w:t xml:space="preserve">in addition to </w:t>
      </w:r>
      <w:r w:rsidR="0075777C">
        <w:t>an ERA</w:t>
      </w:r>
    </w:p>
    <w:p w:rsidR="0075777C" w:rsidRPr="00107676" w:rsidRDefault="0075777C" w:rsidP="0075777C">
      <w:pPr>
        <w:pStyle w:val="Heading5"/>
      </w:pPr>
      <w:r w:rsidRPr="00107676">
        <w:t>Clinical effectiveness</w:t>
      </w:r>
    </w:p>
    <w:p w:rsidR="0075777C" w:rsidRDefault="0075777C" w:rsidP="0075777C">
      <w:r>
        <w:t xml:space="preserve">The RCT that provided the evidence base for </w:t>
      </w:r>
      <w:r w:rsidRPr="000522D6">
        <w:t xml:space="preserve">comparing </w:t>
      </w:r>
      <w:r>
        <w:t xml:space="preserve">the effectiveness of </w:t>
      </w:r>
      <w:r w:rsidRPr="000522D6">
        <w:t xml:space="preserve">a </w:t>
      </w:r>
      <w:r w:rsidRPr="001A61AD">
        <w:t xml:space="preserve">sGC stimulator </w:t>
      </w:r>
      <w:r w:rsidRPr="000522D6">
        <w:t xml:space="preserve">in addition to </w:t>
      </w:r>
      <w:r>
        <w:t xml:space="preserve">an </w:t>
      </w:r>
      <w:r w:rsidRPr="000522D6">
        <w:t xml:space="preserve">ERA </w:t>
      </w:r>
      <w:r>
        <w:t>compared with</w:t>
      </w:r>
      <w:r w:rsidRPr="000522D6">
        <w:t xml:space="preserve"> </w:t>
      </w:r>
      <w:r>
        <w:t>ERA</w:t>
      </w:r>
      <w:r w:rsidRPr="000522D6">
        <w:t xml:space="preserve"> monotherapy</w:t>
      </w:r>
      <w:r>
        <w:t xml:space="preserve"> enrolled a subgroup of patients </w:t>
      </w:r>
      <w:r w:rsidRPr="004F7ADF">
        <w:t xml:space="preserve">with background ERA </w:t>
      </w:r>
      <w:r>
        <w:t>t</w:t>
      </w:r>
      <w:r w:rsidRPr="004F7ADF">
        <w:t>herapy</w:t>
      </w:r>
      <w:r>
        <w:t xml:space="preserve"> </w:t>
      </w:r>
      <w:r w:rsidRPr="001A61AD">
        <w:t>(sequential combination therapy).</w:t>
      </w:r>
      <w:r>
        <w:t xml:space="preserve"> Subgroup analysis for patients with WHO FC III/IV PAH was also included.</w:t>
      </w:r>
    </w:p>
    <w:p w:rsidR="0075777C" w:rsidRPr="006316DF"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the outcomes when comparing a </w:t>
      </w:r>
      <w:r w:rsidRPr="00B73C5B">
        <w:t xml:space="preserve">sGC stimulator in addition to an </w:t>
      </w:r>
      <w:r>
        <w:t xml:space="preserve">ERA, </w:t>
      </w:r>
      <w:r w:rsidRPr="00B73C5B">
        <w:t xml:space="preserve">relative to ERA monotherapy </w:t>
      </w:r>
      <w:r>
        <w:t xml:space="preserve">are reported in </w:t>
      </w:r>
      <w:r w:rsidR="002046A0">
        <w:rPr>
          <w:noProof/>
          <w:color w:val="000000"/>
          <w:highlight w:val="black"/>
        </w:rPr>
        <w:t>''''''''' ''''''''''''</w:t>
      </w:r>
      <w:r>
        <w:t xml:space="preserve"> and </w:t>
      </w:r>
      <w:r w:rsidR="002046A0">
        <w:rPr>
          <w:noProof/>
          <w:color w:val="000000"/>
          <w:highlight w:val="black"/>
        </w:rPr>
        <w:t>'''''''''' ''''''''''''</w:t>
      </w:r>
      <w:r>
        <w:t xml:space="preserve"> </w:t>
      </w:r>
      <w:r w:rsidR="00DA2636">
        <w:t>in Appendix 4</w:t>
      </w:r>
      <w:r w:rsidR="001B552D">
        <w:t>C</w:t>
      </w:r>
      <w:r w:rsidRPr="006316DF">
        <w:t xml:space="preserve">. A summary of these results </w:t>
      </w:r>
      <w:r>
        <w:t xml:space="preserve">for all PAH patients </w:t>
      </w:r>
      <w:r w:rsidRPr="006316DF">
        <w:t>is provided in</w:t>
      </w:r>
      <w:r>
        <w:t xml:space="preserve"> </w:t>
      </w:r>
      <w:r w:rsidR="003951FA" w:rsidRPr="00F05153">
        <w:t>Table 4.</w:t>
      </w:r>
      <w:r w:rsidR="003951FA">
        <w:rPr>
          <w:noProof/>
        </w:rPr>
        <w:t>139</w:t>
      </w:r>
      <w:r w:rsidR="00585084">
        <w:t>.</w:t>
      </w:r>
      <w:r w:rsidR="003951FA" w:rsidRPr="00F05153">
        <w:t>Table 4.</w:t>
      </w:r>
      <w:r w:rsidR="003951FA">
        <w:rPr>
          <w:noProof/>
        </w:rPr>
        <w:t>139</w:t>
      </w:r>
      <w:r w:rsidRPr="006316DF">
        <w:t xml:space="preserve">The evidence base for </w:t>
      </w:r>
      <w:r>
        <w:t>all</w:t>
      </w:r>
      <w:r w:rsidRPr="006316DF">
        <w:t xml:space="preserve"> outcomes was considered to be of </w:t>
      </w:r>
      <w:r>
        <w:t>high</w:t>
      </w:r>
      <w:r w:rsidRPr="006316DF">
        <w:t xml:space="preserve"> (GRADE </w:t>
      </w:r>
      <w:r w:rsidRPr="00920393">
        <w:rPr>
          <w:rFonts w:ascii="Cambria Math" w:eastAsia="Times New Roman" w:hAnsi="Cambria Math" w:cs="Tahoma"/>
          <w:bCs/>
          <w:color w:val="00B050"/>
        </w:rPr>
        <w:t>⨁⨁⨁⨁</w:t>
      </w:r>
      <w:r w:rsidRPr="00920393">
        <w:t>)</w:t>
      </w:r>
      <w:r w:rsidR="0055519E">
        <w:t xml:space="preserve"> or moderate </w:t>
      </w:r>
      <w:r w:rsidR="0055519E" w:rsidRPr="006316DF">
        <w:t xml:space="preserve">(GRADE </w:t>
      </w:r>
      <w:r w:rsidR="0055519E" w:rsidRPr="00920393">
        <w:rPr>
          <w:rFonts w:ascii="Cambria Math" w:eastAsia="Times New Roman" w:hAnsi="Cambria Math" w:cs="Tahoma"/>
          <w:bCs/>
          <w:color w:val="00B050"/>
        </w:rPr>
        <w:t>⨁⨁⨁</w:t>
      </w:r>
      <w:r w:rsidR="0055519E" w:rsidRPr="00920393">
        <w:rPr>
          <w:rFonts w:ascii="Cambria Math" w:eastAsia="Times New Roman" w:hAnsi="Cambria Math" w:cs="Cambria Math"/>
          <w:bCs/>
          <w:color w:val="C00000"/>
        </w:rPr>
        <w:t>⨀</w:t>
      </w:r>
      <w:r w:rsidR="0055519E" w:rsidRPr="00920393">
        <w:t xml:space="preserve">) </w:t>
      </w:r>
      <w:r w:rsidR="0055519E" w:rsidRPr="006316DF">
        <w:t>quality</w:t>
      </w:r>
      <w:r w:rsidR="0055519E">
        <w:t xml:space="preserve">, except for change in haemodynamic parameters which is of low quality </w:t>
      </w:r>
      <w:r w:rsidR="0055519E" w:rsidRPr="006316DF">
        <w:t xml:space="preserve">(GRADE </w:t>
      </w:r>
      <w:r w:rsidR="0055519E" w:rsidRPr="00920393">
        <w:rPr>
          <w:rFonts w:ascii="Cambria Math" w:eastAsia="Times New Roman" w:hAnsi="Cambria Math" w:cs="Tahoma"/>
          <w:bCs/>
          <w:color w:val="00B050"/>
        </w:rPr>
        <w:t>⨁⨁</w:t>
      </w:r>
      <w:r w:rsidR="0055519E" w:rsidRPr="00920393">
        <w:rPr>
          <w:rFonts w:ascii="Cambria Math" w:eastAsia="Times New Roman" w:hAnsi="Cambria Math" w:cs="Cambria Math"/>
          <w:bCs/>
          <w:color w:val="C00000"/>
        </w:rPr>
        <w:t>⨀⨀</w:t>
      </w:r>
      <w:r w:rsidR="0055519E" w:rsidRPr="00920393">
        <w:t>)</w:t>
      </w:r>
      <w:r w:rsidR="0055519E">
        <w:t>.</w:t>
      </w:r>
    </w:p>
    <w:p w:rsidR="0075777C" w:rsidRPr="00F05153" w:rsidRDefault="0075777C" w:rsidP="0075777C">
      <w:r w:rsidRPr="00F05153">
        <w:t xml:space="preserve">When taking the whole body of evidence into account, the point estimates indicate that the number of patients experiencing clinical worsening, dying from any cause or being hospitalised would be </w:t>
      </w:r>
      <w:r w:rsidR="002046A0">
        <w:rPr>
          <w:noProof/>
          <w:color w:val="000000"/>
          <w:highlight w:val="black"/>
        </w:rPr>
        <w:t xml:space="preserve">'''''''''''''''' </w:t>
      </w:r>
      <w:r w:rsidRPr="00F05153">
        <w:t>when on combination therapy compared with monotherapy</w:t>
      </w:r>
      <w:r w:rsidR="002046A0">
        <w:rPr>
          <w:noProof/>
          <w:color w:val="000000"/>
          <w:highlight w:val="black"/>
        </w:rPr>
        <w:t>'' '''''' ''''''' '''''''' '''' ''''''''''''''''' '''''''' ''''''''''' ''''''''' ''''''''' ''''' '''''' ''''''''''''''''' ''''''''''''</w:t>
      </w:r>
      <w:r w:rsidRPr="00F05153">
        <w:t xml:space="preserve">. Similarly, </w:t>
      </w:r>
      <w:r w:rsidR="002046A0">
        <w:rPr>
          <w:noProof/>
          <w:color w:val="000000"/>
          <w:highlight w:val="black"/>
        </w:rPr>
        <w:t>'''''''''</w:t>
      </w:r>
      <w:r w:rsidRPr="00F05153">
        <w:t xml:space="preserve"> patients will have an improvement in their WHO FC and </w:t>
      </w:r>
      <w:r w:rsidR="002046A0">
        <w:rPr>
          <w:noProof/>
          <w:color w:val="000000"/>
          <w:highlight w:val="black"/>
        </w:rPr>
        <w:t>''''''''''''</w:t>
      </w:r>
      <w:r w:rsidRPr="00F05153">
        <w:t xml:space="preserve"> a worsening of WHO FC, </w:t>
      </w:r>
      <w:r w:rsidR="002046A0">
        <w:rPr>
          <w:noProof/>
          <w:color w:val="000000"/>
          <w:highlight w:val="black"/>
        </w:rPr>
        <w:t>'''''''' '''''' '''''''' '''' ''''''''''''''''''' '''''''' '''''''''' '''''''' '''''''' ''''' ''''' '''''''''''''</w:t>
      </w:r>
      <w:r w:rsidRPr="00F05153">
        <w:t xml:space="preserve"> Patients on combination therapy had </w:t>
      </w:r>
      <w:r w:rsidR="002046A0">
        <w:rPr>
          <w:noProof/>
          <w:color w:val="000000"/>
          <w:highlight w:val="black"/>
        </w:rPr>
        <w:t>'' ''''''''''' '''''''''' '''''''''''''''''''''''''</w:t>
      </w:r>
      <w:r w:rsidRPr="00F05153">
        <w:t xml:space="preserve"> in their 6MWD, PVR and QoL than those on monotherapy, but only the mean difference for EQ-5D QoL </w:t>
      </w:r>
      <w:r w:rsidR="002046A0">
        <w:rPr>
          <w:noProof/>
          <w:color w:val="000000"/>
          <w:highlight w:val="black"/>
        </w:rPr>
        <w:t>'''''''' ''''''''' '''''''''''''' ''''' ''''' '''''''''''''''''' '''''''''''''''''''</w:t>
      </w:r>
      <w:r w:rsidRPr="00F05153">
        <w:t>.</w:t>
      </w:r>
    </w:p>
    <w:p w:rsidR="00585084" w:rsidRPr="00F05153" w:rsidRDefault="00585084" w:rsidP="0075777C">
      <w:r w:rsidRPr="00F05153">
        <w:t>Thus, there is limited evidence indicating that the use of a sGC stimulator in addition to an ERA, relative to ERA monotherapy to treat P</w:t>
      </w:r>
      <w:r w:rsidR="00377908" w:rsidRPr="00F05153">
        <w:t>AH patients may be beneficial.</w:t>
      </w:r>
    </w:p>
    <w:p w:rsidR="0075777C" w:rsidRPr="00F05153" w:rsidRDefault="00272F8F" w:rsidP="00BC5A2B">
      <w:pPr>
        <w:pStyle w:val="Caption"/>
      </w:pPr>
      <w:bookmarkStart w:id="385" w:name="_Ref505865988"/>
      <w:bookmarkStart w:id="386" w:name="_Toc38360436"/>
      <w:r w:rsidRPr="00F05153">
        <w:t>Table 4.</w:t>
      </w:r>
      <w:r w:rsidR="003951FA">
        <w:rPr>
          <w:noProof/>
        </w:rPr>
        <w:t>139</w:t>
      </w:r>
      <w:bookmarkEnd w:id="385"/>
      <w:r w:rsidR="00805885" w:rsidRPr="00F05153">
        <w:tab/>
      </w:r>
      <w:r w:rsidR="0075777C" w:rsidRPr="00F05153">
        <w:t xml:space="preserve">Balance of clinical benefits of </w:t>
      </w:r>
      <w:r w:rsidR="00805885" w:rsidRPr="00F05153">
        <w:t>a</w:t>
      </w:r>
      <w:r w:rsidR="0075777C" w:rsidRPr="00F05153">
        <w:t xml:space="preserve"> sGC stimulator in addition to </w:t>
      </w:r>
      <w:r w:rsidR="001B552D" w:rsidRPr="00F05153">
        <w:t xml:space="preserve">an </w:t>
      </w:r>
      <w:r w:rsidR="0075777C" w:rsidRPr="00F05153">
        <w:t>ERA, relative to ERA monotherapy in all PAH patients</w:t>
      </w:r>
      <w:bookmarkEnd w:id="386"/>
    </w:p>
    <w:tbl>
      <w:tblPr>
        <w:tblStyle w:val="TableGrid"/>
        <w:tblW w:w="9639" w:type="dxa"/>
        <w:tblLayout w:type="fixed"/>
        <w:tblLook w:val="04A0" w:firstRow="1" w:lastRow="0" w:firstColumn="1" w:lastColumn="0" w:noHBand="0" w:noVBand="1"/>
        <w:tblDescription w:val="Balance of clinical benefits of a sGC stimulator in addition to an ERA, relative to ERA monotherapy in all PAH patients"/>
      </w:tblPr>
      <w:tblGrid>
        <w:gridCol w:w="1560"/>
        <w:gridCol w:w="1275"/>
        <w:gridCol w:w="1701"/>
        <w:gridCol w:w="1418"/>
        <w:gridCol w:w="2551"/>
        <w:gridCol w:w="1134"/>
      </w:tblGrid>
      <w:tr w:rsidR="0075777C" w:rsidRPr="00F05153" w:rsidTr="0080588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F05153" w:rsidRDefault="0075777C" w:rsidP="00805885">
            <w:pPr>
              <w:pStyle w:val="Tabletext"/>
              <w:rPr>
                <w:b/>
                <w:noProof/>
              </w:rPr>
            </w:pPr>
            <w:r w:rsidRPr="00F05153">
              <w:rPr>
                <w:b/>
                <w:noProof/>
              </w:rPr>
              <w:t xml:space="preserve">Outcomes </w:t>
            </w:r>
          </w:p>
        </w:tc>
        <w:tc>
          <w:tcPr>
            <w:tcW w:w="1275" w:type="dxa"/>
          </w:tcPr>
          <w:p w:rsidR="0075777C" w:rsidRPr="00F05153" w:rsidRDefault="0075777C" w:rsidP="00805885">
            <w:pPr>
              <w:pStyle w:val="Tabletext"/>
              <w:rPr>
                <w:b/>
                <w:noProof/>
              </w:rPr>
            </w:pPr>
            <w:r w:rsidRPr="00F05153">
              <w:rPr>
                <w:b/>
                <w:noProof/>
              </w:rPr>
              <w:t>Participants (studies)</w:t>
            </w:r>
          </w:p>
        </w:tc>
        <w:tc>
          <w:tcPr>
            <w:tcW w:w="1701" w:type="dxa"/>
          </w:tcPr>
          <w:p w:rsidR="0075777C" w:rsidRPr="00F05153" w:rsidRDefault="0075777C" w:rsidP="00805885">
            <w:pPr>
              <w:pStyle w:val="Tabletext"/>
              <w:rPr>
                <w:b/>
                <w:noProof/>
              </w:rPr>
            </w:pPr>
            <w:r w:rsidRPr="00F05153">
              <w:rPr>
                <w:b/>
                <w:noProof/>
              </w:rPr>
              <w:t>Quality of evidence</w:t>
            </w:r>
          </w:p>
        </w:tc>
        <w:tc>
          <w:tcPr>
            <w:tcW w:w="1418" w:type="dxa"/>
          </w:tcPr>
          <w:p w:rsidR="0075777C" w:rsidRPr="00F05153" w:rsidRDefault="0075777C" w:rsidP="00805885">
            <w:pPr>
              <w:pStyle w:val="Tabletext"/>
              <w:rPr>
                <w:b/>
                <w:noProof/>
              </w:rPr>
            </w:pPr>
            <w:r w:rsidRPr="00F05153">
              <w:rPr>
                <w:b/>
                <w:noProof/>
              </w:rPr>
              <w:t>Results</w:t>
            </w:r>
          </w:p>
        </w:tc>
        <w:tc>
          <w:tcPr>
            <w:tcW w:w="2551" w:type="dxa"/>
          </w:tcPr>
          <w:p w:rsidR="0075777C" w:rsidRPr="00F05153" w:rsidRDefault="0075777C" w:rsidP="00805885">
            <w:pPr>
              <w:pStyle w:val="Tabletext"/>
              <w:rPr>
                <w:b/>
                <w:noProof/>
              </w:rPr>
            </w:pPr>
            <w:r w:rsidRPr="00F05153">
              <w:rPr>
                <w:b/>
                <w:noProof/>
              </w:rPr>
              <w:t>Interpretation</w:t>
            </w:r>
          </w:p>
        </w:tc>
        <w:tc>
          <w:tcPr>
            <w:tcW w:w="1134" w:type="dxa"/>
          </w:tcPr>
          <w:p w:rsidR="0075777C" w:rsidRPr="00F05153" w:rsidRDefault="0075777C" w:rsidP="00805885">
            <w:pPr>
              <w:pStyle w:val="Tabletext"/>
              <w:rPr>
                <w:b/>
                <w:noProof/>
              </w:rPr>
            </w:pPr>
            <w:r w:rsidRPr="00F05153">
              <w:rPr>
                <w:b/>
                <w:noProof/>
              </w:rPr>
              <w:t>GRADE</w:t>
            </w:r>
            <w:r w:rsidR="007446CB" w:rsidRPr="00F05153">
              <w:rPr>
                <w:b/>
                <w:noProof/>
                <w:vertAlign w:val="superscript"/>
              </w:rPr>
              <w:t>a</w:t>
            </w:r>
          </w:p>
          <w:p w:rsidR="0075777C" w:rsidRPr="00F05153" w:rsidRDefault="0075777C" w:rsidP="00805885">
            <w:pPr>
              <w:pStyle w:val="Tabletext"/>
              <w:rPr>
                <w:b/>
                <w:noProof/>
              </w:rPr>
            </w:pPr>
            <w:r w:rsidRPr="00F05153">
              <w:rPr>
                <w:b/>
                <w:noProof/>
              </w:rPr>
              <w:t>Importance</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 xml:space="preserve">Clinical worsening </w:t>
            </w:r>
          </w:p>
        </w:tc>
        <w:tc>
          <w:tcPr>
            <w:tcW w:w="1275" w:type="dxa"/>
          </w:tcPr>
          <w:p w:rsidR="0075777C" w:rsidRPr="00F05153" w:rsidRDefault="0075777C" w:rsidP="00805885">
            <w:pPr>
              <w:pStyle w:val="Tabletext"/>
              <w:rPr>
                <w:rFonts w:cs="Arial"/>
              </w:rPr>
            </w:pPr>
            <w:r w:rsidRPr="00F05153">
              <w:rPr>
                <w:rFonts w:cs="Arial"/>
              </w:rPr>
              <w:t>N=167</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Imprecision: −1</w:t>
            </w:r>
          </w:p>
          <w:p w:rsidR="0075777C" w:rsidRPr="00F05153" w:rsidRDefault="0075777C" w:rsidP="00805885">
            <w:pPr>
              <w:pStyle w:val="Tabletext"/>
              <w:rPr>
                <w:rFonts w:cs="Arial"/>
              </w:rPr>
            </w:pPr>
            <w:r w:rsidRPr="00F05153">
              <w:rPr>
                <w:rFonts w:cs="Arial"/>
              </w:rPr>
              <w:t>Publication bias: 0</w:t>
            </w:r>
          </w:p>
          <w:p w:rsidR="0075777C" w:rsidRPr="00F05153" w:rsidRDefault="00F95747" w:rsidP="00805885">
            <w:pPr>
              <w:pStyle w:val="Tabletext"/>
              <w:rPr>
                <w:rFonts w:cs="Arial"/>
              </w:rPr>
            </w:pPr>
            <w:r w:rsidRPr="00F05153">
              <w:rPr>
                <w:rFonts w:cs="Arial"/>
              </w:rPr>
              <w:t>Association: 0</w:t>
            </w:r>
          </w:p>
        </w:tc>
        <w:tc>
          <w:tcPr>
            <w:tcW w:w="1418" w:type="dxa"/>
          </w:tcPr>
          <w:p w:rsidR="0075777C" w:rsidRPr="002046A0" w:rsidRDefault="002046A0" w:rsidP="00805885">
            <w:pPr>
              <w:pStyle w:val="Tabletext"/>
              <w:rPr>
                <w:rFonts w:cs="Arial"/>
                <w:highlight w:val="black"/>
              </w:rPr>
            </w:pPr>
            <w:r>
              <w:rPr>
                <w:noProof/>
                <w:color w:val="000000"/>
                <w:highlight w:val="black"/>
              </w:rPr>
              <w:t>''''''''' '''' ''''''''''' ''''''''''''' '''''' ''''''''''' ''''''''''''</w:t>
            </w:r>
          </w:p>
        </w:tc>
        <w:tc>
          <w:tcPr>
            <w:tcW w:w="2551" w:type="dxa"/>
          </w:tcPr>
          <w:p w:rsidR="0075777C" w:rsidRPr="00F05153" w:rsidRDefault="002046A0" w:rsidP="00805885">
            <w:pPr>
              <w:pStyle w:val="Tabletext"/>
              <w:rPr>
                <w:rFonts w:cs="Arial"/>
              </w:rPr>
            </w:pPr>
            <w:r>
              <w:rPr>
                <w:rFonts w:cs="Arial"/>
                <w:noProof/>
                <w:color w:val="000000"/>
                <w:highlight w:val="black"/>
              </w:rPr>
              <w:t>'''''''''''''' '''''''''''''''''''' '''''''''''''''''''''''''' '''''''''''''' '''''''''''''''''''''' ''''''''' '''''''''''''''''''''''''''' '''''''''''''''''''' '''''''''''''''''''''''' '''''''''' ''''''''''''''''''''''''''''''''' ''''''' ''''''' '''''''''''' '''''' '''''''''''''''''''' '''''''' ''''''''''''' ''''''''''' ''''''''' '''''' ''''''' ''''''''''''''''''' '''''''''''''</w:t>
            </w:r>
            <w:r w:rsidR="0075777C" w:rsidRPr="00F05153">
              <w:rPr>
                <w:rFonts w:cs="Arial"/>
              </w:rPr>
              <w:t>.</w:t>
            </w:r>
          </w:p>
        </w:tc>
        <w:tc>
          <w:tcPr>
            <w:tcW w:w="1134" w:type="dxa"/>
          </w:tcPr>
          <w:p w:rsidR="00F95747" w:rsidRPr="00F05153" w:rsidRDefault="00F95747" w:rsidP="00F95747">
            <w:pPr>
              <w:pStyle w:val="Tabletext"/>
              <w:rPr>
                <w:rFonts w:eastAsia="Times New Roman" w:cs="Tahoma"/>
                <w:bCs/>
              </w:rPr>
            </w:pPr>
            <w:r w:rsidRPr="00F05153">
              <w:rPr>
                <w:rFonts w:eastAsia="Times New Roman" w:cs="Tahoma"/>
                <w:bCs/>
              </w:rPr>
              <w:t>Moderate</w:t>
            </w:r>
          </w:p>
          <w:p w:rsidR="00F95747" w:rsidRPr="00F05153" w:rsidRDefault="00F95747" w:rsidP="00F95747">
            <w:pPr>
              <w:pStyle w:val="Tabletext"/>
              <w:rPr>
                <w:rFonts w:ascii="Cambria Math" w:eastAsia="Times New Roman" w:hAnsi="Cambria Math" w:cs="Cambria Math"/>
                <w:bCs/>
              </w:rPr>
            </w:pPr>
            <w:r w:rsidRPr="00F05153">
              <w:rPr>
                <w:rFonts w:ascii="Cambria Math" w:eastAsia="Times New Roman" w:hAnsi="Cambria Math" w:cs="Cambria Math"/>
                <w:bCs/>
                <w:color w:val="00B050"/>
              </w:rPr>
              <w:t>⨁⨁⨁</w:t>
            </w:r>
            <w:r w:rsidRPr="00F05153">
              <w:rPr>
                <w:rFonts w:ascii="Cambria Math" w:eastAsia="Times New Roman" w:hAnsi="Cambria Math" w:cs="Cambria Math"/>
                <w:bCs/>
                <w:color w:val="FF0000"/>
              </w:rPr>
              <w:t>⨀</w:t>
            </w:r>
          </w:p>
          <w:p w:rsidR="0075777C" w:rsidRPr="00F05153" w:rsidRDefault="0075777C" w:rsidP="00805885">
            <w:pPr>
              <w:pStyle w:val="Tabletext"/>
              <w:rPr>
                <w:rFonts w:cs="Arial"/>
              </w:rPr>
            </w:pPr>
            <w:r w:rsidRPr="00F05153">
              <w:rPr>
                <w:rFonts w:cs="Cambria Math"/>
                <w:bCs/>
              </w:rPr>
              <w:t xml:space="preserve">Critical </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All-cause mortality</w:t>
            </w:r>
          </w:p>
        </w:tc>
        <w:tc>
          <w:tcPr>
            <w:tcW w:w="1275" w:type="dxa"/>
          </w:tcPr>
          <w:p w:rsidR="0075777C" w:rsidRPr="00F05153" w:rsidRDefault="0075777C" w:rsidP="00805885">
            <w:pPr>
              <w:pStyle w:val="Tabletext"/>
              <w:rPr>
                <w:rFonts w:cs="Arial"/>
              </w:rPr>
            </w:pPr>
            <w:r w:rsidRPr="00F05153">
              <w:rPr>
                <w:rFonts w:cs="Arial"/>
              </w:rPr>
              <w:t>N=167</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 xml:space="preserve">Imprecision: </w:t>
            </w:r>
            <w:r w:rsidR="004F560A" w:rsidRPr="00F05153">
              <w:rPr>
                <w:rFonts w:cs="Arial"/>
              </w:rPr>
              <w:t>0</w:t>
            </w:r>
          </w:p>
          <w:p w:rsidR="0075777C" w:rsidRPr="00F05153" w:rsidRDefault="0075777C" w:rsidP="00805885">
            <w:pPr>
              <w:pStyle w:val="Tabletext"/>
              <w:rPr>
                <w:rFonts w:cs="Arial"/>
              </w:rPr>
            </w:pPr>
            <w:r w:rsidRPr="00F05153">
              <w:rPr>
                <w:rFonts w:cs="Arial"/>
              </w:rPr>
              <w:t>Publication bias: 0</w:t>
            </w:r>
          </w:p>
          <w:p w:rsidR="0075777C" w:rsidRPr="00F05153" w:rsidRDefault="0075777C" w:rsidP="00805885">
            <w:pPr>
              <w:pStyle w:val="Tabletext"/>
              <w:rPr>
                <w:rFonts w:cs="Arial"/>
              </w:rPr>
            </w:pPr>
            <w:r w:rsidRPr="00F05153">
              <w:rPr>
                <w:rFonts w:cs="Arial"/>
              </w:rPr>
              <w:t xml:space="preserve">Association: </w:t>
            </w:r>
            <w:r w:rsidR="004F560A" w:rsidRPr="00F05153">
              <w:rPr>
                <w:rFonts w:cs="Arial"/>
              </w:rPr>
              <w:t>0</w:t>
            </w:r>
          </w:p>
        </w:tc>
        <w:tc>
          <w:tcPr>
            <w:tcW w:w="1418" w:type="dxa"/>
          </w:tcPr>
          <w:p w:rsidR="0075777C" w:rsidRPr="002046A0" w:rsidRDefault="002046A0" w:rsidP="004F560A">
            <w:pPr>
              <w:pStyle w:val="Tabletext"/>
              <w:rPr>
                <w:highlight w:val="black"/>
              </w:rPr>
            </w:pPr>
            <w:r>
              <w:rPr>
                <w:noProof/>
                <w:color w:val="000000"/>
                <w:highlight w:val="black"/>
              </w:rPr>
              <w:t>''''''''''' '''' '''''''''''''' ''''''''''''' '''''' '''''''''''' '''''''''</w:t>
            </w:r>
          </w:p>
        </w:tc>
        <w:tc>
          <w:tcPr>
            <w:tcW w:w="2551" w:type="dxa"/>
          </w:tcPr>
          <w:p w:rsidR="0075777C" w:rsidRPr="00F05153" w:rsidRDefault="002046A0" w:rsidP="00805885">
            <w:pPr>
              <w:pStyle w:val="Tabletext"/>
            </w:pPr>
            <w:r>
              <w:rPr>
                <w:rFonts w:cs="Arial"/>
                <w:noProof/>
                <w:color w:val="000000"/>
                <w:highlight w:val="black"/>
              </w:rPr>
              <w:t>'''''''''''''' ''''''''''''''''''''' '''''''''' ''''''''''' '''''''''' ''''''''''''' ''''''''' ''''''''''''''''''''''''''''' ''''''''''''''''' '''''''''''''''''''''''''' ''''''''' '''''''''''''''''''''''''''''''' '''''''' ''''''' '''''''''''' '''''' ''''''''''''''''''''' ''''''''' ''''''''''''' '''''''''' ''''''''' '''''' ''''''' ''''''''''''''''''''' ''''''''''''''</w:t>
            </w:r>
            <w:r w:rsidR="0075777C" w:rsidRPr="00F05153">
              <w:t>.</w:t>
            </w:r>
          </w:p>
        </w:tc>
        <w:tc>
          <w:tcPr>
            <w:tcW w:w="1134" w:type="dxa"/>
          </w:tcPr>
          <w:p w:rsidR="0075777C" w:rsidRPr="00F05153" w:rsidRDefault="0075777C" w:rsidP="00805885">
            <w:pPr>
              <w:pStyle w:val="Tabletext"/>
              <w:rPr>
                <w:rFonts w:cs="Arial"/>
              </w:rPr>
            </w:pPr>
            <w:r w:rsidRPr="00F05153">
              <w:rPr>
                <w:rFonts w:cs="Arial"/>
              </w:rPr>
              <w:t>High</w:t>
            </w:r>
          </w:p>
          <w:p w:rsidR="0075777C" w:rsidRPr="00F05153" w:rsidRDefault="0075777C" w:rsidP="00805885">
            <w:pPr>
              <w:pStyle w:val="Tabletext"/>
              <w:rPr>
                <w:rFonts w:cs="Cambria Math"/>
                <w:bCs/>
              </w:rPr>
            </w:pPr>
            <w:r w:rsidRPr="00F05153">
              <w:rPr>
                <w:rFonts w:ascii="Cambria Math" w:hAnsi="Cambria Math" w:cs="Cambria Math"/>
                <w:bCs/>
                <w:color w:val="00B050"/>
              </w:rPr>
              <w:t>⨁⨁⨁⨁</w:t>
            </w:r>
          </w:p>
          <w:p w:rsidR="0075777C" w:rsidRPr="00F05153" w:rsidRDefault="0075777C" w:rsidP="00805885">
            <w:pPr>
              <w:pStyle w:val="Tabletext"/>
              <w:rPr>
                <w:rFonts w:cs="Arial"/>
              </w:rPr>
            </w:pPr>
            <w:r w:rsidRPr="00F05153">
              <w:rPr>
                <w:rFonts w:cs="Arial"/>
              </w:rPr>
              <w:t>Critical</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Hospitalisation</w:t>
            </w:r>
            <w:r w:rsidR="004F560A" w:rsidRPr="00F05153">
              <w:rPr>
                <w:rFonts w:cs="Arial"/>
              </w:rPr>
              <w:t xml:space="preserve"> due to </w:t>
            </w:r>
            <w:r w:rsidR="00BD512F" w:rsidRPr="00F05153">
              <w:rPr>
                <w:rFonts w:cs="Arial"/>
              </w:rPr>
              <w:t xml:space="preserve">worsening </w:t>
            </w:r>
            <w:r w:rsidR="004F560A" w:rsidRPr="00F05153">
              <w:rPr>
                <w:rFonts w:cs="Arial"/>
              </w:rPr>
              <w:t>PAH</w:t>
            </w:r>
          </w:p>
        </w:tc>
        <w:tc>
          <w:tcPr>
            <w:tcW w:w="1275" w:type="dxa"/>
          </w:tcPr>
          <w:p w:rsidR="0075777C" w:rsidRPr="00F05153" w:rsidRDefault="0075777C" w:rsidP="00805885">
            <w:pPr>
              <w:pStyle w:val="Tabletext"/>
              <w:rPr>
                <w:rFonts w:cs="Arial"/>
              </w:rPr>
            </w:pPr>
            <w:r w:rsidRPr="00F05153">
              <w:rPr>
                <w:rFonts w:cs="Arial"/>
              </w:rPr>
              <w:t>N=167</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Imprecision: −1</w:t>
            </w:r>
          </w:p>
          <w:p w:rsidR="0075777C" w:rsidRPr="00F05153" w:rsidRDefault="0075777C" w:rsidP="00805885">
            <w:pPr>
              <w:pStyle w:val="Tabletext"/>
              <w:rPr>
                <w:rFonts w:cs="Arial"/>
              </w:rPr>
            </w:pPr>
            <w:r w:rsidRPr="00F05153">
              <w:rPr>
                <w:rFonts w:cs="Arial"/>
              </w:rPr>
              <w:t>Publication bias: 0</w:t>
            </w:r>
          </w:p>
          <w:p w:rsidR="0075777C" w:rsidRPr="00F05153" w:rsidRDefault="00BE799B" w:rsidP="00805885">
            <w:pPr>
              <w:pStyle w:val="Tabletext"/>
              <w:rPr>
                <w:rFonts w:cs="Arial"/>
              </w:rPr>
            </w:pPr>
            <w:r w:rsidRPr="00F05153">
              <w:rPr>
                <w:rFonts w:cs="Arial"/>
              </w:rPr>
              <w:t>Association: 0</w:t>
            </w:r>
          </w:p>
        </w:tc>
        <w:tc>
          <w:tcPr>
            <w:tcW w:w="1418" w:type="dxa"/>
          </w:tcPr>
          <w:p w:rsidR="0075777C" w:rsidRPr="002046A0" w:rsidRDefault="002046A0" w:rsidP="00805885">
            <w:pPr>
              <w:pStyle w:val="Tabletext"/>
              <w:rPr>
                <w:highlight w:val="black"/>
              </w:rPr>
            </w:pPr>
            <w:r>
              <w:rPr>
                <w:noProof/>
                <w:color w:val="000000"/>
                <w:highlight w:val="black"/>
              </w:rPr>
              <w:t>'''''''' ''' ''''''''''' '''''''''''' '''''' ''''''''''''' '''''''''''</w:t>
            </w:r>
          </w:p>
        </w:tc>
        <w:tc>
          <w:tcPr>
            <w:tcW w:w="2551" w:type="dxa"/>
          </w:tcPr>
          <w:p w:rsidR="0075777C" w:rsidRPr="00F05153" w:rsidRDefault="002046A0" w:rsidP="00805885">
            <w:pPr>
              <w:pStyle w:val="Tabletext"/>
            </w:pPr>
            <w:r>
              <w:rPr>
                <w:rFonts w:cs="Arial"/>
                <w:noProof/>
                <w:color w:val="000000"/>
                <w:highlight w:val="black"/>
              </w:rPr>
              <w:t>'''''''''''''' '''''''''''''''''' ''''''''''' '''''''''''''''''''''''''''''' ''''''''' '''''''''''''''''''''''''' ''''''''''''''''' ''''''''''''''''''''''''' ''''''''' ''''''''''''''''''''''''''''''' '''''''' '''''''' ''''''''''' '''''' '''''''''''''''''''''' ''''''''' '''''''''''''' ''''''''''' ''''''''' '''''' '''''''' ''''''''''''''''''''' ''''''''''''''</w:t>
            </w:r>
            <w:r w:rsidR="0075777C" w:rsidRPr="00F05153">
              <w:t>.</w:t>
            </w:r>
          </w:p>
        </w:tc>
        <w:tc>
          <w:tcPr>
            <w:tcW w:w="1134" w:type="dxa"/>
          </w:tcPr>
          <w:p w:rsidR="00BE799B" w:rsidRPr="00F05153" w:rsidRDefault="00BE799B" w:rsidP="00BE799B">
            <w:pPr>
              <w:pStyle w:val="Tabletext"/>
              <w:rPr>
                <w:rFonts w:eastAsia="Times New Roman" w:cs="Tahoma"/>
                <w:bCs/>
              </w:rPr>
            </w:pPr>
            <w:r w:rsidRPr="00F05153">
              <w:rPr>
                <w:rFonts w:eastAsia="Times New Roman" w:cs="Tahoma"/>
                <w:bCs/>
              </w:rPr>
              <w:t>Moderate</w:t>
            </w:r>
          </w:p>
          <w:p w:rsidR="00BE799B" w:rsidRPr="00F05153" w:rsidRDefault="00BE799B" w:rsidP="00BE799B">
            <w:pPr>
              <w:pStyle w:val="Tabletext"/>
              <w:rPr>
                <w:rFonts w:ascii="Cambria Math" w:eastAsia="Times New Roman" w:hAnsi="Cambria Math" w:cs="Cambria Math"/>
                <w:bCs/>
              </w:rPr>
            </w:pPr>
            <w:r w:rsidRPr="00F05153">
              <w:rPr>
                <w:rFonts w:ascii="Cambria Math" w:eastAsia="Times New Roman" w:hAnsi="Cambria Math" w:cs="Cambria Math"/>
                <w:bCs/>
                <w:color w:val="00B050"/>
              </w:rPr>
              <w:t>⨁⨁⨁</w:t>
            </w:r>
            <w:r w:rsidRPr="00F05153">
              <w:rPr>
                <w:rFonts w:ascii="Cambria Math" w:eastAsia="Times New Roman" w:hAnsi="Cambria Math" w:cs="Cambria Math"/>
                <w:bCs/>
                <w:color w:val="FF0000"/>
              </w:rPr>
              <w:t>⨀</w:t>
            </w:r>
          </w:p>
          <w:p w:rsidR="0075777C" w:rsidRPr="00F05153" w:rsidRDefault="00805885" w:rsidP="00805885">
            <w:pPr>
              <w:pStyle w:val="Tabletext"/>
              <w:rPr>
                <w:rFonts w:cs="Arial"/>
              </w:rPr>
            </w:pPr>
            <w:r w:rsidRPr="00F05153">
              <w:rPr>
                <w:rFonts w:cs="Arial"/>
              </w:rPr>
              <w:t>Important</w:t>
            </w:r>
          </w:p>
        </w:tc>
      </w:tr>
      <w:tr w:rsidR="0075777C" w:rsidRPr="006316DF" w:rsidTr="00805885">
        <w:tc>
          <w:tcPr>
            <w:tcW w:w="1560" w:type="dxa"/>
          </w:tcPr>
          <w:p w:rsidR="0075777C" w:rsidRPr="00F05153" w:rsidRDefault="0075777C" w:rsidP="00805885">
            <w:pPr>
              <w:pStyle w:val="Tabletext"/>
              <w:rPr>
                <w:rFonts w:cs="Arial"/>
              </w:rPr>
            </w:pPr>
            <w:r w:rsidRPr="00F05153">
              <w:rPr>
                <w:rFonts w:cs="Arial"/>
              </w:rPr>
              <w:t>Improved WHO FC</w:t>
            </w:r>
          </w:p>
        </w:tc>
        <w:tc>
          <w:tcPr>
            <w:tcW w:w="1275" w:type="dxa"/>
          </w:tcPr>
          <w:p w:rsidR="0075777C" w:rsidRPr="00F05153" w:rsidRDefault="0075777C" w:rsidP="00805885">
            <w:pPr>
              <w:pStyle w:val="Tabletext"/>
              <w:rPr>
                <w:rFonts w:cs="Arial"/>
              </w:rPr>
            </w:pPr>
            <w:r w:rsidRPr="00F05153">
              <w:rPr>
                <w:rFonts w:cs="Arial"/>
              </w:rPr>
              <w:t>N=167</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Imprecision: −1</w:t>
            </w:r>
          </w:p>
          <w:p w:rsidR="0075777C" w:rsidRPr="00F05153" w:rsidRDefault="0075777C" w:rsidP="00805885">
            <w:pPr>
              <w:pStyle w:val="Tabletext"/>
              <w:rPr>
                <w:rFonts w:cs="Arial"/>
              </w:rPr>
            </w:pPr>
            <w:r w:rsidRPr="00F05153">
              <w:rPr>
                <w:rFonts w:cs="Arial"/>
              </w:rPr>
              <w:t>Publication bias: 0</w:t>
            </w:r>
          </w:p>
          <w:p w:rsidR="0075777C" w:rsidRPr="00F05153" w:rsidRDefault="00BE799B" w:rsidP="00805885">
            <w:pPr>
              <w:pStyle w:val="Tabletext"/>
              <w:rPr>
                <w:rFonts w:cs="Arial"/>
              </w:rPr>
            </w:pPr>
            <w:r w:rsidRPr="00F05153">
              <w:rPr>
                <w:rFonts w:cs="Arial"/>
              </w:rPr>
              <w:t>Association: 0</w:t>
            </w:r>
          </w:p>
        </w:tc>
        <w:tc>
          <w:tcPr>
            <w:tcW w:w="1418" w:type="dxa"/>
          </w:tcPr>
          <w:p w:rsidR="0075777C" w:rsidRPr="002046A0" w:rsidRDefault="002046A0" w:rsidP="00805885">
            <w:pPr>
              <w:pStyle w:val="Tabletext"/>
              <w:rPr>
                <w:highlight w:val="black"/>
              </w:rPr>
            </w:pPr>
            <w:r>
              <w:rPr>
                <w:noProof/>
                <w:color w:val="000000"/>
                <w:highlight w:val="black"/>
              </w:rPr>
              <w:t>'''''''' '''' ''''''''''' ''''''''''' '''''' ''''''''''' ''''''''''''</w:t>
            </w:r>
          </w:p>
        </w:tc>
        <w:tc>
          <w:tcPr>
            <w:tcW w:w="2551" w:type="dxa"/>
          </w:tcPr>
          <w:p w:rsidR="0075777C" w:rsidRPr="002046A0" w:rsidRDefault="002046A0" w:rsidP="00805885">
            <w:pPr>
              <w:pStyle w:val="Tabletext"/>
              <w:rPr>
                <w:rFonts w:cs="Arial"/>
                <w:highlight w:val="black"/>
              </w:rPr>
            </w:pPr>
            <w:r>
              <w:rPr>
                <w:rFonts w:cs="Arial"/>
                <w:noProof/>
                <w:color w:val="000000"/>
                <w:highlight w:val="black"/>
              </w:rPr>
              <w:t>'''''''''''' ''''''''''''''''''' '''''' ''''''''''''''''''''''''''' '''''''''''''''''''' ''''''''''''''''''''' '''''''''' ''''''''''''' ''''''' '''''''''' '''''''''''''' '''''' ''''''''''''''''''''''''''''''''' ''''''''''''''''''' '''''''' '''''''''''''' '''''''' '''''''' ''''''''''' '''''''''''' '''''''''''''''''''''' '''''''''''''''''''''''''''''''</w:t>
            </w:r>
          </w:p>
        </w:tc>
        <w:tc>
          <w:tcPr>
            <w:tcW w:w="1134" w:type="dxa"/>
          </w:tcPr>
          <w:p w:rsidR="00BE799B" w:rsidRPr="00F05153" w:rsidRDefault="00BE799B" w:rsidP="00BE799B">
            <w:pPr>
              <w:pStyle w:val="Tabletext"/>
              <w:rPr>
                <w:rFonts w:eastAsia="Times New Roman" w:cs="Tahoma"/>
                <w:bCs/>
              </w:rPr>
            </w:pPr>
            <w:r w:rsidRPr="00F05153">
              <w:rPr>
                <w:rFonts w:eastAsia="Times New Roman" w:cs="Tahoma"/>
                <w:bCs/>
              </w:rPr>
              <w:t>Moderate</w:t>
            </w:r>
          </w:p>
          <w:p w:rsidR="00BE799B" w:rsidRPr="00F05153" w:rsidRDefault="00BE799B" w:rsidP="00BE799B">
            <w:pPr>
              <w:pStyle w:val="Tabletext"/>
              <w:rPr>
                <w:rFonts w:ascii="Cambria Math" w:eastAsia="Times New Roman" w:hAnsi="Cambria Math" w:cs="Cambria Math"/>
                <w:bCs/>
              </w:rPr>
            </w:pPr>
            <w:r w:rsidRPr="00F05153">
              <w:rPr>
                <w:rFonts w:ascii="Cambria Math" w:eastAsia="Times New Roman" w:hAnsi="Cambria Math" w:cs="Cambria Math"/>
                <w:bCs/>
                <w:color w:val="00B050"/>
              </w:rPr>
              <w:t>⨁⨁⨁</w:t>
            </w:r>
            <w:r w:rsidRPr="00F05153">
              <w:rPr>
                <w:rFonts w:ascii="Cambria Math" w:eastAsia="Times New Roman" w:hAnsi="Cambria Math" w:cs="Cambria Math"/>
                <w:bCs/>
                <w:color w:val="FF0000"/>
              </w:rPr>
              <w:t>⨀</w:t>
            </w:r>
          </w:p>
          <w:p w:rsidR="0075777C" w:rsidRPr="006316DF" w:rsidRDefault="0075777C" w:rsidP="00805885">
            <w:pPr>
              <w:pStyle w:val="Tabletext"/>
              <w:rPr>
                <w:rFonts w:cs="Arial"/>
              </w:rPr>
            </w:pPr>
            <w:r w:rsidRPr="00F05153">
              <w:rPr>
                <w:rFonts w:cs="Arial"/>
              </w:rPr>
              <w:t>Important</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Worsened WHO FC</w:t>
            </w:r>
          </w:p>
        </w:tc>
        <w:tc>
          <w:tcPr>
            <w:tcW w:w="1275" w:type="dxa"/>
          </w:tcPr>
          <w:p w:rsidR="0075777C" w:rsidRPr="00F05153" w:rsidRDefault="0075777C" w:rsidP="00805885">
            <w:pPr>
              <w:pStyle w:val="Tabletext"/>
              <w:rPr>
                <w:rFonts w:cs="Arial"/>
              </w:rPr>
            </w:pPr>
            <w:r w:rsidRPr="00F05153">
              <w:rPr>
                <w:rFonts w:cs="Arial"/>
              </w:rPr>
              <w:t>N=167</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Imprecision: −1</w:t>
            </w:r>
          </w:p>
          <w:p w:rsidR="0075777C" w:rsidRPr="00F05153" w:rsidRDefault="0075777C" w:rsidP="00805885">
            <w:pPr>
              <w:pStyle w:val="Tabletext"/>
              <w:rPr>
                <w:rFonts w:cs="Arial"/>
              </w:rPr>
            </w:pPr>
            <w:r w:rsidRPr="00F05153">
              <w:rPr>
                <w:rFonts w:cs="Arial"/>
              </w:rPr>
              <w:t>Publication bias: 0</w:t>
            </w:r>
          </w:p>
          <w:p w:rsidR="0075777C" w:rsidRPr="00F05153" w:rsidRDefault="00BE799B" w:rsidP="00805885">
            <w:pPr>
              <w:pStyle w:val="Tabletext"/>
              <w:rPr>
                <w:rFonts w:cs="Arial"/>
              </w:rPr>
            </w:pPr>
            <w:r w:rsidRPr="00F05153">
              <w:rPr>
                <w:rFonts w:cs="Arial"/>
              </w:rPr>
              <w:t>Association: 0</w:t>
            </w:r>
          </w:p>
        </w:tc>
        <w:tc>
          <w:tcPr>
            <w:tcW w:w="1418" w:type="dxa"/>
          </w:tcPr>
          <w:p w:rsidR="0075777C" w:rsidRPr="002046A0" w:rsidRDefault="002046A0" w:rsidP="00805885">
            <w:pPr>
              <w:pStyle w:val="Tabletext"/>
              <w:rPr>
                <w:highlight w:val="black"/>
              </w:rPr>
            </w:pPr>
            <w:r>
              <w:rPr>
                <w:noProof/>
                <w:color w:val="000000"/>
                <w:highlight w:val="black"/>
              </w:rPr>
              <w:t>'''''''' '''' '''''''''' ''''''''''''' '''''' ''''''''''''' '''''''''''''</w:t>
            </w:r>
          </w:p>
        </w:tc>
        <w:tc>
          <w:tcPr>
            <w:tcW w:w="2551" w:type="dxa"/>
          </w:tcPr>
          <w:p w:rsidR="0075777C" w:rsidRPr="002046A0" w:rsidRDefault="002046A0" w:rsidP="00805885">
            <w:pPr>
              <w:pStyle w:val="Tabletext"/>
              <w:rPr>
                <w:rFonts w:cs="Arial"/>
                <w:highlight w:val="black"/>
              </w:rPr>
            </w:pPr>
            <w:r>
              <w:rPr>
                <w:rFonts w:cs="Arial"/>
                <w:noProof/>
                <w:color w:val="000000"/>
                <w:highlight w:val="black"/>
              </w:rPr>
              <w:t>'''''''''''''' ''''''''''''''''' ''''''''''''''''''''''''''''''' ''''''''''''''' ''''''''''''''''''''''''''' ''''''''' '''''''''''''''''''''''''' ''''''''''''''''' ''''''''''''''''''''''''' ''''''''' ''''''''''''''''''''''''''''''' '''''''''''''''''''' '''''''' '''''''''''' ''''''' ''''''' ''''''''''''' '''''''''''' ''''''''''''''''''''''' '''''''''''''''''''''''''''''</w:t>
            </w:r>
          </w:p>
        </w:tc>
        <w:tc>
          <w:tcPr>
            <w:tcW w:w="1134" w:type="dxa"/>
          </w:tcPr>
          <w:p w:rsidR="00BE799B" w:rsidRPr="00F05153" w:rsidRDefault="00BE799B" w:rsidP="00BE799B">
            <w:pPr>
              <w:pStyle w:val="Tabletext"/>
              <w:rPr>
                <w:rFonts w:eastAsia="Times New Roman" w:cs="Tahoma"/>
                <w:bCs/>
              </w:rPr>
            </w:pPr>
            <w:r w:rsidRPr="00F05153">
              <w:rPr>
                <w:rFonts w:eastAsia="Times New Roman" w:cs="Tahoma"/>
                <w:bCs/>
              </w:rPr>
              <w:t>Moderate</w:t>
            </w:r>
          </w:p>
          <w:p w:rsidR="00BE799B" w:rsidRPr="00F05153" w:rsidRDefault="00BE799B" w:rsidP="00BE799B">
            <w:pPr>
              <w:pStyle w:val="Tabletext"/>
              <w:rPr>
                <w:rFonts w:ascii="Cambria Math" w:eastAsia="Times New Roman" w:hAnsi="Cambria Math" w:cs="Cambria Math"/>
                <w:bCs/>
              </w:rPr>
            </w:pPr>
            <w:r w:rsidRPr="00F05153">
              <w:rPr>
                <w:rFonts w:ascii="Cambria Math" w:eastAsia="Times New Roman" w:hAnsi="Cambria Math" w:cs="Cambria Math"/>
                <w:bCs/>
                <w:color w:val="00B050"/>
              </w:rPr>
              <w:t>⨁⨁⨁</w:t>
            </w:r>
            <w:r w:rsidRPr="00F05153">
              <w:rPr>
                <w:rFonts w:ascii="Cambria Math" w:eastAsia="Times New Roman" w:hAnsi="Cambria Math" w:cs="Cambria Math"/>
                <w:bCs/>
                <w:color w:val="FF0000"/>
              </w:rPr>
              <w:t>⨀</w:t>
            </w:r>
          </w:p>
          <w:p w:rsidR="0075777C" w:rsidRPr="00F05153" w:rsidRDefault="0075777C" w:rsidP="00805885">
            <w:pPr>
              <w:pStyle w:val="Tabletext"/>
              <w:rPr>
                <w:rFonts w:cs="Arial"/>
              </w:rPr>
            </w:pPr>
            <w:r w:rsidRPr="00F05153">
              <w:rPr>
                <w:rFonts w:cs="Arial"/>
              </w:rPr>
              <w:t>Important</w:t>
            </w:r>
          </w:p>
        </w:tc>
      </w:tr>
      <w:tr w:rsidR="00805885" w:rsidRPr="00F05153" w:rsidTr="00805885">
        <w:tc>
          <w:tcPr>
            <w:tcW w:w="1560" w:type="dxa"/>
          </w:tcPr>
          <w:p w:rsidR="00805885" w:rsidRPr="00F05153" w:rsidRDefault="00805885" w:rsidP="00805885">
            <w:pPr>
              <w:pStyle w:val="Tabletext"/>
              <w:rPr>
                <w:rFonts w:cs="Arial"/>
              </w:rPr>
            </w:pPr>
            <w:r w:rsidRPr="00F05153">
              <w:rPr>
                <w:rFonts w:cs="Arial"/>
              </w:rPr>
              <w:t>Change in 6MWD from baseline</w:t>
            </w:r>
          </w:p>
        </w:tc>
        <w:tc>
          <w:tcPr>
            <w:tcW w:w="1275" w:type="dxa"/>
          </w:tcPr>
          <w:p w:rsidR="00805885" w:rsidRPr="00F05153" w:rsidRDefault="00805885" w:rsidP="00805885">
            <w:pPr>
              <w:pStyle w:val="Tabletext"/>
              <w:rPr>
                <w:rFonts w:cs="Arial"/>
              </w:rPr>
            </w:pPr>
            <w:r w:rsidRPr="00F05153">
              <w:rPr>
                <w:rFonts w:cs="Arial"/>
              </w:rPr>
              <w:t>N=167</w:t>
            </w:r>
          </w:p>
          <w:p w:rsidR="00805885" w:rsidRPr="00F05153" w:rsidRDefault="00805885" w:rsidP="00805885">
            <w:pPr>
              <w:pStyle w:val="Tabletext"/>
              <w:rPr>
                <w:rFonts w:cs="Arial"/>
              </w:rPr>
            </w:pPr>
            <w:r w:rsidRPr="00F05153">
              <w:rPr>
                <w:rFonts w:cs="Arial"/>
              </w:rPr>
              <w:t>k=1 RCT</w:t>
            </w:r>
          </w:p>
        </w:tc>
        <w:tc>
          <w:tcPr>
            <w:tcW w:w="1701" w:type="dxa"/>
          </w:tcPr>
          <w:p w:rsidR="00805885" w:rsidRPr="00F05153" w:rsidRDefault="00805885" w:rsidP="00805885">
            <w:pPr>
              <w:pStyle w:val="Tabletext"/>
              <w:rPr>
                <w:rFonts w:cs="Arial"/>
              </w:rPr>
            </w:pPr>
            <w:r w:rsidRPr="00F05153">
              <w:rPr>
                <w:rFonts w:cs="Arial"/>
              </w:rPr>
              <w:t>Risk of bias: 0</w:t>
            </w:r>
          </w:p>
          <w:p w:rsidR="00805885" w:rsidRPr="00F05153" w:rsidRDefault="00805885" w:rsidP="00805885">
            <w:pPr>
              <w:pStyle w:val="Tabletext"/>
              <w:rPr>
                <w:rFonts w:cs="Arial"/>
              </w:rPr>
            </w:pPr>
            <w:r w:rsidRPr="00F05153">
              <w:rPr>
                <w:rFonts w:cs="Arial"/>
              </w:rPr>
              <w:t>Inconsistency: 0</w:t>
            </w:r>
          </w:p>
          <w:p w:rsidR="00805885" w:rsidRPr="00F05153" w:rsidRDefault="00805885" w:rsidP="00805885">
            <w:pPr>
              <w:pStyle w:val="Tabletext"/>
              <w:rPr>
                <w:rFonts w:cs="Arial"/>
              </w:rPr>
            </w:pPr>
            <w:r w:rsidRPr="00F05153">
              <w:rPr>
                <w:rFonts w:cs="Arial"/>
              </w:rPr>
              <w:t xml:space="preserve">Indirectness: </w:t>
            </w:r>
            <w:r w:rsidR="00B47224" w:rsidRPr="00F05153">
              <w:rPr>
                <w:rFonts w:cs="Arial"/>
              </w:rPr>
              <w:t>−1</w:t>
            </w:r>
          </w:p>
          <w:p w:rsidR="00805885" w:rsidRPr="00F05153" w:rsidRDefault="00805885" w:rsidP="00805885">
            <w:pPr>
              <w:pStyle w:val="Tabletext"/>
              <w:rPr>
                <w:rFonts w:cs="Arial"/>
              </w:rPr>
            </w:pPr>
            <w:r w:rsidRPr="00F05153">
              <w:rPr>
                <w:rFonts w:cs="Arial"/>
              </w:rPr>
              <w:t>Imprecision: 0</w:t>
            </w:r>
          </w:p>
          <w:p w:rsidR="00805885" w:rsidRPr="00F05153" w:rsidRDefault="00805885" w:rsidP="00805885">
            <w:pPr>
              <w:pStyle w:val="Tabletext"/>
              <w:rPr>
                <w:rFonts w:cs="Arial"/>
              </w:rPr>
            </w:pPr>
            <w:r w:rsidRPr="00F05153">
              <w:rPr>
                <w:rFonts w:cs="Arial"/>
              </w:rPr>
              <w:t>Publication bias: 0</w:t>
            </w:r>
          </w:p>
          <w:p w:rsidR="00805885" w:rsidRPr="00F05153" w:rsidRDefault="00805885" w:rsidP="00805885">
            <w:pPr>
              <w:pStyle w:val="Tabletext"/>
              <w:rPr>
                <w:rFonts w:cs="Arial"/>
              </w:rPr>
            </w:pPr>
            <w:r w:rsidRPr="00F05153">
              <w:rPr>
                <w:rFonts w:cs="Arial"/>
              </w:rPr>
              <w:t>Association: 0</w:t>
            </w:r>
          </w:p>
        </w:tc>
        <w:tc>
          <w:tcPr>
            <w:tcW w:w="1418" w:type="dxa"/>
          </w:tcPr>
          <w:p w:rsidR="00805885" w:rsidRPr="002046A0" w:rsidRDefault="002046A0" w:rsidP="007B3912">
            <w:pPr>
              <w:pStyle w:val="Tabletext"/>
              <w:rPr>
                <w:highlight w:val="black"/>
              </w:rPr>
            </w:pPr>
            <w:r>
              <w:rPr>
                <w:noProof/>
                <w:color w:val="000000"/>
                <w:highlight w:val="black"/>
              </w:rPr>
              <w:t>''''''''' ''' ''''''''''' ''''' ''''''''''''''</w:t>
            </w:r>
            <w:r>
              <w:rPr>
                <w:noProof/>
                <w:color w:val="000000"/>
                <w:highlight w:val="black"/>
              </w:rPr>
              <w:br/>
              <w:t>'''''''''''''' '''''' ''''''''' '''''''''''</w:t>
            </w:r>
          </w:p>
        </w:tc>
        <w:tc>
          <w:tcPr>
            <w:tcW w:w="2551" w:type="dxa"/>
          </w:tcPr>
          <w:p w:rsidR="00805885" w:rsidRPr="002046A0" w:rsidRDefault="002046A0" w:rsidP="00805885">
            <w:pPr>
              <w:pStyle w:val="Tabletext"/>
              <w:rPr>
                <w:rFonts w:cs="Arial"/>
                <w:highlight w:val="black"/>
              </w:rPr>
            </w:pPr>
            <w:r>
              <w:rPr>
                <w:rFonts w:cs="Arial"/>
                <w:noProof/>
                <w:color w:val="000000"/>
                <w:highlight w:val="black"/>
              </w:rPr>
              <w:t>'''''''''''''''''' ''''''' ''''''''''''''''''''''''''' '''''''''''''''''''' '''''''''' '''' '''''''''''' ''''''''''''' ''''''''''''''''''''''''''''''''' ''''' ''''''''''' ''''''''''''''' '''''''''''' ''''''''''''' '''''' '''''''''''''''''''''''''''''''''' ''''''' ''''''' ''''''''''''''''''''''' ''''''''''' '''''''' ''''''''''''''''''''' ''''''''''''''''''''''</w:t>
            </w:r>
          </w:p>
        </w:tc>
        <w:tc>
          <w:tcPr>
            <w:tcW w:w="1134" w:type="dxa"/>
          </w:tcPr>
          <w:p w:rsidR="00805885" w:rsidRPr="00F05153" w:rsidRDefault="00B47224" w:rsidP="00805885">
            <w:pPr>
              <w:pStyle w:val="Tabletext"/>
              <w:rPr>
                <w:rFonts w:cs="Arial"/>
              </w:rPr>
            </w:pPr>
            <w:r w:rsidRPr="00F05153">
              <w:rPr>
                <w:rFonts w:cs="Arial"/>
              </w:rPr>
              <w:t>Moderate</w:t>
            </w:r>
          </w:p>
          <w:p w:rsidR="00805885" w:rsidRPr="00F05153" w:rsidRDefault="00805885" w:rsidP="00805885">
            <w:pPr>
              <w:pStyle w:val="Tabletext"/>
              <w:rPr>
                <w:rFonts w:cs="Cambria Math"/>
                <w:bCs/>
              </w:rPr>
            </w:pPr>
            <w:r w:rsidRPr="00F05153">
              <w:rPr>
                <w:rFonts w:ascii="Cambria Math" w:hAnsi="Cambria Math" w:cs="Cambria Math"/>
                <w:bCs/>
                <w:color w:val="00B050"/>
              </w:rPr>
              <w:t>⨁⨁⨁</w:t>
            </w:r>
            <w:r w:rsidR="00B47224" w:rsidRPr="00F05153">
              <w:rPr>
                <w:rFonts w:ascii="Cambria Math" w:hAnsi="Cambria Math" w:cs="Cambria Math"/>
                <w:color w:val="C00000"/>
              </w:rPr>
              <w:t>⨀</w:t>
            </w:r>
          </w:p>
          <w:p w:rsidR="00805885" w:rsidRPr="00F05153" w:rsidRDefault="00805885" w:rsidP="00805885">
            <w:pPr>
              <w:pStyle w:val="Tabletext"/>
              <w:rPr>
                <w:rFonts w:cs="Arial"/>
              </w:rPr>
            </w:pPr>
            <w:r w:rsidRPr="00F05153">
              <w:rPr>
                <w:rFonts w:cs="Arial"/>
              </w:rPr>
              <w:t>Important</w:t>
            </w:r>
          </w:p>
        </w:tc>
      </w:tr>
      <w:tr w:rsidR="00805885" w:rsidRPr="00F05153" w:rsidTr="00805885">
        <w:tc>
          <w:tcPr>
            <w:tcW w:w="1560" w:type="dxa"/>
          </w:tcPr>
          <w:p w:rsidR="00805885" w:rsidRPr="00F05153" w:rsidRDefault="00805885" w:rsidP="00805885">
            <w:pPr>
              <w:pStyle w:val="Tabletext"/>
              <w:rPr>
                <w:rFonts w:cs="Arial"/>
              </w:rPr>
            </w:pPr>
            <w:r w:rsidRPr="00F05153">
              <w:rPr>
                <w:rFonts w:cs="Arial"/>
              </w:rPr>
              <w:t>Change in QoL from baseline</w:t>
            </w:r>
          </w:p>
        </w:tc>
        <w:tc>
          <w:tcPr>
            <w:tcW w:w="1275" w:type="dxa"/>
          </w:tcPr>
          <w:p w:rsidR="00805885" w:rsidRPr="00F05153" w:rsidRDefault="00805885" w:rsidP="00805885">
            <w:pPr>
              <w:pStyle w:val="Tabletext"/>
              <w:rPr>
                <w:rFonts w:cs="Arial"/>
              </w:rPr>
            </w:pPr>
            <w:r w:rsidRPr="00F05153">
              <w:rPr>
                <w:rFonts w:cs="Arial"/>
              </w:rPr>
              <w:t>N=167</w:t>
            </w:r>
          </w:p>
          <w:p w:rsidR="00805885" w:rsidRPr="00F05153" w:rsidRDefault="00805885" w:rsidP="00805885">
            <w:pPr>
              <w:pStyle w:val="Tabletext"/>
              <w:rPr>
                <w:rFonts w:cs="Arial"/>
              </w:rPr>
            </w:pPr>
            <w:r w:rsidRPr="00F05153">
              <w:rPr>
                <w:rFonts w:cs="Arial"/>
              </w:rPr>
              <w:t>k=1 RCT</w:t>
            </w:r>
          </w:p>
        </w:tc>
        <w:tc>
          <w:tcPr>
            <w:tcW w:w="1701" w:type="dxa"/>
          </w:tcPr>
          <w:p w:rsidR="00805885" w:rsidRPr="00F05153" w:rsidRDefault="00805885" w:rsidP="00805885">
            <w:pPr>
              <w:pStyle w:val="Tabletext"/>
              <w:rPr>
                <w:rFonts w:cs="Arial"/>
              </w:rPr>
            </w:pPr>
            <w:r w:rsidRPr="00F05153">
              <w:rPr>
                <w:rFonts w:cs="Arial"/>
              </w:rPr>
              <w:t>Risk of bias: 0</w:t>
            </w:r>
          </w:p>
          <w:p w:rsidR="00805885" w:rsidRPr="00F05153" w:rsidRDefault="00805885" w:rsidP="00805885">
            <w:pPr>
              <w:pStyle w:val="Tabletext"/>
              <w:rPr>
                <w:rFonts w:cs="Arial"/>
              </w:rPr>
            </w:pPr>
            <w:r w:rsidRPr="00F05153">
              <w:rPr>
                <w:rFonts w:cs="Arial"/>
              </w:rPr>
              <w:t>Inconsistency: 0</w:t>
            </w:r>
          </w:p>
          <w:p w:rsidR="00805885" w:rsidRPr="00F05153" w:rsidRDefault="00805885" w:rsidP="00805885">
            <w:pPr>
              <w:pStyle w:val="Tabletext"/>
              <w:rPr>
                <w:rFonts w:cs="Arial"/>
              </w:rPr>
            </w:pPr>
            <w:r w:rsidRPr="00F05153">
              <w:rPr>
                <w:rFonts w:cs="Arial"/>
              </w:rPr>
              <w:t>Indirectness: 0</w:t>
            </w:r>
          </w:p>
          <w:p w:rsidR="00805885" w:rsidRPr="00F05153" w:rsidRDefault="00805885" w:rsidP="00805885">
            <w:pPr>
              <w:pStyle w:val="Tabletext"/>
              <w:rPr>
                <w:rFonts w:cs="Arial"/>
              </w:rPr>
            </w:pPr>
            <w:r w:rsidRPr="00F05153">
              <w:rPr>
                <w:rFonts w:cs="Arial"/>
              </w:rPr>
              <w:t>Imprecision: 0</w:t>
            </w:r>
          </w:p>
          <w:p w:rsidR="00805885" w:rsidRPr="00F05153" w:rsidRDefault="00805885" w:rsidP="00805885">
            <w:pPr>
              <w:pStyle w:val="Tabletext"/>
              <w:rPr>
                <w:rFonts w:cs="Arial"/>
              </w:rPr>
            </w:pPr>
            <w:r w:rsidRPr="00F05153">
              <w:rPr>
                <w:rFonts w:cs="Arial"/>
              </w:rPr>
              <w:t>Publication bias: 0</w:t>
            </w:r>
          </w:p>
          <w:p w:rsidR="00805885" w:rsidRPr="00F05153" w:rsidRDefault="00805885" w:rsidP="00805885">
            <w:pPr>
              <w:pStyle w:val="Tabletext"/>
              <w:rPr>
                <w:rFonts w:cs="Arial"/>
              </w:rPr>
            </w:pPr>
            <w:r w:rsidRPr="00F05153">
              <w:rPr>
                <w:rFonts w:cs="Arial"/>
              </w:rPr>
              <w:t xml:space="preserve">Association: </w:t>
            </w:r>
            <w:r w:rsidR="006D0484" w:rsidRPr="00F05153">
              <w:rPr>
                <w:rFonts w:cs="Arial"/>
              </w:rPr>
              <w:t xml:space="preserve">0 to </w:t>
            </w:r>
            <w:r w:rsidRPr="00F05153">
              <w:rPr>
                <w:rFonts w:cs="Arial"/>
              </w:rPr>
              <w:t>+1</w:t>
            </w:r>
          </w:p>
        </w:tc>
        <w:tc>
          <w:tcPr>
            <w:tcW w:w="1418" w:type="dxa"/>
          </w:tcPr>
          <w:p w:rsidR="00805885" w:rsidRPr="002046A0" w:rsidRDefault="002046A0" w:rsidP="00805885">
            <w:pPr>
              <w:pStyle w:val="Tabletext"/>
              <w:rPr>
                <w:highlight w:val="black"/>
              </w:rPr>
            </w:pPr>
            <w:r>
              <w:rPr>
                <w:noProof/>
                <w:color w:val="000000"/>
                <w:highlight w:val="black"/>
              </w:rPr>
              <w:t>''''''''''''''''''''</w:t>
            </w:r>
            <w:r>
              <w:rPr>
                <w:noProof/>
                <w:color w:val="000000"/>
                <w:highlight w:val="black"/>
              </w:rPr>
              <w:br/>
              <w:t>'''''''' '''' ''''''''''' ''''''''''' ''''''''''''''''''''''''''''''''</w:t>
            </w:r>
          </w:p>
          <w:p w:rsidR="00805885" w:rsidRPr="002046A0" w:rsidRDefault="002046A0" w:rsidP="00805885">
            <w:pPr>
              <w:pStyle w:val="Tabletext"/>
              <w:rPr>
                <w:highlight w:val="black"/>
              </w:rPr>
            </w:pPr>
            <w:r>
              <w:rPr>
                <w:noProof/>
                <w:color w:val="000000"/>
                <w:highlight w:val="black"/>
              </w:rPr>
              <w:t>'''''''''''''</w:t>
            </w:r>
            <w:r>
              <w:rPr>
                <w:noProof/>
                <w:color w:val="000000"/>
                <w:highlight w:val="black"/>
              </w:rPr>
              <w:br/>
              <w:t>'''''''' ''' ''''''''''' ''''''''''''' '''''''''''''''''''''''''''''''''</w:t>
            </w:r>
          </w:p>
        </w:tc>
        <w:tc>
          <w:tcPr>
            <w:tcW w:w="2551" w:type="dxa"/>
          </w:tcPr>
          <w:p w:rsidR="00805885" w:rsidRPr="002046A0" w:rsidRDefault="002046A0" w:rsidP="00805885">
            <w:pPr>
              <w:pStyle w:val="Tabletext"/>
              <w:rPr>
                <w:rFonts w:cs="Arial"/>
                <w:highlight w:val="black"/>
              </w:rPr>
            </w:pPr>
            <w:r>
              <w:rPr>
                <w:rFonts w:cs="Arial"/>
                <w:noProof/>
                <w:color w:val="000000"/>
                <w:highlight w:val="black"/>
              </w:rPr>
              <w:t>''''''''''''''''''''' ''''''' '''''''''''''''''''''''''' '''''''''''''''' '''''''''' '''' '''''''''''''' '''''''''''''' '''''''''''''''''''''''''''' ''''' ''''''''''' '''''''''' '''''''''' '''''''''''' '''''' '''''''''''''''''''''''''''''''''' '''''''''' '''''''''''''''''''''''' ''''' ''''''''''''''' ''''''''''''' ''''''''' ''''''''''''''''''' '''''''''''''''''''''''</w:t>
            </w:r>
          </w:p>
        </w:tc>
        <w:tc>
          <w:tcPr>
            <w:tcW w:w="1134" w:type="dxa"/>
          </w:tcPr>
          <w:p w:rsidR="00805885" w:rsidRPr="00F05153" w:rsidRDefault="00805885" w:rsidP="00805885">
            <w:pPr>
              <w:pStyle w:val="Tabletext"/>
              <w:rPr>
                <w:rFonts w:cs="Arial"/>
              </w:rPr>
            </w:pPr>
            <w:r w:rsidRPr="00F05153">
              <w:rPr>
                <w:rFonts w:cs="Arial"/>
              </w:rPr>
              <w:t>High</w:t>
            </w:r>
          </w:p>
          <w:p w:rsidR="00805885" w:rsidRPr="00F05153" w:rsidRDefault="00805885" w:rsidP="00805885">
            <w:pPr>
              <w:pStyle w:val="Tabletext"/>
              <w:rPr>
                <w:rFonts w:cs="Cambria Math"/>
                <w:bCs/>
              </w:rPr>
            </w:pPr>
            <w:r w:rsidRPr="00F05153">
              <w:rPr>
                <w:rFonts w:ascii="Cambria Math" w:hAnsi="Cambria Math" w:cs="Cambria Math"/>
                <w:bCs/>
                <w:color w:val="00B050"/>
              </w:rPr>
              <w:t>⨁⨁⨁⨁</w:t>
            </w:r>
          </w:p>
          <w:p w:rsidR="00805885" w:rsidRPr="00F05153" w:rsidRDefault="00805885" w:rsidP="00805885">
            <w:pPr>
              <w:pStyle w:val="Tabletext"/>
              <w:rPr>
                <w:rFonts w:cs="Arial"/>
              </w:rPr>
            </w:pPr>
            <w:r w:rsidRPr="00F05153">
              <w:rPr>
                <w:rFonts w:cs="Arial"/>
              </w:rPr>
              <w:t>Important</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Change in haemodynamic parameters from baseline</w:t>
            </w:r>
          </w:p>
        </w:tc>
        <w:tc>
          <w:tcPr>
            <w:tcW w:w="1275" w:type="dxa"/>
          </w:tcPr>
          <w:p w:rsidR="0075777C" w:rsidRPr="00F05153" w:rsidRDefault="0075777C" w:rsidP="00805885">
            <w:pPr>
              <w:pStyle w:val="Tabletext"/>
              <w:rPr>
                <w:rFonts w:cs="Arial"/>
              </w:rPr>
            </w:pPr>
            <w:r w:rsidRPr="00F05153">
              <w:rPr>
                <w:rFonts w:cs="Arial"/>
              </w:rPr>
              <w:t>N=1</w:t>
            </w:r>
            <w:r w:rsidR="0051596A" w:rsidRPr="00F05153">
              <w:rPr>
                <w:rFonts w:cs="Arial"/>
              </w:rPr>
              <w:t>48</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 xml:space="preserve">Indirectness: </w:t>
            </w:r>
            <w:r w:rsidR="00B47224" w:rsidRPr="00F05153">
              <w:rPr>
                <w:rFonts w:cs="Arial"/>
              </w:rPr>
              <w:t>−2</w:t>
            </w:r>
          </w:p>
          <w:p w:rsidR="0075777C" w:rsidRPr="00F05153" w:rsidRDefault="0075777C" w:rsidP="00805885">
            <w:pPr>
              <w:pStyle w:val="Tabletext"/>
              <w:rPr>
                <w:rFonts w:cs="Arial"/>
              </w:rPr>
            </w:pPr>
            <w:r w:rsidRPr="00F05153">
              <w:rPr>
                <w:rFonts w:cs="Arial"/>
              </w:rPr>
              <w:t>Imprecision: 0</w:t>
            </w:r>
          </w:p>
          <w:p w:rsidR="0075777C" w:rsidRPr="00F05153" w:rsidRDefault="0075777C" w:rsidP="00805885">
            <w:pPr>
              <w:pStyle w:val="Tabletext"/>
              <w:rPr>
                <w:rFonts w:cs="Arial"/>
              </w:rPr>
            </w:pPr>
            <w:r w:rsidRPr="00F05153">
              <w:rPr>
                <w:rFonts w:cs="Arial"/>
              </w:rPr>
              <w:t>Publication bias: 0</w:t>
            </w:r>
          </w:p>
          <w:p w:rsidR="0075777C" w:rsidRPr="00F05153" w:rsidRDefault="0075777C" w:rsidP="00805885">
            <w:pPr>
              <w:pStyle w:val="Tabletext"/>
              <w:rPr>
                <w:rFonts w:cs="Arial"/>
              </w:rPr>
            </w:pPr>
            <w:r w:rsidRPr="00F05153">
              <w:rPr>
                <w:rFonts w:cs="Arial"/>
              </w:rPr>
              <w:t>Association: 0</w:t>
            </w:r>
          </w:p>
        </w:tc>
        <w:tc>
          <w:tcPr>
            <w:tcW w:w="1418" w:type="dxa"/>
          </w:tcPr>
          <w:p w:rsidR="0075777C" w:rsidRPr="002046A0" w:rsidRDefault="002046A0" w:rsidP="00805885">
            <w:pPr>
              <w:pStyle w:val="Tabletext"/>
              <w:rPr>
                <w:highlight w:val="black"/>
              </w:rPr>
            </w:pPr>
            <w:r>
              <w:rPr>
                <w:noProof/>
                <w:color w:val="000000"/>
                <w:highlight w:val="black"/>
              </w:rPr>
              <w:t>''''''''''''</w:t>
            </w:r>
            <w:r>
              <w:rPr>
                <w:noProof/>
                <w:color w:val="000000"/>
                <w:highlight w:val="black"/>
              </w:rPr>
              <w:br/>
              <w:t>'''''''' ''' '''''''''''''' ''''''''''''''''''''''''''''''''</w:t>
            </w:r>
          </w:p>
        </w:tc>
        <w:tc>
          <w:tcPr>
            <w:tcW w:w="2551" w:type="dxa"/>
          </w:tcPr>
          <w:p w:rsidR="0075777C" w:rsidRPr="002046A0" w:rsidRDefault="002046A0" w:rsidP="0055519E">
            <w:pPr>
              <w:pStyle w:val="Tabletext"/>
              <w:rPr>
                <w:rFonts w:cs="Arial"/>
                <w:highlight w:val="black"/>
              </w:rPr>
            </w:pPr>
            <w:r>
              <w:rPr>
                <w:rFonts w:cs="Arial"/>
                <w:noProof/>
                <w:color w:val="000000"/>
                <w:highlight w:val="black"/>
              </w:rPr>
              <w:t>'''''''''''''''''''' '''''' ''''''''''''''''''''''''''''''' ''''''''''''''''' '''''''' '''' ''''''''''''''' ''''''''''''' ''''''''''''''''''''''''''''''''' ''''' ''''''''''' '''''''''''''''''''''''''''''''''''' ''''''''''''''''''''''''''''' '''''''''' ''''''''''''' '''''' '''''''''''''''''''''''''''''''</w:t>
            </w:r>
          </w:p>
        </w:tc>
        <w:tc>
          <w:tcPr>
            <w:tcW w:w="1134" w:type="dxa"/>
          </w:tcPr>
          <w:p w:rsidR="0075777C" w:rsidRPr="00F05153" w:rsidRDefault="00B47224" w:rsidP="00805885">
            <w:pPr>
              <w:pStyle w:val="Tabletext"/>
              <w:rPr>
                <w:rFonts w:cs="Arial"/>
              </w:rPr>
            </w:pPr>
            <w:r w:rsidRPr="00F05153">
              <w:rPr>
                <w:rFonts w:cs="Arial"/>
              </w:rPr>
              <w:t>Low</w:t>
            </w:r>
          </w:p>
          <w:p w:rsidR="0075777C" w:rsidRPr="00F05153" w:rsidRDefault="0075777C" w:rsidP="00805885">
            <w:pPr>
              <w:pStyle w:val="Tabletext"/>
              <w:rPr>
                <w:rFonts w:cs="Cambria Math"/>
                <w:bCs/>
              </w:rPr>
            </w:pPr>
            <w:r w:rsidRPr="00F05153">
              <w:rPr>
                <w:rFonts w:ascii="Cambria Math" w:hAnsi="Cambria Math" w:cs="Cambria Math"/>
                <w:bCs/>
                <w:color w:val="00B050"/>
              </w:rPr>
              <w:t>⨁⨁</w:t>
            </w:r>
            <w:r w:rsidR="00B47224" w:rsidRPr="00F05153">
              <w:rPr>
                <w:rFonts w:ascii="Cambria Math" w:hAnsi="Cambria Math" w:cs="Cambria Math"/>
                <w:color w:val="C00000"/>
              </w:rPr>
              <w:t>⨀⨀</w:t>
            </w:r>
          </w:p>
          <w:p w:rsidR="0075777C" w:rsidRPr="00F05153" w:rsidRDefault="0075777C" w:rsidP="00805885">
            <w:pPr>
              <w:pStyle w:val="Tabletext"/>
              <w:rPr>
                <w:rFonts w:cs="Arial"/>
              </w:rPr>
            </w:pPr>
            <w:r w:rsidRPr="00F05153">
              <w:rPr>
                <w:rFonts w:cs="Arial"/>
              </w:rPr>
              <w:t>Not important</w:t>
            </w:r>
          </w:p>
        </w:tc>
      </w:tr>
    </w:tbl>
    <w:p w:rsidR="0075777C" w:rsidRDefault="0075777C" w:rsidP="00805885">
      <w:pPr>
        <w:pStyle w:val="Tablenote"/>
      </w:pPr>
      <w:proofErr w:type="gramStart"/>
      <w:r w:rsidRPr="00F05153">
        <w:rPr>
          <w:vertAlign w:val="superscript"/>
        </w:rPr>
        <w:t>a</w:t>
      </w:r>
      <w:proofErr w:type="gramEnd"/>
      <w:r w:rsidRPr="00F05153">
        <w:rPr>
          <w:vertAlign w:val="superscript"/>
        </w:rPr>
        <w:t xml:space="preserve"> </w:t>
      </w:r>
      <w:r w:rsidRPr="00F05153">
        <w:t xml:space="preserve">GRADE Working Group grades of evidence </w:t>
      </w:r>
      <w:r w:rsidR="001D34EE" w:rsidRPr="00F05153">
        <w:rPr>
          <w:noProof/>
          <w:vertAlign w:val="superscript"/>
        </w:rPr>
        <w:t>1</w:t>
      </w:r>
    </w:p>
    <w:p w:rsidR="000211A3" w:rsidRDefault="000211A3" w:rsidP="000211A3">
      <w:pPr>
        <w:pStyle w:val="Tablenote"/>
      </w:pPr>
      <w:proofErr w:type="gramStart"/>
      <w:r>
        <w:rPr>
          <w:vertAlign w:val="superscript"/>
        </w:rPr>
        <w:t>b</w:t>
      </w:r>
      <w:proofErr w:type="gramEnd"/>
      <w:r>
        <w:rPr>
          <w:vertAlign w:val="superscript"/>
        </w:rPr>
        <w:t xml:space="preserve"> </w:t>
      </w:r>
      <w:r>
        <w:t xml:space="preserve">EQ-5D utility scores range from </w:t>
      </w:r>
      <w:r w:rsidRPr="00C569DB">
        <w:t>−</w:t>
      </w:r>
      <w:r>
        <w:t>0.59 to 1.00. A higher score represents better QoL.</w:t>
      </w:r>
    </w:p>
    <w:p w:rsidR="000211A3" w:rsidRPr="006316DF" w:rsidRDefault="000211A3" w:rsidP="00805885">
      <w:pPr>
        <w:pStyle w:val="Tablenote"/>
      </w:pPr>
      <w:proofErr w:type="gramStart"/>
      <w:r>
        <w:rPr>
          <w:vertAlign w:val="superscript"/>
        </w:rPr>
        <w:t>c</w:t>
      </w:r>
      <w:proofErr w:type="gramEnd"/>
      <w:r>
        <w:rPr>
          <w:vertAlign w:val="superscript"/>
        </w:rPr>
        <w:t xml:space="preserve"> </w:t>
      </w:r>
      <w:r>
        <w:t>LPH total scores range from 0 to 105. A higher score indicates poorer QoL.</w:t>
      </w:r>
    </w:p>
    <w:p w:rsidR="0075777C" w:rsidRDefault="0075777C" w:rsidP="00805885">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C95108" w:rsidRPr="006316DF" w:rsidRDefault="00C95108" w:rsidP="00C95108">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C95108" w:rsidRPr="006316DF" w:rsidRDefault="00C95108" w:rsidP="00C95108">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7446CB" w:rsidRPr="006316DF" w:rsidRDefault="0075777C" w:rsidP="00805885">
      <w:pPr>
        <w:pStyle w:val="Tablenote"/>
      </w:pPr>
      <w:proofErr w:type="gramStart"/>
      <w:r>
        <w:t xml:space="preserve">6MWD = 6-minute </w:t>
      </w:r>
      <w:r w:rsidR="0082368E">
        <w:t>walk distance</w:t>
      </w:r>
      <w:r>
        <w:t>; CI = confiden</w:t>
      </w:r>
      <w:r w:rsidR="00572AE9">
        <w:t xml:space="preserve">ce interval; EQ-5D = EuroQual 5 </w:t>
      </w:r>
      <w:r>
        <w:t>dimension;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7446CB" w:rsidRPr="00F24B06">
        <w:t xml:space="preserve">; k = number of studies; </w:t>
      </w:r>
      <w:r w:rsidR="007446CB" w:rsidRPr="00DC16A3">
        <w:t xml:space="preserve">LPH = living with pulmonary hypertension; </w:t>
      </w:r>
      <w:r>
        <w:t xml:space="preserve">MD = mean difference; N = number of patients;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xml:space="preserve">; QoL = quality of life; RCT = randomised controlled trial; RR = relative risk; </w:t>
      </w:r>
      <w:r w:rsidRPr="006C6F7B">
        <w:t xml:space="preserve">sGC </w:t>
      </w:r>
      <w:r>
        <w:t>= s</w:t>
      </w:r>
      <w:r w:rsidRPr="006C6F7B">
        <w:t>oluble guanylate cyclase</w:t>
      </w:r>
      <w:r>
        <w:t>; WHO = World Health Organization</w:t>
      </w:r>
      <w:proofErr w:type="gramEnd"/>
    </w:p>
    <w:p w:rsidR="00585084" w:rsidRDefault="0075777C" w:rsidP="0075777C">
      <w:r w:rsidRPr="006316DF">
        <w:t xml:space="preserve">A summary of these results </w:t>
      </w:r>
      <w:r>
        <w:t xml:space="preserve">for patients with WHO FC III/IV PAH </w:t>
      </w:r>
      <w:proofErr w:type="gramStart"/>
      <w:r w:rsidRPr="006316DF">
        <w:t>is provided</w:t>
      </w:r>
      <w:proofErr w:type="gramEnd"/>
      <w:r w:rsidRPr="006316DF">
        <w:t xml:space="preserve"> in</w:t>
      </w:r>
      <w:r>
        <w:t xml:space="preserve"> </w:t>
      </w:r>
      <w:r w:rsidR="003951FA">
        <w:t>Table 4.</w:t>
      </w:r>
      <w:r w:rsidR="003951FA">
        <w:rPr>
          <w:noProof/>
        </w:rPr>
        <w:t>140</w:t>
      </w:r>
      <w:r w:rsidRPr="006316DF">
        <w:t xml:space="preserve">. </w:t>
      </w:r>
      <w:r w:rsidR="00585084" w:rsidRPr="006316DF">
        <w:t xml:space="preserve">The evidence base for </w:t>
      </w:r>
      <w:r w:rsidR="00585084">
        <w:t>all</w:t>
      </w:r>
      <w:r w:rsidR="00585084" w:rsidRPr="006316DF">
        <w:t xml:space="preserve"> outcomes was considered to be of </w:t>
      </w:r>
      <w:r w:rsidR="00585084">
        <w:t>high</w:t>
      </w:r>
      <w:r w:rsidR="00585084" w:rsidRPr="006316DF">
        <w:t xml:space="preserve"> (GRADE </w:t>
      </w:r>
      <w:r w:rsidR="00585084" w:rsidRPr="00920393">
        <w:rPr>
          <w:rFonts w:ascii="Cambria Math" w:eastAsia="Times New Roman" w:hAnsi="Cambria Math" w:cs="Tahoma"/>
          <w:bCs/>
          <w:color w:val="00B050"/>
        </w:rPr>
        <w:t>⨁⨁⨁⨁</w:t>
      </w:r>
      <w:r w:rsidR="00585084" w:rsidRPr="00920393">
        <w:t>)</w:t>
      </w:r>
      <w:r w:rsidR="00585084">
        <w:t xml:space="preserve"> or moderate </w:t>
      </w:r>
      <w:r w:rsidR="00585084" w:rsidRPr="006316DF">
        <w:t xml:space="preserve">(GRADE </w:t>
      </w:r>
      <w:r w:rsidR="00585084" w:rsidRPr="00920393">
        <w:rPr>
          <w:rFonts w:ascii="Cambria Math" w:eastAsia="Times New Roman" w:hAnsi="Cambria Math" w:cs="Tahoma"/>
          <w:bCs/>
          <w:color w:val="00B050"/>
        </w:rPr>
        <w:t>⨁⨁⨁</w:t>
      </w:r>
      <w:r w:rsidR="00585084" w:rsidRPr="00920393">
        <w:rPr>
          <w:rFonts w:ascii="Cambria Math" w:eastAsia="Times New Roman" w:hAnsi="Cambria Math" w:cs="Cambria Math"/>
          <w:bCs/>
          <w:color w:val="C00000"/>
        </w:rPr>
        <w:t>⨀</w:t>
      </w:r>
      <w:r w:rsidR="00585084" w:rsidRPr="00920393">
        <w:t xml:space="preserve">) </w:t>
      </w:r>
      <w:r w:rsidR="00585084" w:rsidRPr="006316DF">
        <w:t>quality</w:t>
      </w:r>
      <w:r w:rsidR="00585084">
        <w:t>.</w:t>
      </w:r>
    </w:p>
    <w:p w:rsidR="0075777C" w:rsidRPr="00F05153" w:rsidRDefault="0075777C" w:rsidP="0075777C">
      <w:r w:rsidRPr="006316DF">
        <w:t xml:space="preserve">When taking </w:t>
      </w:r>
      <w:r>
        <w:t>the whole body of evidence</w:t>
      </w:r>
      <w:r w:rsidRPr="006316DF">
        <w:t xml:space="preserve"> into account, </w:t>
      </w:r>
      <w:r w:rsidR="00585084">
        <w:t xml:space="preserve">significantly fewer patients dies or had worsening of their WHO FC </w:t>
      </w:r>
      <w:r w:rsidR="00585084" w:rsidRPr="00585084">
        <w:t>when on combination therapy compared with monotherapy</w:t>
      </w:r>
      <w:r w:rsidR="00585084">
        <w:t>. T</w:t>
      </w:r>
      <w:r>
        <w:t xml:space="preserve">he point estimates indicate that </w:t>
      </w:r>
      <w:r w:rsidRPr="006316DF">
        <w:t>the number of patients experiencing clinical worsening</w:t>
      </w:r>
      <w:r w:rsidR="00585084">
        <w:t xml:space="preserve"> or hospitalisation </w:t>
      </w:r>
      <w:r w:rsidRPr="00F05153">
        <w:t xml:space="preserve">would </w:t>
      </w:r>
      <w:r w:rsidR="002046A0">
        <w:rPr>
          <w:noProof/>
          <w:color w:val="000000"/>
          <w:highlight w:val="black"/>
        </w:rPr>
        <w:t>'''''' '''''''''''''' ''''''''''''''''</w:t>
      </w:r>
      <w:r w:rsidRPr="00F05153">
        <w:t xml:space="preserve"> when on combination therapy compared with monotherapy, </w:t>
      </w:r>
      <w:r w:rsidR="002046A0">
        <w:rPr>
          <w:noProof/>
          <w:color w:val="000000"/>
          <w:highlight w:val="black"/>
        </w:rPr>
        <w:t>''''''' '''''''</w:t>
      </w:r>
      <w:r w:rsidRPr="00F05153">
        <w:t xml:space="preserve"> </w:t>
      </w:r>
      <w:r w:rsidR="002046A0">
        <w:rPr>
          <w:noProof/>
          <w:color w:val="000000"/>
          <w:highlight w:val="black"/>
        </w:rPr>
        <w:t>''''''''' ''''' ''''''''''''''''' ''''''''' '''''''''' '''''''' '''''''' ''''' ''''' ''''' '''''' ''''''''''''''''' ''''''''''</w:t>
      </w:r>
      <w:r w:rsidRPr="00F05153">
        <w:t xml:space="preserve">. Similarly, </w:t>
      </w:r>
      <w:r w:rsidR="002046A0">
        <w:rPr>
          <w:noProof/>
          <w:color w:val="000000"/>
          <w:highlight w:val="black"/>
        </w:rPr>
        <w:t>''''''''''</w:t>
      </w:r>
      <w:r w:rsidRPr="00F05153">
        <w:t xml:space="preserve"> patients ha</w:t>
      </w:r>
      <w:r w:rsidR="00585084" w:rsidRPr="00F05153">
        <w:t>d</w:t>
      </w:r>
      <w:r w:rsidRPr="00F05153">
        <w:t xml:space="preserve"> an improvement in their WHO FC, </w:t>
      </w:r>
      <w:r w:rsidR="002046A0">
        <w:rPr>
          <w:noProof/>
          <w:color w:val="000000"/>
          <w:highlight w:val="black"/>
        </w:rPr>
        <w:t>'''''' '''''' ''''''''' '''' '''''''''''''''' '''''''' ''''''''''' '''''''' '''''''' ''''' ''''' '''' '''''' ''''''''''''''''' '''''''''''</w:t>
      </w:r>
      <w:r w:rsidRPr="00F05153">
        <w:t xml:space="preserve">. Patients on combination therapy had </w:t>
      </w:r>
      <w:r w:rsidR="002046A0">
        <w:rPr>
          <w:noProof/>
          <w:color w:val="000000"/>
          <w:highlight w:val="black"/>
        </w:rPr>
        <w:t>''' ''''''''''' '''''''''' '''''''''''''''''''''''</w:t>
      </w:r>
      <w:r w:rsidRPr="00F05153">
        <w:t xml:space="preserve"> in their 6MWD, PVR and QoL than those on monotherapy, and the mean differences for 6MWD, PVR and EQ-5D QoL were </w:t>
      </w:r>
      <w:r w:rsidR="002046A0">
        <w:rPr>
          <w:noProof/>
          <w:color w:val="000000"/>
          <w:highlight w:val="black"/>
        </w:rPr>
        <w:t>''''''''' '''''''''''''' ''''' ''''' '''''''''''''''' ''''''''''''''''''</w:t>
      </w:r>
      <w:r w:rsidRPr="00F05153">
        <w:t>.</w:t>
      </w:r>
    </w:p>
    <w:p w:rsidR="0075777C" w:rsidRPr="002046A0" w:rsidRDefault="0075777C" w:rsidP="0075777C">
      <w:r w:rsidRPr="00F05153">
        <w:t xml:space="preserve">Thus, there is </w:t>
      </w:r>
      <w:r w:rsidR="002046A0">
        <w:rPr>
          <w:noProof/>
          <w:color w:val="000000"/>
          <w:highlight w:val="black"/>
        </w:rPr>
        <w:t xml:space="preserve">'''''''''' </w:t>
      </w:r>
      <w:r w:rsidR="00F9316D" w:rsidRPr="00F05153">
        <w:t xml:space="preserve">evidence indicating that the use of a sGC stimulator in addition to an ERA, relative to ERA monotherapy to treat patients </w:t>
      </w:r>
      <w:r w:rsidRPr="00F05153">
        <w:t xml:space="preserve">with WHO FC III/IV PAH </w:t>
      </w:r>
      <w:r w:rsidR="002046A0">
        <w:rPr>
          <w:noProof/>
          <w:color w:val="000000"/>
          <w:highlight w:val="black"/>
        </w:rPr>
        <w:t xml:space="preserve">''''''''' ''''' ''''''''''''''''''' </w:t>
      </w:r>
    </w:p>
    <w:p w:rsidR="0075777C" w:rsidRPr="006316DF" w:rsidRDefault="00272F8F" w:rsidP="00BC5A2B">
      <w:pPr>
        <w:pStyle w:val="Caption"/>
      </w:pPr>
      <w:bookmarkStart w:id="387" w:name="_Ref505868379"/>
      <w:bookmarkStart w:id="388" w:name="_Toc38360437"/>
      <w:r>
        <w:t>Table 4.</w:t>
      </w:r>
      <w:r w:rsidR="003951FA">
        <w:rPr>
          <w:noProof/>
        </w:rPr>
        <w:t>140</w:t>
      </w:r>
      <w:bookmarkEnd w:id="387"/>
      <w:r w:rsidR="00805885">
        <w:tab/>
      </w:r>
      <w:r w:rsidR="0075777C" w:rsidRPr="006316DF">
        <w:t xml:space="preserve">Balance of clinical benefits of </w:t>
      </w:r>
      <w:r w:rsidR="0075777C">
        <w:t xml:space="preserve">a </w:t>
      </w:r>
      <w:r w:rsidR="0075777C" w:rsidRPr="0006289E">
        <w:t xml:space="preserve">sGC stimulator </w:t>
      </w:r>
      <w:r w:rsidR="0075777C" w:rsidRPr="006C4A08">
        <w:t>in addition to</w:t>
      </w:r>
      <w:r w:rsidR="0075777C">
        <w:t xml:space="preserve"> </w:t>
      </w:r>
      <w:r w:rsidR="001B552D">
        <w:t xml:space="preserve">an </w:t>
      </w:r>
      <w:r w:rsidR="0075777C">
        <w:t>ERA</w:t>
      </w:r>
      <w:r w:rsidR="0075777C" w:rsidRPr="006316DF">
        <w:t xml:space="preserve">, relative to </w:t>
      </w:r>
      <w:r w:rsidR="0075777C">
        <w:t>ERA</w:t>
      </w:r>
      <w:r w:rsidR="0075777C" w:rsidRPr="006C4A08">
        <w:t xml:space="preserve"> </w:t>
      </w:r>
      <w:r w:rsidR="0075777C">
        <w:t>monotherapy in patients</w:t>
      </w:r>
      <w:r w:rsidR="0075777C" w:rsidRPr="002F62A8">
        <w:t xml:space="preserve"> with WHO FC III/IV PAH</w:t>
      </w:r>
      <w:bookmarkEnd w:id="388"/>
    </w:p>
    <w:tbl>
      <w:tblPr>
        <w:tblStyle w:val="TableGrid"/>
        <w:tblW w:w="9634" w:type="dxa"/>
        <w:tblLayout w:type="fixed"/>
        <w:tblLook w:val="04A0" w:firstRow="1" w:lastRow="0" w:firstColumn="1" w:lastColumn="0" w:noHBand="0" w:noVBand="1"/>
        <w:tblCaption w:val="Balance of clinical benefits of a sGC stimulator in addition to an ERA, relative to ERA monotherapy in patients with WHO FC III/IV PAH"/>
      </w:tblPr>
      <w:tblGrid>
        <w:gridCol w:w="1560"/>
        <w:gridCol w:w="1275"/>
        <w:gridCol w:w="1701"/>
        <w:gridCol w:w="1413"/>
        <w:gridCol w:w="2551"/>
        <w:gridCol w:w="1134"/>
      </w:tblGrid>
      <w:tr w:rsidR="0075777C" w:rsidRPr="00F05153" w:rsidTr="0080588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F05153" w:rsidRDefault="0075777C" w:rsidP="00805885">
            <w:pPr>
              <w:pStyle w:val="Tabletext"/>
              <w:rPr>
                <w:b/>
                <w:noProof/>
              </w:rPr>
            </w:pPr>
            <w:r w:rsidRPr="00F05153">
              <w:rPr>
                <w:b/>
                <w:noProof/>
              </w:rPr>
              <w:t xml:space="preserve">Outcomes </w:t>
            </w:r>
          </w:p>
        </w:tc>
        <w:tc>
          <w:tcPr>
            <w:tcW w:w="1275" w:type="dxa"/>
          </w:tcPr>
          <w:p w:rsidR="0075777C" w:rsidRPr="00F05153" w:rsidRDefault="0075777C" w:rsidP="00805885">
            <w:pPr>
              <w:pStyle w:val="Tabletext"/>
              <w:rPr>
                <w:b/>
                <w:noProof/>
              </w:rPr>
            </w:pPr>
            <w:r w:rsidRPr="00F05153">
              <w:rPr>
                <w:b/>
                <w:noProof/>
              </w:rPr>
              <w:t>Participants (studies)</w:t>
            </w:r>
          </w:p>
        </w:tc>
        <w:tc>
          <w:tcPr>
            <w:tcW w:w="1701" w:type="dxa"/>
          </w:tcPr>
          <w:p w:rsidR="0075777C" w:rsidRPr="00F05153" w:rsidRDefault="0075777C" w:rsidP="00805885">
            <w:pPr>
              <w:pStyle w:val="Tabletext"/>
              <w:rPr>
                <w:b/>
                <w:noProof/>
              </w:rPr>
            </w:pPr>
            <w:r w:rsidRPr="00F05153">
              <w:rPr>
                <w:b/>
                <w:noProof/>
              </w:rPr>
              <w:t>Quality of evidence</w:t>
            </w:r>
          </w:p>
        </w:tc>
        <w:tc>
          <w:tcPr>
            <w:tcW w:w="1413" w:type="dxa"/>
          </w:tcPr>
          <w:p w:rsidR="0075777C" w:rsidRPr="00F05153" w:rsidRDefault="0075777C" w:rsidP="00805885">
            <w:pPr>
              <w:pStyle w:val="Tabletext"/>
              <w:rPr>
                <w:b/>
                <w:noProof/>
              </w:rPr>
            </w:pPr>
            <w:r w:rsidRPr="00F05153">
              <w:rPr>
                <w:b/>
                <w:noProof/>
              </w:rPr>
              <w:t>Results</w:t>
            </w:r>
          </w:p>
        </w:tc>
        <w:tc>
          <w:tcPr>
            <w:tcW w:w="2551" w:type="dxa"/>
          </w:tcPr>
          <w:p w:rsidR="0075777C" w:rsidRPr="00F05153" w:rsidRDefault="0075777C" w:rsidP="00805885">
            <w:pPr>
              <w:pStyle w:val="Tabletext"/>
              <w:rPr>
                <w:b/>
                <w:noProof/>
              </w:rPr>
            </w:pPr>
            <w:r w:rsidRPr="00F05153">
              <w:rPr>
                <w:b/>
                <w:noProof/>
              </w:rPr>
              <w:t>Interpretation</w:t>
            </w:r>
          </w:p>
        </w:tc>
        <w:tc>
          <w:tcPr>
            <w:tcW w:w="1134" w:type="dxa"/>
          </w:tcPr>
          <w:p w:rsidR="0075777C" w:rsidRPr="00F05153" w:rsidRDefault="0075777C" w:rsidP="00805885">
            <w:pPr>
              <w:pStyle w:val="Tabletext"/>
              <w:rPr>
                <w:b/>
                <w:noProof/>
              </w:rPr>
            </w:pPr>
            <w:r w:rsidRPr="00F05153">
              <w:rPr>
                <w:b/>
                <w:noProof/>
              </w:rPr>
              <w:t>GRADE</w:t>
            </w:r>
            <w:r w:rsidR="007446CB" w:rsidRPr="00F05153">
              <w:rPr>
                <w:b/>
                <w:noProof/>
                <w:vertAlign w:val="superscript"/>
              </w:rPr>
              <w:t>a</w:t>
            </w:r>
          </w:p>
          <w:p w:rsidR="0075777C" w:rsidRPr="00F05153" w:rsidRDefault="0075777C" w:rsidP="00805885">
            <w:pPr>
              <w:pStyle w:val="Tabletext"/>
              <w:rPr>
                <w:b/>
                <w:noProof/>
              </w:rPr>
            </w:pPr>
            <w:r w:rsidRPr="00F05153">
              <w:rPr>
                <w:b/>
                <w:noProof/>
              </w:rPr>
              <w:t>Importance</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 xml:space="preserve">Clinical worsening </w:t>
            </w:r>
          </w:p>
        </w:tc>
        <w:tc>
          <w:tcPr>
            <w:tcW w:w="1275" w:type="dxa"/>
          </w:tcPr>
          <w:p w:rsidR="0075777C" w:rsidRPr="00F05153" w:rsidRDefault="0075777C" w:rsidP="00805885">
            <w:pPr>
              <w:pStyle w:val="Tabletext"/>
              <w:rPr>
                <w:rFonts w:cs="Arial"/>
              </w:rPr>
            </w:pPr>
            <w:r w:rsidRPr="00F05153">
              <w:rPr>
                <w:rFonts w:cs="Arial"/>
              </w:rPr>
              <w:t>N=1</w:t>
            </w:r>
            <w:r w:rsidR="0051596A" w:rsidRPr="00F05153">
              <w:rPr>
                <w:rFonts w:cs="Arial"/>
              </w:rPr>
              <w:t>20</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Imprecision: −1</w:t>
            </w:r>
          </w:p>
          <w:p w:rsidR="0075777C" w:rsidRPr="00F05153" w:rsidRDefault="0075777C" w:rsidP="00805885">
            <w:pPr>
              <w:pStyle w:val="Tabletext"/>
              <w:rPr>
                <w:rFonts w:cs="Arial"/>
              </w:rPr>
            </w:pPr>
            <w:r w:rsidRPr="00F05153">
              <w:rPr>
                <w:rFonts w:cs="Arial"/>
              </w:rPr>
              <w:t>Publication bias: 0</w:t>
            </w:r>
          </w:p>
          <w:p w:rsidR="0075777C" w:rsidRPr="00F05153" w:rsidRDefault="00BE799B" w:rsidP="00805885">
            <w:pPr>
              <w:pStyle w:val="Tabletext"/>
              <w:rPr>
                <w:rFonts w:cs="Arial"/>
              </w:rPr>
            </w:pPr>
            <w:r w:rsidRPr="00F05153">
              <w:rPr>
                <w:rFonts w:cs="Arial"/>
              </w:rPr>
              <w:t>Association: 0</w:t>
            </w:r>
          </w:p>
        </w:tc>
        <w:tc>
          <w:tcPr>
            <w:tcW w:w="1413" w:type="dxa"/>
          </w:tcPr>
          <w:p w:rsidR="0075777C" w:rsidRPr="002046A0" w:rsidRDefault="002046A0" w:rsidP="00805885">
            <w:pPr>
              <w:pStyle w:val="Tabletext"/>
              <w:rPr>
                <w:rFonts w:cs="Arial"/>
                <w:highlight w:val="black"/>
              </w:rPr>
            </w:pPr>
            <w:r>
              <w:rPr>
                <w:noProof/>
                <w:color w:val="000000"/>
                <w:highlight w:val="black"/>
              </w:rPr>
              <w:t>'''''''' '''' ''''''''''' '''''''''''' ''''' ''''''''''''' ''''''''''''</w:t>
            </w:r>
          </w:p>
        </w:tc>
        <w:tc>
          <w:tcPr>
            <w:tcW w:w="2551" w:type="dxa"/>
          </w:tcPr>
          <w:p w:rsidR="0075777C" w:rsidRPr="002046A0" w:rsidRDefault="002046A0" w:rsidP="00805885">
            <w:pPr>
              <w:pStyle w:val="Tabletext"/>
              <w:rPr>
                <w:rFonts w:cs="Arial"/>
                <w:highlight w:val="black"/>
              </w:rPr>
            </w:pPr>
            <w:r>
              <w:rPr>
                <w:rFonts w:cs="Arial"/>
                <w:noProof/>
                <w:color w:val="000000"/>
                <w:highlight w:val="black"/>
              </w:rPr>
              <w:t>''''''''''''' '''''''''''''''''''' '''''''''''''''''''''''''''''' '''''''''''''''' '''''''''''''''''''''''' '''''''''' ''''''''''''''''''''''''''''' '''''''''''''''''' '''''''''''''''''''''' ''''''''''' ''''''''''''''''''''''''''''''''''' ''''''' '''''''' '''''''''''' '''''' '''''''''''''''''''''' '''''''''' ''''''''''' ''''''''''' '''''''''' '''''' '''''' ''''' '''''''' ''''''''''''''''''' ''''''''''''''''</w:t>
            </w:r>
          </w:p>
        </w:tc>
        <w:tc>
          <w:tcPr>
            <w:tcW w:w="1134" w:type="dxa"/>
          </w:tcPr>
          <w:p w:rsidR="00BE799B" w:rsidRPr="00F05153" w:rsidRDefault="00BE799B" w:rsidP="00BE799B">
            <w:pPr>
              <w:pStyle w:val="Tabletext"/>
              <w:rPr>
                <w:rFonts w:cs="Arial"/>
              </w:rPr>
            </w:pPr>
            <w:r w:rsidRPr="00F05153">
              <w:rPr>
                <w:rFonts w:cs="Arial"/>
              </w:rPr>
              <w:t>Moderate</w:t>
            </w:r>
          </w:p>
          <w:p w:rsidR="00BE799B" w:rsidRPr="00F05153" w:rsidRDefault="00BE799B" w:rsidP="00BE799B">
            <w:pPr>
              <w:pStyle w:val="Tabletext"/>
              <w:rPr>
                <w:rFonts w:cs="Cambria Math"/>
                <w:bCs/>
              </w:rPr>
            </w:pPr>
            <w:r w:rsidRPr="00F05153">
              <w:rPr>
                <w:rFonts w:ascii="Cambria Math" w:hAnsi="Cambria Math" w:cs="Cambria Math"/>
                <w:bCs/>
                <w:color w:val="00B050"/>
              </w:rPr>
              <w:t>⨁⨁⨁</w:t>
            </w:r>
            <w:r w:rsidRPr="00F05153">
              <w:rPr>
                <w:rFonts w:ascii="Cambria Math" w:hAnsi="Cambria Math" w:cs="Cambria Math"/>
                <w:color w:val="C00000"/>
              </w:rPr>
              <w:t>⨀</w:t>
            </w:r>
          </w:p>
          <w:p w:rsidR="0075777C" w:rsidRPr="00F05153" w:rsidRDefault="0075777C" w:rsidP="00805885">
            <w:pPr>
              <w:pStyle w:val="Tabletext"/>
              <w:rPr>
                <w:rFonts w:cs="Arial"/>
              </w:rPr>
            </w:pPr>
            <w:r w:rsidRPr="00F05153">
              <w:rPr>
                <w:rFonts w:cs="Cambria Math"/>
                <w:bCs/>
              </w:rPr>
              <w:t xml:space="preserve">Critical </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All-cause mortality</w:t>
            </w:r>
          </w:p>
        </w:tc>
        <w:tc>
          <w:tcPr>
            <w:tcW w:w="1275" w:type="dxa"/>
          </w:tcPr>
          <w:p w:rsidR="0075777C" w:rsidRPr="00F05153" w:rsidRDefault="0075777C" w:rsidP="00805885">
            <w:pPr>
              <w:pStyle w:val="Tabletext"/>
              <w:rPr>
                <w:rFonts w:cs="Arial"/>
              </w:rPr>
            </w:pPr>
            <w:r w:rsidRPr="00F05153">
              <w:rPr>
                <w:rFonts w:cs="Arial"/>
              </w:rPr>
              <w:t>N=1</w:t>
            </w:r>
            <w:r w:rsidR="0051596A" w:rsidRPr="00F05153">
              <w:rPr>
                <w:rFonts w:cs="Arial"/>
              </w:rPr>
              <w:t>20</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 xml:space="preserve">Imprecision: </w:t>
            </w:r>
            <w:r w:rsidR="004F560A" w:rsidRPr="00F05153">
              <w:rPr>
                <w:rFonts w:cs="Arial"/>
              </w:rPr>
              <w:t>0</w:t>
            </w:r>
          </w:p>
          <w:p w:rsidR="0075777C" w:rsidRPr="00F05153" w:rsidRDefault="0075777C" w:rsidP="00805885">
            <w:pPr>
              <w:pStyle w:val="Tabletext"/>
              <w:rPr>
                <w:rFonts w:cs="Arial"/>
              </w:rPr>
            </w:pPr>
            <w:r w:rsidRPr="00F05153">
              <w:rPr>
                <w:rFonts w:cs="Arial"/>
              </w:rPr>
              <w:t>Publication bias: 0</w:t>
            </w:r>
          </w:p>
          <w:p w:rsidR="0075777C" w:rsidRPr="00F05153" w:rsidRDefault="0075777C" w:rsidP="00805885">
            <w:pPr>
              <w:pStyle w:val="Tabletext"/>
              <w:rPr>
                <w:rFonts w:cs="Arial"/>
              </w:rPr>
            </w:pPr>
            <w:r w:rsidRPr="00F05153">
              <w:rPr>
                <w:rFonts w:cs="Arial"/>
              </w:rPr>
              <w:t xml:space="preserve">Association: </w:t>
            </w:r>
            <w:r w:rsidR="004F560A" w:rsidRPr="00F05153">
              <w:rPr>
                <w:rFonts w:cs="Arial"/>
              </w:rPr>
              <w:t>0</w:t>
            </w:r>
          </w:p>
        </w:tc>
        <w:tc>
          <w:tcPr>
            <w:tcW w:w="1413" w:type="dxa"/>
          </w:tcPr>
          <w:p w:rsidR="0075777C" w:rsidRPr="00F05153" w:rsidRDefault="002046A0" w:rsidP="0088536B">
            <w:pPr>
              <w:pStyle w:val="Tabletext"/>
            </w:pPr>
            <w:r>
              <w:rPr>
                <w:noProof/>
                <w:color w:val="000000"/>
                <w:highlight w:val="black"/>
              </w:rPr>
              <w:t>'''''''''''' '''' '''''''''''''''' '''''''''''' '''''' '''''''''''''''' ''''''''</w:t>
            </w:r>
            <w:r w:rsidR="0075777C" w:rsidRPr="00F05153">
              <w:t>)</w:t>
            </w:r>
          </w:p>
        </w:tc>
        <w:tc>
          <w:tcPr>
            <w:tcW w:w="2551" w:type="dxa"/>
          </w:tcPr>
          <w:p w:rsidR="0075777C" w:rsidRPr="002046A0" w:rsidRDefault="002046A0" w:rsidP="00DD704F">
            <w:pPr>
              <w:pStyle w:val="Tabletext"/>
              <w:rPr>
                <w:highlight w:val="black"/>
              </w:rPr>
            </w:pPr>
            <w:r>
              <w:rPr>
                <w:rFonts w:cs="Arial"/>
                <w:noProof/>
                <w:color w:val="000000"/>
                <w:highlight w:val="black"/>
              </w:rPr>
              <w:t>'''''''''''''''''''''''''' ''''''''''''' ''''''''''''''''' '''''''''''''' '''''''' ''''''''''' ''''''''' ''''''''''''''' '''''''''' '''''''''''''''''''''''''''' ''''''''''''''''''' '''''''''''''''''''''''' ''''''''' '''''''''''''''''''''''''''' ''''' ''' '''''''''''''</w:t>
            </w:r>
          </w:p>
        </w:tc>
        <w:tc>
          <w:tcPr>
            <w:tcW w:w="1134" w:type="dxa"/>
          </w:tcPr>
          <w:p w:rsidR="0075777C" w:rsidRPr="00F05153" w:rsidRDefault="0075777C" w:rsidP="00805885">
            <w:pPr>
              <w:pStyle w:val="Tabletext"/>
              <w:rPr>
                <w:rFonts w:cs="Arial"/>
              </w:rPr>
            </w:pPr>
            <w:r w:rsidRPr="00F05153">
              <w:rPr>
                <w:rFonts w:cs="Arial"/>
              </w:rPr>
              <w:t>High</w:t>
            </w:r>
          </w:p>
          <w:p w:rsidR="0075777C" w:rsidRPr="00F05153" w:rsidRDefault="0075777C" w:rsidP="00805885">
            <w:pPr>
              <w:pStyle w:val="Tabletext"/>
              <w:rPr>
                <w:rFonts w:cs="Cambria Math"/>
                <w:bCs/>
              </w:rPr>
            </w:pPr>
            <w:r w:rsidRPr="00F05153">
              <w:rPr>
                <w:rFonts w:ascii="Cambria Math" w:hAnsi="Cambria Math" w:cs="Cambria Math"/>
                <w:bCs/>
                <w:color w:val="00B050"/>
              </w:rPr>
              <w:t>⨁⨁⨁⨁</w:t>
            </w:r>
          </w:p>
          <w:p w:rsidR="0075777C" w:rsidRPr="00F05153" w:rsidRDefault="0075777C" w:rsidP="00805885">
            <w:pPr>
              <w:pStyle w:val="Tabletext"/>
              <w:rPr>
                <w:rFonts w:cs="Arial"/>
              </w:rPr>
            </w:pPr>
            <w:r w:rsidRPr="00F05153">
              <w:rPr>
                <w:rFonts w:cs="Arial"/>
              </w:rPr>
              <w:t>Critical</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Hospitalisation</w:t>
            </w:r>
            <w:r w:rsidR="004F560A" w:rsidRPr="00F05153">
              <w:rPr>
                <w:rFonts w:cs="Arial"/>
              </w:rPr>
              <w:t xml:space="preserve"> due to PAH</w:t>
            </w:r>
          </w:p>
        </w:tc>
        <w:tc>
          <w:tcPr>
            <w:tcW w:w="1275" w:type="dxa"/>
          </w:tcPr>
          <w:p w:rsidR="0075777C" w:rsidRPr="00F05153" w:rsidRDefault="0075777C" w:rsidP="00805885">
            <w:pPr>
              <w:pStyle w:val="Tabletext"/>
              <w:rPr>
                <w:rFonts w:cs="Arial"/>
              </w:rPr>
            </w:pPr>
            <w:r w:rsidRPr="00F05153">
              <w:rPr>
                <w:rFonts w:cs="Arial"/>
              </w:rPr>
              <w:t>N=1</w:t>
            </w:r>
            <w:r w:rsidR="0051596A" w:rsidRPr="00F05153">
              <w:rPr>
                <w:rFonts w:cs="Arial"/>
              </w:rPr>
              <w:t>20</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Imprecision: −1</w:t>
            </w:r>
          </w:p>
          <w:p w:rsidR="0075777C" w:rsidRPr="00F05153" w:rsidRDefault="0075777C" w:rsidP="00805885">
            <w:pPr>
              <w:pStyle w:val="Tabletext"/>
              <w:rPr>
                <w:rFonts w:cs="Arial"/>
              </w:rPr>
            </w:pPr>
            <w:r w:rsidRPr="00F05153">
              <w:rPr>
                <w:rFonts w:cs="Arial"/>
              </w:rPr>
              <w:t>Publication bias: 0</w:t>
            </w:r>
          </w:p>
          <w:p w:rsidR="0075777C" w:rsidRPr="00F05153" w:rsidRDefault="0075777C" w:rsidP="00805885">
            <w:pPr>
              <w:pStyle w:val="Tabletext"/>
              <w:rPr>
                <w:rFonts w:cs="Arial"/>
              </w:rPr>
            </w:pPr>
            <w:r w:rsidRPr="00F05153">
              <w:rPr>
                <w:rFonts w:cs="Arial"/>
              </w:rPr>
              <w:t>Association: +2</w:t>
            </w:r>
          </w:p>
        </w:tc>
        <w:tc>
          <w:tcPr>
            <w:tcW w:w="1413" w:type="dxa"/>
          </w:tcPr>
          <w:p w:rsidR="0075777C" w:rsidRPr="002046A0" w:rsidRDefault="002046A0" w:rsidP="00805885">
            <w:pPr>
              <w:pStyle w:val="Tabletext"/>
              <w:rPr>
                <w:highlight w:val="black"/>
              </w:rPr>
            </w:pPr>
            <w:r>
              <w:rPr>
                <w:noProof/>
                <w:color w:val="000000"/>
                <w:highlight w:val="black"/>
              </w:rPr>
              <w:t>'''''''' ''' ''''''''' ''''''''''''' '''''' ''''''''''''' ''''''''''''</w:t>
            </w:r>
          </w:p>
        </w:tc>
        <w:tc>
          <w:tcPr>
            <w:tcW w:w="2551" w:type="dxa"/>
          </w:tcPr>
          <w:p w:rsidR="0075777C" w:rsidRPr="00F05153" w:rsidRDefault="002046A0" w:rsidP="00805885">
            <w:pPr>
              <w:pStyle w:val="Tabletext"/>
            </w:pPr>
            <w:r>
              <w:rPr>
                <w:rFonts w:cs="Arial"/>
                <w:noProof/>
                <w:color w:val="000000"/>
                <w:highlight w:val="black"/>
              </w:rPr>
              <w:t>'''''''''''''' '''''''''''''''''' ''''''''''''' '''''' ''''''''''''''''''''''''' ''''''''''' ''''''''''''''''''''''''''' '''''''''''''''''''' '''''''''''''''''''''' '''''''''' '''''''''''''''''''''''''''''' '''''''' ''''''' ''''''''''' '''''' ''''''''''''''''''''''' ''''''''' ''''''''''''' '''''''''' '''''''''' '''''' '''''''' ''''''''''''''''''' ''''''''''''</w:t>
            </w:r>
            <w:r w:rsidR="0075777C" w:rsidRPr="00F05153">
              <w:t>.</w:t>
            </w:r>
          </w:p>
        </w:tc>
        <w:tc>
          <w:tcPr>
            <w:tcW w:w="1134" w:type="dxa"/>
          </w:tcPr>
          <w:p w:rsidR="00BE799B" w:rsidRPr="00F05153" w:rsidRDefault="00BE799B" w:rsidP="00BE799B">
            <w:pPr>
              <w:pStyle w:val="Tabletext"/>
              <w:rPr>
                <w:rFonts w:cs="Arial"/>
              </w:rPr>
            </w:pPr>
            <w:r w:rsidRPr="00F05153">
              <w:rPr>
                <w:rFonts w:cs="Arial"/>
              </w:rPr>
              <w:t>Moderate</w:t>
            </w:r>
          </w:p>
          <w:p w:rsidR="00BE799B" w:rsidRPr="00F05153" w:rsidRDefault="00BE799B" w:rsidP="00BE799B">
            <w:pPr>
              <w:pStyle w:val="Tabletext"/>
              <w:rPr>
                <w:rFonts w:cs="Cambria Math"/>
                <w:bCs/>
              </w:rPr>
            </w:pPr>
            <w:r w:rsidRPr="00F05153">
              <w:rPr>
                <w:rFonts w:ascii="Cambria Math" w:hAnsi="Cambria Math" w:cs="Cambria Math"/>
                <w:bCs/>
                <w:color w:val="00B050"/>
              </w:rPr>
              <w:t>⨁⨁⨁</w:t>
            </w:r>
            <w:r w:rsidRPr="00F05153">
              <w:rPr>
                <w:rFonts w:ascii="Cambria Math" w:hAnsi="Cambria Math" w:cs="Cambria Math"/>
                <w:color w:val="C00000"/>
              </w:rPr>
              <w:t>⨀</w:t>
            </w:r>
          </w:p>
          <w:p w:rsidR="0075777C" w:rsidRPr="00F05153" w:rsidRDefault="00805885" w:rsidP="00805885">
            <w:pPr>
              <w:pStyle w:val="Tabletext"/>
              <w:rPr>
                <w:rFonts w:cs="Arial"/>
              </w:rPr>
            </w:pPr>
            <w:r w:rsidRPr="00F05153">
              <w:rPr>
                <w:rFonts w:cs="Arial"/>
              </w:rPr>
              <w:t>Important</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Improved WHO FC</w:t>
            </w:r>
          </w:p>
        </w:tc>
        <w:tc>
          <w:tcPr>
            <w:tcW w:w="1275" w:type="dxa"/>
          </w:tcPr>
          <w:p w:rsidR="0075777C" w:rsidRPr="00F05153" w:rsidRDefault="0075777C" w:rsidP="00805885">
            <w:pPr>
              <w:pStyle w:val="Tabletext"/>
              <w:rPr>
                <w:rFonts w:cs="Arial"/>
              </w:rPr>
            </w:pPr>
            <w:r w:rsidRPr="00F05153">
              <w:rPr>
                <w:rFonts w:cs="Arial"/>
              </w:rPr>
              <w:t>N=1</w:t>
            </w:r>
            <w:r w:rsidR="0051596A" w:rsidRPr="00F05153">
              <w:rPr>
                <w:rFonts w:cs="Arial"/>
              </w:rPr>
              <w:t>20</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Imprecision: −1</w:t>
            </w:r>
          </w:p>
          <w:p w:rsidR="0075777C" w:rsidRPr="00F05153" w:rsidRDefault="0075777C" w:rsidP="00805885">
            <w:pPr>
              <w:pStyle w:val="Tabletext"/>
              <w:rPr>
                <w:rFonts w:cs="Arial"/>
              </w:rPr>
            </w:pPr>
            <w:r w:rsidRPr="00F05153">
              <w:rPr>
                <w:rFonts w:cs="Arial"/>
              </w:rPr>
              <w:t>Publication bias: 0</w:t>
            </w:r>
          </w:p>
          <w:p w:rsidR="0075777C" w:rsidRPr="00F05153" w:rsidRDefault="0075777C" w:rsidP="00805885">
            <w:pPr>
              <w:pStyle w:val="Tabletext"/>
              <w:rPr>
                <w:rFonts w:cs="Arial"/>
              </w:rPr>
            </w:pPr>
            <w:r w:rsidRPr="00F05153">
              <w:rPr>
                <w:rFonts w:cs="Arial"/>
              </w:rPr>
              <w:t>Association: +1</w:t>
            </w:r>
          </w:p>
        </w:tc>
        <w:tc>
          <w:tcPr>
            <w:tcW w:w="1413" w:type="dxa"/>
          </w:tcPr>
          <w:p w:rsidR="0075777C" w:rsidRPr="002046A0" w:rsidRDefault="002046A0" w:rsidP="006B498F">
            <w:pPr>
              <w:pStyle w:val="Tabletext"/>
              <w:rPr>
                <w:highlight w:val="black"/>
              </w:rPr>
            </w:pPr>
            <w:r>
              <w:rPr>
                <w:noProof/>
                <w:color w:val="000000"/>
                <w:highlight w:val="black"/>
              </w:rPr>
              <w:t>'''''''' ''' '''''''''' ''''''''''''' '''''' ''''''''''''' ''''''''''''</w:t>
            </w:r>
          </w:p>
        </w:tc>
        <w:tc>
          <w:tcPr>
            <w:tcW w:w="2551" w:type="dxa"/>
          </w:tcPr>
          <w:p w:rsidR="0075777C" w:rsidRPr="002046A0" w:rsidRDefault="002046A0" w:rsidP="00805885">
            <w:pPr>
              <w:pStyle w:val="Tabletext"/>
              <w:rPr>
                <w:rFonts w:cs="Arial"/>
                <w:highlight w:val="black"/>
              </w:rPr>
            </w:pPr>
            <w:r>
              <w:rPr>
                <w:rFonts w:cs="Arial"/>
                <w:noProof/>
                <w:color w:val="000000"/>
                <w:highlight w:val="black"/>
              </w:rPr>
              <w:t>''''''''''' ''''''''''''''''''' '''''' ''''''''''''''''''''''''''''' ''''''''''''''''''' '''''''''''''''' ''''''''''''''''''' '''''''''' ''''''''''''' '''''''' '''''''''' '''''''''''' '''''' '''''''''''''''''''''''''''''''' ''''''' '''''''' '''''''''''' '''''' '''''''''''''''''''''' ''''''''' ''''''''''''' '''''''''' ''''''''' '''''' '''''' '''''''''''''</w:t>
            </w:r>
          </w:p>
        </w:tc>
        <w:tc>
          <w:tcPr>
            <w:tcW w:w="1134" w:type="dxa"/>
          </w:tcPr>
          <w:p w:rsidR="00BE799B" w:rsidRPr="00F05153" w:rsidRDefault="00BE799B" w:rsidP="00BE799B">
            <w:pPr>
              <w:pStyle w:val="Tabletext"/>
              <w:rPr>
                <w:rFonts w:cs="Arial"/>
              </w:rPr>
            </w:pPr>
            <w:r w:rsidRPr="00F05153">
              <w:rPr>
                <w:rFonts w:cs="Arial"/>
              </w:rPr>
              <w:t>Moderate</w:t>
            </w:r>
          </w:p>
          <w:p w:rsidR="00BE799B" w:rsidRPr="00F05153" w:rsidRDefault="00BE799B" w:rsidP="00BE799B">
            <w:pPr>
              <w:pStyle w:val="Tabletext"/>
              <w:rPr>
                <w:rFonts w:cs="Cambria Math"/>
                <w:bCs/>
              </w:rPr>
            </w:pPr>
            <w:r w:rsidRPr="00F05153">
              <w:rPr>
                <w:rFonts w:ascii="Cambria Math" w:hAnsi="Cambria Math" w:cs="Cambria Math"/>
                <w:bCs/>
                <w:color w:val="00B050"/>
              </w:rPr>
              <w:t>⨁⨁⨁</w:t>
            </w:r>
            <w:r w:rsidRPr="00F05153">
              <w:rPr>
                <w:rFonts w:ascii="Cambria Math" w:hAnsi="Cambria Math" w:cs="Cambria Math"/>
                <w:color w:val="C00000"/>
              </w:rPr>
              <w:t>⨀</w:t>
            </w:r>
          </w:p>
          <w:p w:rsidR="0075777C" w:rsidRPr="00F05153" w:rsidRDefault="0075777C" w:rsidP="00805885">
            <w:pPr>
              <w:pStyle w:val="Tabletext"/>
              <w:rPr>
                <w:rFonts w:cs="Arial"/>
              </w:rPr>
            </w:pPr>
            <w:r w:rsidRPr="00F05153">
              <w:rPr>
                <w:rFonts w:cs="Arial"/>
              </w:rPr>
              <w:t>Important</w:t>
            </w:r>
          </w:p>
        </w:tc>
      </w:tr>
      <w:tr w:rsidR="0075777C" w:rsidRPr="00F05153" w:rsidTr="00805885">
        <w:tc>
          <w:tcPr>
            <w:tcW w:w="1560" w:type="dxa"/>
          </w:tcPr>
          <w:p w:rsidR="0075777C" w:rsidRPr="00F05153" w:rsidRDefault="0075777C" w:rsidP="00805885">
            <w:pPr>
              <w:pStyle w:val="Tabletext"/>
              <w:rPr>
                <w:rFonts w:cs="Arial"/>
              </w:rPr>
            </w:pPr>
            <w:r w:rsidRPr="00F05153">
              <w:rPr>
                <w:rFonts w:cs="Arial"/>
              </w:rPr>
              <w:t>Worsened WHO FC</w:t>
            </w:r>
          </w:p>
        </w:tc>
        <w:tc>
          <w:tcPr>
            <w:tcW w:w="1275" w:type="dxa"/>
          </w:tcPr>
          <w:p w:rsidR="0075777C" w:rsidRPr="00F05153" w:rsidRDefault="0075777C" w:rsidP="00805885">
            <w:pPr>
              <w:pStyle w:val="Tabletext"/>
              <w:rPr>
                <w:rFonts w:cs="Arial"/>
              </w:rPr>
            </w:pPr>
            <w:r w:rsidRPr="00F05153">
              <w:rPr>
                <w:rFonts w:cs="Arial"/>
              </w:rPr>
              <w:t>N=1</w:t>
            </w:r>
            <w:r w:rsidR="0051596A" w:rsidRPr="00F05153">
              <w:rPr>
                <w:rFonts w:cs="Arial"/>
              </w:rPr>
              <w:t>20</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Indirectness: 0</w:t>
            </w:r>
          </w:p>
          <w:p w:rsidR="0075777C" w:rsidRPr="00F05153" w:rsidRDefault="0075777C" w:rsidP="00805885">
            <w:pPr>
              <w:pStyle w:val="Tabletext"/>
              <w:rPr>
                <w:rFonts w:cs="Arial"/>
              </w:rPr>
            </w:pPr>
            <w:r w:rsidRPr="00F05153">
              <w:rPr>
                <w:rFonts w:cs="Arial"/>
              </w:rPr>
              <w:t xml:space="preserve">Imprecision: </w:t>
            </w:r>
            <w:r w:rsidR="00BD512F" w:rsidRPr="00F05153">
              <w:rPr>
                <w:rFonts w:cs="Arial"/>
              </w:rPr>
              <w:t>0</w:t>
            </w:r>
          </w:p>
          <w:p w:rsidR="0075777C" w:rsidRPr="00F05153" w:rsidRDefault="0075777C" w:rsidP="00805885">
            <w:pPr>
              <w:pStyle w:val="Tabletext"/>
              <w:rPr>
                <w:rFonts w:cs="Arial"/>
              </w:rPr>
            </w:pPr>
            <w:r w:rsidRPr="00F05153">
              <w:rPr>
                <w:rFonts w:cs="Arial"/>
              </w:rPr>
              <w:t>Publication bias: 0</w:t>
            </w:r>
          </w:p>
          <w:p w:rsidR="0075777C" w:rsidRPr="00F05153" w:rsidRDefault="0075777C" w:rsidP="00805885">
            <w:pPr>
              <w:pStyle w:val="Tabletext"/>
              <w:rPr>
                <w:rFonts w:cs="Arial"/>
              </w:rPr>
            </w:pPr>
            <w:r w:rsidRPr="00F05153">
              <w:rPr>
                <w:rFonts w:cs="Arial"/>
              </w:rPr>
              <w:t>Association: 0</w:t>
            </w:r>
          </w:p>
        </w:tc>
        <w:tc>
          <w:tcPr>
            <w:tcW w:w="1413" w:type="dxa"/>
          </w:tcPr>
          <w:p w:rsidR="0075777C" w:rsidRPr="00F05153" w:rsidRDefault="002046A0" w:rsidP="00805885">
            <w:pPr>
              <w:pStyle w:val="Tabletext"/>
            </w:pPr>
            <w:r>
              <w:rPr>
                <w:noProof/>
                <w:color w:val="000000"/>
                <w:highlight w:val="black"/>
              </w:rPr>
              <w:t>'''''''''' ''' '''''''''''''' '''''''''''' '''''' ''''''''''''''''' ''''''''</w:t>
            </w:r>
            <w:r w:rsidR="0075777C" w:rsidRPr="00F05153">
              <w:t>)</w:t>
            </w:r>
          </w:p>
        </w:tc>
        <w:tc>
          <w:tcPr>
            <w:tcW w:w="2551" w:type="dxa"/>
          </w:tcPr>
          <w:p w:rsidR="0075777C" w:rsidRPr="002046A0" w:rsidRDefault="002046A0" w:rsidP="00805885">
            <w:pPr>
              <w:pStyle w:val="Tabletext"/>
              <w:rPr>
                <w:rFonts w:cs="Arial"/>
                <w:highlight w:val="black"/>
              </w:rPr>
            </w:pPr>
            <w:r>
              <w:rPr>
                <w:rFonts w:cs="Arial"/>
                <w:noProof/>
                <w:color w:val="000000"/>
                <w:highlight w:val="black"/>
              </w:rPr>
              <w:t>'''''''''''''''''''''''''''''' ''''''''''''' '''''''''''''''''''' ''''''''''''''''''''''''''''' ''''''''''''''' ''''''''''''''''''''''''''' ''''''''' ''''''''''''''''''''''''''''' '''''''''''''''' ''''''''''''''''''''''' ''''''''' ''''''''''''''''''''''''''''''' ''''' '''' ''''''''''''''''</w:t>
            </w:r>
          </w:p>
        </w:tc>
        <w:tc>
          <w:tcPr>
            <w:tcW w:w="1134" w:type="dxa"/>
          </w:tcPr>
          <w:p w:rsidR="0075777C" w:rsidRPr="00F05153" w:rsidRDefault="00BD512F" w:rsidP="00805885">
            <w:pPr>
              <w:pStyle w:val="Tabletext"/>
              <w:rPr>
                <w:bCs/>
              </w:rPr>
            </w:pPr>
            <w:r w:rsidRPr="00F05153">
              <w:rPr>
                <w:bCs/>
              </w:rPr>
              <w:t>High</w:t>
            </w:r>
          </w:p>
          <w:p w:rsidR="0075777C" w:rsidRPr="00F05153" w:rsidRDefault="0075777C" w:rsidP="00805885">
            <w:pPr>
              <w:pStyle w:val="Tabletext"/>
              <w:rPr>
                <w:rFonts w:ascii="Cambria Math" w:hAnsi="Cambria Math" w:cs="Cambria Math"/>
                <w:bCs/>
              </w:rPr>
            </w:pPr>
            <w:r w:rsidRPr="00F05153">
              <w:rPr>
                <w:rFonts w:ascii="Cambria Math" w:hAnsi="Cambria Math" w:cs="Cambria Math"/>
                <w:bCs/>
                <w:color w:val="00B050"/>
              </w:rPr>
              <w:t>⨁⨁⨁</w:t>
            </w:r>
            <w:r w:rsidR="00BD512F" w:rsidRPr="00F05153">
              <w:rPr>
                <w:rFonts w:ascii="Cambria Math" w:hAnsi="Cambria Math" w:cs="Cambria Math"/>
                <w:bCs/>
                <w:color w:val="00B050"/>
              </w:rPr>
              <w:t>⨁</w:t>
            </w:r>
          </w:p>
          <w:p w:rsidR="0075777C" w:rsidRPr="00F05153" w:rsidRDefault="0075777C" w:rsidP="00805885">
            <w:pPr>
              <w:pStyle w:val="Tabletext"/>
              <w:rPr>
                <w:rFonts w:cs="Arial"/>
              </w:rPr>
            </w:pPr>
            <w:r w:rsidRPr="00F05153">
              <w:rPr>
                <w:rFonts w:cs="Arial"/>
              </w:rPr>
              <w:t>Important</w:t>
            </w:r>
          </w:p>
        </w:tc>
      </w:tr>
      <w:tr w:rsidR="00805885" w:rsidRPr="00F05153" w:rsidTr="00805885">
        <w:tc>
          <w:tcPr>
            <w:tcW w:w="1560" w:type="dxa"/>
          </w:tcPr>
          <w:p w:rsidR="00805885" w:rsidRPr="00F05153" w:rsidRDefault="00805885" w:rsidP="00805885">
            <w:pPr>
              <w:pStyle w:val="Tabletext"/>
              <w:rPr>
                <w:rFonts w:cs="Arial"/>
              </w:rPr>
            </w:pPr>
            <w:r w:rsidRPr="00F05153">
              <w:rPr>
                <w:rFonts w:cs="Arial"/>
              </w:rPr>
              <w:t>Change in 6MWD from baseline</w:t>
            </w:r>
          </w:p>
        </w:tc>
        <w:tc>
          <w:tcPr>
            <w:tcW w:w="1275" w:type="dxa"/>
          </w:tcPr>
          <w:p w:rsidR="00805885" w:rsidRPr="00F05153" w:rsidRDefault="00805885" w:rsidP="00805885">
            <w:pPr>
              <w:pStyle w:val="Tabletext"/>
              <w:rPr>
                <w:rFonts w:cs="Arial"/>
              </w:rPr>
            </w:pPr>
            <w:r w:rsidRPr="00F05153">
              <w:rPr>
                <w:rFonts w:cs="Arial"/>
              </w:rPr>
              <w:t>N=1</w:t>
            </w:r>
            <w:r w:rsidR="0051596A" w:rsidRPr="00F05153">
              <w:rPr>
                <w:rFonts w:cs="Arial"/>
              </w:rPr>
              <w:t>20</w:t>
            </w:r>
          </w:p>
          <w:p w:rsidR="00805885" w:rsidRPr="00F05153" w:rsidRDefault="00805885" w:rsidP="00805885">
            <w:pPr>
              <w:pStyle w:val="Tabletext"/>
              <w:rPr>
                <w:rFonts w:cs="Arial"/>
              </w:rPr>
            </w:pPr>
            <w:r w:rsidRPr="00F05153">
              <w:rPr>
                <w:rFonts w:cs="Arial"/>
              </w:rPr>
              <w:t>k=1 RCT</w:t>
            </w:r>
          </w:p>
        </w:tc>
        <w:tc>
          <w:tcPr>
            <w:tcW w:w="1701" w:type="dxa"/>
          </w:tcPr>
          <w:p w:rsidR="00805885" w:rsidRPr="00F05153" w:rsidRDefault="00805885" w:rsidP="00805885">
            <w:pPr>
              <w:pStyle w:val="Tabletext"/>
              <w:rPr>
                <w:rFonts w:cs="Arial"/>
              </w:rPr>
            </w:pPr>
            <w:r w:rsidRPr="00F05153">
              <w:rPr>
                <w:rFonts w:cs="Arial"/>
              </w:rPr>
              <w:t>Risk of bias: 0</w:t>
            </w:r>
          </w:p>
          <w:p w:rsidR="00805885" w:rsidRPr="00F05153" w:rsidRDefault="00805885" w:rsidP="00805885">
            <w:pPr>
              <w:pStyle w:val="Tabletext"/>
              <w:rPr>
                <w:rFonts w:cs="Arial"/>
              </w:rPr>
            </w:pPr>
            <w:r w:rsidRPr="00F05153">
              <w:rPr>
                <w:rFonts w:cs="Arial"/>
              </w:rPr>
              <w:t>Inconsistency: 0</w:t>
            </w:r>
          </w:p>
          <w:p w:rsidR="00805885" w:rsidRPr="00F05153" w:rsidRDefault="00805885" w:rsidP="00805885">
            <w:pPr>
              <w:pStyle w:val="Tabletext"/>
              <w:rPr>
                <w:rFonts w:cs="Arial"/>
              </w:rPr>
            </w:pPr>
            <w:r w:rsidRPr="00F05153">
              <w:rPr>
                <w:rFonts w:cs="Arial"/>
              </w:rPr>
              <w:t xml:space="preserve">Indirectness: </w:t>
            </w:r>
            <w:r w:rsidR="00B47224" w:rsidRPr="00F05153">
              <w:rPr>
                <w:rFonts w:cs="Arial"/>
              </w:rPr>
              <w:t>−1</w:t>
            </w:r>
          </w:p>
          <w:p w:rsidR="00805885" w:rsidRPr="00F05153" w:rsidRDefault="00805885" w:rsidP="00805885">
            <w:pPr>
              <w:pStyle w:val="Tabletext"/>
              <w:rPr>
                <w:rFonts w:cs="Arial"/>
              </w:rPr>
            </w:pPr>
            <w:r w:rsidRPr="00F05153">
              <w:rPr>
                <w:rFonts w:cs="Arial"/>
              </w:rPr>
              <w:t>Imprecision: 0</w:t>
            </w:r>
          </w:p>
          <w:p w:rsidR="00805885" w:rsidRPr="00F05153" w:rsidRDefault="00805885" w:rsidP="00805885">
            <w:pPr>
              <w:pStyle w:val="Tabletext"/>
              <w:rPr>
                <w:rFonts w:cs="Arial"/>
              </w:rPr>
            </w:pPr>
            <w:r w:rsidRPr="00F05153">
              <w:rPr>
                <w:rFonts w:cs="Arial"/>
              </w:rPr>
              <w:t>Publication bias: 0</w:t>
            </w:r>
          </w:p>
          <w:p w:rsidR="00805885" w:rsidRPr="00F05153" w:rsidRDefault="00805885" w:rsidP="00805885">
            <w:pPr>
              <w:pStyle w:val="Tabletext"/>
              <w:rPr>
                <w:rFonts w:cs="Arial"/>
              </w:rPr>
            </w:pPr>
            <w:r w:rsidRPr="00F05153">
              <w:rPr>
                <w:rFonts w:cs="Arial"/>
              </w:rPr>
              <w:t>Association: +1</w:t>
            </w:r>
          </w:p>
        </w:tc>
        <w:tc>
          <w:tcPr>
            <w:tcW w:w="1413" w:type="dxa"/>
          </w:tcPr>
          <w:p w:rsidR="00805885" w:rsidRPr="002046A0" w:rsidRDefault="002046A0" w:rsidP="007B3912">
            <w:pPr>
              <w:pStyle w:val="Tabletext"/>
              <w:rPr>
                <w:highlight w:val="black"/>
              </w:rPr>
            </w:pPr>
            <w:r>
              <w:rPr>
                <w:noProof/>
                <w:color w:val="000000"/>
                <w:highlight w:val="black"/>
              </w:rPr>
              <w:t>''''''''' ''' ''''''''''' ''''' ''''''''''''''</w:t>
            </w:r>
            <w:r>
              <w:rPr>
                <w:noProof/>
                <w:color w:val="000000"/>
                <w:highlight w:val="black"/>
              </w:rPr>
              <w:br/>
              <w:t>'''''''''''' '''''' ''''''''''''' '''''''''''''</w:t>
            </w:r>
          </w:p>
        </w:tc>
        <w:tc>
          <w:tcPr>
            <w:tcW w:w="2551" w:type="dxa"/>
          </w:tcPr>
          <w:p w:rsidR="00805885" w:rsidRPr="002046A0" w:rsidRDefault="002046A0" w:rsidP="00805885">
            <w:pPr>
              <w:pStyle w:val="Tabletext"/>
              <w:rPr>
                <w:rFonts w:cs="Arial"/>
                <w:highlight w:val="black"/>
              </w:rPr>
            </w:pPr>
            <w:r>
              <w:rPr>
                <w:rFonts w:cs="Arial"/>
                <w:noProof/>
                <w:color w:val="000000"/>
                <w:highlight w:val="black"/>
              </w:rPr>
              <w:t>'''''''''''''''''' '''''' ''''''''''''''''''''''''''''' '''''''''''''''''' ''''''''' ''' '''''''''''''' ''''''''''''''''''''' ''''''''''''''''''''' '''''''''''''' ''''''''''''''''''''''''''''''' ''''' '''''''''' ''''''''''''''' ''''''''''' '''''''''''''' '''''' ''''''''''''''''''''''''''''''</w:t>
            </w:r>
          </w:p>
        </w:tc>
        <w:tc>
          <w:tcPr>
            <w:tcW w:w="1134" w:type="dxa"/>
          </w:tcPr>
          <w:p w:rsidR="00805885" w:rsidRPr="00F05153" w:rsidRDefault="00805885" w:rsidP="00805885">
            <w:pPr>
              <w:pStyle w:val="Tabletext"/>
              <w:rPr>
                <w:rFonts w:cs="Arial"/>
              </w:rPr>
            </w:pPr>
            <w:r w:rsidRPr="00F05153">
              <w:rPr>
                <w:rFonts w:cs="Arial"/>
              </w:rPr>
              <w:t>High</w:t>
            </w:r>
          </w:p>
          <w:p w:rsidR="00805885" w:rsidRPr="00F05153" w:rsidRDefault="00805885" w:rsidP="00805885">
            <w:pPr>
              <w:pStyle w:val="Tabletext"/>
              <w:rPr>
                <w:rFonts w:cs="Cambria Math"/>
                <w:bCs/>
              </w:rPr>
            </w:pPr>
            <w:r w:rsidRPr="00F05153">
              <w:rPr>
                <w:rFonts w:ascii="Cambria Math" w:hAnsi="Cambria Math" w:cs="Cambria Math"/>
                <w:bCs/>
                <w:color w:val="00B050"/>
              </w:rPr>
              <w:t>⨁⨁⨁⨁</w:t>
            </w:r>
          </w:p>
          <w:p w:rsidR="00805885" w:rsidRPr="00F05153" w:rsidRDefault="00805885" w:rsidP="00805885">
            <w:pPr>
              <w:pStyle w:val="Tabletext"/>
              <w:rPr>
                <w:rFonts w:cs="Arial"/>
              </w:rPr>
            </w:pPr>
            <w:r w:rsidRPr="00F05153">
              <w:rPr>
                <w:rFonts w:cs="Arial"/>
              </w:rPr>
              <w:t>Important</w:t>
            </w:r>
          </w:p>
        </w:tc>
      </w:tr>
      <w:tr w:rsidR="00805885" w:rsidRPr="00F05153" w:rsidTr="00805885">
        <w:tc>
          <w:tcPr>
            <w:tcW w:w="1560" w:type="dxa"/>
          </w:tcPr>
          <w:p w:rsidR="00805885" w:rsidRPr="00F05153" w:rsidRDefault="00805885" w:rsidP="00805885">
            <w:pPr>
              <w:pStyle w:val="Tabletext"/>
              <w:rPr>
                <w:rFonts w:cs="Arial"/>
              </w:rPr>
            </w:pPr>
            <w:r w:rsidRPr="00F05153">
              <w:rPr>
                <w:rFonts w:cs="Arial"/>
              </w:rPr>
              <w:t>Change in QoL from baseline</w:t>
            </w:r>
          </w:p>
        </w:tc>
        <w:tc>
          <w:tcPr>
            <w:tcW w:w="1275" w:type="dxa"/>
          </w:tcPr>
          <w:p w:rsidR="00805885" w:rsidRPr="00F05153" w:rsidRDefault="00805885" w:rsidP="00805885">
            <w:pPr>
              <w:pStyle w:val="Tabletext"/>
              <w:rPr>
                <w:rFonts w:cs="Arial"/>
              </w:rPr>
            </w:pPr>
            <w:r w:rsidRPr="00F05153">
              <w:rPr>
                <w:rFonts w:cs="Arial"/>
              </w:rPr>
              <w:t>N=1</w:t>
            </w:r>
            <w:r w:rsidR="0051596A" w:rsidRPr="00F05153">
              <w:rPr>
                <w:rFonts w:cs="Arial"/>
              </w:rPr>
              <w:t>20</w:t>
            </w:r>
          </w:p>
          <w:p w:rsidR="00805885" w:rsidRPr="00F05153" w:rsidRDefault="00805885" w:rsidP="00805885">
            <w:pPr>
              <w:pStyle w:val="Tabletext"/>
              <w:rPr>
                <w:rFonts w:cs="Arial"/>
              </w:rPr>
            </w:pPr>
            <w:r w:rsidRPr="00F05153">
              <w:rPr>
                <w:rFonts w:cs="Arial"/>
              </w:rPr>
              <w:t>k=1 RCT</w:t>
            </w:r>
          </w:p>
        </w:tc>
        <w:tc>
          <w:tcPr>
            <w:tcW w:w="1701" w:type="dxa"/>
          </w:tcPr>
          <w:p w:rsidR="00805885" w:rsidRPr="00F05153" w:rsidRDefault="00805885" w:rsidP="00805885">
            <w:pPr>
              <w:pStyle w:val="Tabletext"/>
              <w:rPr>
                <w:rFonts w:cs="Arial"/>
              </w:rPr>
            </w:pPr>
            <w:r w:rsidRPr="00F05153">
              <w:rPr>
                <w:rFonts w:cs="Arial"/>
              </w:rPr>
              <w:t>Risk of bias: 0</w:t>
            </w:r>
          </w:p>
          <w:p w:rsidR="00805885" w:rsidRPr="00F05153" w:rsidRDefault="00805885" w:rsidP="00805885">
            <w:pPr>
              <w:pStyle w:val="Tabletext"/>
              <w:rPr>
                <w:rFonts w:cs="Arial"/>
              </w:rPr>
            </w:pPr>
            <w:r w:rsidRPr="00F05153">
              <w:rPr>
                <w:rFonts w:cs="Arial"/>
              </w:rPr>
              <w:t>Inconsistency: 0</w:t>
            </w:r>
          </w:p>
          <w:p w:rsidR="00805885" w:rsidRPr="00F05153" w:rsidRDefault="00805885" w:rsidP="00805885">
            <w:pPr>
              <w:pStyle w:val="Tabletext"/>
              <w:rPr>
                <w:rFonts w:cs="Arial"/>
              </w:rPr>
            </w:pPr>
            <w:r w:rsidRPr="00F05153">
              <w:rPr>
                <w:rFonts w:cs="Arial"/>
              </w:rPr>
              <w:t>Indirectness: 0</w:t>
            </w:r>
          </w:p>
          <w:p w:rsidR="00805885" w:rsidRPr="00F05153" w:rsidRDefault="00805885" w:rsidP="00805885">
            <w:pPr>
              <w:pStyle w:val="Tabletext"/>
              <w:rPr>
                <w:rFonts w:cs="Arial"/>
              </w:rPr>
            </w:pPr>
            <w:r w:rsidRPr="00F05153">
              <w:rPr>
                <w:rFonts w:cs="Arial"/>
              </w:rPr>
              <w:t>Imprecision: 0</w:t>
            </w:r>
          </w:p>
          <w:p w:rsidR="00805885" w:rsidRPr="00F05153" w:rsidRDefault="00805885" w:rsidP="00805885">
            <w:pPr>
              <w:pStyle w:val="Tabletext"/>
              <w:rPr>
                <w:rFonts w:cs="Arial"/>
              </w:rPr>
            </w:pPr>
            <w:r w:rsidRPr="00F05153">
              <w:rPr>
                <w:rFonts w:cs="Arial"/>
              </w:rPr>
              <w:t>Publication bias: 0</w:t>
            </w:r>
          </w:p>
          <w:p w:rsidR="00805885" w:rsidRPr="00F05153" w:rsidRDefault="00805885" w:rsidP="00B47224">
            <w:pPr>
              <w:pStyle w:val="Tabletext"/>
              <w:rPr>
                <w:rFonts w:cs="Arial"/>
              </w:rPr>
            </w:pPr>
            <w:r w:rsidRPr="00F05153">
              <w:rPr>
                <w:rFonts w:cs="Arial"/>
              </w:rPr>
              <w:t xml:space="preserve">Association: </w:t>
            </w:r>
            <w:r w:rsidR="00B47224" w:rsidRPr="00F05153">
              <w:rPr>
                <w:rFonts w:cs="Arial"/>
              </w:rPr>
              <w:t>0</w:t>
            </w:r>
            <w:r w:rsidR="006D0484" w:rsidRPr="00F05153">
              <w:rPr>
                <w:rFonts w:cs="Arial"/>
              </w:rPr>
              <w:t xml:space="preserve"> to </w:t>
            </w:r>
            <w:r w:rsidRPr="00F05153">
              <w:rPr>
                <w:rFonts w:cs="Arial"/>
              </w:rPr>
              <w:t>+1</w:t>
            </w:r>
          </w:p>
        </w:tc>
        <w:tc>
          <w:tcPr>
            <w:tcW w:w="1413" w:type="dxa"/>
          </w:tcPr>
          <w:p w:rsidR="00805885" w:rsidRPr="002046A0" w:rsidRDefault="002046A0" w:rsidP="00805885">
            <w:pPr>
              <w:pStyle w:val="Tabletext"/>
              <w:rPr>
                <w:highlight w:val="black"/>
              </w:rPr>
            </w:pPr>
            <w:r>
              <w:rPr>
                <w:noProof/>
                <w:color w:val="000000"/>
                <w:highlight w:val="black"/>
              </w:rPr>
              <w:t>'''''''''''''''''''''</w:t>
            </w:r>
            <w:r>
              <w:rPr>
                <w:noProof/>
                <w:color w:val="000000"/>
                <w:highlight w:val="black"/>
              </w:rPr>
              <w:br/>
              <w:t>''''''''' '''''''''''' ''''''''''' '''''''''''''''''''''''''''''</w:t>
            </w:r>
          </w:p>
          <w:p w:rsidR="00805885" w:rsidRPr="002046A0" w:rsidRDefault="002046A0" w:rsidP="00805885">
            <w:pPr>
              <w:pStyle w:val="Tabletext"/>
              <w:rPr>
                <w:highlight w:val="black"/>
              </w:rPr>
            </w:pPr>
            <w:r>
              <w:rPr>
                <w:noProof/>
                <w:color w:val="000000"/>
                <w:highlight w:val="black"/>
              </w:rPr>
              <w:t>''''''''''''</w:t>
            </w:r>
            <w:r>
              <w:rPr>
                <w:noProof/>
                <w:color w:val="000000"/>
                <w:highlight w:val="black"/>
              </w:rPr>
              <w:br/>
              <w:t>''''''''' ''''''''''' ''''''''''' ''''''''''''''''''''''''''''''''</w:t>
            </w:r>
          </w:p>
        </w:tc>
        <w:tc>
          <w:tcPr>
            <w:tcW w:w="2551" w:type="dxa"/>
          </w:tcPr>
          <w:p w:rsidR="00805885" w:rsidRPr="002046A0" w:rsidRDefault="002046A0" w:rsidP="00805885">
            <w:pPr>
              <w:pStyle w:val="Tabletext"/>
              <w:rPr>
                <w:rFonts w:cs="Arial"/>
                <w:highlight w:val="black"/>
              </w:rPr>
            </w:pPr>
            <w:r>
              <w:rPr>
                <w:rFonts w:cs="Arial"/>
                <w:noProof/>
                <w:color w:val="000000"/>
                <w:highlight w:val="black"/>
              </w:rPr>
              <w:t>''''''''''''''''''''' ''''''' ''''''''''''''''''''''''''''''' ''''''''''''''''' ''''''''' ''' ''''''''''''' '''''''''''''' ''''''''''''''''''''''''''''''' ''''' '''''''''' ''''''''''' '''''''''' ''''''''''''' '''''' '''''''''''''''''''''''''''''' ''''''''''' '''''''''''''''''''''''' ''''' '''''''''''''''' ''''''''''''' ''''''''' '''''''''''''''''''' '''''''''''''''''''''</w:t>
            </w:r>
          </w:p>
        </w:tc>
        <w:tc>
          <w:tcPr>
            <w:tcW w:w="1134" w:type="dxa"/>
          </w:tcPr>
          <w:p w:rsidR="00805885" w:rsidRPr="00F05153" w:rsidRDefault="00805885" w:rsidP="00805885">
            <w:pPr>
              <w:pStyle w:val="Tabletext"/>
              <w:rPr>
                <w:rFonts w:cs="Arial"/>
              </w:rPr>
            </w:pPr>
            <w:r w:rsidRPr="00F05153">
              <w:rPr>
                <w:rFonts w:cs="Arial"/>
              </w:rPr>
              <w:t>High</w:t>
            </w:r>
          </w:p>
          <w:p w:rsidR="00805885" w:rsidRPr="00F05153" w:rsidRDefault="00805885" w:rsidP="00805885">
            <w:pPr>
              <w:pStyle w:val="Tabletext"/>
              <w:rPr>
                <w:rFonts w:cs="Cambria Math"/>
                <w:bCs/>
              </w:rPr>
            </w:pPr>
            <w:r w:rsidRPr="00F05153">
              <w:rPr>
                <w:rFonts w:ascii="Cambria Math" w:hAnsi="Cambria Math" w:cs="Cambria Math"/>
                <w:bCs/>
                <w:color w:val="00B050"/>
              </w:rPr>
              <w:t>⨁⨁⨁⨁</w:t>
            </w:r>
          </w:p>
          <w:p w:rsidR="00805885" w:rsidRPr="00F05153" w:rsidRDefault="00805885" w:rsidP="00805885">
            <w:pPr>
              <w:pStyle w:val="Tabletext"/>
              <w:rPr>
                <w:rFonts w:cs="Arial"/>
              </w:rPr>
            </w:pPr>
            <w:r w:rsidRPr="00F05153">
              <w:rPr>
                <w:rFonts w:cs="Arial"/>
              </w:rPr>
              <w:t>Important</w:t>
            </w:r>
          </w:p>
        </w:tc>
      </w:tr>
      <w:tr w:rsidR="0075777C" w:rsidRPr="006316DF" w:rsidTr="00805885">
        <w:tc>
          <w:tcPr>
            <w:tcW w:w="1560" w:type="dxa"/>
          </w:tcPr>
          <w:p w:rsidR="0075777C" w:rsidRPr="00F05153" w:rsidRDefault="0075777C" w:rsidP="00805885">
            <w:pPr>
              <w:pStyle w:val="Tabletext"/>
              <w:rPr>
                <w:rFonts w:cs="Arial"/>
              </w:rPr>
            </w:pPr>
            <w:r w:rsidRPr="00F05153">
              <w:rPr>
                <w:rFonts w:cs="Arial"/>
              </w:rPr>
              <w:t>Change in haemodynamic parameters from baseline</w:t>
            </w:r>
          </w:p>
        </w:tc>
        <w:tc>
          <w:tcPr>
            <w:tcW w:w="1275" w:type="dxa"/>
          </w:tcPr>
          <w:p w:rsidR="0075777C" w:rsidRPr="00F05153" w:rsidRDefault="0075777C" w:rsidP="00805885">
            <w:pPr>
              <w:pStyle w:val="Tabletext"/>
              <w:rPr>
                <w:rFonts w:cs="Arial"/>
              </w:rPr>
            </w:pPr>
            <w:r w:rsidRPr="00F05153">
              <w:rPr>
                <w:rFonts w:cs="Arial"/>
              </w:rPr>
              <w:t>N=1</w:t>
            </w:r>
            <w:r w:rsidR="0051596A" w:rsidRPr="00F05153">
              <w:rPr>
                <w:rFonts w:cs="Arial"/>
              </w:rPr>
              <w:t>03</w:t>
            </w:r>
          </w:p>
          <w:p w:rsidR="0075777C" w:rsidRPr="00F05153" w:rsidRDefault="0075777C" w:rsidP="00805885">
            <w:pPr>
              <w:pStyle w:val="Tabletext"/>
              <w:rPr>
                <w:rFonts w:cs="Arial"/>
              </w:rPr>
            </w:pPr>
            <w:r w:rsidRPr="00F05153">
              <w:rPr>
                <w:rFonts w:cs="Arial"/>
              </w:rPr>
              <w:t>k=1 RCT</w:t>
            </w:r>
          </w:p>
        </w:tc>
        <w:tc>
          <w:tcPr>
            <w:tcW w:w="1701" w:type="dxa"/>
          </w:tcPr>
          <w:p w:rsidR="0075777C" w:rsidRPr="00F05153" w:rsidRDefault="0075777C" w:rsidP="00805885">
            <w:pPr>
              <w:pStyle w:val="Tabletext"/>
              <w:rPr>
                <w:rFonts w:cs="Arial"/>
              </w:rPr>
            </w:pPr>
            <w:r w:rsidRPr="00F05153">
              <w:rPr>
                <w:rFonts w:cs="Arial"/>
              </w:rPr>
              <w:t>Risk of bias: 0</w:t>
            </w:r>
          </w:p>
          <w:p w:rsidR="0075777C" w:rsidRPr="00F05153" w:rsidRDefault="0075777C" w:rsidP="00805885">
            <w:pPr>
              <w:pStyle w:val="Tabletext"/>
              <w:rPr>
                <w:rFonts w:cs="Arial"/>
              </w:rPr>
            </w:pPr>
            <w:r w:rsidRPr="00F05153">
              <w:rPr>
                <w:rFonts w:cs="Arial"/>
              </w:rPr>
              <w:t>Inconsistency: 0</w:t>
            </w:r>
          </w:p>
          <w:p w:rsidR="0075777C" w:rsidRPr="00F05153" w:rsidRDefault="0075777C" w:rsidP="00805885">
            <w:pPr>
              <w:pStyle w:val="Tabletext"/>
              <w:rPr>
                <w:rFonts w:cs="Arial"/>
              </w:rPr>
            </w:pPr>
            <w:r w:rsidRPr="00F05153">
              <w:rPr>
                <w:rFonts w:cs="Arial"/>
              </w:rPr>
              <w:t xml:space="preserve">Indirectness: </w:t>
            </w:r>
            <w:r w:rsidR="00B47224" w:rsidRPr="00F05153">
              <w:rPr>
                <w:rFonts w:cs="Arial"/>
              </w:rPr>
              <w:t>−2</w:t>
            </w:r>
          </w:p>
          <w:p w:rsidR="0075777C" w:rsidRPr="00F05153" w:rsidRDefault="0075777C" w:rsidP="00805885">
            <w:pPr>
              <w:pStyle w:val="Tabletext"/>
              <w:rPr>
                <w:rFonts w:cs="Arial"/>
              </w:rPr>
            </w:pPr>
            <w:r w:rsidRPr="00F05153">
              <w:rPr>
                <w:rFonts w:cs="Arial"/>
              </w:rPr>
              <w:t>Imprecision: 0</w:t>
            </w:r>
          </w:p>
          <w:p w:rsidR="0075777C" w:rsidRPr="00F05153" w:rsidRDefault="0075777C" w:rsidP="00805885">
            <w:pPr>
              <w:pStyle w:val="Tabletext"/>
              <w:rPr>
                <w:rFonts w:cs="Arial"/>
              </w:rPr>
            </w:pPr>
            <w:r w:rsidRPr="00F05153">
              <w:rPr>
                <w:rFonts w:cs="Arial"/>
              </w:rPr>
              <w:t>Publication bias: 0</w:t>
            </w:r>
          </w:p>
          <w:p w:rsidR="0075777C" w:rsidRPr="00F05153" w:rsidRDefault="0075777C" w:rsidP="00805885">
            <w:pPr>
              <w:pStyle w:val="Tabletext"/>
              <w:rPr>
                <w:rFonts w:cs="Arial"/>
              </w:rPr>
            </w:pPr>
            <w:r w:rsidRPr="00F05153">
              <w:rPr>
                <w:rFonts w:cs="Arial"/>
              </w:rPr>
              <w:t>Association: +1</w:t>
            </w:r>
          </w:p>
        </w:tc>
        <w:tc>
          <w:tcPr>
            <w:tcW w:w="1413" w:type="dxa"/>
          </w:tcPr>
          <w:p w:rsidR="0075777C" w:rsidRPr="002046A0" w:rsidRDefault="002046A0" w:rsidP="00805885">
            <w:pPr>
              <w:pStyle w:val="Tabletext"/>
              <w:rPr>
                <w:highlight w:val="black"/>
              </w:rPr>
            </w:pPr>
            <w:r>
              <w:rPr>
                <w:noProof/>
                <w:color w:val="000000"/>
                <w:highlight w:val="black"/>
              </w:rPr>
              <w:t>''''''''''''</w:t>
            </w:r>
            <w:r>
              <w:rPr>
                <w:noProof/>
                <w:color w:val="000000"/>
                <w:highlight w:val="black"/>
              </w:rPr>
              <w:br/>
              <w:t>'''''''' ''' ''''''''''''''' '''''''''''''''''''''''''''''''</w:t>
            </w:r>
          </w:p>
        </w:tc>
        <w:tc>
          <w:tcPr>
            <w:tcW w:w="2551" w:type="dxa"/>
          </w:tcPr>
          <w:p w:rsidR="0075777C" w:rsidRPr="002046A0" w:rsidRDefault="002046A0" w:rsidP="00805885">
            <w:pPr>
              <w:pStyle w:val="Tabletext"/>
              <w:rPr>
                <w:rFonts w:cs="Arial"/>
                <w:highlight w:val="black"/>
              </w:rPr>
            </w:pPr>
            <w:r>
              <w:rPr>
                <w:rFonts w:cs="Arial"/>
                <w:noProof/>
                <w:color w:val="000000"/>
                <w:highlight w:val="black"/>
              </w:rPr>
              <w:t>'''''''''''''''''' '''''' '''''''''''''''''''''''''''''' '''''''''''''''''' ''''''''' ''' ''''''''''''''''' ''''''''''''''''''' '''''''''''''''''''''''' ''''''''''''' ''''''''''''''''''''''''''''''' ''''' ''''''''''' '''''''''''''''''''''''''''''''''''' ''''''''''''''''''''''''' ''''''''''' '''''''''''''' '''''' '''''''''''''''''''''''''''''</w:t>
            </w:r>
          </w:p>
        </w:tc>
        <w:tc>
          <w:tcPr>
            <w:tcW w:w="1134" w:type="dxa"/>
          </w:tcPr>
          <w:p w:rsidR="0075777C" w:rsidRPr="00F05153" w:rsidRDefault="00B47224" w:rsidP="00805885">
            <w:pPr>
              <w:pStyle w:val="Tabletext"/>
              <w:rPr>
                <w:rFonts w:cs="Arial"/>
              </w:rPr>
            </w:pPr>
            <w:r w:rsidRPr="00F05153">
              <w:rPr>
                <w:rFonts w:cs="Arial"/>
              </w:rPr>
              <w:t>Moderate</w:t>
            </w:r>
          </w:p>
          <w:p w:rsidR="0075777C" w:rsidRPr="00F05153" w:rsidRDefault="0075777C" w:rsidP="00805885">
            <w:pPr>
              <w:pStyle w:val="Tabletext"/>
              <w:rPr>
                <w:rFonts w:cs="Cambria Math"/>
                <w:bCs/>
              </w:rPr>
            </w:pPr>
            <w:r w:rsidRPr="00F05153">
              <w:rPr>
                <w:rFonts w:ascii="Cambria Math" w:hAnsi="Cambria Math" w:cs="Cambria Math"/>
                <w:bCs/>
                <w:color w:val="00B050"/>
              </w:rPr>
              <w:t>⨁⨁⨁</w:t>
            </w:r>
            <w:r w:rsidR="00B47224" w:rsidRPr="00F05153">
              <w:rPr>
                <w:rFonts w:ascii="Cambria Math" w:hAnsi="Cambria Math" w:cs="Cambria Math"/>
                <w:color w:val="C00000"/>
              </w:rPr>
              <w:t>⨀</w:t>
            </w:r>
          </w:p>
          <w:p w:rsidR="0075777C" w:rsidRPr="006316DF" w:rsidRDefault="0075777C" w:rsidP="00805885">
            <w:pPr>
              <w:pStyle w:val="Tabletext"/>
              <w:rPr>
                <w:rFonts w:cs="Arial"/>
              </w:rPr>
            </w:pPr>
            <w:r w:rsidRPr="00F05153">
              <w:rPr>
                <w:rFonts w:cs="Arial"/>
              </w:rPr>
              <w:t>Not important</w:t>
            </w:r>
          </w:p>
        </w:tc>
      </w:tr>
    </w:tbl>
    <w:p w:rsidR="0075777C" w:rsidRPr="006316DF" w:rsidRDefault="0075777C" w:rsidP="00805885">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0211A3" w:rsidRDefault="000211A3" w:rsidP="000211A3">
      <w:pPr>
        <w:pStyle w:val="Tablenote"/>
      </w:pPr>
      <w:proofErr w:type="gramStart"/>
      <w:r>
        <w:rPr>
          <w:vertAlign w:val="superscript"/>
        </w:rPr>
        <w:t>b</w:t>
      </w:r>
      <w:proofErr w:type="gramEnd"/>
      <w:r>
        <w:rPr>
          <w:vertAlign w:val="superscript"/>
        </w:rPr>
        <w:t xml:space="preserve"> </w:t>
      </w:r>
      <w:r>
        <w:t xml:space="preserve">EQ-5D utility scores range from </w:t>
      </w:r>
      <w:r w:rsidRPr="00C569DB">
        <w:t>−</w:t>
      </w:r>
      <w:r>
        <w:t>0.59 to 1.00. A higher score represents better QoL.</w:t>
      </w:r>
    </w:p>
    <w:p w:rsidR="000211A3" w:rsidRDefault="000211A3" w:rsidP="000211A3">
      <w:pPr>
        <w:pStyle w:val="Tablenote"/>
      </w:pPr>
      <w:proofErr w:type="gramStart"/>
      <w:r>
        <w:rPr>
          <w:vertAlign w:val="superscript"/>
        </w:rPr>
        <w:t>c</w:t>
      </w:r>
      <w:proofErr w:type="gramEnd"/>
      <w:r>
        <w:rPr>
          <w:vertAlign w:val="superscript"/>
        </w:rPr>
        <w:t xml:space="preserve"> </w:t>
      </w:r>
      <w:r>
        <w:t>LPH total scores range from 0 to 105. A higher score indicates poorer QoL.</w:t>
      </w:r>
    </w:p>
    <w:p w:rsidR="0075777C" w:rsidRDefault="0075777C" w:rsidP="00805885">
      <w:pPr>
        <w:pStyle w:val="Tablenote"/>
      </w:pPr>
      <w:r w:rsidRPr="006316DF">
        <w:rPr>
          <w:rFonts w:ascii="Cambria Math" w:hAnsi="Cambria Math" w:cs="Cambria Math"/>
          <w:color w:val="00B050"/>
        </w:rPr>
        <w:t>⨁⨁⨁⨁</w:t>
      </w:r>
      <w:r w:rsidRPr="006316DF">
        <w:rPr>
          <w:color w:val="00B050"/>
        </w:rPr>
        <w:t xml:space="preserve"> </w:t>
      </w:r>
      <w:r w:rsidRPr="006316DF">
        <w:rPr>
          <w:b/>
        </w:rPr>
        <w:t>High quality:</w:t>
      </w:r>
      <w:r w:rsidRPr="006316DF">
        <w:t xml:space="preserve"> We are very confident that the true effect lies close to that of the estimate of effect</w:t>
      </w:r>
    </w:p>
    <w:p w:rsidR="0075777C" w:rsidRPr="006316DF" w:rsidRDefault="0075777C" w:rsidP="00805885">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7446CB" w:rsidRDefault="0075777C" w:rsidP="00805885">
      <w:pPr>
        <w:pStyle w:val="Tablenote"/>
      </w:pPr>
      <w:proofErr w:type="gramStart"/>
      <w:r>
        <w:t xml:space="preserve">6MWD = 6-minute </w:t>
      </w:r>
      <w:r w:rsidR="0082368E">
        <w:t>walk distance</w:t>
      </w:r>
      <w:r w:rsidR="00B21201">
        <w:t>; ARD</w:t>
      </w:r>
      <w:r>
        <w:t xml:space="preserve"> = absolute risk </w:t>
      </w:r>
      <w:r w:rsidR="00B21201">
        <w:t>difference</w:t>
      </w:r>
      <w:r>
        <w:t>; CI = confidence interval; EQ-5D = EuroQual 5 dimension;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146880" w:rsidRPr="00F24B06">
        <w:t xml:space="preserve">; k = number of studies; </w:t>
      </w:r>
      <w:r>
        <w:t xml:space="preserve">MD = mean difference; N = number of patients;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xml:space="preserve">; QoL = quality of life; RCT = randomised controlled trial; RR = relative risk; </w:t>
      </w:r>
      <w:r w:rsidRPr="006C6F7B">
        <w:t xml:space="preserve">sGC = soluble guanylate cyclase; </w:t>
      </w:r>
      <w:r>
        <w:t>WHO = World Health Organization</w:t>
      </w:r>
      <w:proofErr w:type="gramEnd"/>
    </w:p>
    <w:p w:rsidR="0075777C" w:rsidRPr="006316DF" w:rsidRDefault="0075777C" w:rsidP="0075777C">
      <w:pPr>
        <w:pStyle w:val="Heading5"/>
      </w:pPr>
      <w:r w:rsidRPr="006316DF">
        <w:t>Safety</w:t>
      </w:r>
    </w:p>
    <w:p w:rsidR="0075777C" w:rsidRDefault="00457FA6" w:rsidP="0075777C">
      <w:r w:rsidRPr="00457FA6">
        <w:t xml:space="preserve">No conclusions about the comparative safety of a sGC stimulator in addition to an ERA, relative to ERA monotherapy in </w:t>
      </w:r>
      <w:r>
        <w:t xml:space="preserve">PAH </w:t>
      </w:r>
      <w:r w:rsidRPr="00457FA6">
        <w:t xml:space="preserve">patients </w:t>
      </w:r>
      <w:proofErr w:type="gramStart"/>
      <w:r w:rsidRPr="00457FA6">
        <w:t>could be made</w:t>
      </w:r>
      <w:proofErr w:type="gramEnd"/>
      <w:r w:rsidRPr="00457FA6">
        <w:t xml:space="preserve"> due to a lack of evidence.</w:t>
      </w:r>
    </w:p>
    <w:p w:rsidR="0075777C" w:rsidRPr="006316DF" w:rsidRDefault="000E0079" w:rsidP="0075777C">
      <w:pPr>
        <w:pStyle w:val="Heading4"/>
      </w:pPr>
      <w:r>
        <w:t>4.5.3.7</w:t>
      </w:r>
      <w:r>
        <w:tab/>
      </w:r>
      <w:proofErr w:type="gramStart"/>
      <w:r w:rsidR="0075777C" w:rsidRPr="0006289E">
        <w:t>sGC</w:t>
      </w:r>
      <w:proofErr w:type="gramEnd"/>
      <w:r w:rsidR="0075777C" w:rsidRPr="0006289E">
        <w:t xml:space="preserve"> stimulator in addition to PDE-5 inhibitor</w:t>
      </w:r>
    </w:p>
    <w:p w:rsidR="0075777C" w:rsidRPr="00107676" w:rsidRDefault="0075777C" w:rsidP="0075777C">
      <w:pPr>
        <w:pStyle w:val="Heading5"/>
      </w:pPr>
      <w:r w:rsidRPr="00107676">
        <w:t>Clinical effectiveness</w:t>
      </w:r>
    </w:p>
    <w:p w:rsidR="0075777C" w:rsidRDefault="0075777C" w:rsidP="0075777C">
      <w:r>
        <w:t xml:space="preserve">The RCT that provided the evidence base for </w:t>
      </w:r>
      <w:r w:rsidRPr="000522D6">
        <w:t xml:space="preserve">comparing </w:t>
      </w:r>
      <w:r>
        <w:t xml:space="preserve">the effectiveness of </w:t>
      </w:r>
      <w:r w:rsidRPr="000522D6">
        <w:t xml:space="preserve">a </w:t>
      </w:r>
      <w:r w:rsidRPr="001A61AD">
        <w:t xml:space="preserve">sGC stimulator </w:t>
      </w:r>
      <w:r w:rsidRPr="000522D6">
        <w:t xml:space="preserve">in addition to </w:t>
      </w:r>
      <w:r>
        <w:t xml:space="preserve">a </w:t>
      </w:r>
      <w:r w:rsidRPr="00A14F28">
        <w:t xml:space="preserve">PDE-5 inhibitor </w:t>
      </w:r>
      <w:r>
        <w:t>compared with</w:t>
      </w:r>
      <w:r w:rsidRPr="000522D6">
        <w:t xml:space="preserve"> </w:t>
      </w:r>
      <w:r w:rsidRPr="00A14F28">
        <w:t xml:space="preserve">PDE-5 inhibitor </w:t>
      </w:r>
      <w:r w:rsidRPr="000522D6">
        <w:t>monotherapy</w:t>
      </w:r>
      <w:r>
        <w:t xml:space="preserve"> enrolled patients receiving stable </w:t>
      </w:r>
      <w:r w:rsidRPr="00B73C5B">
        <w:t>PDE-5 inhibitor</w:t>
      </w:r>
      <w:r w:rsidRPr="004F7ADF">
        <w:t xml:space="preserve"> </w:t>
      </w:r>
      <w:r>
        <w:t>t</w:t>
      </w:r>
      <w:r w:rsidRPr="004F7ADF">
        <w:t>herapy</w:t>
      </w:r>
      <w:r>
        <w:t xml:space="preserve"> </w:t>
      </w:r>
      <w:r w:rsidRPr="001A61AD">
        <w:t>(sequential combination therapy).</w:t>
      </w:r>
      <w:r>
        <w:t xml:space="preserve"> No WHO FC or PAH aetiology subgroup analysis was undertaken.</w:t>
      </w:r>
    </w:p>
    <w:p w:rsidR="0075777C" w:rsidRPr="00920393"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the outcomes when comparing </w:t>
      </w:r>
      <w:r>
        <w:t xml:space="preserve">a </w:t>
      </w:r>
      <w:r w:rsidRPr="00944958">
        <w:t xml:space="preserve">sGC stimulator in addition to </w:t>
      </w:r>
      <w:r>
        <w:t xml:space="preserve">a </w:t>
      </w:r>
      <w:r w:rsidRPr="00944958">
        <w:t xml:space="preserve">PDE-5 inhibitor, relative to PDE-5 inhibitor monotherapy </w:t>
      </w:r>
      <w:proofErr w:type="gramStart"/>
      <w:r w:rsidRPr="006316DF">
        <w:t>are reported</w:t>
      </w:r>
      <w:proofErr w:type="gramEnd"/>
      <w:r w:rsidRPr="006316DF">
        <w:t xml:space="preserve"> in </w:t>
      </w:r>
      <w:r w:rsidR="003951FA">
        <w:t>Table 4.</w:t>
      </w:r>
      <w:r w:rsidR="003951FA">
        <w:rPr>
          <w:noProof/>
        </w:rPr>
        <w:t>167</w:t>
      </w:r>
      <w:r w:rsidR="00FD5A29">
        <w:t xml:space="preserve"> </w:t>
      </w:r>
      <w:r w:rsidRPr="006316DF">
        <w:t xml:space="preserve">in Appendix </w:t>
      </w:r>
      <w:r w:rsidR="00DA2636">
        <w:t>4</w:t>
      </w:r>
      <w:r w:rsidR="001B552D">
        <w:t>C</w:t>
      </w:r>
      <w:r w:rsidRPr="006316DF">
        <w:t xml:space="preserve">. A summary of these results </w:t>
      </w:r>
      <w:proofErr w:type="gramStart"/>
      <w:r w:rsidRPr="006316DF">
        <w:t>is provided</w:t>
      </w:r>
      <w:proofErr w:type="gramEnd"/>
      <w:r w:rsidRPr="006316DF">
        <w:t xml:space="preserve"> in</w:t>
      </w:r>
      <w:r w:rsidR="003F6AC4">
        <w:t xml:space="preserve"> Table 4.120</w:t>
      </w:r>
      <w:r w:rsidRPr="006316DF">
        <w:t xml:space="preserve">. The evidence base for </w:t>
      </w:r>
      <w:r w:rsidR="00585084">
        <w:t>all</w:t>
      </w:r>
      <w:r w:rsidRPr="006316DF">
        <w:t xml:space="preserve"> outcomes </w:t>
      </w:r>
      <w:proofErr w:type="gramStart"/>
      <w:r w:rsidRPr="006316DF">
        <w:t>w</w:t>
      </w:r>
      <w:r w:rsidR="00585084">
        <w:t>ere</w:t>
      </w:r>
      <w:r w:rsidRPr="006316DF">
        <w:t xml:space="preserve"> considered</w:t>
      </w:r>
      <w:proofErr w:type="gramEnd"/>
      <w:r w:rsidRPr="006316DF">
        <w:t xml:space="preserve"> to be of </w:t>
      </w:r>
      <w:r w:rsidR="00585084">
        <w:t>low</w:t>
      </w:r>
      <w:r w:rsidRPr="006316DF">
        <w:t xml:space="preserve"> quality (GRADE </w:t>
      </w:r>
      <w:r w:rsidRPr="00920393">
        <w:rPr>
          <w:rFonts w:ascii="Cambria Math" w:eastAsia="Times New Roman" w:hAnsi="Cambria Math" w:cs="Tahoma"/>
          <w:bCs/>
          <w:color w:val="00B050"/>
        </w:rPr>
        <w:t>⨁⨁</w:t>
      </w:r>
      <w:r w:rsidR="00585084" w:rsidRPr="00920393">
        <w:rPr>
          <w:rFonts w:ascii="Cambria Math" w:eastAsia="Times New Roman" w:hAnsi="Cambria Math" w:cs="Cambria Math"/>
          <w:bCs/>
          <w:color w:val="C00000"/>
        </w:rPr>
        <w:t>⨀⨀</w:t>
      </w:r>
      <w:r w:rsidRPr="00920393">
        <w:t>)</w:t>
      </w:r>
      <w:r w:rsidR="00585084">
        <w:t>, except for change in 6MWD, which</w:t>
      </w:r>
      <w:r w:rsidRPr="00920393">
        <w:t xml:space="preserve"> was considered to be</w:t>
      </w:r>
      <w:r w:rsidRPr="006316DF">
        <w:t xml:space="preserve"> of </w:t>
      </w:r>
      <w:r w:rsidR="00585084">
        <w:t>very low</w:t>
      </w:r>
      <w:r w:rsidRPr="006316DF">
        <w:t xml:space="preserve"> quality (GRADE </w:t>
      </w:r>
      <w:r w:rsidRPr="00920393">
        <w:rPr>
          <w:rFonts w:ascii="Cambria Math" w:eastAsia="Times New Roman" w:hAnsi="Cambria Math" w:cs="Tahoma"/>
          <w:bCs/>
          <w:color w:val="00B050"/>
        </w:rPr>
        <w:t>⨁</w:t>
      </w:r>
      <w:r w:rsidR="00585084" w:rsidRPr="00920393">
        <w:rPr>
          <w:rFonts w:ascii="Cambria Math" w:eastAsia="Times New Roman" w:hAnsi="Cambria Math" w:cs="Cambria Math"/>
          <w:bCs/>
          <w:color w:val="C00000"/>
        </w:rPr>
        <w:t>⨀⨀</w:t>
      </w:r>
      <w:r w:rsidRPr="00920393">
        <w:rPr>
          <w:rFonts w:ascii="Cambria Math" w:eastAsia="Times New Roman" w:hAnsi="Cambria Math" w:cs="Cambria Math"/>
          <w:bCs/>
          <w:color w:val="C00000"/>
        </w:rPr>
        <w:t>⨀</w:t>
      </w:r>
      <w:r w:rsidRPr="00920393">
        <w:t xml:space="preserve">). Thus, the true effect of treating PAH with a sGC stimulator in addition to a PDE-5 inhibitor, relative to PDE-5 inhibitor monotherapy </w:t>
      </w:r>
      <w:r w:rsidR="00B3296A">
        <w:t>is likely to</w:t>
      </w:r>
      <w:r w:rsidR="00B3296A" w:rsidRPr="00B3296A">
        <w:t xml:space="preserve"> be substantially different from the estimate of the effect</w:t>
      </w:r>
      <w:r w:rsidR="00B3296A">
        <w:t>.</w:t>
      </w:r>
    </w:p>
    <w:p w:rsidR="0075777C" w:rsidRPr="006316DF" w:rsidRDefault="0075777C" w:rsidP="0075777C">
      <w:r w:rsidRPr="006316DF">
        <w:t xml:space="preserve">When taking </w:t>
      </w:r>
      <w:r>
        <w:t>the whole body of evidence</w:t>
      </w:r>
      <w:r w:rsidRPr="006316DF">
        <w:t xml:space="preserve"> into account, </w:t>
      </w:r>
      <w:r w:rsidR="00B3296A">
        <w:t>fewer</w:t>
      </w:r>
      <w:r w:rsidRPr="006316DF">
        <w:t xml:space="preserve"> patients </w:t>
      </w:r>
      <w:r>
        <w:t>on combination therapy</w:t>
      </w:r>
      <w:r w:rsidRPr="006316DF">
        <w:t xml:space="preserve"> </w:t>
      </w:r>
      <w:r w:rsidR="00B3296A">
        <w:t xml:space="preserve">improved their WHO FC </w:t>
      </w:r>
      <w:r w:rsidRPr="006316DF">
        <w:t xml:space="preserve">compared with </w:t>
      </w:r>
      <w:r>
        <w:t>monotherapy</w:t>
      </w:r>
      <w:r w:rsidR="00B3296A">
        <w:t>.</w:t>
      </w:r>
      <w:r w:rsidRPr="006316DF">
        <w:t xml:space="preserve"> </w:t>
      </w:r>
      <w:r w:rsidR="00B3296A">
        <w:t xml:space="preserve">Patients on combination therapy also </w:t>
      </w:r>
      <w:r w:rsidR="00B3296A" w:rsidRPr="00B3296A">
        <w:t>had a smaller mean improvement in their 6MWD than those on monotherapy</w:t>
      </w:r>
      <w:r w:rsidR="00B3296A">
        <w:t xml:space="preserve">. The difference in mortality and worsening of WHO FC between the two treatment arms could not be determined as no patients had these outcomes during the study period. </w:t>
      </w:r>
      <w:r w:rsidRPr="006316DF">
        <w:t xml:space="preserve">Additionally, given </w:t>
      </w:r>
      <w:r>
        <w:t>the small study size</w:t>
      </w:r>
      <w:r w:rsidRPr="006316DF">
        <w:t>, it is likely that the RCT were underpowered to detect a true difference for these outcomes.</w:t>
      </w:r>
    </w:p>
    <w:p w:rsidR="0075777C" w:rsidRDefault="0075777C" w:rsidP="0075777C">
      <w:r w:rsidRPr="006316DF">
        <w:t xml:space="preserve">Thus, </w:t>
      </w:r>
      <w:r w:rsidRPr="00944958">
        <w:t xml:space="preserve">there is </w:t>
      </w:r>
      <w:r w:rsidR="00F9316D">
        <w:t>insufficient</w:t>
      </w:r>
      <w:r w:rsidRPr="00944958">
        <w:t xml:space="preserve"> evidence</w:t>
      </w:r>
      <w:r w:rsidRPr="000522D6">
        <w:t xml:space="preserve"> </w:t>
      </w:r>
      <w:r w:rsidR="00F9316D">
        <w:t>to determine</w:t>
      </w:r>
      <w:r w:rsidRPr="000522D6">
        <w:t xml:space="preserve"> whether </w:t>
      </w:r>
      <w:r w:rsidRPr="006316DF">
        <w:t xml:space="preserve">use of a </w:t>
      </w:r>
      <w:r w:rsidRPr="00DC1C45">
        <w:t>sGC stimulator</w:t>
      </w:r>
      <w:r w:rsidRPr="00D00AC2">
        <w:t xml:space="preserve"> in addition to a </w:t>
      </w:r>
      <w:r w:rsidRPr="00944958">
        <w:t>PDE-5 inhibitor</w:t>
      </w:r>
      <w:r w:rsidRPr="000522D6">
        <w:t xml:space="preserve">, relative to </w:t>
      </w:r>
      <w:r w:rsidRPr="00944958">
        <w:t xml:space="preserve">PDE-5 inhibitor </w:t>
      </w:r>
      <w:r w:rsidRPr="000522D6">
        <w:t xml:space="preserve">monotherapy </w:t>
      </w:r>
      <w:r w:rsidRPr="006316DF">
        <w:t xml:space="preserve">to treat </w:t>
      </w:r>
      <w:r>
        <w:t xml:space="preserve">PAH patients </w:t>
      </w:r>
      <w:r w:rsidR="002856B6">
        <w:t>is likely to be beneficial.</w:t>
      </w:r>
    </w:p>
    <w:p w:rsidR="00A73209" w:rsidRDefault="00A73209">
      <w:pPr>
        <w:spacing w:before="0" w:line="240" w:lineRule="auto"/>
        <w:rPr>
          <w:b/>
          <w:iCs/>
          <w:szCs w:val="18"/>
        </w:rPr>
      </w:pPr>
      <w:bookmarkStart w:id="389" w:name="_Toc38360438"/>
      <w:r>
        <w:br w:type="page"/>
      </w:r>
    </w:p>
    <w:p w:rsidR="0075777C" w:rsidRPr="006316DF" w:rsidRDefault="00272F8F" w:rsidP="00BC5A2B">
      <w:pPr>
        <w:pStyle w:val="Caption"/>
      </w:pPr>
      <w:r>
        <w:t>Table 4.</w:t>
      </w:r>
      <w:r w:rsidR="003951FA">
        <w:rPr>
          <w:noProof/>
        </w:rPr>
        <w:t>141</w:t>
      </w:r>
      <w:r w:rsidR="00805885">
        <w:tab/>
      </w:r>
      <w:r w:rsidR="0075777C" w:rsidRPr="006316DF">
        <w:t xml:space="preserve">Balance of clinical benefits of </w:t>
      </w:r>
      <w:r w:rsidR="001B552D">
        <w:t xml:space="preserve">a </w:t>
      </w:r>
      <w:r w:rsidR="0075777C" w:rsidRPr="0006289E">
        <w:t xml:space="preserve">sGC stimulator in addition to </w:t>
      </w:r>
      <w:r w:rsidR="001B552D">
        <w:t xml:space="preserve">a </w:t>
      </w:r>
      <w:r w:rsidR="0075777C" w:rsidRPr="0006289E">
        <w:t>PDE-5 inhibitor</w:t>
      </w:r>
      <w:r w:rsidR="0075777C" w:rsidRPr="006316DF">
        <w:t xml:space="preserve">, relative to </w:t>
      </w:r>
      <w:r w:rsidR="0075777C" w:rsidRPr="0006289E">
        <w:t xml:space="preserve">PDE-5 inhibitor </w:t>
      </w:r>
      <w:r w:rsidR="0075777C">
        <w:t>monotherapy in all PAH patients</w:t>
      </w:r>
      <w:bookmarkEnd w:id="389"/>
    </w:p>
    <w:tbl>
      <w:tblPr>
        <w:tblStyle w:val="TableGrid"/>
        <w:tblW w:w="9634" w:type="dxa"/>
        <w:tblLayout w:type="fixed"/>
        <w:tblLook w:val="04A0" w:firstRow="1" w:lastRow="0" w:firstColumn="1" w:lastColumn="0" w:noHBand="0" w:noVBand="1"/>
        <w:tblCaption w:val="Balance of clinical benefits of a sGC stimulator in addition to a PDE-5 inhibitor, relative to PDE-5 inhibitor monotherapy in all PAH patients"/>
      </w:tblPr>
      <w:tblGrid>
        <w:gridCol w:w="1560"/>
        <w:gridCol w:w="1275"/>
        <w:gridCol w:w="1701"/>
        <w:gridCol w:w="1413"/>
        <w:gridCol w:w="2551"/>
        <w:gridCol w:w="1134"/>
      </w:tblGrid>
      <w:tr w:rsidR="0075777C" w:rsidRPr="00805885" w:rsidTr="00B14FF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805885" w:rsidRDefault="0075777C" w:rsidP="00805885">
            <w:pPr>
              <w:pStyle w:val="Tabletext"/>
              <w:rPr>
                <w:b/>
                <w:noProof/>
              </w:rPr>
            </w:pPr>
            <w:r w:rsidRPr="00805885">
              <w:rPr>
                <w:b/>
                <w:noProof/>
              </w:rPr>
              <w:t xml:space="preserve">Outcomes </w:t>
            </w:r>
          </w:p>
        </w:tc>
        <w:tc>
          <w:tcPr>
            <w:tcW w:w="1275" w:type="dxa"/>
          </w:tcPr>
          <w:p w:rsidR="0075777C" w:rsidRPr="00805885" w:rsidRDefault="0075777C" w:rsidP="00805885">
            <w:pPr>
              <w:pStyle w:val="Tabletext"/>
              <w:rPr>
                <w:b/>
                <w:noProof/>
              </w:rPr>
            </w:pPr>
            <w:r w:rsidRPr="00805885">
              <w:rPr>
                <w:b/>
                <w:noProof/>
              </w:rPr>
              <w:t>Participants (studies)</w:t>
            </w:r>
          </w:p>
        </w:tc>
        <w:tc>
          <w:tcPr>
            <w:tcW w:w="1701" w:type="dxa"/>
          </w:tcPr>
          <w:p w:rsidR="0075777C" w:rsidRPr="00805885" w:rsidRDefault="0075777C" w:rsidP="00805885">
            <w:pPr>
              <w:pStyle w:val="Tabletext"/>
              <w:rPr>
                <w:b/>
                <w:noProof/>
              </w:rPr>
            </w:pPr>
            <w:r w:rsidRPr="00805885">
              <w:rPr>
                <w:b/>
                <w:noProof/>
              </w:rPr>
              <w:t>Quality of evidence</w:t>
            </w:r>
          </w:p>
        </w:tc>
        <w:tc>
          <w:tcPr>
            <w:tcW w:w="1413" w:type="dxa"/>
          </w:tcPr>
          <w:p w:rsidR="0075777C" w:rsidRPr="00805885" w:rsidRDefault="0075777C" w:rsidP="00805885">
            <w:pPr>
              <w:pStyle w:val="Tabletext"/>
              <w:rPr>
                <w:b/>
                <w:noProof/>
              </w:rPr>
            </w:pPr>
            <w:r w:rsidRPr="00805885">
              <w:rPr>
                <w:b/>
                <w:noProof/>
              </w:rPr>
              <w:t>Results</w:t>
            </w:r>
          </w:p>
        </w:tc>
        <w:tc>
          <w:tcPr>
            <w:tcW w:w="2551" w:type="dxa"/>
          </w:tcPr>
          <w:p w:rsidR="0075777C" w:rsidRPr="00805885" w:rsidRDefault="0075777C" w:rsidP="00805885">
            <w:pPr>
              <w:pStyle w:val="Tabletext"/>
              <w:rPr>
                <w:b/>
                <w:noProof/>
              </w:rPr>
            </w:pPr>
            <w:r w:rsidRPr="00805885">
              <w:rPr>
                <w:b/>
                <w:noProof/>
              </w:rPr>
              <w:t>Interpretation</w:t>
            </w:r>
          </w:p>
        </w:tc>
        <w:tc>
          <w:tcPr>
            <w:tcW w:w="1134" w:type="dxa"/>
          </w:tcPr>
          <w:p w:rsidR="0075777C" w:rsidRPr="00805885" w:rsidRDefault="0075777C" w:rsidP="00805885">
            <w:pPr>
              <w:pStyle w:val="Tabletext"/>
              <w:rPr>
                <w:b/>
                <w:noProof/>
              </w:rPr>
            </w:pPr>
            <w:r w:rsidRPr="00805885">
              <w:rPr>
                <w:b/>
                <w:noProof/>
              </w:rPr>
              <w:t>GRADE</w:t>
            </w:r>
            <w:r w:rsidR="00146880" w:rsidRPr="00146880">
              <w:rPr>
                <w:b/>
                <w:noProof/>
                <w:vertAlign w:val="superscript"/>
              </w:rPr>
              <w:t>a</w:t>
            </w:r>
          </w:p>
          <w:p w:rsidR="0075777C" w:rsidRPr="00805885" w:rsidRDefault="0075777C" w:rsidP="00805885">
            <w:pPr>
              <w:pStyle w:val="Tabletext"/>
              <w:rPr>
                <w:b/>
                <w:noProof/>
              </w:rPr>
            </w:pPr>
            <w:r w:rsidRPr="00805885">
              <w:rPr>
                <w:b/>
                <w:noProof/>
              </w:rPr>
              <w:t>Importance</w:t>
            </w:r>
          </w:p>
        </w:tc>
      </w:tr>
      <w:tr w:rsidR="00BD512F" w:rsidRPr="006316DF" w:rsidTr="00B14FF5">
        <w:tc>
          <w:tcPr>
            <w:tcW w:w="1560" w:type="dxa"/>
          </w:tcPr>
          <w:p w:rsidR="00BD512F" w:rsidRPr="006316DF" w:rsidRDefault="00BD512F" w:rsidP="00BD512F">
            <w:pPr>
              <w:pStyle w:val="Tabletext"/>
              <w:rPr>
                <w:rFonts w:cs="Arial"/>
              </w:rPr>
            </w:pPr>
            <w:r w:rsidRPr="006316DF">
              <w:rPr>
                <w:rFonts w:cs="Arial"/>
              </w:rPr>
              <w:t>All-cause mortality</w:t>
            </w:r>
          </w:p>
        </w:tc>
        <w:tc>
          <w:tcPr>
            <w:tcW w:w="1275" w:type="dxa"/>
          </w:tcPr>
          <w:p w:rsidR="00BD512F" w:rsidRPr="006316DF" w:rsidRDefault="00BD512F" w:rsidP="00BD512F">
            <w:pPr>
              <w:pStyle w:val="Tabletext"/>
              <w:rPr>
                <w:rFonts w:cs="Arial"/>
              </w:rPr>
            </w:pPr>
            <w:r w:rsidRPr="006316DF">
              <w:rPr>
                <w:rFonts w:cs="Arial"/>
              </w:rPr>
              <w:t>N=</w:t>
            </w:r>
            <w:r>
              <w:rPr>
                <w:rFonts w:cs="Arial"/>
              </w:rPr>
              <w:t>18</w:t>
            </w:r>
          </w:p>
          <w:p w:rsidR="00BD512F" w:rsidRPr="006316DF" w:rsidRDefault="00BD512F" w:rsidP="00BD512F">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BD512F" w:rsidRPr="006316DF" w:rsidRDefault="00BD512F" w:rsidP="00BD512F">
            <w:pPr>
              <w:pStyle w:val="Tabletext"/>
              <w:rPr>
                <w:rFonts w:cs="Arial"/>
              </w:rPr>
            </w:pPr>
            <w:r>
              <w:rPr>
                <w:rFonts w:cs="Arial"/>
              </w:rPr>
              <w:t>Risk of bias: 0</w:t>
            </w:r>
          </w:p>
          <w:p w:rsidR="00BD512F" w:rsidRPr="006316DF" w:rsidRDefault="00BD512F" w:rsidP="00BD512F">
            <w:pPr>
              <w:pStyle w:val="Tabletext"/>
              <w:rPr>
                <w:rFonts w:cs="Arial"/>
              </w:rPr>
            </w:pPr>
            <w:r w:rsidRPr="006316DF">
              <w:rPr>
                <w:rFonts w:cs="Arial"/>
              </w:rPr>
              <w:t xml:space="preserve">Inconsistency: </w:t>
            </w:r>
            <w:r>
              <w:rPr>
                <w:rFonts w:cs="Arial"/>
              </w:rPr>
              <w:t>0</w:t>
            </w:r>
          </w:p>
          <w:p w:rsidR="00BD512F" w:rsidRPr="006316DF" w:rsidRDefault="00BD512F" w:rsidP="00BD512F">
            <w:pPr>
              <w:pStyle w:val="Tabletext"/>
              <w:rPr>
                <w:rFonts w:cs="Arial"/>
              </w:rPr>
            </w:pPr>
            <w:r w:rsidRPr="006316DF">
              <w:rPr>
                <w:rFonts w:cs="Arial"/>
              </w:rPr>
              <w:t>Indirectness: 0</w:t>
            </w:r>
          </w:p>
          <w:p w:rsidR="00BD512F" w:rsidRDefault="00BD512F" w:rsidP="00BD512F">
            <w:pPr>
              <w:pStyle w:val="Tabletext"/>
              <w:rPr>
                <w:rFonts w:cs="Arial"/>
              </w:rPr>
            </w:pPr>
            <w:r w:rsidRPr="006316DF">
              <w:rPr>
                <w:rFonts w:cs="Arial"/>
              </w:rPr>
              <w:t xml:space="preserve">Imprecision: </w:t>
            </w:r>
            <w:r>
              <w:rPr>
                <w:rFonts w:cs="Arial"/>
              </w:rPr>
              <w:t>−2</w:t>
            </w:r>
          </w:p>
          <w:p w:rsidR="00BD512F" w:rsidRDefault="00BD512F" w:rsidP="00BD512F">
            <w:pPr>
              <w:pStyle w:val="Tabletext"/>
              <w:rPr>
                <w:rFonts w:cs="Arial"/>
              </w:rPr>
            </w:pPr>
            <w:r w:rsidRPr="006316DF">
              <w:rPr>
                <w:rFonts w:cs="Arial"/>
              </w:rPr>
              <w:t>Publication bias: 0</w:t>
            </w:r>
          </w:p>
          <w:p w:rsidR="00BD512F" w:rsidRPr="006316DF" w:rsidRDefault="00BD512F" w:rsidP="00BD512F">
            <w:pPr>
              <w:pStyle w:val="Tabletext"/>
              <w:rPr>
                <w:rFonts w:cs="Arial"/>
              </w:rPr>
            </w:pPr>
            <w:r>
              <w:rPr>
                <w:rFonts w:cs="Arial"/>
              </w:rPr>
              <w:t>Association: 0</w:t>
            </w:r>
          </w:p>
        </w:tc>
        <w:tc>
          <w:tcPr>
            <w:tcW w:w="1413" w:type="dxa"/>
          </w:tcPr>
          <w:p w:rsidR="00BD512F" w:rsidRPr="0006289E" w:rsidRDefault="00BD512F" w:rsidP="00BD512F">
            <w:pPr>
              <w:pStyle w:val="Tabletext"/>
            </w:pPr>
            <w:r w:rsidRPr="00B72870">
              <w:t>Not estimable</w:t>
            </w:r>
          </w:p>
        </w:tc>
        <w:tc>
          <w:tcPr>
            <w:tcW w:w="2551" w:type="dxa"/>
          </w:tcPr>
          <w:p w:rsidR="00BD512F" w:rsidRPr="0006289E" w:rsidRDefault="00BD512F" w:rsidP="00BD512F">
            <w:pPr>
              <w:pStyle w:val="Tabletext"/>
            </w:pPr>
            <w:r>
              <w:rPr>
                <w:rFonts w:cs="Arial"/>
              </w:rPr>
              <w:t>No patients died during the study period</w:t>
            </w:r>
          </w:p>
        </w:tc>
        <w:tc>
          <w:tcPr>
            <w:tcW w:w="1134" w:type="dxa"/>
          </w:tcPr>
          <w:p w:rsidR="00BD512F" w:rsidRPr="006316DF" w:rsidRDefault="00BD512F" w:rsidP="00BD512F">
            <w:pPr>
              <w:pStyle w:val="Tabletext"/>
              <w:rPr>
                <w:rFonts w:cs="Arial"/>
              </w:rPr>
            </w:pPr>
            <w:r>
              <w:rPr>
                <w:rFonts w:cs="Arial"/>
              </w:rPr>
              <w:t>Low</w:t>
            </w:r>
          </w:p>
          <w:p w:rsidR="00BD512F" w:rsidRPr="006316DF" w:rsidRDefault="00BD512F" w:rsidP="00BD512F">
            <w:pPr>
              <w:pStyle w:val="Tabletext"/>
              <w:rPr>
                <w:rFonts w:cs="Cambria Math"/>
                <w:bCs/>
              </w:rPr>
            </w:pPr>
            <w:r w:rsidRPr="006316DF">
              <w:rPr>
                <w:rFonts w:ascii="Cambria Math" w:hAnsi="Cambria Math" w:cs="Cambria Math"/>
                <w:bCs/>
                <w:color w:val="00B050"/>
              </w:rPr>
              <w:t>⨁⨁</w:t>
            </w:r>
            <w:r w:rsidRPr="00E564DD">
              <w:rPr>
                <w:rFonts w:ascii="Cambria Math" w:eastAsia="Times New Roman" w:hAnsi="Cambria Math" w:cs="Cambria Math"/>
                <w:bCs/>
                <w:color w:val="FF0000"/>
              </w:rPr>
              <w:t>⨀⨀</w:t>
            </w:r>
          </w:p>
          <w:p w:rsidR="00BD512F" w:rsidRPr="006316DF" w:rsidRDefault="00BD512F" w:rsidP="00BD512F">
            <w:pPr>
              <w:pStyle w:val="Tabletext"/>
              <w:rPr>
                <w:rFonts w:cs="Arial"/>
              </w:rPr>
            </w:pPr>
            <w:r w:rsidRPr="006316DF">
              <w:rPr>
                <w:rFonts w:cs="Arial"/>
              </w:rPr>
              <w:t>Critical</w:t>
            </w:r>
          </w:p>
        </w:tc>
      </w:tr>
      <w:tr w:rsidR="00BD512F" w:rsidRPr="006316DF" w:rsidTr="00B14FF5">
        <w:tc>
          <w:tcPr>
            <w:tcW w:w="1560" w:type="dxa"/>
          </w:tcPr>
          <w:p w:rsidR="00BD512F" w:rsidRPr="006316DF" w:rsidRDefault="00BD512F" w:rsidP="00BD512F">
            <w:pPr>
              <w:pStyle w:val="Tabletext"/>
              <w:rPr>
                <w:rFonts w:cs="Arial"/>
              </w:rPr>
            </w:pPr>
            <w:r w:rsidRPr="006316DF">
              <w:rPr>
                <w:rFonts w:cs="Arial"/>
              </w:rPr>
              <w:t>Improved WHO FC</w:t>
            </w:r>
          </w:p>
        </w:tc>
        <w:tc>
          <w:tcPr>
            <w:tcW w:w="1275" w:type="dxa"/>
          </w:tcPr>
          <w:p w:rsidR="00BD512F" w:rsidRPr="006316DF" w:rsidRDefault="00BD512F" w:rsidP="00BD512F">
            <w:pPr>
              <w:pStyle w:val="Tabletext"/>
              <w:rPr>
                <w:rFonts w:cs="Arial"/>
              </w:rPr>
            </w:pPr>
            <w:r w:rsidRPr="006316DF">
              <w:rPr>
                <w:rFonts w:cs="Arial"/>
              </w:rPr>
              <w:t>N=</w:t>
            </w:r>
            <w:r>
              <w:rPr>
                <w:rFonts w:cs="Arial"/>
              </w:rPr>
              <w:t>18</w:t>
            </w:r>
          </w:p>
          <w:p w:rsidR="00BD512F" w:rsidRPr="006316DF" w:rsidRDefault="00BD512F" w:rsidP="00BD512F">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BD512F" w:rsidRPr="006316DF" w:rsidRDefault="00BD512F" w:rsidP="00BD512F">
            <w:pPr>
              <w:pStyle w:val="Tabletext"/>
              <w:rPr>
                <w:rFonts w:cs="Arial"/>
              </w:rPr>
            </w:pPr>
            <w:r>
              <w:rPr>
                <w:rFonts w:cs="Arial"/>
              </w:rPr>
              <w:t>Risk of bias: 0</w:t>
            </w:r>
          </w:p>
          <w:p w:rsidR="00BD512F" w:rsidRPr="006316DF" w:rsidRDefault="00BD512F" w:rsidP="00BD512F">
            <w:pPr>
              <w:pStyle w:val="Tabletext"/>
              <w:rPr>
                <w:rFonts w:cs="Arial"/>
              </w:rPr>
            </w:pPr>
            <w:r w:rsidRPr="006316DF">
              <w:rPr>
                <w:rFonts w:cs="Arial"/>
              </w:rPr>
              <w:t>Inconsistency: 0</w:t>
            </w:r>
          </w:p>
          <w:p w:rsidR="00BD512F" w:rsidRPr="006316DF" w:rsidRDefault="00BD512F" w:rsidP="00BD512F">
            <w:pPr>
              <w:pStyle w:val="Tabletext"/>
              <w:rPr>
                <w:rFonts w:cs="Arial"/>
              </w:rPr>
            </w:pPr>
            <w:r w:rsidRPr="006316DF">
              <w:rPr>
                <w:rFonts w:cs="Arial"/>
              </w:rPr>
              <w:t>Indirectness: 0</w:t>
            </w:r>
          </w:p>
          <w:p w:rsidR="00BD512F" w:rsidRDefault="00BD512F" w:rsidP="00BD512F">
            <w:pPr>
              <w:pStyle w:val="Tabletext"/>
              <w:rPr>
                <w:rFonts w:cs="Arial"/>
              </w:rPr>
            </w:pPr>
            <w:r>
              <w:rPr>
                <w:rFonts w:cs="Arial"/>
              </w:rPr>
              <w:t>Imprecision: −2</w:t>
            </w:r>
          </w:p>
          <w:p w:rsidR="00BD512F" w:rsidRDefault="00BD512F" w:rsidP="00BD512F">
            <w:pPr>
              <w:pStyle w:val="Tabletext"/>
              <w:rPr>
                <w:rFonts w:cs="Arial"/>
              </w:rPr>
            </w:pPr>
            <w:r w:rsidRPr="006316DF">
              <w:rPr>
                <w:rFonts w:cs="Arial"/>
              </w:rPr>
              <w:t>Publication bias: 0</w:t>
            </w:r>
          </w:p>
          <w:p w:rsidR="00BD512F" w:rsidRPr="006316DF" w:rsidRDefault="00BD512F" w:rsidP="00BD512F">
            <w:pPr>
              <w:pStyle w:val="Tabletext"/>
              <w:rPr>
                <w:rFonts w:cs="Arial"/>
              </w:rPr>
            </w:pPr>
            <w:r>
              <w:rPr>
                <w:rFonts w:cs="Arial"/>
              </w:rPr>
              <w:t>Association: 0</w:t>
            </w:r>
          </w:p>
        </w:tc>
        <w:tc>
          <w:tcPr>
            <w:tcW w:w="1413" w:type="dxa"/>
          </w:tcPr>
          <w:p w:rsidR="00BD512F" w:rsidRPr="00B65207" w:rsidRDefault="00BD512F" w:rsidP="00BD512F">
            <w:pPr>
              <w:pStyle w:val="Tabletext"/>
            </w:pPr>
            <w:r w:rsidRPr="00485061">
              <w:t xml:space="preserve">RR </w:t>
            </w:r>
            <w:r>
              <w:t xml:space="preserve">= </w:t>
            </w:r>
            <w:r w:rsidRPr="00485061">
              <w:t>0.50</w:t>
            </w:r>
            <w:r>
              <w:t xml:space="preserve"> </w:t>
            </w:r>
            <w:r w:rsidRPr="00485061">
              <w:t>(</w:t>
            </w:r>
            <w:r>
              <w:t xml:space="preserve">95% CI </w:t>
            </w:r>
            <w:r w:rsidRPr="00485061">
              <w:t>0.09</w:t>
            </w:r>
            <w:r>
              <w:t>, 2.73)</w:t>
            </w:r>
          </w:p>
        </w:tc>
        <w:tc>
          <w:tcPr>
            <w:tcW w:w="2551" w:type="dxa"/>
          </w:tcPr>
          <w:p w:rsidR="00BD512F" w:rsidRPr="002812F2" w:rsidRDefault="00BD512F" w:rsidP="00BD512F">
            <w:pPr>
              <w:pStyle w:val="Tabletext"/>
              <w:rPr>
                <w:rFonts w:cs="Arial"/>
              </w:rPr>
            </w:pPr>
            <w:r>
              <w:rPr>
                <w:rFonts w:cs="Arial"/>
              </w:rPr>
              <w:t>Fewer</w:t>
            </w:r>
            <w:r w:rsidRPr="002812F2">
              <w:rPr>
                <w:rFonts w:cs="Arial"/>
              </w:rPr>
              <w:t xml:space="preserve"> patients </w:t>
            </w:r>
            <w:r>
              <w:rPr>
                <w:rFonts w:cs="Arial"/>
              </w:rPr>
              <w:t>on combination therapy</w:t>
            </w:r>
            <w:r w:rsidRPr="002812F2">
              <w:rPr>
                <w:rFonts w:cs="Arial"/>
              </w:rPr>
              <w:t xml:space="preserve"> improve</w:t>
            </w:r>
            <w:r>
              <w:rPr>
                <w:rFonts w:cs="Arial"/>
              </w:rPr>
              <w:t>d</w:t>
            </w:r>
            <w:r w:rsidRPr="002812F2">
              <w:rPr>
                <w:rFonts w:cs="Arial"/>
              </w:rPr>
              <w:t xml:space="preserve"> their WHO FC </w:t>
            </w:r>
            <w:r>
              <w:rPr>
                <w:rFonts w:cs="Arial"/>
              </w:rPr>
              <w:t xml:space="preserve">compared with monotherapy, </w:t>
            </w:r>
            <w:r w:rsidRPr="00B65207">
              <w:rPr>
                <w:rFonts w:cs="Arial"/>
              </w:rPr>
              <w:t xml:space="preserve">but the </w:t>
            </w:r>
            <w:r w:rsidR="003D210A">
              <w:rPr>
                <w:rFonts w:cs="Arial"/>
              </w:rPr>
              <w:t xml:space="preserve">wide </w:t>
            </w:r>
            <w:r>
              <w:rPr>
                <w:rFonts w:cs="Arial"/>
              </w:rPr>
              <w:t>95% CI indicates</w:t>
            </w:r>
            <w:r w:rsidRPr="00B65207">
              <w:rPr>
                <w:rFonts w:cs="Arial"/>
              </w:rPr>
              <w:t xml:space="preserve"> that </w:t>
            </w:r>
            <w:r w:rsidR="003D210A">
              <w:rPr>
                <w:rFonts w:cs="Arial"/>
              </w:rPr>
              <w:t>the study was underpowered for this outcome</w:t>
            </w:r>
            <w:r w:rsidRPr="00B65207">
              <w:rPr>
                <w:rFonts w:cs="Arial"/>
              </w:rPr>
              <w:t>.</w:t>
            </w:r>
          </w:p>
        </w:tc>
        <w:tc>
          <w:tcPr>
            <w:tcW w:w="1134" w:type="dxa"/>
          </w:tcPr>
          <w:p w:rsidR="00BD512F" w:rsidRDefault="00BD512F" w:rsidP="00BD512F">
            <w:pPr>
              <w:pStyle w:val="Tabletext"/>
              <w:rPr>
                <w:bCs/>
              </w:rPr>
            </w:pPr>
            <w:r>
              <w:rPr>
                <w:bCs/>
              </w:rPr>
              <w:t>Low</w:t>
            </w:r>
          </w:p>
          <w:p w:rsidR="00BD512F" w:rsidRDefault="00BD512F" w:rsidP="00BD512F">
            <w:pPr>
              <w:pStyle w:val="Tabletext"/>
              <w:rPr>
                <w:rFonts w:ascii="Cambria Math" w:hAnsi="Cambria Math" w:cs="Cambria Math"/>
                <w:bCs/>
              </w:rPr>
            </w:pPr>
            <w:r w:rsidRPr="00E564DD">
              <w:rPr>
                <w:rFonts w:ascii="Cambria Math" w:hAnsi="Cambria Math" w:cs="Cambria Math"/>
                <w:bCs/>
                <w:color w:val="00B050"/>
              </w:rPr>
              <w:t>⨁⨁</w:t>
            </w:r>
            <w:r w:rsidRPr="00E564DD">
              <w:rPr>
                <w:rFonts w:ascii="Cambria Math" w:hAnsi="Cambria Math" w:cs="Cambria Math"/>
                <w:bCs/>
                <w:color w:val="FF0000"/>
              </w:rPr>
              <w:t>⨀⨀</w:t>
            </w:r>
          </w:p>
          <w:p w:rsidR="00BD512F" w:rsidRPr="006316DF" w:rsidRDefault="00BD512F" w:rsidP="00BD512F">
            <w:pPr>
              <w:pStyle w:val="Tabletext"/>
              <w:rPr>
                <w:rFonts w:cs="Arial"/>
              </w:rPr>
            </w:pPr>
            <w:r w:rsidRPr="006316DF">
              <w:rPr>
                <w:rFonts w:cs="Arial"/>
              </w:rPr>
              <w:t>Important</w:t>
            </w:r>
          </w:p>
        </w:tc>
      </w:tr>
      <w:tr w:rsidR="00BD512F" w:rsidRPr="006316DF" w:rsidTr="00B14FF5">
        <w:tc>
          <w:tcPr>
            <w:tcW w:w="1560" w:type="dxa"/>
          </w:tcPr>
          <w:p w:rsidR="00BD512F" w:rsidRPr="006316DF" w:rsidRDefault="00BD512F" w:rsidP="00BD512F">
            <w:pPr>
              <w:pStyle w:val="Tabletext"/>
              <w:rPr>
                <w:rFonts w:cs="Arial"/>
              </w:rPr>
            </w:pPr>
            <w:r>
              <w:rPr>
                <w:rFonts w:cs="Arial"/>
              </w:rPr>
              <w:t xml:space="preserve">Worsened </w:t>
            </w:r>
            <w:r w:rsidRPr="006316DF">
              <w:rPr>
                <w:rFonts w:cs="Arial"/>
              </w:rPr>
              <w:t>WHO FC</w:t>
            </w:r>
          </w:p>
        </w:tc>
        <w:tc>
          <w:tcPr>
            <w:tcW w:w="1275" w:type="dxa"/>
          </w:tcPr>
          <w:p w:rsidR="00BD512F" w:rsidRPr="006316DF" w:rsidRDefault="00BD512F" w:rsidP="00BD512F">
            <w:pPr>
              <w:pStyle w:val="Tabletext"/>
              <w:rPr>
                <w:rFonts w:cs="Arial"/>
              </w:rPr>
            </w:pPr>
            <w:r w:rsidRPr="006316DF">
              <w:rPr>
                <w:rFonts w:cs="Arial"/>
              </w:rPr>
              <w:t>N=</w:t>
            </w:r>
            <w:r>
              <w:rPr>
                <w:rFonts w:cs="Arial"/>
              </w:rPr>
              <w:t>18</w:t>
            </w:r>
          </w:p>
          <w:p w:rsidR="00BD512F" w:rsidRPr="006316DF" w:rsidRDefault="00BD512F" w:rsidP="00BD512F">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BD512F" w:rsidRPr="006316DF" w:rsidRDefault="00BD512F" w:rsidP="00BD512F">
            <w:pPr>
              <w:pStyle w:val="Tabletext"/>
              <w:rPr>
                <w:rFonts w:cs="Arial"/>
              </w:rPr>
            </w:pPr>
            <w:r>
              <w:rPr>
                <w:rFonts w:cs="Arial"/>
              </w:rPr>
              <w:t>Risk of bias: 0</w:t>
            </w:r>
          </w:p>
          <w:p w:rsidR="00BD512F" w:rsidRPr="006316DF" w:rsidRDefault="00BD512F" w:rsidP="00BD512F">
            <w:pPr>
              <w:pStyle w:val="Tabletext"/>
              <w:rPr>
                <w:rFonts w:cs="Arial"/>
              </w:rPr>
            </w:pPr>
            <w:r w:rsidRPr="006316DF">
              <w:rPr>
                <w:rFonts w:cs="Arial"/>
              </w:rPr>
              <w:t>Inconsistency: 0</w:t>
            </w:r>
          </w:p>
          <w:p w:rsidR="00BD512F" w:rsidRPr="006316DF" w:rsidRDefault="00BD512F" w:rsidP="00BD512F">
            <w:pPr>
              <w:pStyle w:val="Tabletext"/>
              <w:rPr>
                <w:rFonts w:cs="Arial"/>
              </w:rPr>
            </w:pPr>
            <w:r w:rsidRPr="006316DF">
              <w:rPr>
                <w:rFonts w:cs="Arial"/>
              </w:rPr>
              <w:t>Indirectness: 0</w:t>
            </w:r>
          </w:p>
          <w:p w:rsidR="00BD512F" w:rsidRDefault="00BD512F" w:rsidP="00BD512F">
            <w:pPr>
              <w:pStyle w:val="Tabletext"/>
              <w:rPr>
                <w:rFonts w:cs="Arial"/>
              </w:rPr>
            </w:pPr>
            <w:r w:rsidRPr="006316DF">
              <w:rPr>
                <w:rFonts w:cs="Arial"/>
              </w:rPr>
              <w:t xml:space="preserve">Imprecision: </w:t>
            </w:r>
            <w:r>
              <w:rPr>
                <w:rFonts w:cs="Arial"/>
              </w:rPr>
              <w:t>−2</w:t>
            </w:r>
          </w:p>
          <w:p w:rsidR="00BD512F" w:rsidRDefault="00BD512F" w:rsidP="00BD512F">
            <w:pPr>
              <w:pStyle w:val="Tabletext"/>
              <w:rPr>
                <w:rFonts w:cs="Arial"/>
              </w:rPr>
            </w:pPr>
            <w:r w:rsidRPr="006316DF">
              <w:rPr>
                <w:rFonts w:cs="Arial"/>
              </w:rPr>
              <w:t>Publication bias: 0</w:t>
            </w:r>
          </w:p>
          <w:p w:rsidR="00BD512F" w:rsidRPr="006316DF" w:rsidRDefault="00BD512F" w:rsidP="00BD512F">
            <w:pPr>
              <w:pStyle w:val="Tabletext"/>
              <w:rPr>
                <w:rFonts w:cs="Arial"/>
              </w:rPr>
            </w:pPr>
            <w:r>
              <w:rPr>
                <w:rFonts w:cs="Arial"/>
              </w:rPr>
              <w:t>Association: 0</w:t>
            </w:r>
          </w:p>
        </w:tc>
        <w:tc>
          <w:tcPr>
            <w:tcW w:w="1413" w:type="dxa"/>
          </w:tcPr>
          <w:p w:rsidR="00BD512F" w:rsidRPr="002812F2" w:rsidRDefault="00BD512F" w:rsidP="00BD512F">
            <w:pPr>
              <w:pStyle w:val="Tabletext"/>
            </w:pPr>
            <w:r w:rsidRPr="00B72870">
              <w:t>Not estimable</w:t>
            </w:r>
          </w:p>
        </w:tc>
        <w:tc>
          <w:tcPr>
            <w:tcW w:w="2551" w:type="dxa"/>
          </w:tcPr>
          <w:p w:rsidR="00BD512F" w:rsidRPr="002812F2" w:rsidRDefault="00BD512F" w:rsidP="00BD512F">
            <w:pPr>
              <w:pStyle w:val="Tabletext"/>
              <w:rPr>
                <w:rFonts w:cs="Arial"/>
              </w:rPr>
            </w:pPr>
            <w:r>
              <w:rPr>
                <w:rFonts w:cs="Arial"/>
              </w:rPr>
              <w:t>No patients had worsening of their WHO FC</w:t>
            </w:r>
          </w:p>
        </w:tc>
        <w:tc>
          <w:tcPr>
            <w:tcW w:w="1134" w:type="dxa"/>
          </w:tcPr>
          <w:p w:rsidR="00BD512F" w:rsidRPr="006316DF" w:rsidRDefault="00BD512F" w:rsidP="00BD512F">
            <w:pPr>
              <w:pStyle w:val="Tabletext"/>
              <w:rPr>
                <w:rFonts w:cs="Arial"/>
              </w:rPr>
            </w:pPr>
            <w:r>
              <w:rPr>
                <w:rFonts w:cs="Arial"/>
              </w:rPr>
              <w:t>Low</w:t>
            </w:r>
          </w:p>
          <w:p w:rsidR="00BD512F" w:rsidRPr="006316DF" w:rsidRDefault="00BD512F" w:rsidP="00BD512F">
            <w:pPr>
              <w:pStyle w:val="Tabletext"/>
              <w:rPr>
                <w:rFonts w:cs="Cambria Math"/>
                <w:bCs/>
              </w:rPr>
            </w:pPr>
            <w:r w:rsidRPr="006316DF">
              <w:rPr>
                <w:rFonts w:ascii="Cambria Math" w:hAnsi="Cambria Math" w:cs="Cambria Math"/>
                <w:bCs/>
                <w:color w:val="00B050"/>
              </w:rPr>
              <w:t>⨁⨁</w:t>
            </w:r>
            <w:r w:rsidRPr="00E564DD">
              <w:rPr>
                <w:rFonts w:ascii="Cambria Math" w:eastAsia="Times New Roman" w:hAnsi="Cambria Math" w:cs="Cambria Math"/>
                <w:bCs/>
                <w:color w:val="FF0000"/>
              </w:rPr>
              <w:t>⨀⨀</w:t>
            </w:r>
          </w:p>
          <w:p w:rsidR="00BD512F" w:rsidRPr="006316DF" w:rsidRDefault="00BD512F" w:rsidP="00BD512F">
            <w:pPr>
              <w:pStyle w:val="Tabletext"/>
              <w:rPr>
                <w:rFonts w:cs="Arial"/>
              </w:rPr>
            </w:pPr>
            <w:r w:rsidRPr="006316DF">
              <w:rPr>
                <w:rFonts w:cs="Arial"/>
              </w:rPr>
              <w:t>Important</w:t>
            </w:r>
          </w:p>
        </w:tc>
      </w:tr>
      <w:tr w:rsidR="00BD512F" w:rsidRPr="006316DF" w:rsidTr="00B14FF5">
        <w:tc>
          <w:tcPr>
            <w:tcW w:w="1560" w:type="dxa"/>
          </w:tcPr>
          <w:p w:rsidR="00BD512F" w:rsidRPr="006316DF" w:rsidRDefault="00BD512F" w:rsidP="00BD512F">
            <w:pPr>
              <w:pStyle w:val="Tabletext"/>
              <w:rPr>
                <w:rFonts w:cs="Arial"/>
              </w:rPr>
            </w:pPr>
            <w:r w:rsidRPr="006316DF">
              <w:rPr>
                <w:rFonts w:cs="Arial"/>
              </w:rPr>
              <w:t>Change in 6MWD</w:t>
            </w:r>
            <w:r>
              <w:rPr>
                <w:rFonts w:cs="Arial"/>
              </w:rPr>
              <w:t xml:space="preserve"> from baseline</w:t>
            </w:r>
          </w:p>
        </w:tc>
        <w:tc>
          <w:tcPr>
            <w:tcW w:w="1275" w:type="dxa"/>
          </w:tcPr>
          <w:p w:rsidR="00BD512F" w:rsidRPr="006316DF" w:rsidRDefault="00BD512F" w:rsidP="00BD512F">
            <w:pPr>
              <w:pStyle w:val="Tabletext"/>
              <w:rPr>
                <w:rFonts w:cs="Arial"/>
              </w:rPr>
            </w:pPr>
            <w:r w:rsidRPr="006316DF">
              <w:rPr>
                <w:rFonts w:cs="Arial"/>
              </w:rPr>
              <w:t>N=</w:t>
            </w:r>
            <w:r>
              <w:rPr>
                <w:rFonts w:cs="Arial"/>
              </w:rPr>
              <w:t>18</w:t>
            </w:r>
          </w:p>
          <w:p w:rsidR="00BD512F" w:rsidRPr="006316DF" w:rsidRDefault="00BD512F" w:rsidP="00BD512F">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BD512F" w:rsidRPr="006316DF" w:rsidRDefault="00BD512F" w:rsidP="00BD512F">
            <w:pPr>
              <w:pStyle w:val="Tabletext"/>
              <w:rPr>
                <w:rFonts w:cs="Arial"/>
              </w:rPr>
            </w:pPr>
            <w:r>
              <w:rPr>
                <w:rFonts w:cs="Arial"/>
              </w:rPr>
              <w:t>Risk of bias: 0</w:t>
            </w:r>
          </w:p>
          <w:p w:rsidR="00BD512F" w:rsidRPr="006316DF" w:rsidRDefault="00BD512F" w:rsidP="00BD512F">
            <w:pPr>
              <w:pStyle w:val="Tabletext"/>
              <w:rPr>
                <w:rFonts w:cs="Arial"/>
              </w:rPr>
            </w:pPr>
            <w:r w:rsidRPr="006316DF">
              <w:rPr>
                <w:rFonts w:cs="Arial"/>
              </w:rPr>
              <w:t>Inconsistency: 0</w:t>
            </w:r>
          </w:p>
          <w:p w:rsidR="00BD512F" w:rsidRPr="006316DF" w:rsidRDefault="00BD512F" w:rsidP="00BD512F">
            <w:pPr>
              <w:pStyle w:val="Tabletext"/>
              <w:rPr>
                <w:rFonts w:cs="Arial"/>
              </w:rPr>
            </w:pPr>
            <w:r w:rsidRPr="006316DF">
              <w:rPr>
                <w:rFonts w:cs="Arial"/>
              </w:rPr>
              <w:t xml:space="preserve">Indirectness: </w:t>
            </w:r>
            <w:r>
              <w:rPr>
                <w:rFonts w:cs="Arial"/>
              </w:rPr>
              <w:t>−1</w:t>
            </w:r>
          </w:p>
          <w:p w:rsidR="00BD512F" w:rsidRDefault="00BD512F" w:rsidP="00BD512F">
            <w:pPr>
              <w:pStyle w:val="Tabletext"/>
              <w:rPr>
                <w:rFonts w:cs="Arial"/>
              </w:rPr>
            </w:pPr>
            <w:r w:rsidRPr="006316DF">
              <w:rPr>
                <w:rFonts w:cs="Arial"/>
              </w:rPr>
              <w:t xml:space="preserve">Imprecision: </w:t>
            </w:r>
            <w:r>
              <w:rPr>
                <w:rFonts w:cs="Arial"/>
              </w:rPr>
              <w:t>−2</w:t>
            </w:r>
          </w:p>
          <w:p w:rsidR="00BD512F" w:rsidRDefault="00BD512F" w:rsidP="00BD512F">
            <w:pPr>
              <w:pStyle w:val="Tabletext"/>
              <w:rPr>
                <w:rFonts w:cs="Arial"/>
              </w:rPr>
            </w:pPr>
            <w:r w:rsidRPr="006316DF">
              <w:rPr>
                <w:rFonts w:cs="Arial"/>
              </w:rPr>
              <w:t>Publication bias: 0</w:t>
            </w:r>
          </w:p>
          <w:p w:rsidR="00BD512F" w:rsidRPr="006316DF" w:rsidRDefault="00BD512F" w:rsidP="00BD512F">
            <w:pPr>
              <w:pStyle w:val="Tabletext"/>
              <w:rPr>
                <w:rFonts w:cs="Arial"/>
              </w:rPr>
            </w:pPr>
            <w:r>
              <w:rPr>
                <w:rFonts w:cs="Arial"/>
              </w:rPr>
              <w:t>Association: 0</w:t>
            </w:r>
          </w:p>
        </w:tc>
        <w:tc>
          <w:tcPr>
            <w:tcW w:w="1413" w:type="dxa"/>
          </w:tcPr>
          <w:p w:rsidR="00BD512F" w:rsidRPr="0006289E" w:rsidRDefault="00BD512F" w:rsidP="00BD512F">
            <w:pPr>
              <w:pStyle w:val="Tabletext"/>
            </w:pPr>
            <w:r>
              <w:t>MD = 23 m less</w:t>
            </w:r>
          </w:p>
        </w:tc>
        <w:tc>
          <w:tcPr>
            <w:tcW w:w="2551" w:type="dxa"/>
          </w:tcPr>
          <w:p w:rsidR="00BD512F" w:rsidRPr="0006289E" w:rsidRDefault="00BD512F" w:rsidP="00BD512F">
            <w:pPr>
              <w:pStyle w:val="Tabletext"/>
              <w:rPr>
                <w:rFonts w:cs="Arial"/>
              </w:rPr>
            </w:pPr>
            <w:r>
              <w:rPr>
                <w:rFonts w:cs="Arial"/>
              </w:rPr>
              <w:t>P</w:t>
            </w:r>
            <w:r w:rsidRPr="0006289E">
              <w:rPr>
                <w:rFonts w:cs="Arial"/>
              </w:rPr>
              <w:t>atients on combination th</w:t>
            </w:r>
            <w:r>
              <w:rPr>
                <w:rFonts w:cs="Arial"/>
              </w:rPr>
              <w:t>e</w:t>
            </w:r>
            <w:r w:rsidRPr="0006289E">
              <w:rPr>
                <w:rFonts w:cs="Arial"/>
              </w:rPr>
              <w:t>rapy ha</w:t>
            </w:r>
            <w:r>
              <w:rPr>
                <w:rFonts w:cs="Arial"/>
              </w:rPr>
              <w:t>d</w:t>
            </w:r>
            <w:r w:rsidRPr="0006289E">
              <w:rPr>
                <w:rFonts w:cs="Arial"/>
              </w:rPr>
              <w:t xml:space="preserve"> a </w:t>
            </w:r>
            <w:r>
              <w:rPr>
                <w:rFonts w:cs="Arial"/>
              </w:rPr>
              <w:t>smaller</w:t>
            </w:r>
            <w:r w:rsidRPr="0006289E">
              <w:rPr>
                <w:rFonts w:cs="Arial"/>
              </w:rPr>
              <w:t xml:space="preserve"> </w:t>
            </w:r>
            <w:r>
              <w:rPr>
                <w:rFonts w:cs="Arial"/>
              </w:rPr>
              <w:t xml:space="preserve">mean </w:t>
            </w:r>
            <w:r w:rsidRPr="0006289E">
              <w:rPr>
                <w:rFonts w:cs="Arial"/>
              </w:rPr>
              <w:t>improvement in their 6MWD than those on monotherapy</w:t>
            </w:r>
            <w:r w:rsidR="003D210A">
              <w:rPr>
                <w:rFonts w:cs="Arial"/>
              </w:rPr>
              <w:t>, but the difference was not clinically important</w:t>
            </w:r>
          </w:p>
        </w:tc>
        <w:tc>
          <w:tcPr>
            <w:tcW w:w="1134" w:type="dxa"/>
          </w:tcPr>
          <w:p w:rsidR="00BD512F" w:rsidRPr="006316DF" w:rsidRDefault="00BD512F" w:rsidP="00BD512F">
            <w:pPr>
              <w:pStyle w:val="Tabletext"/>
              <w:rPr>
                <w:rFonts w:cs="Arial"/>
              </w:rPr>
            </w:pPr>
            <w:r>
              <w:rPr>
                <w:rFonts w:cs="Arial"/>
              </w:rPr>
              <w:t>Very low</w:t>
            </w:r>
          </w:p>
          <w:p w:rsidR="00BD512F" w:rsidRPr="006316DF" w:rsidRDefault="00BD512F" w:rsidP="00BD512F">
            <w:pPr>
              <w:pStyle w:val="Tabletext"/>
              <w:rPr>
                <w:rFonts w:cs="Cambria Math"/>
                <w:bCs/>
              </w:rPr>
            </w:pPr>
            <w:r w:rsidRPr="006316DF">
              <w:rPr>
                <w:rFonts w:ascii="Cambria Math" w:hAnsi="Cambria Math" w:cs="Cambria Math"/>
                <w:bCs/>
                <w:color w:val="00B050"/>
              </w:rPr>
              <w:t>⨁</w:t>
            </w:r>
            <w:r w:rsidRPr="00E564DD">
              <w:rPr>
                <w:rFonts w:ascii="Cambria Math" w:eastAsia="Times New Roman" w:hAnsi="Cambria Math" w:cs="Cambria Math"/>
                <w:bCs/>
                <w:color w:val="FF0000"/>
              </w:rPr>
              <w:t>⨀⨀</w:t>
            </w:r>
            <w:r w:rsidRPr="006316DF">
              <w:rPr>
                <w:rFonts w:ascii="Cambria Math" w:hAnsi="Cambria Math" w:cs="Cambria Math"/>
                <w:color w:val="C00000"/>
              </w:rPr>
              <w:t>⨀</w:t>
            </w:r>
          </w:p>
          <w:p w:rsidR="00BD512F" w:rsidRPr="006316DF" w:rsidRDefault="00BD512F" w:rsidP="00BD512F">
            <w:pPr>
              <w:pStyle w:val="Tabletext"/>
              <w:rPr>
                <w:rFonts w:cs="Arial"/>
              </w:rPr>
            </w:pPr>
            <w:r>
              <w:rPr>
                <w:rFonts w:cs="Arial"/>
              </w:rPr>
              <w:t>I</w:t>
            </w:r>
            <w:r w:rsidRPr="006316DF">
              <w:rPr>
                <w:rFonts w:cs="Arial"/>
              </w:rPr>
              <w:t>mportant</w:t>
            </w:r>
          </w:p>
        </w:tc>
      </w:tr>
    </w:tbl>
    <w:p w:rsidR="0075777C" w:rsidRPr="006316DF" w:rsidRDefault="0075777C" w:rsidP="00B14FF5">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BD512F" w:rsidRPr="006316DF" w:rsidRDefault="00BD512F" w:rsidP="00BD512F">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BD512F" w:rsidRPr="00E564DD" w:rsidRDefault="00BD512F" w:rsidP="00BD512F">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146880" w:rsidRDefault="0075777C" w:rsidP="00B14FF5">
      <w:pPr>
        <w:pStyle w:val="Tablenote"/>
      </w:pPr>
      <w:r>
        <w:t xml:space="preserve">6MWD = 6-minute </w:t>
      </w:r>
      <w:r w:rsidR="0082368E">
        <w:t>walk distance</w:t>
      </w:r>
      <w:r>
        <w:t xml:space="preserve">; CI = confidence interval; FC = functional class; </w:t>
      </w:r>
      <w:r w:rsidR="00385E5A">
        <w:t>GRADE = grading of recommendations assessment, development and evaluation</w:t>
      </w:r>
      <w:r w:rsidR="001D34EE" w:rsidRPr="001D34EE">
        <w:rPr>
          <w:noProof/>
          <w:vertAlign w:val="superscript"/>
        </w:rPr>
        <w:t>1</w:t>
      </w:r>
      <w:r w:rsidR="00146880" w:rsidRPr="00F24B06">
        <w:t xml:space="preserve">; k = number of studies; </w:t>
      </w:r>
      <w:r>
        <w:t xml:space="preserve">MD = mean difference; N = number of patients; </w:t>
      </w:r>
      <w:r w:rsidRPr="00C65B42">
        <w:t xml:space="preserve">PAH = pulmonary arterial hypertension; </w:t>
      </w:r>
      <w:r w:rsidRPr="009B5AB3">
        <w:t>PDE-5 = phosphodiesterase type-5</w:t>
      </w:r>
      <w:r>
        <w:t>;</w:t>
      </w:r>
      <w:r w:rsidRPr="009B5AB3">
        <w:t xml:space="preserve"> </w:t>
      </w:r>
      <w:r>
        <w:t xml:space="preserve">RCT = randomised controlled trial; RR = relative risk; </w:t>
      </w:r>
      <w:r w:rsidRPr="006C6F7B">
        <w:t xml:space="preserve">sGC = soluble guanylate cyclase; </w:t>
      </w:r>
      <w:r>
        <w:t>WHO = World Health Organization</w:t>
      </w:r>
    </w:p>
    <w:p w:rsidR="0075777C" w:rsidRPr="006316DF" w:rsidRDefault="0075777C" w:rsidP="0075777C">
      <w:pPr>
        <w:pStyle w:val="Heading5"/>
      </w:pPr>
      <w:r w:rsidRPr="006316DF">
        <w:t>Safety</w:t>
      </w:r>
    </w:p>
    <w:p w:rsidR="0075777C"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w:t>
      </w:r>
      <w:r>
        <w:t>safety</w:t>
      </w:r>
      <w:r w:rsidRPr="006316DF">
        <w:t xml:space="preserve"> outco</w:t>
      </w:r>
      <w:r>
        <w:t>mes when comparing a</w:t>
      </w:r>
      <w:r w:rsidRPr="006316DF">
        <w:t xml:space="preserve"> </w:t>
      </w:r>
      <w:r w:rsidRPr="00BB1C5E">
        <w:t xml:space="preserve">sGC stimulator in addition to PDE-5 inhibitor, relative to PDE-5 inhibitor monotherapy </w:t>
      </w:r>
      <w:proofErr w:type="gramStart"/>
      <w:r w:rsidRPr="006316DF">
        <w:t>are reported</w:t>
      </w:r>
      <w:proofErr w:type="gramEnd"/>
      <w:r w:rsidRPr="006316DF">
        <w:t xml:space="preserve"> in</w:t>
      </w:r>
      <w:r>
        <w:t xml:space="preserve"> </w:t>
      </w:r>
      <w:r w:rsidR="003951FA">
        <w:t>Table 4.</w:t>
      </w:r>
      <w:r w:rsidR="003951FA">
        <w:rPr>
          <w:noProof/>
        </w:rPr>
        <w:t>168</w:t>
      </w:r>
      <w:r>
        <w:t xml:space="preserve"> i</w:t>
      </w:r>
      <w:r w:rsidRPr="006316DF">
        <w:t xml:space="preserve">n Appendix </w:t>
      </w:r>
      <w:r w:rsidR="00DA2636">
        <w:t>4</w:t>
      </w:r>
      <w:r w:rsidR="001B552D">
        <w:t>C</w:t>
      </w:r>
      <w:r>
        <w:t xml:space="preserve">. </w:t>
      </w:r>
      <w:r w:rsidRPr="006316DF">
        <w:t xml:space="preserve">The evidence for the </w:t>
      </w:r>
      <w:r>
        <w:t xml:space="preserve">safety </w:t>
      </w:r>
      <w:r w:rsidRPr="006316DF">
        <w:t xml:space="preserve">outcomes </w:t>
      </w:r>
      <w:r>
        <w:t xml:space="preserve">for all PAH patients is summarised </w:t>
      </w:r>
      <w:r w:rsidRPr="006316DF">
        <w:t>in</w:t>
      </w:r>
      <w:r>
        <w:t xml:space="preserve"> </w:t>
      </w:r>
      <w:r w:rsidR="003951FA">
        <w:t>Table 4.</w:t>
      </w:r>
      <w:r w:rsidR="003951FA">
        <w:rPr>
          <w:noProof/>
        </w:rPr>
        <w:t>142</w:t>
      </w:r>
      <w:r>
        <w:t xml:space="preserve">. </w:t>
      </w:r>
      <w:r w:rsidR="00E20AB7">
        <w:t>There were no new safety signal identified.</w:t>
      </w:r>
    </w:p>
    <w:p w:rsidR="0075777C" w:rsidRPr="006316DF" w:rsidRDefault="0075777C" w:rsidP="0075777C">
      <w:r>
        <w:t xml:space="preserve">All outcomes </w:t>
      </w:r>
      <w:proofErr w:type="gramStart"/>
      <w:r>
        <w:t xml:space="preserve">were </w:t>
      </w:r>
      <w:r w:rsidRPr="006316DF">
        <w:t>considered</w:t>
      </w:r>
      <w:proofErr w:type="gramEnd"/>
      <w:r w:rsidRPr="006316DF">
        <w:t xml:space="preserve"> to be of </w:t>
      </w:r>
      <w:r w:rsidR="00B3296A">
        <w:t>low</w:t>
      </w:r>
      <w:r w:rsidRPr="006316DF">
        <w:t xml:space="preserve"> quality (GRADE </w:t>
      </w:r>
      <w:r w:rsidRPr="00920393">
        <w:rPr>
          <w:rFonts w:ascii="Cambria Math" w:eastAsia="Times New Roman" w:hAnsi="Cambria Math" w:cs="Tahoma"/>
          <w:bCs/>
          <w:color w:val="00B050"/>
        </w:rPr>
        <w:t>⨁⨁</w:t>
      </w:r>
      <w:r w:rsidR="00B3296A" w:rsidRPr="00920393">
        <w:rPr>
          <w:rFonts w:ascii="Cambria Math" w:eastAsia="Times New Roman" w:hAnsi="Cambria Math" w:cs="Cambria Math"/>
          <w:bCs/>
          <w:color w:val="C00000"/>
        </w:rPr>
        <w:t>⨀⨀</w:t>
      </w:r>
      <w:r w:rsidRPr="00920393">
        <w:t xml:space="preserve">). Patients on combination therapy were more likely to have an AE a compared with those on monotherapy, but the </w:t>
      </w:r>
      <w:r w:rsidR="00D84687">
        <w:t>95% CI indicates</w:t>
      </w:r>
      <w:r w:rsidRPr="00920393">
        <w:t xml:space="preserve"> that there could also be no effect. There is some evidence to suggest</w:t>
      </w:r>
      <w:r w:rsidRPr="00BB1C5E">
        <w:t xml:space="preserve"> that more patients would </w:t>
      </w:r>
      <w:r>
        <w:t xml:space="preserve">either experience a serious AE or </w:t>
      </w:r>
      <w:r w:rsidRPr="00BB1C5E">
        <w:t>need to discontinue treatment due to an AE with combination therapy compared with monotherapy.</w:t>
      </w:r>
      <w:r>
        <w:t xml:space="preserve"> However, the study was very small and likely to be underpowered to detect a true difference.</w:t>
      </w:r>
    </w:p>
    <w:p w:rsidR="0075777C" w:rsidRDefault="0075777C" w:rsidP="0075777C">
      <w:r w:rsidRPr="006316DF">
        <w:t>Th</w:t>
      </w:r>
      <w:r w:rsidR="00F9316D">
        <w:t>us, th</w:t>
      </w:r>
      <w:r w:rsidRPr="000522D6">
        <w:t>e</w:t>
      </w:r>
      <w:r w:rsidR="00F9316D">
        <w:t>re is considerable uncertainty whether the</w:t>
      </w:r>
      <w:r w:rsidRPr="000522D6">
        <w:t xml:space="preserve"> </w:t>
      </w:r>
      <w:r w:rsidRPr="006316DF">
        <w:t xml:space="preserve">use of a </w:t>
      </w:r>
      <w:r w:rsidRPr="00BB1C5E">
        <w:t>sGC stimulator in addition to PDE-5 inhibitor, relative to PDE-5 inhibitor</w:t>
      </w:r>
      <w:r w:rsidRPr="00621F68">
        <w:t xml:space="preserve"> monotherapy</w:t>
      </w:r>
      <w:r w:rsidR="00403921">
        <w:t>,</w:t>
      </w:r>
      <w:r w:rsidRPr="00621F68">
        <w:t xml:space="preserve"> </w:t>
      </w:r>
      <w:r w:rsidR="00F9316D">
        <w:t>would cause additional harm</w:t>
      </w:r>
      <w:r w:rsidR="00403921" w:rsidRPr="00403921">
        <w:t xml:space="preserve"> </w:t>
      </w:r>
      <w:r w:rsidR="00403921">
        <w:t>to</w:t>
      </w:r>
      <w:r w:rsidR="00403921" w:rsidRPr="006316DF">
        <w:t xml:space="preserve"> </w:t>
      </w:r>
      <w:r w:rsidR="00403921">
        <w:t>PAH patients</w:t>
      </w:r>
      <w:r w:rsidR="00F9316D">
        <w:t>.</w:t>
      </w:r>
    </w:p>
    <w:p w:rsidR="0075777C" w:rsidRPr="006316DF" w:rsidRDefault="00272F8F" w:rsidP="00BC5A2B">
      <w:pPr>
        <w:pStyle w:val="Caption"/>
      </w:pPr>
      <w:bookmarkStart w:id="390" w:name="_Ref505869997"/>
      <w:bookmarkStart w:id="391" w:name="_Toc38360439"/>
      <w:r>
        <w:t>Table 4.</w:t>
      </w:r>
      <w:r w:rsidR="003951FA">
        <w:rPr>
          <w:noProof/>
        </w:rPr>
        <w:t>142</w:t>
      </w:r>
      <w:bookmarkEnd w:id="390"/>
      <w:r w:rsidR="00B14FF5">
        <w:tab/>
      </w:r>
      <w:r w:rsidR="0075777C" w:rsidRPr="006316DF">
        <w:t xml:space="preserve">Balance of clinical harms of </w:t>
      </w:r>
      <w:r w:rsidR="001B552D">
        <w:t xml:space="preserve">a </w:t>
      </w:r>
      <w:r w:rsidR="0075777C" w:rsidRPr="0006289E">
        <w:t xml:space="preserve">sGC stimulator in addition to </w:t>
      </w:r>
      <w:r w:rsidR="001B552D">
        <w:t xml:space="preserve">a </w:t>
      </w:r>
      <w:r w:rsidR="0075777C" w:rsidRPr="0006289E">
        <w:t>PDE-5 inhibitor, relative to PDE-5 inhibitor monotherapy in all PAH patients</w:t>
      </w:r>
      <w:bookmarkEnd w:id="391"/>
    </w:p>
    <w:tbl>
      <w:tblPr>
        <w:tblStyle w:val="TableGrid"/>
        <w:tblW w:w="9634" w:type="dxa"/>
        <w:tblLayout w:type="fixed"/>
        <w:tblLook w:val="04A0" w:firstRow="1" w:lastRow="0" w:firstColumn="1" w:lastColumn="0" w:noHBand="0" w:noVBand="1"/>
        <w:tblCaption w:val="Balance of clinical harms of a sGC stimulator in addition to a PDE-5 inhibitor, relative to PDE-5 inhibitor monotherapy in all PAH patients"/>
      </w:tblPr>
      <w:tblGrid>
        <w:gridCol w:w="1560"/>
        <w:gridCol w:w="1275"/>
        <w:gridCol w:w="1701"/>
        <w:gridCol w:w="1413"/>
        <w:gridCol w:w="2551"/>
        <w:gridCol w:w="1134"/>
      </w:tblGrid>
      <w:tr w:rsidR="0075777C" w:rsidRPr="00B14FF5" w:rsidTr="00B14FF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B14FF5" w:rsidRDefault="0075777C" w:rsidP="00B14FF5">
            <w:pPr>
              <w:pStyle w:val="Tabletext"/>
              <w:rPr>
                <w:b/>
                <w:noProof/>
              </w:rPr>
            </w:pPr>
            <w:r w:rsidRPr="00B14FF5">
              <w:rPr>
                <w:b/>
                <w:noProof/>
              </w:rPr>
              <w:t xml:space="preserve">Outcomes </w:t>
            </w:r>
          </w:p>
        </w:tc>
        <w:tc>
          <w:tcPr>
            <w:tcW w:w="1275" w:type="dxa"/>
          </w:tcPr>
          <w:p w:rsidR="0075777C" w:rsidRPr="00B14FF5" w:rsidRDefault="0075777C" w:rsidP="00B14FF5">
            <w:pPr>
              <w:pStyle w:val="Tabletext"/>
              <w:rPr>
                <w:b/>
                <w:noProof/>
              </w:rPr>
            </w:pPr>
            <w:r w:rsidRPr="00B14FF5">
              <w:rPr>
                <w:b/>
                <w:noProof/>
              </w:rPr>
              <w:t>Participants (studies)</w:t>
            </w:r>
          </w:p>
        </w:tc>
        <w:tc>
          <w:tcPr>
            <w:tcW w:w="1701" w:type="dxa"/>
          </w:tcPr>
          <w:p w:rsidR="0075777C" w:rsidRPr="00B14FF5" w:rsidRDefault="0075777C" w:rsidP="00B14FF5">
            <w:pPr>
              <w:pStyle w:val="Tabletext"/>
              <w:rPr>
                <w:b/>
                <w:noProof/>
              </w:rPr>
            </w:pPr>
            <w:r w:rsidRPr="00B14FF5">
              <w:rPr>
                <w:b/>
                <w:noProof/>
              </w:rPr>
              <w:t>Quality of evidence</w:t>
            </w:r>
          </w:p>
        </w:tc>
        <w:tc>
          <w:tcPr>
            <w:tcW w:w="1413" w:type="dxa"/>
          </w:tcPr>
          <w:p w:rsidR="0075777C" w:rsidRPr="00B14FF5" w:rsidRDefault="0075777C" w:rsidP="00B14FF5">
            <w:pPr>
              <w:pStyle w:val="Tabletext"/>
              <w:rPr>
                <w:b/>
                <w:noProof/>
              </w:rPr>
            </w:pPr>
            <w:r w:rsidRPr="00B14FF5">
              <w:rPr>
                <w:b/>
                <w:noProof/>
              </w:rPr>
              <w:t>Results</w:t>
            </w:r>
          </w:p>
        </w:tc>
        <w:tc>
          <w:tcPr>
            <w:tcW w:w="2551" w:type="dxa"/>
          </w:tcPr>
          <w:p w:rsidR="0075777C" w:rsidRPr="00B14FF5" w:rsidRDefault="0075777C" w:rsidP="00B14FF5">
            <w:pPr>
              <w:pStyle w:val="Tabletext"/>
              <w:rPr>
                <w:b/>
                <w:noProof/>
              </w:rPr>
            </w:pPr>
            <w:r w:rsidRPr="00B14FF5">
              <w:rPr>
                <w:b/>
                <w:noProof/>
              </w:rPr>
              <w:t>Interpretation</w:t>
            </w:r>
          </w:p>
        </w:tc>
        <w:tc>
          <w:tcPr>
            <w:tcW w:w="1134" w:type="dxa"/>
          </w:tcPr>
          <w:p w:rsidR="0075777C" w:rsidRPr="00B14FF5" w:rsidRDefault="0075777C" w:rsidP="00B14FF5">
            <w:pPr>
              <w:pStyle w:val="Tabletext"/>
              <w:rPr>
                <w:b/>
                <w:noProof/>
              </w:rPr>
            </w:pPr>
            <w:r w:rsidRPr="00B14FF5">
              <w:rPr>
                <w:b/>
                <w:noProof/>
              </w:rPr>
              <w:t>GRADE</w:t>
            </w:r>
            <w:r w:rsidR="00146880" w:rsidRPr="00146880">
              <w:rPr>
                <w:b/>
                <w:noProof/>
                <w:vertAlign w:val="superscript"/>
              </w:rPr>
              <w:t>a</w:t>
            </w:r>
          </w:p>
          <w:p w:rsidR="0075777C" w:rsidRPr="00B14FF5" w:rsidRDefault="0075777C" w:rsidP="00B14FF5">
            <w:pPr>
              <w:pStyle w:val="Tabletext"/>
              <w:rPr>
                <w:b/>
                <w:noProof/>
              </w:rPr>
            </w:pPr>
            <w:r w:rsidRPr="00B14FF5">
              <w:rPr>
                <w:b/>
                <w:noProof/>
              </w:rPr>
              <w:t>Importance</w:t>
            </w:r>
          </w:p>
        </w:tc>
      </w:tr>
      <w:tr w:rsidR="00BD512F" w:rsidRPr="006316DF" w:rsidTr="00B14FF5">
        <w:tc>
          <w:tcPr>
            <w:tcW w:w="1560" w:type="dxa"/>
          </w:tcPr>
          <w:p w:rsidR="00BD512F" w:rsidRPr="006316DF" w:rsidRDefault="00BD512F" w:rsidP="00BD512F">
            <w:pPr>
              <w:pStyle w:val="Tabletext"/>
              <w:rPr>
                <w:rFonts w:cs="Arial"/>
              </w:rPr>
            </w:pPr>
            <w:r>
              <w:rPr>
                <w:rFonts w:cs="Arial"/>
              </w:rPr>
              <w:t>Any AE</w:t>
            </w:r>
            <w:r w:rsidRPr="006316DF">
              <w:rPr>
                <w:rFonts w:cs="Arial"/>
              </w:rPr>
              <w:t xml:space="preserve"> </w:t>
            </w:r>
          </w:p>
        </w:tc>
        <w:tc>
          <w:tcPr>
            <w:tcW w:w="1275" w:type="dxa"/>
          </w:tcPr>
          <w:p w:rsidR="00BD512F" w:rsidRPr="006316DF" w:rsidRDefault="00BD512F" w:rsidP="00BD512F">
            <w:pPr>
              <w:pStyle w:val="Tabletext"/>
              <w:rPr>
                <w:rFonts w:cs="Arial"/>
              </w:rPr>
            </w:pPr>
            <w:r w:rsidRPr="006316DF">
              <w:rPr>
                <w:rFonts w:cs="Arial"/>
              </w:rPr>
              <w:t>N=</w:t>
            </w:r>
            <w:r>
              <w:rPr>
                <w:rFonts w:cs="Arial"/>
              </w:rPr>
              <w:t>18</w:t>
            </w:r>
          </w:p>
          <w:p w:rsidR="00BD512F" w:rsidRPr="006316DF" w:rsidRDefault="00BD512F" w:rsidP="00BD512F">
            <w:pPr>
              <w:pStyle w:val="Tabletext"/>
              <w:rPr>
                <w:rFonts w:cs="Arial"/>
              </w:rPr>
            </w:pPr>
            <w:r w:rsidRPr="006316DF">
              <w:rPr>
                <w:rFonts w:cs="Arial"/>
              </w:rPr>
              <w:t>k=</w:t>
            </w:r>
            <w:r>
              <w:rPr>
                <w:rFonts w:cs="Arial"/>
              </w:rPr>
              <w:t>1</w:t>
            </w:r>
            <w:r w:rsidRPr="006316DF">
              <w:rPr>
                <w:rFonts w:cs="Arial"/>
              </w:rPr>
              <w:t xml:space="preserve"> RCT</w:t>
            </w:r>
          </w:p>
        </w:tc>
        <w:tc>
          <w:tcPr>
            <w:tcW w:w="1701" w:type="dxa"/>
          </w:tcPr>
          <w:p w:rsidR="00BD512F" w:rsidRPr="006316DF" w:rsidRDefault="00BD512F" w:rsidP="00BD512F">
            <w:pPr>
              <w:pStyle w:val="Tabletext"/>
              <w:rPr>
                <w:rFonts w:cs="Arial"/>
              </w:rPr>
            </w:pPr>
            <w:r>
              <w:rPr>
                <w:rFonts w:cs="Arial"/>
              </w:rPr>
              <w:t>Risk of bias: 0</w:t>
            </w:r>
          </w:p>
          <w:p w:rsidR="00BD512F" w:rsidRPr="006316DF" w:rsidRDefault="00BD512F" w:rsidP="00BD512F">
            <w:pPr>
              <w:pStyle w:val="Tabletext"/>
              <w:rPr>
                <w:rFonts w:cs="Arial"/>
              </w:rPr>
            </w:pPr>
            <w:r w:rsidRPr="006316DF">
              <w:rPr>
                <w:rFonts w:cs="Arial"/>
              </w:rPr>
              <w:t>Inconsistency: 0</w:t>
            </w:r>
          </w:p>
          <w:p w:rsidR="00BD512F" w:rsidRPr="006316DF" w:rsidRDefault="00BD512F" w:rsidP="00BD512F">
            <w:pPr>
              <w:pStyle w:val="Tabletext"/>
              <w:rPr>
                <w:rFonts w:cs="Arial"/>
              </w:rPr>
            </w:pPr>
            <w:r w:rsidRPr="006316DF">
              <w:rPr>
                <w:rFonts w:cs="Arial"/>
              </w:rPr>
              <w:t>Indirectness: 0</w:t>
            </w:r>
          </w:p>
          <w:p w:rsidR="00BD512F" w:rsidRDefault="00BD512F" w:rsidP="00BD512F">
            <w:pPr>
              <w:pStyle w:val="Tabletext"/>
              <w:rPr>
                <w:rFonts w:cs="Arial"/>
              </w:rPr>
            </w:pPr>
            <w:r w:rsidRPr="006316DF">
              <w:rPr>
                <w:rFonts w:cs="Arial"/>
              </w:rPr>
              <w:t xml:space="preserve">Imprecision: </w:t>
            </w:r>
            <w:r>
              <w:rPr>
                <w:rFonts w:cs="Arial"/>
              </w:rPr>
              <w:t>−2</w:t>
            </w:r>
          </w:p>
          <w:p w:rsidR="00BD512F" w:rsidRDefault="00BD512F" w:rsidP="00BD512F">
            <w:pPr>
              <w:pStyle w:val="Tabletext"/>
              <w:rPr>
                <w:rFonts w:cs="Arial"/>
              </w:rPr>
            </w:pPr>
            <w:r w:rsidRPr="006316DF">
              <w:rPr>
                <w:rFonts w:cs="Arial"/>
              </w:rPr>
              <w:t>Publication bias: 0</w:t>
            </w:r>
          </w:p>
          <w:p w:rsidR="00BD512F" w:rsidRPr="006316DF" w:rsidRDefault="00BD512F" w:rsidP="00BD512F">
            <w:pPr>
              <w:pStyle w:val="Tabletext"/>
              <w:rPr>
                <w:rFonts w:cs="Arial"/>
              </w:rPr>
            </w:pPr>
            <w:r>
              <w:rPr>
                <w:rFonts w:cs="Arial"/>
              </w:rPr>
              <w:t>Association: 0</w:t>
            </w:r>
          </w:p>
        </w:tc>
        <w:tc>
          <w:tcPr>
            <w:tcW w:w="1413" w:type="dxa"/>
          </w:tcPr>
          <w:p w:rsidR="00BD512F" w:rsidRPr="000E45D6" w:rsidRDefault="00BD512F" w:rsidP="00BD512F">
            <w:pPr>
              <w:pStyle w:val="Tabletext"/>
              <w:rPr>
                <w:rFonts w:cs="Arial"/>
              </w:rPr>
            </w:pPr>
            <w:r w:rsidRPr="00485061">
              <w:t xml:space="preserve">RR </w:t>
            </w:r>
            <w:r>
              <w:t xml:space="preserve">= </w:t>
            </w:r>
            <w:r w:rsidRPr="00485061">
              <w:t>1.50</w:t>
            </w:r>
            <w:r>
              <w:t xml:space="preserve"> </w:t>
            </w:r>
            <w:r w:rsidRPr="00485061">
              <w:t>(0.85</w:t>
            </w:r>
            <w:r>
              <w:t>,</w:t>
            </w:r>
            <w:r w:rsidRPr="00485061">
              <w:t xml:space="preserve"> 2.64)</w:t>
            </w:r>
          </w:p>
        </w:tc>
        <w:tc>
          <w:tcPr>
            <w:tcW w:w="2551" w:type="dxa"/>
          </w:tcPr>
          <w:p w:rsidR="00BD512F" w:rsidRPr="000E45D6" w:rsidRDefault="00BD512F" w:rsidP="00BD512F">
            <w:pPr>
              <w:pStyle w:val="Tabletext"/>
              <w:rPr>
                <w:rFonts w:cs="Arial"/>
              </w:rPr>
            </w:pPr>
            <w:r>
              <w:rPr>
                <w:rFonts w:cs="Arial"/>
              </w:rPr>
              <w:t>More</w:t>
            </w:r>
            <w:r w:rsidRPr="000E45D6">
              <w:rPr>
                <w:rFonts w:cs="Arial"/>
              </w:rPr>
              <w:t xml:space="preserve"> patients </w:t>
            </w:r>
            <w:r>
              <w:rPr>
                <w:rFonts w:cs="Arial"/>
              </w:rPr>
              <w:t xml:space="preserve">experienced an AE </w:t>
            </w:r>
            <w:r w:rsidRPr="000E45D6">
              <w:rPr>
                <w:rFonts w:cs="Arial"/>
              </w:rPr>
              <w:t xml:space="preserve">with combination therapy compared with </w:t>
            </w:r>
            <w:r>
              <w:rPr>
                <w:rFonts w:cs="Arial"/>
              </w:rPr>
              <w:t>monotherapy,</w:t>
            </w:r>
            <w:r>
              <w:t xml:space="preserve"> </w:t>
            </w:r>
            <w:r w:rsidR="003D210A" w:rsidRPr="002375AD">
              <w:t xml:space="preserve">but the </w:t>
            </w:r>
            <w:r w:rsidR="003D210A">
              <w:t>95% CI indicates</w:t>
            </w:r>
            <w:r w:rsidR="003D210A" w:rsidRPr="002375AD">
              <w:t xml:space="preserve"> that </w:t>
            </w:r>
            <w:r w:rsidR="003D210A">
              <w:t>the study was underpowered for this outcome</w:t>
            </w:r>
            <w:r>
              <w:t>.</w:t>
            </w:r>
          </w:p>
        </w:tc>
        <w:tc>
          <w:tcPr>
            <w:tcW w:w="1134" w:type="dxa"/>
          </w:tcPr>
          <w:p w:rsidR="00BD512F" w:rsidRPr="006316DF" w:rsidRDefault="00BD512F" w:rsidP="00BD512F">
            <w:pPr>
              <w:pStyle w:val="Tabletext"/>
              <w:rPr>
                <w:rFonts w:cs="Arial"/>
              </w:rPr>
            </w:pPr>
            <w:r>
              <w:rPr>
                <w:rFonts w:cs="Arial"/>
              </w:rPr>
              <w:t>Low</w:t>
            </w:r>
          </w:p>
          <w:p w:rsidR="00BD512F" w:rsidRPr="006316DF" w:rsidRDefault="00BD512F" w:rsidP="00BD512F">
            <w:pPr>
              <w:pStyle w:val="Tabletext"/>
              <w:rPr>
                <w:rFonts w:cs="Cambria Math"/>
                <w:bCs/>
              </w:rPr>
            </w:pPr>
            <w:r w:rsidRPr="006316DF">
              <w:rPr>
                <w:rFonts w:ascii="Cambria Math" w:hAnsi="Cambria Math" w:cs="Cambria Math"/>
                <w:bCs/>
                <w:color w:val="00B050"/>
              </w:rPr>
              <w:t>⨁⨁</w:t>
            </w:r>
            <w:r w:rsidRPr="00E564DD">
              <w:rPr>
                <w:rFonts w:ascii="Cambria Math" w:eastAsia="Times New Roman" w:hAnsi="Cambria Math" w:cs="Cambria Math"/>
                <w:bCs/>
                <w:color w:val="FF0000"/>
              </w:rPr>
              <w:t>⨀⨀</w:t>
            </w:r>
          </w:p>
          <w:p w:rsidR="00BD512F" w:rsidRPr="006316DF" w:rsidRDefault="00BD512F" w:rsidP="00BD512F">
            <w:pPr>
              <w:pStyle w:val="Tabletext"/>
              <w:rPr>
                <w:rFonts w:cs="Arial"/>
              </w:rPr>
            </w:pPr>
            <w:r w:rsidRPr="006316DF">
              <w:rPr>
                <w:rFonts w:cs="Arial"/>
              </w:rPr>
              <w:t>Important</w:t>
            </w:r>
          </w:p>
        </w:tc>
      </w:tr>
      <w:tr w:rsidR="00BD512F" w:rsidRPr="00527A70" w:rsidTr="00B14FF5">
        <w:tc>
          <w:tcPr>
            <w:tcW w:w="1560" w:type="dxa"/>
          </w:tcPr>
          <w:p w:rsidR="00BD512F" w:rsidRPr="00163A1F" w:rsidRDefault="00BD512F" w:rsidP="00BD512F">
            <w:pPr>
              <w:pStyle w:val="Tabletext"/>
              <w:rPr>
                <w:rFonts w:cs="Arial"/>
              </w:rPr>
            </w:pPr>
            <w:r w:rsidRPr="00163A1F">
              <w:rPr>
                <w:rFonts w:cs="Arial"/>
              </w:rPr>
              <w:t>Serious AEs</w:t>
            </w:r>
          </w:p>
        </w:tc>
        <w:tc>
          <w:tcPr>
            <w:tcW w:w="1275" w:type="dxa"/>
          </w:tcPr>
          <w:p w:rsidR="00BD512F" w:rsidRPr="00163A1F" w:rsidRDefault="00BD512F" w:rsidP="00BD512F">
            <w:pPr>
              <w:pStyle w:val="Tabletext"/>
              <w:rPr>
                <w:rFonts w:cs="Arial"/>
              </w:rPr>
            </w:pPr>
            <w:r w:rsidRPr="00163A1F">
              <w:rPr>
                <w:rFonts w:cs="Arial"/>
              </w:rPr>
              <w:t>N=18</w:t>
            </w:r>
          </w:p>
          <w:p w:rsidR="00BD512F" w:rsidRPr="00163A1F" w:rsidRDefault="00BD512F" w:rsidP="00BD512F">
            <w:pPr>
              <w:pStyle w:val="Tabletext"/>
              <w:rPr>
                <w:rFonts w:cs="Arial"/>
              </w:rPr>
            </w:pPr>
            <w:r w:rsidRPr="00163A1F">
              <w:rPr>
                <w:rFonts w:cs="Arial"/>
              </w:rPr>
              <w:t>k=1 RCT</w:t>
            </w:r>
          </w:p>
        </w:tc>
        <w:tc>
          <w:tcPr>
            <w:tcW w:w="1701" w:type="dxa"/>
          </w:tcPr>
          <w:p w:rsidR="00BD512F" w:rsidRPr="00163A1F" w:rsidRDefault="00BD512F" w:rsidP="00BD512F">
            <w:pPr>
              <w:pStyle w:val="Tabletext"/>
              <w:rPr>
                <w:rFonts w:cs="Arial"/>
              </w:rPr>
            </w:pPr>
            <w:r w:rsidRPr="00163A1F">
              <w:rPr>
                <w:rFonts w:cs="Arial"/>
              </w:rPr>
              <w:t>Risk of bias: 0</w:t>
            </w:r>
          </w:p>
          <w:p w:rsidR="00BD512F" w:rsidRPr="00163A1F" w:rsidRDefault="00BD512F" w:rsidP="00BD512F">
            <w:pPr>
              <w:pStyle w:val="Tabletext"/>
              <w:rPr>
                <w:rFonts w:cs="Arial"/>
              </w:rPr>
            </w:pPr>
            <w:r w:rsidRPr="00163A1F">
              <w:rPr>
                <w:rFonts w:cs="Arial"/>
              </w:rPr>
              <w:t>Inconsistency: 0</w:t>
            </w:r>
          </w:p>
          <w:p w:rsidR="00BD512F" w:rsidRPr="00163A1F" w:rsidRDefault="00BD512F" w:rsidP="00BD512F">
            <w:pPr>
              <w:pStyle w:val="Tabletext"/>
              <w:rPr>
                <w:rFonts w:cs="Arial"/>
              </w:rPr>
            </w:pPr>
            <w:r w:rsidRPr="00163A1F">
              <w:rPr>
                <w:rFonts w:cs="Arial"/>
              </w:rPr>
              <w:t>Indirectness: 0</w:t>
            </w:r>
          </w:p>
          <w:p w:rsidR="00BD512F" w:rsidRPr="00163A1F" w:rsidRDefault="00BD512F" w:rsidP="00BD512F">
            <w:pPr>
              <w:pStyle w:val="Tabletext"/>
              <w:rPr>
                <w:rFonts w:cs="Arial"/>
              </w:rPr>
            </w:pPr>
            <w:r w:rsidRPr="00163A1F">
              <w:rPr>
                <w:rFonts w:cs="Arial"/>
              </w:rPr>
              <w:t xml:space="preserve">Imprecision: </w:t>
            </w:r>
            <w:r>
              <w:rPr>
                <w:rFonts w:cs="Arial"/>
              </w:rPr>
              <w:t>−2</w:t>
            </w:r>
          </w:p>
          <w:p w:rsidR="00BD512F" w:rsidRPr="00163A1F" w:rsidRDefault="00BD512F" w:rsidP="00BD512F">
            <w:pPr>
              <w:pStyle w:val="Tabletext"/>
              <w:rPr>
                <w:rFonts w:cs="Arial"/>
              </w:rPr>
            </w:pPr>
            <w:r w:rsidRPr="00163A1F">
              <w:rPr>
                <w:rFonts w:cs="Arial"/>
              </w:rPr>
              <w:t>Publication bias: 0</w:t>
            </w:r>
          </w:p>
          <w:p w:rsidR="00BD512F" w:rsidRPr="00163A1F" w:rsidRDefault="00BD512F" w:rsidP="00BD512F">
            <w:pPr>
              <w:pStyle w:val="Tabletext"/>
              <w:rPr>
                <w:rFonts w:cs="Arial"/>
              </w:rPr>
            </w:pPr>
            <w:r w:rsidRPr="00163A1F">
              <w:rPr>
                <w:rFonts w:cs="Arial"/>
              </w:rPr>
              <w:t>Association: 0</w:t>
            </w:r>
          </w:p>
        </w:tc>
        <w:tc>
          <w:tcPr>
            <w:tcW w:w="1413" w:type="dxa"/>
          </w:tcPr>
          <w:p w:rsidR="00BD512F" w:rsidRPr="00163A1F" w:rsidRDefault="00BD512F" w:rsidP="00BD512F">
            <w:pPr>
              <w:pStyle w:val="Tabletext"/>
            </w:pPr>
            <w:r>
              <w:t>ARD</w:t>
            </w:r>
            <w:r w:rsidRPr="00163A1F">
              <w:t xml:space="preserve"> = 16.7% (−4.4, 37.8)</w:t>
            </w:r>
          </w:p>
        </w:tc>
        <w:tc>
          <w:tcPr>
            <w:tcW w:w="2551" w:type="dxa"/>
          </w:tcPr>
          <w:p w:rsidR="00BD512F" w:rsidRPr="00163A1F" w:rsidRDefault="00BD512F" w:rsidP="00BD512F">
            <w:pPr>
              <w:pStyle w:val="Tabletext"/>
            </w:pPr>
            <w:r w:rsidRPr="00163A1F">
              <w:rPr>
                <w:rFonts w:cs="Arial"/>
              </w:rPr>
              <w:t>More patients experienced a serious AE with combination therapy compared with monotherapy,</w:t>
            </w:r>
            <w:r w:rsidRPr="00163A1F">
              <w:t xml:space="preserve"> </w:t>
            </w:r>
            <w:r w:rsidR="003D210A" w:rsidRPr="002375AD">
              <w:t xml:space="preserve">but the </w:t>
            </w:r>
            <w:r w:rsidR="003D210A">
              <w:t>95% CI indicates</w:t>
            </w:r>
            <w:r w:rsidR="003D210A" w:rsidRPr="002375AD">
              <w:t xml:space="preserve"> that </w:t>
            </w:r>
            <w:r w:rsidR="003D210A">
              <w:t>the study was underpowered for this outcome</w:t>
            </w:r>
          </w:p>
        </w:tc>
        <w:tc>
          <w:tcPr>
            <w:tcW w:w="1134" w:type="dxa"/>
          </w:tcPr>
          <w:p w:rsidR="00BD512F" w:rsidRPr="00163A1F" w:rsidRDefault="00BD512F" w:rsidP="00BD512F">
            <w:pPr>
              <w:pStyle w:val="Tabletext"/>
              <w:rPr>
                <w:rFonts w:cs="Arial"/>
              </w:rPr>
            </w:pPr>
            <w:r>
              <w:rPr>
                <w:rFonts w:cs="Arial"/>
              </w:rPr>
              <w:t>Low</w:t>
            </w:r>
          </w:p>
          <w:p w:rsidR="00BD512F" w:rsidRPr="00163A1F" w:rsidRDefault="00BD512F" w:rsidP="00BD512F">
            <w:pPr>
              <w:pStyle w:val="Tabletext"/>
              <w:rPr>
                <w:rFonts w:cs="Cambria Math"/>
                <w:bCs/>
              </w:rPr>
            </w:pPr>
            <w:r w:rsidRPr="00163A1F">
              <w:rPr>
                <w:rFonts w:ascii="Cambria Math" w:hAnsi="Cambria Math" w:cs="Cambria Math"/>
                <w:bCs/>
                <w:color w:val="00B050"/>
              </w:rPr>
              <w:t>⨁⨁</w:t>
            </w:r>
            <w:r w:rsidRPr="00E564DD">
              <w:rPr>
                <w:rFonts w:ascii="Cambria Math" w:eastAsia="Times New Roman" w:hAnsi="Cambria Math" w:cs="Cambria Math"/>
                <w:bCs/>
                <w:color w:val="FF0000"/>
              </w:rPr>
              <w:t>⨀⨀</w:t>
            </w:r>
          </w:p>
          <w:p w:rsidR="00BD512F" w:rsidRPr="00163A1F" w:rsidRDefault="00BD512F" w:rsidP="00BD512F">
            <w:pPr>
              <w:pStyle w:val="Tabletext"/>
              <w:rPr>
                <w:rFonts w:cs="Arial"/>
              </w:rPr>
            </w:pPr>
            <w:r w:rsidRPr="00163A1F">
              <w:rPr>
                <w:rFonts w:cs="Arial"/>
              </w:rPr>
              <w:t>Important</w:t>
            </w:r>
          </w:p>
        </w:tc>
      </w:tr>
      <w:tr w:rsidR="00BD512F" w:rsidRPr="006316DF" w:rsidTr="00B14FF5">
        <w:tc>
          <w:tcPr>
            <w:tcW w:w="1560" w:type="dxa"/>
          </w:tcPr>
          <w:p w:rsidR="00BD512F" w:rsidRPr="00163A1F" w:rsidRDefault="00BD512F" w:rsidP="00BD512F">
            <w:pPr>
              <w:pStyle w:val="Tabletext"/>
              <w:rPr>
                <w:rFonts w:cs="Arial"/>
              </w:rPr>
            </w:pPr>
            <w:r w:rsidRPr="00163A1F">
              <w:rPr>
                <w:rFonts w:cs="Arial"/>
              </w:rPr>
              <w:t>AEs leading to treatment discontinuation</w:t>
            </w:r>
          </w:p>
        </w:tc>
        <w:tc>
          <w:tcPr>
            <w:tcW w:w="1275" w:type="dxa"/>
          </w:tcPr>
          <w:p w:rsidR="00BD512F" w:rsidRPr="00163A1F" w:rsidRDefault="00BD512F" w:rsidP="00BD512F">
            <w:pPr>
              <w:pStyle w:val="Tabletext"/>
              <w:rPr>
                <w:rFonts w:cs="Arial"/>
              </w:rPr>
            </w:pPr>
            <w:r w:rsidRPr="00163A1F">
              <w:rPr>
                <w:rFonts w:cs="Arial"/>
              </w:rPr>
              <w:t>N=18</w:t>
            </w:r>
          </w:p>
          <w:p w:rsidR="00BD512F" w:rsidRPr="00163A1F" w:rsidRDefault="00BD512F" w:rsidP="00BD512F">
            <w:pPr>
              <w:pStyle w:val="Tabletext"/>
              <w:rPr>
                <w:rFonts w:cs="Arial"/>
              </w:rPr>
            </w:pPr>
            <w:r w:rsidRPr="00163A1F">
              <w:rPr>
                <w:rFonts w:cs="Arial"/>
              </w:rPr>
              <w:t>k=1 RCT</w:t>
            </w:r>
          </w:p>
        </w:tc>
        <w:tc>
          <w:tcPr>
            <w:tcW w:w="1701" w:type="dxa"/>
          </w:tcPr>
          <w:p w:rsidR="00BD512F" w:rsidRPr="00163A1F" w:rsidRDefault="00BD512F" w:rsidP="00BD512F">
            <w:pPr>
              <w:pStyle w:val="Tabletext"/>
              <w:rPr>
                <w:rFonts w:cs="Arial"/>
              </w:rPr>
            </w:pPr>
            <w:r w:rsidRPr="00163A1F">
              <w:rPr>
                <w:rFonts w:cs="Arial"/>
              </w:rPr>
              <w:t>Risk of bias: 0</w:t>
            </w:r>
          </w:p>
          <w:p w:rsidR="00BD512F" w:rsidRPr="00163A1F" w:rsidRDefault="00BD512F" w:rsidP="00BD512F">
            <w:pPr>
              <w:pStyle w:val="Tabletext"/>
              <w:rPr>
                <w:rFonts w:cs="Arial"/>
              </w:rPr>
            </w:pPr>
            <w:r w:rsidRPr="00163A1F">
              <w:rPr>
                <w:rFonts w:cs="Arial"/>
              </w:rPr>
              <w:t>Inconsistency: 0</w:t>
            </w:r>
          </w:p>
          <w:p w:rsidR="00BD512F" w:rsidRPr="00163A1F" w:rsidRDefault="00BD512F" w:rsidP="00BD512F">
            <w:pPr>
              <w:pStyle w:val="Tabletext"/>
              <w:rPr>
                <w:rFonts w:cs="Arial"/>
              </w:rPr>
            </w:pPr>
            <w:r w:rsidRPr="00163A1F">
              <w:rPr>
                <w:rFonts w:cs="Arial"/>
              </w:rPr>
              <w:t>Indirectness: 0</w:t>
            </w:r>
          </w:p>
          <w:p w:rsidR="00BD512F" w:rsidRPr="00163A1F" w:rsidRDefault="00BD512F" w:rsidP="00BD512F">
            <w:pPr>
              <w:pStyle w:val="Tabletext"/>
              <w:rPr>
                <w:rFonts w:cs="Arial"/>
              </w:rPr>
            </w:pPr>
            <w:r w:rsidRPr="00163A1F">
              <w:rPr>
                <w:rFonts w:cs="Arial"/>
              </w:rPr>
              <w:t xml:space="preserve">Imprecision: </w:t>
            </w:r>
            <w:r>
              <w:rPr>
                <w:rFonts w:cs="Arial"/>
              </w:rPr>
              <w:t>−2</w:t>
            </w:r>
          </w:p>
          <w:p w:rsidR="00BD512F" w:rsidRPr="00163A1F" w:rsidRDefault="00BD512F" w:rsidP="00BD512F">
            <w:pPr>
              <w:pStyle w:val="Tabletext"/>
              <w:rPr>
                <w:rFonts w:cs="Arial"/>
              </w:rPr>
            </w:pPr>
            <w:r w:rsidRPr="00163A1F">
              <w:rPr>
                <w:rFonts w:cs="Arial"/>
              </w:rPr>
              <w:t>Publication bias: 0</w:t>
            </w:r>
          </w:p>
          <w:p w:rsidR="00BD512F" w:rsidRPr="00163A1F" w:rsidRDefault="00BD512F" w:rsidP="00BD512F">
            <w:pPr>
              <w:pStyle w:val="Tabletext"/>
              <w:rPr>
                <w:rFonts w:cs="Arial"/>
              </w:rPr>
            </w:pPr>
            <w:r w:rsidRPr="00163A1F">
              <w:rPr>
                <w:rFonts w:cs="Arial"/>
              </w:rPr>
              <w:t>Association: 0</w:t>
            </w:r>
          </w:p>
        </w:tc>
        <w:tc>
          <w:tcPr>
            <w:tcW w:w="1413" w:type="dxa"/>
          </w:tcPr>
          <w:p w:rsidR="00BD512F" w:rsidRPr="00163A1F" w:rsidRDefault="00BD512F" w:rsidP="00BD512F">
            <w:pPr>
              <w:pStyle w:val="Tabletext"/>
            </w:pPr>
            <w:r>
              <w:t>ARD</w:t>
            </w:r>
            <w:r w:rsidRPr="00163A1F">
              <w:t xml:space="preserve"> = 8.3% (−7.3, 24.0)</w:t>
            </w:r>
          </w:p>
        </w:tc>
        <w:tc>
          <w:tcPr>
            <w:tcW w:w="2551" w:type="dxa"/>
          </w:tcPr>
          <w:p w:rsidR="00BD512F" w:rsidRPr="00163A1F" w:rsidRDefault="00BD512F" w:rsidP="00BD512F">
            <w:pPr>
              <w:pStyle w:val="Tabletext"/>
              <w:rPr>
                <w:rFonts w:cs="Arial"/>
              </w:rPr>
            </w:pPr>
            <w:r w:rsidRPr="00163A1F">
              <w:rPr>
                <w:rFonts w:cs="Arial"/>
              </w:rPr>
              <w:t xml:space="preserve">More patients needed to discontinue treatment due to an AE with combination therapy compared with monotherapy, </w:t>
            </w:r>
            <w:r w:rsidR="003D210A" w:rsidRPr="002375AD">
              <w:t xml:space="preserve">but the </w:t>
            </w:r>
            <w:r w:rsidR="003D210A">
              <w:t>95% CI indicates</w:t>
            </w:r>
            <w:r w:rsidR="003D210A" w:rsidRPr="002375AD">
              <w:t xml:space="preserve"> that </w:t>
            </w:r>
            <w:r w:rsidR="003D210A">
              <w:t>the study was underpowered for this outcome</w:t>
            </w:r>
          </w:p>
        </w:tc>
        <w:tc>
          <w:tcPr>
            <w:tcW w:w="1134" w:type="dxa"/>
          </w:tcPr>
          <w:p w:rsidR="00BD512F" w:rsidRPr="00163A1F" w:rsidRDefault="00BD512F" w:rsidP="00BD512F">
            <w:pPr>
              <w:pStyle w:val="Tabletext"/>
              <w:rPr>
                <w:rFonts w:cs="Arial"/>
              </w:rPr>
            </w:pPr>
            <w:r>
              <w:rPr>
                <w:rFonts w:cs="Arial"/>
              </w:rPr>
              <w:t>Low</w:t>
            </w:r>
          </w:p>
          <w:p w:rsidR="00BD512F" w:rsidRPr="00163A1F" w:rsidRDefault="00BD512F" w:rsidP="00BD512F">
            <w:pPr>
              <w:pStyle w:val="Tabletext"/>
              <w:rPr>
                <w:rFonts w:cs="Cambria Math"/>
                <w:bCs/>
              </w:rPr>
            </w:pPr>
            <w:r w:rsidRPr="00163A1F">
              <w:rPr>
                <w:rFonts w:ascii="Cambria Math" w:hAnsi="Cambria Math" w:cs="Cambria Math"/>
                <w:bCs/>
                <w:color w:val="00B050"/>
              </w:rPr>
              <w:t>⨁⨁</w:t>
            </w:r>
            <w:r w:rsidRPr="00E564DD">
              <w:rPr>
                <w:rFonts w:ascii="Cambria Math" w:eastAsia="Times New Roman" w:hAnsi="Cambria Math" w:cs="Cambria Math"/>
                <w:bCs/>
                <w:color w:val="FF0000"/>
              </w:rPr>
              <w:t>⨀⨀</w:t>
            </w:r>
          </w:p>
          <w:p w:rsidR="00BD512F" w:rsidRPr="00163A1F" w:rsidRDefault="00BD512F" w:rsidP="00BD512F">
            <w:pPr>
              <w:pStyle w:val="Tabletext"/>
              <w:rPr>
                <w:rFonts w:cs="Arial"/>
              </w:rPr>
            </w:pPr>
            <w:r w:rsidRPr="00163A1F">
              <w:rPr>
                <w:rFonts w:cs="Arial"/>
              </w:rPr>
              <w:t>Important</w:t>
            </w:r>
          </w:p>
        </w:tc>
      </w:tr>
    </w:tbl>
    <w:p w:rsidR="0075777C" w:rsidRPr="006316DF" w:rsidRDefault="0075777C" w:rsidP="00B14FF5">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BD512F" w:rsidRPr="006316DF" w:rsidRDefault="00BD512F" w:rsidP="00BD512F">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146880" w:rsidRDefault="00B21201" w:rsidP="00B14FF5">
      <w:pPr>
        <w:pStyle w:val="Tablenote"/>
      </w:pPr>
      <w:r>
        <w:t>AE = adverse event; ARD</w:t>
      </w:r>
      <w:r w:rsidR="0075777C">
        <w:t xml:space="preserve"> = absolute risk </w:t>
      </w:r>
      <w:r>
        <w:t>difference</w:t>
      </w:r>
      <w:r w:rsidR="0075777C">
        <w:t xml:space="preserve">; CI = confidence interval; </w:t>
      </w:r>
      <w:r w:rsidR="00385E5A">
        <w:t>GRADE = grading of recommendations assessment, development and evaluation</w:t>
      </w:r>
      <w:r w:rsidR="001D34EE" w:rsidRPr="001D34EE">
        <w:rPr>
          <w:noProof/>
          <w:vertAlign w:val="superscript"/>
        </w:rPr>
        <w:t>1</w:t>
      </w:r>
      <w:r w:rsidR="00146880" w:rsidRPr="00F24B06">
        <w:t xml:space="preserve">; k = number of studies; </w:t>
      </w:r>
      <w:r w:rsidR="0075777C">
        <w:t xml:space="preserve">N = number of patients; </w:t>
      </w:r>
      <w:r w:rsidR="0075777C" w:rsidRPr="00C65B42">
        <w:t xml:space="preserve">PAH = pulmonary arterial hypertension; </w:t>
      </w:r>
      <w:r w:rsidR="0075777C" w:rsidRPr="009B5AB3">
        <w:t>PDE-5 = phosphodiesterase type-5</w:t>
      </w:r>
      <w:r w:rsidR="0075777C">
        <w:t>;</w:t>
      </w:r>
      <w:r w:rsidR="0075777C" w:rsidRPr="009B5AB3">
        <w:t xml:space="preserve"> </w:t>
      </w:r>
      <w:r w:rsidR="0075777C">
        <w:t xml:space="preserve">RCT = randomised controlled trial; RR = relative risk; </w:t>
      </w:r>
      <w:r w:rsidR="0075777C" w:rsidRPr="006C6F7B">
        <w:t>sGC = solubl</w:t>
      </w:r>
      <w:r w:rsidR="0075777C">
        <w:t>e guanylate cyclase</w:t>
      </w:r>
    </w:p>
    <w:p w:rsidR="0075777C" w:rsidRPr="006316DF" w:rsidRDefault="000E0079" w:rsidP="0017012F">
      <w:pPr>
        <w:pStyle w:val="Heading4"/>
      </w:pPr>
      <w:r>
        <w:t>4.5.3.8</w:t>
      </w:r>
      <w:r>
        <w:tab/>
      </w:r>
      <w:proofErr w:type="gramStart"/>
      <w:r w:rsidR="0075777C" w:rsidRPr="0006289E">
        <w:t>sGC</w:t>
      </w:r>
      <w:proofErr w:type="gramEnd"/>
      <w:r w:rsidR="0075777C" w:rsidRPr="0006289E">
        <w:t xml:space="preserve"> stimulator in addition to a </w:t>
      </w:r>
      <w:r w:rsidR="0017012F" w:rsidRPr="0017012F">
        <w:t>prostanoid</w:t>
      </w:r>
    </w:p>
    <w:p w:rsidR="0075777C" w:rsidRPr="00107676" w:rsidRDefault="0075777C" w:rsidP="0075777C">
      <w:pPr>
        <w:pStyle w:val="Heading5"/>
      </w:pPr>
      <w:r w:rsidRPr="00107676">
        <w:t>Clinical effectiveness</w:t>
      </w:r>
    </w:p>
    <w:p w:rsidR="0075777C" w:rsidRDefault="0075777C" w:rsidP="0075777C">
      <w:r>
        <w:t xml:space="preserve">The RCT that provided the evidence base for </w:t>
      </w:r>
      <w:r w:rsidRPr="000522D6">
        <w:t xml:space="preserve">comparing </w:t>
      </w:r>
      <w:r>
        <w:t xml:space="preserve">the effectiveness of </w:t>
      </w:r>
      <w:r w:rsidRPr="000522D6">
        <w:t xml:space="preserve">a </w:t>
      </w:r>
      <w:r w:rsidRPr="001A61AD">
        <w:t xml:space="preserve">sGC stimulator </w:t>
      </w:r>
      <w:r w:rsidRPr="000522D6">
        <w:t xml:space="preserve">in addition to </w:t>
      </w:r>
      <w:r>
        <w:t xml:space="preserve">a </w:t>
      </w:r>
      <w:r w:rsidR="00920393">
        <w:t>prostanoid</w:t>
      </w:r>
      <w:r w:rsidRPr="000522D6">
        <w:t xml:space="preserve"> </w:t>
      </w:r>
      <w:r>
        <w:t>compared with</w:t>
      </w:r>
      <w:r w:rsidRPr="000522D6">
        <w:t xml:space="preserve"> </w:t>
      </w:r>
      <w:r w:rsidR="00920393">
        <w:t>prostanoid</w:t>
      </w:r>
      <w:r w:rsidRPr="000522D6">
        <w:t xml:space="preserve"> monotherapy</w:t>
      </w:r>
      <w:r>
        <w:t xml:space="preserve"> enrolled a subgroup of patients </w:t>
      </w:r>
      <w:r w:rsidRPr="004F7ADF">
        <w:t xml:space="preserve">with background </w:t>
      </w:r>
      <w:r w:rsidR="00920393">
        <w:t>prostanoid</w:t>
      </w:r>
      <w:r w:rsidRPr="004F7ADF">
        <w:t xml:space="preserve"> </w:t>
      </w:r>
      <w:r>
        <w:t>t</w:t>
      </w:r>
      <w:r w:rsidRPr="004F7ADF">
        <w:t>herapy</w:t>
      </w:r>
      <w:r>
        <w:t xml:space="preserve"> </w:t>
      </w:r>
      <w:r w:rsidRPr="001A61AD">
        <w:t>(sequential combination therapy).</w:t>
      </w:r>
      <w:r>
        <w:t xml:space="preserve"> As this was a very small subgroup, no additional subgroup analysis based on WHO FC or </w:t>
      </w:r>
      <w:proofErr w:type="gramStart"/>
      <w:r>
        <w:t>PAH</w:t>
      </w:r>
      <w:proofErr w:type="gramEnd"/>
      <w:r>
        <w:t xml:space="preserve"> aetiology was undertaken.</w:t>
      </w:r>
    </w:p>
    <w:p w:rsidR="0075777C" w:rsidRPr="00920393" w:rsidRDefault="0075777C" w:rsidP="0075777C">
      <w:r w:rsidRPr="006316DF">
        <w:t xml:space="preserve">The </w:t>
      </w:r>
      <w:r>
        <w:t xml:space="preserve">detailed </w:t>
      </w:r>
      <w:r w:rsidRPr="006316DF">
        <w:t>GRADE</w:t>
      </w:r>
      <w:r w:rsidR="001D34EE" w:rsidRPr="001D34EE">
        <w:rPr>
          <w:noProof/>
          <w:vertAlign w:val="superscript"/>
        </w:rPr>
        <w:t>1</w:t>
      </w:r>
      <w:r w:rsidRPr="006316DF">
        <w:t xml:space="preserve"> assessments of the outcomes when comparing </w:t>
      </w:r>
      <w:r>
        <w:t xml:space="preserve">a </w:t>
      </w:r>
      <w:r w:rsidRPr="008B0075">
        <w:t xml:space="preserve">sGC stimulator in addition to a </w:t>
      </w:r>
      <w:r w:rsidR="00920393" w:rsidRPr="008B0075">
        <w:t>prostanoid</w:t>
      </w:r>
      <w:r w:rsidRPr="008B0075">
        <w:t xml:space="preserve">, relative to </w:t>
      </w:r>
      <w:r w:rsidR="00920393" w:rsidRPr="008B0075">
        <w:t>prostanoid</w:t>
      </w:r>
      <w:r w:rsidRPr="008B0075">
        <w:t xml:space="preserve"> monotherapy </w:t>
      </w:r>
      <w:r>
        <w:t xml:space="preserve">are reported in </w:t>
      </w:r>
      <w:r w:rsidR="002046A0">
        <w:rPr>
          <w:noProof/>
          <w:color w:val="000000"/>
          <w:highlight w:val="black"/>
        </w:rPr>
        <w:t>''''''''''' '''''''''''</w:t>
      </w:r>
      <w:r>
        <w:t xml:space="preserve"> </w:t>
      </w:r>
      <w:r w:rsidRPr="006316DF">
        <w:t xml:space="preserve">in Appendix </w:t>
      </w:r>
      <w:r w:rsidR="00DA2636">
        <w:t>4</w:t>
      </w:r>
      <w:r w:rsidR="001B552D">
        <w:t>C</w:t>
      </w:r>
      <w:r w:rsidRPr="006316DF">
        <w:t xml:space="preserve">. A summary of these results </w:t>
      </w:r>
      <w:proofErr w:type="gramStart"/>
      <w:r w:rsidRPr="006316DF">
        <w:t>is provided</w:t>
      </w:r>
      <w:proofErr w:type="gramEnd"/>
      <w:r w:rsidRPr="006316DF">
        <w:t xml:space="preserve"> in</w:t>
      </w:r>
      <w:r>
        <w:t xml:space="preserve"> </w:t>
      </w:r>
      <w:r w:rsidR="003951FA">
        <w:t>Table 4.</w:t>
      </w:r>
      <w:r w:rsidR="003951FA">
        <w:rPr>
          <w:noProof/>
        </w:rPr>
        <w:t>143</w:t>
      </w:r>
      <w:r w:rsidR="00B3296A">
        <w:t xml:space="preserve">. </w:t>
      </w:r>
      <w:r w:rsidRPr="006316DF">
        <w:t xml:space="preserve">The evidence base for </w:t>
      </w:r>
      <w:r w:rsidR="00B3296A">
        <w:t>most</w:t>
      </w:r>
      <w:r w:rsidRPr="006316DF">
        <w:t xml:space="preserve"> outcomes considered to be of </w:t>
      </w:r>
      <w:r w:rsidR="00B3296A">
        <w:t>low</w:t>
      </w:r>
      <w:r w:rsidRPr="006316DF">
        <w:t xml:space="preserve"> quality (GRADE </w:t>
      </w:r>
      <w:r w:rsidRPr="00920393">
        <w:rPr>
          <w:rFonts w:ascii="Cambria Math" w:eastAsia="Times New Roman" w:hAnsi="Cambria Math" w:cs="Tahoma"/>
          <w:bCs/>
          <w:color w:val="00B050"/>
        </w:rPr>
        <w:t>⨁⨁</w:t>
      </w:r>
      <w:r w:rsidR="00B3296A" w:rsidRPr="00920393">
        <w:rPr>
          <w:rFonts w:ascii="Cambria Math" w:eastAsia="Times New Roman" w:hAnsi="Cambria Math" w:cs="Cambria Math"/>
          <w:bCs/>
          <w:color w:val="C00000"/>
        </w:rPr>
        <w:t>⨀⨀</w:t>
      </w:r>
      <w:r w:rsidRPr="00920393">
        <w:t>). However, the study was very small and is likely underpowered to detect a true difference in this patient subgroup.</w:t>
      </w:r>
    </w:p>
    <w:p w:rsidR="0075777C" w:rsidRDefault="0075777C" w:rsidP="0075777C">
      <w:r w:rsidRPr="006316DF">
        <w:t xml:space="preserve">When taking </w:t>
      </w:r>
      <w:r>
        <w:t>the whole body of evidence</w:t>
      </w:r>
      <w:r w:rsidRPr="006316DF">
        <w:t xml:space="preserve"> into account, patients </w:t>
      </w:r>
      <w:r>
        <w:t>on combination therapy</w:t>
      </w:r>
      <w:r w:rsidRPr="006316DF">
        <w:t xml:space="preserve"> ha</w:t>
      </w:r>
      <w:r>
        <w:t>d</w:t>
      </w:r>
      <w:r w:rsidRPr="006316DF">
        <w:t xml:space="preserve"> a </w:t>
      </w:r>
      <w:r>
        <w:t xml:space="preserve">larger mean </w:t>
      </w:r>
      <w:r w:rsidRPr="006316DF">
        <w:t>improvement in their 6MWD</w:t>
      </w:r>
      <w:r>
        <w:t>,</w:t>
      </w:r>
      <w:r w:rsidRPr="006316DF">
        <w:t xml:space="preserve"> </w:t>
      </w:r>
      <w:r>
        <w:t xml:space="preserve">PVR and QoL </w:t>
      </w:r>
      <w:r w:rsidRPr="006316DF">
        <w:t>than those taking a placebo</w:t>
      </w:r>
      <w:r>
        <w:t>; the large mean differences between the combination and monotherapy groups were</w:t>
      </w:r>
      <w:r w:rsidRPr="006316DF">
        <w:t xml:space="preserve"> </w:t>
      </w:r>
      <w:r>
        <w:t>clinically important.</w:t>
      </w:r>
      <w:r w:rsidRPr="006316DF">
        <w:t xml:space="preserve"> </w:t>
      </w:r>
      <w:r>
        <w:t xml:space="preserve">More </w:t>
      </w:r>
      <w:r w:rsidRPr="00944958">
        <w:t xml:space="preserve">patients </w:t>
      </w:r>
      <w:r>
        <w:t xml:space="preserve">improved their WHO FC </w:t>
      </w:r>
      <w:r w:rsidRPr="00944958">
        <w:t>on combination therapy compared with monotherapy</w:t>
      </w:r>
      <w:r>
        <w:t>,</w:t>
      </w:r>
      <w:r w:rsidRPr="00944958">
        <w:t xml:space="preserve"> but the </w:t>
      </w:r>
      <w:r w:rsidR="003D210A">
        <w:t xml:space="preserve">wide </w:t>
      </w:r>
      <w:r w:rsidR="00D84687">
        <w:t>95% CI indicates</w:t>
      </w:r>
      <w:r w:rsidRPr="00944958">
        <w:t xml:space="preserve"> that there may also be the opposite effect.</w:t>
      </w:r>
      <w:r>
        <w:t xml:space="preserve"> </w:t>
      </w:r>
      <w:r w:rsidRPr="006316DF">
        <w:t xml:space="preserve">All </w:t>
      </w:r>
      <w:r>
        <w:t xml:space="preserve">other </w:t>
      </w:r>
      <w:r w:rsidRPr="006316DF">
        <w:t xml:space="preserve">outcomes </w:t>
      </w:r>
      <w:r w:rsidR="003D210A">
        <w:t>numerically</w:t>
      </w:r>
      <w:r>
        <w:t xml:space="preserve"> </w:t>
      </w:r>
      <w:r w:rsidRPr="006316DF">
        <w:t>favour</w:t>
      </w:r>
      <w:r>
        <w:t>ed</w:t>
      </w:r>
      <w:r w:rsidRPr="006316DF">
        <w:t xml:space="preserve"> the use of </w:t>
      </w:r>
      <w:r>
        <w:t xml:space="preserve">combination therapy </w:t>
      </w:r>
      <w:r w:rsidRPr="006316DF">
        <w:t xml:space="preserve">over </w:t>
      </w:r>
      <w:r>
        <w:t>monotherapy</w:t>
      </w:r>
      <w:r w:rsidR="003D210A">
        <w:t>. The small sample size indicates that the study was statistically underpower</w:t>
      </w:r>
      <w:r w:rsidR="00377908">
        <w:t>ed to detect a true difference.</w:t>
      </w:r>
    </w:p>
    <w:p w:rsidR="00B3296A" w:rsidRPr="006316DF" w:rsidRDefault="00B3296A" w:rsidP="0075777C">
      <w:r w:rsidRPr="00B3296A">
        <w:t>Thus, there is considerable uncertainty as to whether the use of a sGC stimulator in addition to a prostanoid, relative to prostanoid monotherapy to treat PAH patients is likely to be beneficial.</w:t>
      </w:r>
    </w:p>
    <w:p w:rsidR="0075777C" w:rsidRPr="006316DF" w:rsidRDefault="00272F8F" w:rsidP="00BC5A2B">
      <w:pPr>
        <w:pStyle w:val="Caption"/>
      </w:pPr>
      <w:bookmarkStart w:id="392" w:name="_Ref505870509"/>
      <w:bookmarkStart w:id="393" w:name="_Toc38360440"/>
      <w:r>
        <w:t>Table 4.</w:t>
      </w:r>
      <w:r w:rsidR="003951FA">
        <w:rPr>
          <w:noProof/>
        </w:rPr>
        <w:t>143</w:t>
      </w:r>
      <w:bookmarkEnd w:id="392"/>
      <w:r w:rsidR="00B14FF5">
        <w:tab/>
      </w:r>
      <w:r w:rsidR="0075777C" w:rsidRPr="006316DF">
        <w:t xml:space="preserve">Balance of clinical benefits of </w:t>
      </w:r>
      <w:r w:rsidR="001B552D">
        <w:t xml:space="preserve">a </w:t>
      </w:r>
      <w:r w:rsidR="0075777C" w:rsidRPr="0006289E">
        <w:t xml:space="preserve">sGC stimulator in addition to a </w:t>
      </w:r>
      <w:r w:rsidR="00920393" w:rsidRPr="0006289E">
        <w:t>prostanoid</w:t>
      </w:r>
      <w:r w:rsidR="0075777C" w:rsidRPr="006316DF">
        <w:t xml:space="preserve">, relative to </w:t>
      </w:r>
      <w:r w:rsidR="00920393" w:rsidRPr="0006289E">
        <w:t>prostanoid</w:t>
      </w:r>
      <w:r w:rsidR="0075777C">
        <w:t xml:space="preserve"> monotherapy in all PAH patients</w:t>
      </w:r>
      <w:bookmarkEnd w:id="393"/>
    </w:p>
    <w:tbl>
      <w:tblPr>
        <w:tblStyle w:val="TableGrid"/>
        <w:tblW w:w="9634" w:type="dxa"/>
        <w:tblLayout w:type="fixed"/>
        <w:tblLook w:val="04A0" w:firstRow="1" w:lastRow="0" w:firstColumn="1" w:lastColumn="0" w:noHBand="0" w:noVBand="1"/>
        <w:tblCaption w:val="Balance of clinical benefits of a sGC stimulator in addition to a prostanoid, relative to prostanoid monotherapy in all PAH patients"/>
      </w:tblPr>
      <w:tblGrid>
        <w:gridCol w:w="1560"/>
        <w:gridCol w:w="1275"/>
        <w:gridCol w:w="1701"/>
        <w:gridCol w:w="1413"/>
        <w:gridCol w:w="2551"/>
        <w:gridCol w:w="1134"/>
      </w:tblGrid>
      <w:tr w:rsidR="0075777C" w:rsidRPr="00F05153" w:rsidTr="00B14FF5">
        <w:trPr>
          <w:cnfStyle w:val="100000000000" w:firstRow="1" w:lastRow="0" w:firstColumn="0" w:lastColumn="0" w:oddVBand="0" w:evenVBand="0" w:oddHBand="0" w:evenHBand="0" w:firstRowFirstColumn="0" w:firstRowLastColumn="0" w:lastRowFirstColumn="0" w:lastRowLastColumn="0"/>
        </w:trPr>
        <w:tc>
          <w:tcPr>
            <w:tcW w:w="1560" w:type="dxa"/>
          </w:tcPr>
          <w:p w:rsidR="0075777C" w:rsidRPr="00F05153" w:rsidRDefault="0075777C" w:rsidP="00B14FF5">
            <w:pPr>
              <w:pStyle w:val="Tabletext"/>
              <w:rPr>
                <w:b/>
                <w:noProof/>
              </w:rPr>
            </w:pPr>
            <w:r w:rsidRPr="00F05153">
              <w:rPr>
                <w:b/>
                <w:noProof/>
              </w:rPr>
              <w:t xml:space="preserve">Outcomes </w:t>
            </w:r>
          </w:p>
        </w:tc>
        <w:tc>
          <w:tcPr>
            <w:tcW w:w="1275" w:type="dxa"/>
          </w:tcPr>
          <w:p w:rsidR="0075777C" w:rsidRPr="00F05153" w:rsidRDefault="0075777C" w:rsidP="00B14FF5">
            <w:pPr>
              <w:pStyle w:val="Tabletext"/>
              <w:rPr>
                <w:b/>
                <w:noProof/>
              </w:rPr>
            </w:pPr>
            <w:r w:rsidRPr="00F05153">
              <w:rPr>
                <w:b/>
                <w:noProof/>
              </w:rPr>
              <w:t>Participants (studies)</w:t>
            </w:r>
          </w:p>
        </w:tc>
        <w:tc>
          <w:tcPr>
            <w:tcW w:w="1701" w:type="dxa"/>
          </w:tcPr>
          <w:p w:rsidR="0075777C" w:rsidRPr="00F05153" w:rsidRDefault="0075777C" w:rsidP="00B14FF5">
            <w:pPr>
              <w:pStyle w:val="Tabletext"/>
              <w:rPr>
                <w:b/>
                <w:noProof/>
              </w:rPr>
            </w:pPr>
            <w:r w:rsidRPr="00F05153">
              <w:rPr>
                <w:b/>
                <w:noProof/>
              </w:rPr>
              <w:t>Quality of evidence</w:t>
            </w:r>
          </w:p>
        </w:tc>
        <w:tc>
          <w:tcPr>
            <w:tcW w:w="1413" w:type="dxa"/>
          </w:tcPr>
          <w:p w:rsidR="0075777C" w:rsidRPr="00F05153" w:rsidRDefault="0075777C" w:rsidP="00B14FF5">
            <w:pPr>
              <w:pStyle w:val="Tabletext"/>
              <w:rPr>
                <w:b/>
                <w:noProof/>
              </w:rPr>
            </w:pPr>
            <w:r w:rsidRPr="00F05153">
              <w:rPr>
                <w:b/>
                <w:noProof/>
              </w:rPr>
              <w:t>Results</w:t>
            </w:r>
          </w:p>
        </w:tc>
        <w:tc>
          <w:tcPr>
            <w:tcW w:w="2551" w:type="dxa"/>
          </w:tcPr>
          <w:p w:rsidR="0075777C" w:rsidRPr="00F05153" w:rsidRDefault="0075777C" w:rsidP="00B14FF5">
            <w:pPr>
              <w:pStyle w:val="Tabletext"/>
              <w:rPr>
                <w:b/>
                <w:noProof/>
              </w:rPr>
            </w:pPr>
            <w:r w:rsidRPr="00F05153">
              <w:rPr>
                <w:b/>
                <w:noProof/>
              </w:rPr>
              <w:t>Interpretation</w:t>
            </w:r>
          </w:p>
        </w:tc>
        <w:tc>
          <w:tcPr>
            <w:tcW w:w="1134" w:type="dxa"/>
          </w:tcPr>
          <w:p w:rsidR="0075777C" w:rsidRPr="00F05153" w:rsidRDefault="0075777C" w:rsidP="00B14FF5">
            <w:pPr>
              <w:pStyle w:val="Tabletext"/>
              <w:rPr>
                <w:b/>
                <w:noProof/>
              </w:rPr>
            </w:pPr>
            <w:r w:rsidRPr="00F05153">
              <w:rPr>
                <w:b/>
                <w:noProof/>
              </w:rPr>
              <w:t>GRADE</w:t>
            </w:r>
            <w:r w:rsidR="00146880" w:rsidRPr="00F05153">
              <w:rPr>
                <w:b/>
                <w:noProof/>
                <w:vertAlign w:val="superscript"/>
              </w:rPr>
              <w:t>a</w:t>
            </w:r>
          </w:p>
          <w:p w:rsidR="0075777C" w:rsidRPr="00F05153" w:rsidRDefault="0075777C" w:rsidP="00B14FF5">
            <w:pPr>
              <w:pStyle w:val="Tabletext"/>
              <w:rPr>
                <w:b/>
                <w:noProof/>
              </w:rPr>
            </w:pPr>
            <w:r w:rsidRPr="00F05153">
              <w:rPr>
                <w:b/>
                <w:noProof/>
              </w:rPr>
              <w:t>Importance</w:t>
            </w:r>
          </w:p>
        </w:tc>
      </w:tr>
      <w:tr w:rsidR="00BD512F" w:rsidRPr="00F05153" w:rsidTr="00B14FF5">
        <w:tc>
          <w:tcPr>
            <w:tcW w:w="1560" w:type="dxa"/>
          </w:tcPr>
          <w:p w:rsidR="00BD512F" w:rsidRPr="00F05153" w:rsidRDefault="00BD512F" w:rsidP="00BD512F">
            <w:pPr>
              <w:pStyle w:val="Tabletext"/>
              <w:rPr>
                <w:rFonts w:cs="Arial"/>
              </w:rPr>
            </w:pPr>
            <w:r w:rsidRPr="00F05153">
              <w:rPr>
                <w:rFonts w:cs="Arial"/>
              </w:rPr>
              <w:t xml:space="preserve">Clinical worsening </w:t>
            </w:r>
          </w:p>
        </w:tc>
        <w:tc>
          <w:tcPr>
            <w:tcW w:w="1275" w:type="dxa"/>
          </w:tcPr>
          <w:p w:rsidR="00BD512F" w:rsidRPr="00F05153" w:rsidRDefault="00BD512F" w:rsidP="00BD512F">
            <w:pPr>
              <w:pStyle w:val="Tabletext"/>
              <w:rPr>
                <w:rFonts w:cs="Arial"/>
              </w:rPr>
            </w:pPr>
            <w:r w:rsidRPr="00F05153">
              <w:rPr>
                <w:rFonts w:cs="Arial"/>
              </w:rPr>
              <w:t>N=27</w:t>
            </w:r>
          </w:p>
          <w:p w:rsidR="00BD512F" w:rsidRPr="00F05153" w:rsidRDefault="00BD512F" w:rsidP="00BD512F">
            <w:pPr>
              <w:pStyle w:val="Tabletext"/>
              <w:rPr>
                <w:rFonts w:cs="Arial"/>
              </w:rPr>
            </w:pPr>
            <w:r w:rsidRPr="00F05153">
              <w:rPr>
                <w:rFonts w:cs="Arial"/>
              </w:rPr>
              <w:t>k=1 RCT</w:t>
            </w:r>
          </w:p>
        </w:tc>
        <w:tc>
          <w:tcPr>
            <w:tcW w:w="1701" w:type="dxa"/>
          </w:tcPr>
          <w:p w:rsidR="00BD512F" w:rsidRPr="00F05153" w:rsidRDefault="00BD512F" w:rsidP="00BD512F">
            <w:pPr>
              <w:pStyle w:val="Tabletext"/>
              <w:rPr>
                <w:rFonts w:cs="Arial"/>
              </w:rPr>
            </w:pPr>
            <w:r w:rsidRPr="00F05153">
              <w:rPr>
                <w:rFonts w:cs="Arial"/>
              </w:rPr>
              <w:t>Risk of bias: 0</w:t>
            </w:r>
          </w:p>
          <w:p w:rsidR="00BD512F" w:rsidRPr="00F05153" w:rsidRDefault="00BD512F" w:rsidP="00BD512F">
            <w:pPr>
              <w:pStyle w:val="Tabletext"/>
              <w:rPr>
                <w:rFonts w:cs="Arial"/>
              </w:rPr>
            </w:pPr>
            <w:r w:rsidRPr="00F05153">
              <w:rPr>
                <w:rFonts w:cs="Arial"/>
              </w:rPr>
              <w:t>Inconsistency: 0</w:t>
            </w:r>
          </w:p>
          <w:p w:rsidR="00BD512F" w:rsidRPr="00F05153" w:rsidRDefault="00BD512F" w:rsidP="00BD512F">
            <w:pPr>
              <w:pStyle w:val="Tabletext"/>
              <w:rPr>
                <w:rFonts w:cs="Arial"/>
              </w:rPr>
            </w:pPr>
            <w:r w:rsidRPr="00F05153">
              <w:rPr>
                <w:rFonts w:cs="Arial"/>
              </w:rPr>
              <w:t>Indirectness: 0</w:t>
            </w:r>
          </w:p>
          <w:p w:rsidR="00BD512F" w:rsidRPr="00F05153" w:rsidRDefault="00BD512F" w:rsidP="00BD512F">
            <w:pPr>
              <w:pStyle w:val="Tabletext"/>
              <w:rPr>
                <w:rFonts w:cs="Arial"/>
              </w:rPr>
            </w:pPr>
            <w:r w:rsidRPr="00F05153">
              <w:rPr>
                <w:rFonts w:cs="Arial"/>
              </w:rPr>
              <w:t>Imprecision: −2</w:t>
            </w:r>
          </w:p>
          <w:p w:rsidR="00BD512F" w:rsidRPr="00F05153" w:rsidRDefault="00BD512F" w:rsidP="00BD512F">
            <w:pPr>
              <w:pStyle w:val="Tabletext"/>
              <w:rPr>
                <w:rFonts w:cs="Arial"/>
              </w:rPr>
            </w:pPr>
            <w:r w:rsidRPr="00F05153">
              <w:rPr>
                <w:rFonts w:cs="Arial"/>
              </w:rPr>
              <w:t>Publication bias: 0</w:t>
            </w:r>
          </w:p>
          <w:p w:rsidR="00BD512F" w:rsidRPr="00F05153" w:rsidRDefault="00BD512F" w:rsidP="00BD512F">
            <w:pPr>
              <w:pStyle w:val="Tabletext"/>
              <w:rPr>
                <w:rFonts w:cs="Arial"/>
              </w:rPr>
            </w:pPr>
            <w:r w:rsidRPr="00F05153">
              <w:rPr>
                <w:rFonts w:cs="Arial"/>
              </w:rPr>
              <w:t>Association: 0</w:t>
            </w:r>
          </w:p>
        </w:tc>
        <w:tc>
          <w:tcPr>
            <w:tcW w:w="1413" w:type="dxa"/>
          </w:tcPr>
          <w:p w:rsidR="00BD512F" w:rsidRPr="002046A0" w:rsidRDefault="002046A0" w:rsidP="00BD512F">
            <w:pPr>
              <w:pStyle w:val="Tabletext"/>
              <w:rPr>
                <w:rFonts w:cs="Arial"/>
                <w:highlight w:val="black"/>
              </w:rPr>
            </w:pPr>
            <w:r>
              <w:rPr>
                <w:noProof/>
                <w:color w:val="000000"/>
                <w:highlight w:val="black"/>
              </w:rPr>
              <w:t>''''''''''''' '''' ''''''''''''''''' '''''''''''''' '''''' ''''''''''''''' '''''''''''</w:t>
            </w:r>
          </w:p>
        </w:tc>
        <w:tc>
          <w:tcPr>
            <w:tcW w:w="2551" w:type="dxa"/>
          </w:tcPr>
          <w:p w:rsidR="00BD512F" w:rsidRPr="002046A0" w:rsidRDefault="002046A0" w:rsidP="003D210A">
            <w:pPr>
              <w:pStyle w:val="Tabletext"/>
              <w:rPr>
                <w:rFonts w:cs="Arial"/>
                <w:highlight w:val="black"/>
              </w:rPr>
            </w:pPr>
            <w:r>
              <w:rPr>
                <w:rFonts w:cs="Arial"/>
                <w:noProof/>
                <w:color w:val="000000"/>
                <w:highlight w:val="black"/>
              </w:rPr>
              <w:t>'''''''''''''' ''''''''''''''''''' '''''''''''''''''''''''''''''' '''''''''''''' ''''''''''''''''''''''''' '''''''''' '''''''''''''''''''''''''''''' ''''''''''''''''''' '''''''''''''''''''''''''' ''''''''''' ''''''''''''''''''''''''''''''''''' '''''''' ''''''' '''''''''''' ''''''''''' '''''' ''''''''''''''''''' '''''''' '''''''' '''''''''''' '''''''''' ''''''''''''''''''''''''''''''' '''''' '''''''' ''''''''''''''''''''''</w:t>
            </w:r>
          </w:p>
        </w:tc>
        <w:tc>
          <w:tcPr>
            <w:tcW w:w="1134" w:type="dxa"/>
          </w:tcPr>
          <w:p w:rsidR="00BD512F" w:rsidRPr="00F05153" w:rsidRDefault="00BD512F" w:rsidP="00BD512F">
            <w:pPr>
              <w:pStyle w:val="Tabletext"/>
              <w:rPr>
                <w:rFonts w:cs="Arial"/>
              </w:rPr>
            </w:pPr>
            <w:r w:rsidRPr="00F05153">
              <w:rPr>
                <w:rFonts w:cs="Arial"/>
              </w:rPr>
              <w:t>Low</w:t>
            </w:r>
          </w:p>
          <w:p w:rsidR="00BD512F" w:rsidRPr="00F05153" w:rsidRDefault="00BD512F" w:rsidP="00BD512F">
            <w:pPr>
              <w:pStyle w:val="Tabletext"/>
              <w:rPr>
                <w:rFonts w:cs="Cambria Math"/>
                <w:bCs/>
              </w:rPr>
            </w:pPr>
            <w:r w:rsidRPr="00F05153">
              <w:rPr>
                <w:rFonts w:ascii="Cambria Math" w:hAnsi="Cambria Math" w:cs="Cambria Math"/>
                <w:bCs/>
                <w:color w:val="00B050"/>
              </w:rPr>
              <w:t>⨁⨁</w:t>
            </w:r>
            <w:r w:rsidRPr="00F05153">
              <w:rPr>
                <w:rFonts w:ascii="Cambria Math" w:eastAsia="Times New Roman" w:hAnsi="Cambria Math" w:cs="Cambria Math"/>
                <w:bCs/>
                <w:color w:val="FF0000"/>
              </w:rPr>
              <w:t>⨀⨀</w:t>
            </w:r>
          </w:p>
          <w:p w:rsidR="00BD512F" w:rsidRPr="00F05153" w:rsidRDefault="00BD512F" w:rsidP="00BD512F">
            <w:pPr>
              <w:pStyle w:val="Tabletext"/>
              <w:rPr>
                <w:rFonts w:cs="Arial"/>
              </w:rPr>
            </w:pPr>
            <w:r w:rsidRPr="00F05153">
              <w:rPr>
                <w:rFonts w:cs="Cambria Math"/>
                <w:bCs/>
              </w:rPr>
              <w:t xml:space="preserve">Critical </w:t>
            </w:r>
          </w:p>
        </w:tc>
      </w:tr>
      <w:tr w:rsidR="00BD512F" w:rsidRPr="00F05153" w:rsidTr="00B14FF5">
        <w:tc>
          <w:tcPr>
            <w:tcW w:w="1560" w:type="dxa"/>
          </w:tcPr>
          <w:p w:rsidR="00BD512F" w:rsidRPr="00F05153" w:rsidRDefault="00BD512F" w:rsidP="00BD512F">
            <w:pPr>
              <w:pStyle w:val="Tabletext"/>
              <w:rPr>
                <w:rFonts w:cs="Arial"/>
              </w:rPr>
            </w:pPr>
            <w:r w:rsidRPr="00F05153">
              <w:rPr>
                <w:rFonts w:cs="Arial"/>
              </w:rPr>
              <w:t>All-cause mortality</w:t>
            </w:r>
          </w:p>
        </w:tc>
        <w:tc>
          <w:tcPr>
            <w:tcW w:w="1275" w:type="dxa"/>
          </w:tcPr>
          <w:p w:rsidR="00BD512F" w:rsidRPr="00F05153" w:rsidRDefault="00BD512F" w:rsidP="00BD512F">
            <w:pPr>
              <w:pStyle w:val="Tabletext"/>
              <w:rPr>
                <w:rFonts w:cs="Arial"/>
              </w:rPr>
            </w:pPr>
            <w:r w:rsidRPr="00F05153">
              <w:rPr>
                <w:rFonts w:cs="Arial"/>
              </w:rPr>
              <w:t>N=27</w:t>
            </w:r>
          </w:p>
          <w:p w:rsidR="00BD512F" w:rsidRPr="00F05153" w:rsidRDefault="00BD512F" w:rsidP="00BD512F">
            <w:pPr>
              <w:pStyle w:val="Tabletext"/>
              <w:rPr>
                <w:rFonts w:cs="Arial"/>
              </w:rPr>
            </w:pPr>
            <w:r w:rsidRPr="00F05153">
              <w:rPr>
                <w:rFonts w:cs="Arial"/>
              </w:rPr>
              <w:t>k=1 RCT</w:t>
            </w:r>
          </w:p>
        </w:tc>
        <w:tc>
          <w:tcPr>
            <w:tcW w:w="1701" w:type="dxa"/>
          </w:tcPr>
          <w:p w:rsidR="00BD512F" w:rsidRPr="00F05153" w:rsidRDefault="00BD512F" w:rsidP="00BD512F">
            <w:pPr>
              <w:pStyle w:val="Tabletext"/>
              <w:rPr>
                <w:rFonts w:cs="Arial"/>
              </w:rPr>
            </w:pPr>
            <w:r w:rsidRPr="00F05153">
              <w:rPr>
                <w:rFonts w:cs="Arial"/>
              </w:rPr>
              <w:t>Risk of bias: 0</w:t>
            </w:r>
          </w:p>
          <w:p w:rsidR="00BD512F" w:rsidRPr="00F05153" w:rsidRDefault="00BD512F" w:rsidP="00BD512F">
            <w:pPr>
              <w:pStyle w:val="Tabletext"/>
              <w:rPr>
                <w:rFonts w:cs="Arial"/>
              </w:rPr>
            </w:pPr>
            <w:r w:rsidRPr="00F05153">
              <w:rPr>
                <w:rFonts w:cs="Arial"/>
              </w:rPr>
              <w:t>Inconsistency: 0</w:t>
            </w:r>
          </w:p>
          <w:p w:rsidR="00BD512F" w:rsidRPr="00F05153" w:rsidRDefault="00BD512F" w:rsidP="00BD512F">
            <w:pPr>
              <w:pStyle w:val="Tabletext"/>
              <w:rPr>
                <w:rFonts w:cs="Arial"/>
              </w:rPr>
            </w:pPr>
            <w:r w:rsidRPr="00F05153">
              <w:rPr>
                <w:rFonts w:cs="Arial"/>
              </w:rPr>
              <w:t>Indirectness: 0</w:t>
            </w:r>
          </w:p>
          <w:p w:rsidR="00BD512F" w:rsidRPr="00F05153" w:rsidRDefault="00BD512F" w:rsidP="00BD512F">
            <w:pPr>
              <w:pStyle w:val="Tabletext"/>
              <w:rPr>
                <w:rFonts w:cs="Arial"/>
              </w:rPr>
            </w:pPr>
            <w:r w:rsidRPr="00F05153">
              <w:rPr>
                <w:rFonts w:cs="Arial"/>
              </w:rPr>
              <w:t>Imprecision: −2</w:t>
            </w:r>
          </w:p>
          <w:p w:rsidR="00BD512F" w:rsidRPr="00F05153" w:rsidRDefault="00BD512F" w:rsidP="00BD512F">
            <w:pPr>
              <w:pStyle w:val="Tabletext"/>
              <w:rPr>
                <w:rFonts w:cs="Arial"/>
              </w:rPr>
            </w:pPr>
            <w:r w:rsidRPr="00F05153">
              <w:rPr>
                <w:rFonts w:cs="Arial"/>
              </w:rPr>
              <w:t>Publication bias: 0</w:t>
            </w:r>
          </w:p>
          <w:p w:rsidR="00BD512F" w:rsidRPr="00F05153" w:rsidRDefault="00BD512F" w:rsidP="00BD512F">
            <w:pPr>
              <w:pStyle w:val="Tabletext"/>
              <w:rPr>
                <w:rFonts w:cs="Arial"/>
              </w:rPr>
            </w:pPr>
            <w:r w:rsidRPr="00F05153">
              <w:rPr>
                <w:rFonts w:cs="Arial"/>
              </w:rPr>
              <w:t>Association: 0</w:t>
            </w:r>
          </w:p>
        </w:tc>
        <w:tc>
          <w:tcPr>
            <w:tcW w:w="1413" w:type="dxa"/>
          </w:tcPr>
          <w:p w:rsidR="00BD512F" w:rsidRPr="002046A0" w:rsidRDefault="002046A0" w:rsidP="00BD512F">
            <w:pPr>
              <w:pStyle w:val="Tabletext"/>
              <w:rPr>
                <w:highlight w:val="black"/>
              </w:rPr>
            </w:pPr>
            <w:r>
              <w:rPr>
                <w:noProof/>
                <w:color w:val="000000"/>
                <w:highlight w:val="black"/>
              </w:rPr>
              <w:t>'''''''''' '''' ''''''''''''''''' '''''''''''' '''''' '''''''''''''''' '''''''''''''</w:t>
            </w:r>
          </w:p>
        </w:tc>
        <w:tc>
          <w:tcPr>
            <w:tcW w:w="2551" w:type="dxa"/>
          </w:tcPr>
          <w:p w:rsidR="00BD512F" w:rsidRPr="002046A0" w:rsidRDefault="002046A0" w:rsidP="00BD512F">
            <w:pPr>
              <w:pStyle w:val="Tabletext"/>
              <w:rPr>
                <w:highlight w:val="black"/>
              </w:rPr>
            </w:pPr>
            <w:r>
              <w:rPr>
                <w:rFonts w:cs="Arial"/>
                <w:noProof/>
                <w:color w:val="000000"/>
                <w:highlight w:val="black"/>
              </w:rPr>
              <w:t>''''''''''''' ''''''''''''''''''' '''''''''''''''''''''''''''' '''''''''''''''' '''''''''''''''''''''''' '''''''''' '''''''''''''''''''''''''' '''''''''''''''''' ''''''''''''''''''''''' '''''''''' '''''''''''''''''''''''''''''' ''''''' '''''''' '''''''''''' '''''''''' '''''' ''''''''''''''''''''' '''''''''' ''''''' '''''''''''' '''''''''' ''''''''''''''''''''''''''''''' ''''''' ''''''''' '''''''''''''''''''''</w:t>
            </w:r>
          </w:p>
        </w:tc>
        <w:tc>
          <w:tcPr>
            <w:tcW w:w="1134" w:type="dxa"/>
          </w:tcPr>
          <w:p w:rsidR="00BD512F" w:rsidRPr="00F05153" w:rsidRDefault="00BD512F" w:rsidP="00BD512F">
            <w:pPr>
              <w:pStyle w:val="Tabletext"/>
              <w:rPr>
                <w:rFonts w:cs="Arial"/>
              </w:rPr>
            </w:pPr>
            <w:r w:rsidRPr="00F05153">
              <w:rPr>
                <w:rFonts w:cs="Arial"/>
              </w:rPr>
              <w:t>Low</w:t>
            </w:r>
          </w:p>
          <w:p w:rsidR="00BD512F" w:rsidRPr="00F05153" w:rsidRDefault="00BD512F" w:rsidP="00BD512F">
            <w:pPr>
              <w:pStyle w:val="Tabletext"/>
              <w:rPr>
                <w:rFonts w:cs="Cambria Math"/>
                <w:bCs/>
              </w:rPr>
            </w:pPr>
            <w:r w:rsidRPr="00F05153">
              <w:rPr>
                <w:rFonts w:ascii="Cambria Math" w:hAnsi="Cambria Math" w:cs="Cambria Math"/>
                <w:bCs/>
                <w:color w:val="00B050"/>
              </w:rPr>
              <w:t>⨁⨁</w:t>
            </w:r>
            <w:r w:rsidRPr="00F05153">
              <w:rPr>
                <w:rFonts w:ascii="Cambria Math" w:eastAsia="Times New Roman" w:hAnsi="Cambria Math" w:cs="Cambria Math"/>
                <w:bCs/>
                <w:color w:val="FF0000"/>
              </w:rPr>
              <w:t>⨀⨀</w:t>
            </w:r>
          </w:p>
          <w:p w:rsidR="00BD512F" w:rsidRPr="00F05153" w:rsidRDefault="00BD512F" w:rsidP="00BD512F">
            <w:pPr>
              <w:pStyle w:val="Tabletext"/>
              <w:rPr>
                <w:rFonts w:cs="Arial"/>
              </w:rPr>
            </w:pPr>
            <w:r w:rsidRPr="00F05153">
              <w:rPr>
                <w:rFonts w:cs="Arial"/>
              </w:rPr>
              <w:t>Critical</w:t>
            </w:r>
          </w:p>
        </w:tc>
      </w:tr>
      <w:tr w:rsidR="00BD512F" w:rsidRPr="00F05153" w:rsidTr="00B14FF5">
        <w:tc>
          <w:tcPr>
            <w:tcW w:w="1560" w:type="dxa"/>
          </w:tcPr>
          <w:p w:rsidR="00BD512F" w:rsidRPr="00F05153" w:rsidRDefault="00BD512F" w:rsidP="00BD512F">
            <w:pPr>
              <w:pStyle w:val="Tabletext"/>
              <w:rPr>
                <w:rFonts w:cs="Arial"/>
              </w:rPr>
            </w:pPr>
            <w:r w:rsidRPr="00F05153">
              <w:rPr>
                <w:rFonts w:cs="Arial"/>
              </w:rPr>
              <w:t>Hospitalisation due to PAH</w:t>
            </w:r>
          </w:p>
        </w:tc>
        <w:tc>
          <w:tcPr>
            <w:tcW w:w="1275" w:type="dxa"/>
          </w:tcPr>
          <w:p w:rsidR="00BD512F" w:rsidRPr="00F05153" w:rsidRDefault="00BD512F" w:rsidP="00BD512F">
            <w:pPr>
              <w:pStyle w:val="Tabletext"/>
              <w:rPr>
                <w:rFonts w:cs="Arial"/>
              </w:rPr>
            </w:pPr>
            <w:r w:rsidRPr="00F05153">
              <w:rPr>
                <w:rFonts w:cs="Arial"/>
              </w:rPr>
              <w:t>N=27</w:t>
            </w:r>
          </w:p>
          <w:p w:rsidR="00BD512F" w:rsidRPr="00F05153" w:rsidRDefault="00BD512F" w:rsidP="00BD512F">
            <w:pPr>
              <w:pStyle w:val="Tabletext"/>
              <w:rPr>
                <w:rFonts w:cs="Arial"/>
              </w:rPr>
            </w:pPr>
            <w:r w:rsidRPr="00F05153">
              <w:rPr>
                <w:rFonts w:cs="Arial"/>
              </w:rPr>
              <w:t>k=1 RCT</w:t>
            </w:r>
          </w:p>
        </w:tc>
        <w:tc>
          <w:tcPr>
            <w:tcW w:w="1701" w:type="dxa"/>
          </w:tcPr>
          <w:p w:rsidR="00BD512F" w:rsidRPr="00F05153" w:rsidRDefault="00BD512F" w:rsidP="00BD512F">
            <w:pPr>
              <w:pStyle w:val="Tabletext"/>
              <w:rPr>
                <w:rFonts w:cs="Arial"/>
              </w:rPr>
            </w:pPr>
            <w:r w:rsidRPr="00F05153">
              <w:rPr>
                <w:rFonts w:cs="Arial"/>
              </w:rPr>
              <w:t>Risk of bias: 0</w:t>
            </w:r>
          </w:p>
          <w:p w:rsidR="00BD512F" w:rsidRPr="00F05153" w:rsidRDefault="00BD512F" w:rsidP="00BD512F">
            <w:pPr>
              <w:pStyle w:val="Tabletext"/>
              <w:rPr>
                <w:rFonts w:cs="Arial"/>
              </w:rPr>
            </w:pPr>
            <w:r w:rsidRPr="00F05153">
              <w:rPr>
                <w:rFonts w:cs="Arial"/>
              </w:rPr>
              <w:t>Inconsistency: 0</w:t>
            </w:r>
          </w:p>
          <w:p w:rsidR="00BD512F" w:rsidRPr="00F05153" w:rsidRDefault="00BD512F" w:rsidP="00BD512F">
            <w:pPr>
              <w:pStyle w:val="Tabletext"/>
              <w:rPr>
                <w:rFonts w:cs="Arial"/>
              </w:rPr>
            </w:pPr>
            <w:r w:rsidRPr="00F05153">
              <w:rPr>
                <w:rFonts w:cs="Arial"/>
              </w:rPr>
              <w:t>Indirectness: 0</w:t>
            </w:r>
          </w:p>
          <w:p w:rsidR="00BD512F" w:rsidRPr="00F05153" w:rsidRDefault="00BD512F" w:rsidP="00BD512F">
            <w:pPr>
              <w:pStyle w:val="Tabletext"/>
              <w:rPr>
                <w:rFonts w:cs="Arial"/>
              </w:rPr>
            </w:pPr>
            <w:r w:rsidRPr="00F05153">
              <w:rPr>
                <w:rFonts w:cs="Arial"/>
              </w:rPr>
              <w:t>Imprecision: −2</w:t>
            </w:r>
          </w:p>
          <w:p w:rsidR="00BD512F" w:rsidRPr="00F05153" w:rsidRDefault="00BD512F" w:rsidP="00BD512F">
            <w:pPr>
              <w:pStyle w:val="Tabletext"/>
              <w:rPr>
                <w:rFonts w:cs="Arial"/>
              </w:rPr>
            </w:pPr>
            <w:r w:rsidRPr="00F05153">
              <w:rPr>
                <w:rFonts w:cs="Arial"/>
              </w:rPr>
              <w:t>Publication bias: 0</w:t>
            </w:r>
          </w:p>
          <w:p w:rsidR="00BD512F" w:rsidRPr="00F05153" w:rsidRDefault="00BD512F" w:rsidP="00BD512F">
            <w:pPr>
              <w:pStyle w:val="Tabletext"/>
              <w:rPr>
                <w:rFonts w:cs="Arial"/>
              </w:rPr>
            </w:pPr>
            <w:r w:rsidRPr="00F05153">
              <w:rPr>
                <w:rFonts w:cs="Arial"/>
              </w:rPr>
              <w:t>Association: 0</w:t>
            </w:r>
          </w:p>
        </w:tc>
        <w:tc>
          <w:tcPr>
            <w:tcW w:w="1413" w:type="dxa"/>
          </w:tcPr>
          <w:p w:rsidR="00BD512F" w:rsidRPr="002046A0" w:rsidRDefault="002046A0" w:rsidP="00BD512F">
            <w:pPr>
              <w:pStyle w:val="Tabletext"/>
              <w:rPr>
                <w:highlight w:val="black"/>
              </w:rPr>
            </w:pPr>
            <w:r>
              <w:rPr>
                <w:noProof/>
                <w:color w:val="000000"/>
                <w:highlight w:val="black"/>
              </w:rPr>
              <w:t>''''''''' '''''''''''''''''''''''</w:t>
            </w:r>
          </w:p>
        </w:tc>
        <w:tc>
          <w:tcPr>
            <w:tcW w:w="2551" w:type="dxa"/>
          </w:tcPr>
          <w:p w:rsidR="00BD512F" w:rsidRPr="002046A0" w:rsidRDefault="002046A0" w:rsidP="00BD512F">
            <w:pPr>
              <w:pStyle w:val="Tabletext"/>
              <w:rPr>
                <w:highlight w:val="black"/>
              </w:rPr>
            </w:pPr>
            <w:r>
              <w:rPr>
                <w:rFonts w:cs="Arial"/>
                <w:noProof/>
                <w:color w:val="000000"/>
                <w:highlight w:val="black"/>
              </w:rPr>
              <w:t>'''''''' '''''''''''''''''' ''''''''''''' '''''''''''''''''''''''''''' '''''''''''''''' '''''''' '''''''''''''' '''''''''''''''</w:t>
            </w:r>
          </w:p>
        </w:tc>
        <w:tc>
          <w:tcPr>
            <w:tcW w:w="1134" w:type="dxa"/>
          </w:tcPr>
          <w:p w:rsidR="00BD512F" w:rsidRPr="00F05153" w:rsidRDefault="00BD512F" w:rsidP="00BD512F">
            <w:pPr>
              <w:pStyle w:val="Tabletext"/>
              <w:rPr>
                <w:rFonts w:cs="Arial"/>
              </w:rPr>
            </w:pPr>
            <w:r w:rsidRPr="00F05153">
              <w:rPr>
                <w:rFonts w:cs="Arial"/>
              </w:rPr>
              <w:t>Low</w:t>
            </w:r>
          </w:p>
          <w:p w:rsidR="00BD512F" w:rsidRPr="00F05153" w:rsidRDefault="00BD512F" w:rsidP="00BD512F">
            <w:pPr>
              <w:pStyle w:val="Tabletext"/>
              <w:rPr>
                <w:rFonts w:cs="Cambria Math"/>
                <w:bCs/>
              </w:rPr>
            </w:pPr>
            <w:r w:rsidRPr="00F05153">
              <w:rPr>
                <w:rFonts w:ascii="Cambria Math" w:hAnsi="Cambria Math" w:cs="Cambria Math"/>
                <w:bCs/>
                <w:color w:val="00B050"/>
              </w:rPr>
              <w:t>⨁⨁</w:t>
            </w:r>
            <w:r w:rsidRPr="00F05153">
              <w:rPr>
                <w:rFonts w:ascii="Cambria Math" w:eastAsia="Times New Roman" w:hAnsi="Cambria Math" w:cs="Cambria Math"/>
                <w:bCs/>
                <w:color w:val="FF0000"/>
              </w:rPr>
              <w:t>⨀⨀</w:t>
            </w:r>
          </w:p>
          <w:p w:rsidR="00BD512F" w:rsidRPr="00F05153" w:rsidRDefault="00BD512F" w:rsidP="00BD512F">
            <w:pPr>
              <w:pStyle w:val="Tabletext"/>
              <w:rPr>
                <w:rFonts w:cs="Arial"/>
              </w:rPr>
            </w:pPr>
            <w:r w:rsidRPr="00F05153">
              <w:rPr>
                <w:rFonts w:cs="Arial"/>
              </w:rPr>
              <w:t>Critical</w:t>
            </w:r>
          </w:p>
        </w:tc>
      </w:tr>
      <w:tr w:rsidR="00BD512F" w:rsidRPr="00F05153" w:rsidTr="00B14FF5">
        <w:tc>
          <w:tcPr>
            <w:tcW w:w="1560" w:type="dxa"/>
          </w:tcPr>
          <w:p w:rsidR="00BD512F" w:rsidRPr="00F05153" w:rsidRDefault="00BD512F" w:rsidP="00BD512F">
            <w:pPr>
              <w:pStyle w:val="Tabletext"/>
              <w:rPr>
                <w:rFonts w:cs="Arial"/>
              </w:rPr>
            </w:pPr>
            <w:r w:rsidRPr="00F05153">
              <w:rPr>
                <w:rFonts w:cs="Arial"/>
              </w:rPr>
              <w:t>Improved WHO FC</w:t>
            </w:r>
          </w:p>
        </w:tc>
        <w:tc>
          <w:tcPr>
            <w:tcW w:w="1275" w:type="dxa"/>
          </w:tcPr>
          <w:p w:rsidR="00BD512F" w:rsidRPr="00F05153" w:rsidRDefault="00BD512F" w:rsidP="00BD512F">
            <w:pPr>
              <w:pStyle w:val="Tabletext"/>
              <w:rPr>
                <w:rFonts w:cs="Arial"/>
              </w:rPr>
            </w:pPr>
            <w:r w:rsidRPr="00F05153">
              <w:rPr>
                <w:rFonts w:cs="Arial"/>
              </w:rPr>
              <w:t>N=27</w:t>
            </w:r>
          </w:p>
          <w:p w:rsidR="00BD512F" w:rsidRPr="00F05153" w:rsidRDefault="00BD512F" w:rsidP="00BD512F">
            <w:pPr>
              <w:pStyle w:val="Tabletext"/>
              <w:rPr>
                <w:rFonts w:cs="Arial"/>
              </w:rPr>
            </w:pPr>
            <w:r w:rsidRPr="00F05153">
              <w:rPr>
                <w:rFonts w:cs="Arial"/>
              </w:rPr>
              <w:t>k=1 RCT</w:t>
            </w:r>
          </w:p>
        </w:tc>
        <w:tc>
          <w:tcPr>
            <w:tcW w:w="1701" w:type="dxa"/>
          </w:tcPr>
          <w:p w:rsidR="00BD512F" w:rsidRPr="00F05153" w:rsidRDefault="00BD512F" w:rsidP="00BD512F">
            <w:pPr>
              <w:pStyle w:val="Tabletext"/>
              <w:rPr>
                <w:rFonts w:cs="Arial"/>
              </w:rPr>
            </w:pPr>
            <w:r w:rsidRPr="00F05153">
              <w:rPr>
                <w:rFonts w:cs="Arial"/>
              </w:rPr>
              <w:t>Risk of bias: 0</w:t>
            </w:r>
          </w:p>
          <w:p w:rsidR="00BD512F" w:rsidRPr="00F05153" w:rsidRDefault="00BD512F" w:rsidP="00BD512F">
            <w:pPr>
              <w:pStyle w:val="Tabletext"/>
              <w:rPr>
                <w:rFonts w:cs="Arial"/>
              </w:rPr>
            </w:pPr>
            <w:r w:rsidRPr="00F05153">
              <w:rPr>
                <w:rFonts w:cs="Arial"/>
              </w:rPr>
              <w:t>Inconsistency: 0</w:t>
            </w:r>
          </w:p>
          <w:p w:rsidR="00BD512F" w:rsidRPr="00F05153" w:rsidRDefault="00BD512F" w:rsidP="00BD512F">
            <w:pPr>
              <w:pStyle w:val="Tabletext"/>
              <w:rPr>
                <w:rFonts w:cs="Arial"/>
              </w:rPr>
            </w:pPr>
            <w:r w:rsidRPr="00F05153">
              <w:rPr>
                <w:rFonts w:cs="Arial"/>
              </w:rPr>
              <w:t>Indirectness: 0</w:t>
            </w:r>
          </w:p>
          <w:p w:rsidR="00BD512F" w:rsidRPr="00F05153" w:rsidRDefault="00BD512F" w:rsidP="00BD512F">
            <w:pPr>
              <w:pStyle w:val="Tabletext"/>
              <w:rPr>
                <w:rFonts w:cs="Arial"/>
              </w:rPr>
            </w:pPr>
            <w:r w:rsidRPr="00F05153">
              <w:rPr>
                <w:rFonts w:cs="Arial"/>
              </w:rPr>
              <w:t>Imprecision: −2</w:t>
            </w:r>
          </w:p>
          <w:p w:rsidR="00BD512F" w:rsidRPr="00F05153" w:rsidRDefault="00BD512F" w:rsidP="00BD512F">
            <w:pPr>
              <w:pStyle w:val="Tabletext"/>
              <w:rPr>
                <w:rFonts w:cs="Arial"/>
              </w:rPr>
            </w:pPr>
            <w:r w:rsidRPr="00F05153">
              <w:rPr>
                <w:rFonts w:cs="Arial"/>
              </w:rPr>
              <w:t>Publication bias: 0</w:t>
            </w:r>
          </w:p>
          <w:p w:rsidR="00BD512F" w:rsidRPr="00F05153" w:rsidRDefault="00BD512F" w:rsidP="00BD512F">
            <w:pPr>
              <w:pStyle w:val="Tabletext"/>
              <w:rPr>
                <w:rFonts w:cs="Arial"/>
              </w:rPr>
            </w:pPr>
            <w:r w:rsidRPr="00F05153">
              <w:rPr>
                <w:rFonts w:cs="Arial"/>
              </w:rPr>
              <w:t>Association: 0</w:t>
            </w:r>
          </w:p>
        </w:tc>
        <w:tc>
          <w:tcPr>
            <w:tcW w:w="1413" w:type="dxa"/>
          </w:tcPr>
          <w:p w:rsidR="00BD512F" w:rsidRPr="002046A0" w:rsidRDefault="002046A0" w:rsidP="00BD512F">
            <w:pPr>
              <w:pStyle w:val="Tabletext"/>
              <w:rPr>
                <w:highlight w:val="black"/>
              </w:rPr>
            </w:pPr>
            <w:r>
              <w:rPr>
                <w:noProof/>
                <w:color w:val="000000"/>
                <w:highlight w:val="black"/>
              </w:rPr>
              <w:t>'''''''' ''' '''''''''' '''''''''''''' '''''' ''''''''''' '''''''''''''''''</w:t>
            </w:r>
          </w:p>
        </w:tc>
        <w:tc>
          <w:tcPr>
            <w:tcW w:w="2551" w:type="dxa"/>
          </w:tcPr>
          <w:p w:rsidR="00BD512F" w:rsidRPr="002046A0" w:rsidRDefault="002046A0" w:rsidP="00BD512F">
            <w:pPr>
              <w:pStyle w:val="Tabletext"/>
              <w:rPr>
                <w:rFonts w:cs="Arial"/>
                <w:highlight w:val="black"/>
              </w:rPr>
            </w:pPr>
            <w:r>
              <w:rPr>
                <w:rFonts w:cs="Arial"/>
                <w:noProof/>
                <w:color w:val="000000"/>
                <w:highlight w:val="black"/>
              </w:rPr>
              <w:t>''''''''''''' '''''''''''''''''''' '''''' '''''''''''''''''''''''''''' ''''''''''''''''''' ''''''''''''''''''''' ''''''''''' ''''''''''''''' '''''' '''''''''''''''''''''' ''''''''' ''''''''''''''''''''''''''''''''' ''''''' '''''''' ''''''''''' ''''''''''' '''''' '''''''''''''''''''''' '''''''' ''''''' '''''''''''''' ''''''''' '''''''''''''''''''''''''''''''''' '''''' ''''''''' ''''''''''''''''''''''</w:t>
            </w:r>
          </w:p>
        </w:tc>
        <w:tc>
          <w:tcPr>
            <w:tcW w:w="1134" w:type="dxa"/>
          </w:tcPr>
          <w:p w:rsidR="00BD512F" w:rsidRPr="00F05153" w:rsidRDefault="00BD512F" w:rsidP="00BD512F">
            <w:pPr>
              <w:pStyle w:val="Tabletext"/>
              <w:rPr>
                <w:rFonts w:eastAsia="Times New Roman" w:cs="Tahoma"/>
                <w:bCs/>
              </w:rPr>
            </w:pPr>
            <w:r w:rsidRPr="00F05153">
              <w:rPr>
                <w:rFonts w:eastAsia="Times New Roman" w:cs="Tahoma"/>
                <w:bCs/>
              </w:rPr>
              <w:t>Very low</w:t>
            </w:r>
          </w:p>
          <w:p w:rsidR="00BD512F" w:rsidRPr="00F05153" w:rsidRDefault="00BD512F" w:rsidP="00BD512F">
            <w:pPr>
              <w:pStyle w:val="Tabletext"/>
              <w:rPr>
                <w:rFonts w:ascii="Cambria Math" w:eastAsia="Times New Roman" w:hAnsi="Cambria Math" w:cs="Cambria Math"/>
                <w:bCs/>
              </w:rPr>
            </w:pPr>
            <w:r w:rsidRPr="00F05153">
              <w:rPr>
                <w:rFonts w:ascii="Cambria Math" w:eastAsia="Times New Roman" w:hAnsi="Cambria Math" w:cs="Cambria Math"/>
                <w:bCs/>
                <w:color w:val="00B050"/>
              </w:rPr>
              <w:t>⨁</w:t>
            </w:r>
            <w:r w:rsidRPr="00F05153">
              <w:rPr>
                <w:rFonts w:ascii="Cambria Math" w:hAnsi="Cambria Math" w:cs="Cambria Math"/>
                <w:bCs/>
                <w:color w:val="00B050"/>
              </w:rPr>
              <w:t>⨁</w:t>
            </w:r>
            <w:r w:rsidRPr="00F05153">
              <w:rPr>
                <w:rFonts w:ascii="Cambria Math" w:eastAsia="Times New Roman" w:hAnsi="Cambria Math" w:cs="Cambria Math"/>
                <w:bCs/>
                <w:color w:val="FF0000"/>
              </w:rPr>
              <w:t>⨀⨀</w:t>
            </w:r>
          </w:p>
          <w:p w:rsidR="00BD512F" w:rsidRPr="00F05153" w:rsidRDefault="00BD512F" w:rsidP="00BD512F">
            <w:pPr>
              <w:pStyle w:val="Tabletext"/>
              <w:rPr>
                <w:rFonts w:cs="Arial"/>
              </w:rPr>
            </w:pPr>
            <w:r w:rsidRPr="00F05153">
              <w:rPr>
                <w:rFonts w:cs="Arial"/>
              </w:rPr>
              <w:t>Important</w:t>
            </w:r>
          </w:p>
        </w:tc>
      </w:tr>
      <w:tr w:rsidR="00BD512F" w:rsidRPr="006316DF" w:rsidTr="00B14FF5">
        <w:tc>
          <w:tcPr>
            <w:tcW w:w="1560" w:type="dxa"/>
          </w:tcPr>
          <w:p w:rsidR="00BD512F" w:rsidRPr="00F05153" w:rsidRDefault="00BD512F" w:rsidP="00BD512F">
            <w:pPr>
              <w:pStyle w:val="Tabletext"/>
              <w:rPr>
                <w:rFonts w:cs="Arial"/>
              </w:rPr>
            </w:pPr>
            <w:r w:rsidRPr="00F05153">
              <w:rPr>
                <w:rFonts w:cs="Arial"/>
              </w:rPr>
              <w:t>Worsened WHO FC</w:t>
            </w:r>
          </w:p>
        </w:tc>
        <w:tc>
          <w:tcPr>
            <w:tcW w:w="1275" w:type="dxa"/>
          </w:tcPr>
          <w:p w:rsidR="00BD512F" w:rsidRPr="00F05153" w:rsidRDefault="00BD512F" w:rsidP="00BD512F">
            <w:pPr>
              <w:pStyle w:val="Tabletext"/>
              <w:rPr>
                <w:rFonts w:cs="Arial"/>
              </w:rPr>
            </w:pPr>
            <w:r w:rsidRPr="00F05153">
              <w:rPr>
                <w:rFonts w:cs="Arial"/>
              </w:rPr>
              <w:t>N=27</w:t>
            </w:r>
          </w:p>
          <w:p w:rsidR="00BD512F" w:rsidRPr="00F05153" w:rsidRDefault="00BD512F" w:rsidP="00BD512F">
            <w:pPr>
              <w:pStyle w:val="Tabletext"/>
              <w:rPr>
                <w:rFonts w:cs="Arial"/>
              </w:rPr>
            </w:pPr>
            <w:r w:rsidRPr="00F05153">
              <w:rPr>
                <w:rFonts w:cs="Arial"/>
              </w:rPr>
              <w:t>k=1 RCT</w:t>
            </w:r>
          </w:p>
        </w:tc>
        <w:tc>
          <w:tcPr>
            <w:tcW w:w="1701" w:type="dxa"/>
          </w:tcPr>
          <w:p w:rsidR="00BD512F" w:rsidRPr="00F05153" w:rsidRDefault="00BD512F" w:rsidP="00BD512F">
            <w:pPr>
              <w:pStyle w:val="Tabletext"/>
              <w:rPr>
                <w:rFonts w:cs="Arial"/>
              </w:rPr>
            </w:pPr>
            <w:r w:rsidRPr="00F05153">
              <w:rPr>
                <w:rFonts w:cs="Arial"/>
              </w:rPr>
              <w:t>Risk of bias: 0</w:t>
            </w:r>
          </w:p>
          <w:p w:rsidR="00BD512F" w:rsidRPr="00F05153" w:rsidRDefault="00BD512F" w:rsidP="00BD512F">
            <w:pPr>
              <w:pStyle w:val="Tabletext"/>
              <w:rPr>
                <w:rFonts w:cs="Arial"/>
              </w:rPr>
            </w:pPr>
            <w:r w:rsidRPr="00F05153">
              <w:rPr>
                <w:rFonts w:cs="Arial"/>
              </w:rPr>
              <w:t>Inconsistency: 0</w:t>
            </w:r>
          </w:p>
          <w:p w:rsidR="00BD512F" w:rsidRPr="00F05153" w:rsidRDefault="00BD512F" w:rsidP="00BD512F">
            <w:pPr>
              <w:pStyle w:val="Tabletext"/>
              <w:rPr>
                <w:rFonts w:cs="Arial"/>
              </w:rPr>
            </w:pPr>
            <w:r w:rsidRPr="00F05153">
              <w:rPr>
                <w:rFonts w:cs="Arial"/>
              </w:rPr>
              <w:t>Indirectness: 0</w:t>
            </w:r>
          </w:p>
          <w:p w:rsidR="00BD512F" w:rsidRPr="00F05153" w:rsidRDefault="00BD512F" w:rsidP="00BD512F">
            <w:pPr>
              <w:pStyle w:val="Tabletext"/>
              <w:rPr>
                <w:rFonts w:cs="Arial"/>
              </w:rPr>
            </w:pPr>
            <w:r w:rsidRPr="00F05153">
              <w:rPr>
                <w:rFonts w:cs="Arial"/>
              </w:rPr>
              <w:t>Imprecision: −2</w:t>
            </w:r>
          </w:p>
          <w:p w:rsidR="00BD512F" w:rsidRPr="00F05153" w:rsidRDefault="00BD512F" w:rsidP="00BD512F">
            <w:pPr>
              <w:pStyle w:val="Tabletext"/>
              <w:rPr>
                <w:rFonts w:cs="Arial"/>
              </w:rPr>
            </w:pPr>
            <w:r w:rsidRPr="00F05153">
              <w:rPr>
                <w:rFonts w:cs="Arial"/>
              </w:rPr>
              <w:t>Publication bias: 0</w:t>
            </w:r>
          </w:p>
          <w:p w:rsidR="00BD512F" w:rsidRPr="00F05153" w:rsidRDefault="00BD512F" w:rsidP="00BD512F">
            <w:pPr>
              <w:pStyle w:val="Tabletext"/>
              <w:rPr>
                <w:rFonts w:cs="Arial"/>
              </w:rPr>
            </w:pPr>
            <w:r w:rsidRPr="00F05153">
              <w:rPr>
                <w:rFonts w:cs="Arial"/>
              </w:rPr>
              <w:t>Association: 0</w:t>
            </w:r>
          </w:p>
        </w:tc>
        <w:tc>
          <w:tcPr>
            <w:tcW w:w="1413" w:type="dxa"/>
          </w:tcPr>
          <w:p w:rsidR="00BD512F" w:rsidRPr="002046A0" w:rsidRDefault="002046A0" w:rsidP="00BD512F">
            <w:pPr>
              <w:pStyle w:val="Tabletext"/>
              <w:rPr>
                <w:highlight w:val="black"/>
              </w:rPr>
            </w:pPr>
            <w:r>
              <w:rPr>
                <w:noProof/>
                <w:color w:val="000000"/>
                <w:highlight w:val="black"/>
              </w:rPr>
              <w:t>''''''''''' ''' '''''''''''''''''' ''''''''''''' '''''' '''''''''''''' '''''''''''''</w:t>
            </w:r>
          </w:p>
        </w:tc>
        <w:tc>
          <w:tcPr>
            <w:tcW w:w="2551" w:type="dxa"/>
          </w:tcPr>
          <w:p w:rsidR="00BD512F" w:rsidRPr="002046A0" w:rsidRDefault="002046A0" w:rsidP="003D210A">
            <w:pPr>
              <w:pStyle w:val="Tabletext"/>
              <w:rPr>
                <w:rFonts w:cs="Arial"/>
                <w:highlight w:val="black"/>
              </w:rPr>
            </w:pPr>
            <w:r>
              <w:rPr>
                <w:rFonts w:cs="Arial"/>
                <w:noProof/>
                <w:color w:val="000000"/>
                <w:highlight w:val="black"/>
              </w:rPr>
              <w:t>''''''''''''''' '''''''''''''''''' ''''''''''''''''''''''''''''''' ''''''''''''''''' ''''''''''''''''''''''' ''''''''' '''''''''''''''''''''''''''''' ''''''''''''''''''' ''''''''''''''''''''''''' ''''''''' '''''''''''''''''''''''''''''''' '''''''' '''''''' ''''''''''' ''''''''' '''''' ''''''''''''''''''' '''''''' ''''''' '''''''''''''' ''''''''' '''''''''''''''''''''''''''''''' '''''' '''''''' '''''''''''''''''''</w:t>
            </w:r>
          </w:p>
        </w:tc>
        <w:tc>
          <w:tcPr>
            <w:tcW w:w="1134" w:type="dxa"/>
          </w:tcPr>
          <w:p w:rsidR="00BD512F" w:rsidRPr="00F05153" w:rsidRDefault="00BD512F" w:rsidP="00BD512F">
            <w:pPr>
              <w:pStyle w:val="Tabletext"/>
              <w:rPr>
                <w:rFonts w:cs="Arial"/>
              </w:rPr>
            </w:pPr>
            <w:r w:rsidRPr="00F05153">
              <w:rPr>
                <w:rFonts w:cs="Arial"/>
              </w:rPr>
              <w:t>Low</w:t>
            </w:r>
          </w:p>
          <w:p w:rsidR="00BD512F" w:rsidRPr="00F05153" w:rsidRDefault="00BD512F" w:rsidP="00BD512F">
            <w:pPr>
              <w:pStyle w:val="Tabletext"/>
              <w:rPr>
                <w:rFonts w:cs="Cambria Math"/>
                <w:bCs/>
              </w:rPr>
            </w:pPr>
            <w:r w:rsidRPr="00F05153">
              <w:rPr>
                <w:rFonts w:ascii="Cambria Math" w:hAnsi="Cambria Math" w:cs="Cambria Math"/>
                <w:bCs/>
                <w:color w:val="00B050"/>
              </w:rPr>
              <w:t>⨁⨁</w:t>
            </w:r>
            <w:r w:rsidRPr="00F05153">
              <w:rPr>
                <w:rFonts w:ascii="Cambria Math" w:eastAsia="Times New Roman" w:hAnsi="Cambria Math" w:cs="Cambria Math"/>
                <w:bCs/>
                <w:color w:val="FF0000"/>
              </w:rPr>
              <w:t>⨀⨀</w:t>
            </w:r>
          </w:p>
          <w:p w:rsidR="00BD512F" w:rsidRPr="006316DF" w:rsidRDefault="00BD512F" w:rsidP="00BD512F">
            <w:pPr>
              <w:pStyle w:val="Tabletext"/>
              <w:rPr>
                <w:rFonts w:cs="Arial"/>
              </w:rPr>
            </w:pPr>
            <w:r w:rsidRPr="00F05153">
              <w:rPr>
                <w:rFonts w:cs="Arial"/>
              </w:rPr>
              <w:t>Important</w:t>
            </w:r>
          </w:p>
        </w:tc>
      </w:tr>
      <w:tr w:rsidR="00BD512F" w:rsidRPr="00F05153" w:rsidTr="001B552D">
        <w:tc>
          <w:tcPr>
            <w:tcW w:w="1560" w:type="dxa"/>
          </w:tcPr>
          <w:p w:rsidR="00BD512F" w:rsidRPr="00F05153" w:rsidRDefault="00BD512F" w:rsidP="00BD512F">
            <w:pPr>
              <w:pStyle w:val="Tabletext"/>
              <w:rPr>
                <w:rFonts w:cs="Arial"/>
              </w:rPr>
            </w:pPr>
            <w:r w:rsidRPr="00F05153">
              <w:rPr>
                <w:rFonts w:cs="Arial"/>
              </w:rPr>
              <w:t>Change in 6MWD from baseline</w:t>
            </w:r>
          </w:p>
        </w:tc>
        <w:tc>
          <w:tcPr>
            <w:tcW w:w="1275" w:type="dxa"/>
          </w:tcPr>
          <w:p w:rsidR="00BD512F" w:rsidRPr="00F05153" w:rsidRDefault="00BD512F" w:rsidP="00BD512F">
            <w:pPr>
              <w:pStyle w:val="Tabletext"/>
              <w:rPr>
                <w:rFonts w:cs="Arial"/>
              </w:rPr>
            </w:pPr>
            <w:r w:rsidRPr="00F05153">
              <w:rPr>
                <w:rFonts w:cs="Arial"/>
              </w:rPr>
              <w:t>N=27</w:t>
            </w:r>
          </w:p>
          <w:p w:rsidR="00BD512F" w:rsidRPr="00F05153" w:rsidRDefault="00BD512F" w:rsidP="00BD512F">
            <w:pPr>
              <w:pStyle w:val="Tabletext"/>
              <w:rPr>
                <w:rFonts w:cs="Arial"/>
              </w:rPr>
            </w:pPr>
            <w:r w:rsidRPr="00F05153">
              <w:rPr>
                <w:rFonts w:cs="Arial"/>
              </w:rPr>
              <w:t>k=1 RCT</w:t>
            </w:r>
          </w:p>
        </w:tc>
        <w:tc>
          <w:tcPr>
            <w:tcW w:w="1701" w:type="dxa"/>
          </w:tcPr>
          <w:p w:rsidR="00BD512F" w:rsidRPr="00F05153" w:rsidRDefault="00BD512F" w:rsidP="00BD512F">
            <w:pPr>
              <w:pStyle w:val="Tabletext"/>
              <w:rPr>
                <w:rFonts w:cs="Arial"/>
              </w:rPr>
            </w:pPr>
            <w:r w:rsidRPr="00F05153">
              <w:rPr>
                <w:rFonts w:cs="Arial"/>
              </w:rPr>
              <w:t>Risk of bias: 0</w:t>
            </w:r>
          </w:p>
          <w:p w:rsidR="00BD512F" w:rsidRPr="00F05153" w:rsidRDefault="00BD512F" w:rsidP="00BD512F">
            <w:pPr>
              <w:pStyle w:val="Tabletext"/>
              <w:rPr>
                <w:rFonts w:cs="Arial"/>
              </w:rPr>
            </w:pPr>
            <w:r w:rsidRPr="00F05153">
              <w:rPr>
                <w:rFonts w:cs="Arial"/>
              </w:rPr>
              <w:t>Inconsistency: 0</w:t>
            </w:r>
          </w:p>
          <w:p w:rsidR="00BD512F" w:rsidRPr="00F05153" w:rsidRDefault="00BD512F" w:rsidP="00BD512F">
            <w:pPr>
              <w:pStyle w:val="Tabletext"/>
              <w:rPr>
                <w:rFonts w:cs="Arial"/>
              </w:rPr>
            </w:pPr>
            <w:r w:rsidRPr="00F05153">
              <w:rPr>
                <w:rFonts w:cs="Arial"/>
              </w:rPr>
              <w:t>Indirectness: −1</w:t>
            </w:r>
          </w:p>
          <w:p w:rsidR="00BD512F" w:rsidRPr="00F05153" w:rsidRDefault="00BD512F" w:rsidP="00BD512F">
            <w:pPr>
              <w:pStyle w:val="Tabletext"/>
              <w:rPr>
                <w:rFonts w:cs="Arial"/>
              </w:rPr>
            </w:pPr>
            <w:r w:rsidRPr="00F05153">
              <w:rPr>
                <w:rFonts w:cs="Arial"/>
              </w:rPr>
              <w:t>Imprecision: −2</w:t>
            </w:r>
          </w:p>
          <w:p w:rsidR="00BD512F" w:rsidRPr="00F05153" w:rsidRDefault="00BD512F" w:rsidP="00BD512F">
            <w:pPr>
              <w:pStyle w:val="Tabletext"/>
              <w:rPr>
                <w:rFonts w:cs="Arial"/>
              </w:rPr>
            </w:pPr>
            <w:r w:rsidRPr="00F05153">
              <w:rPr>
                <w:rFonts w:cs="Arial"/>
              </w:rPr>
              <w:t>Publication bias: 0</w:t>
            </w:r>
          </w:p>
          <w:p w:rsidR="00BD512F" w:rsidRPr="00F05153" w:rsidRDefault="00BD512F" w:rsidP="00BD512F">
            <w:pPr>
              <w:pStyle w:val="Tabletext"/>
              <w:rPr>
                <w:rFonts w:cs="Arial"/>
              </w:rPr>
            </w:pPr>
            <w:r w:rsidRPr="00F05153">
              <w:rPr>
                <w:rFonts w:cs="Arial"/>
              </w:rPr>
              <w:t>Association: +1</w:t>
            </w:r>
          </w:p>
        </w:tc>
        <w:tc>
          <w:tcPr>
            <w:tcW w:w="1413" w:type="dxa"/>
          </w:tcPr>
          <w:p w:rsidR="00BD512F" w:rsidRPr="002046A0" w:rsidRDefault="002046A0" w:rsidP="00BD512F">
            <w:pPr>
              <w:pStyle w:val="Tabletext"/>
              <w:rPr>
                <w:highlight w:val="black"/>
              </w:rPr>
            </w:pPr>
            <w:r>
              <w:rPr>
                <w:noProof/>
                <w:color w:val="000000"/>
                <w:highlight w:val="black"/>
              </w:rPr>
              <w:t>'''''''' '''' '''''''''''' ''''' ''''''''''''''''</w:t>
            </w:r>
            <w:r>
              <w:rPr>
                <w:noProof/>
                <w:color w:val="000000"/>
                <w:highlight w:val="black"/>
              </w:rPr>
              <w:br/>
              <w:t>'''''''''''' '''''' '''''''' '''''''''''''''''</w:t>
            </w:r>
          </w:p>
        </w:tc>
        <w:tc>
          <w:tcPr>
            <w:tcW w:w="2551" w:type="dxa"/>
          </w:tcPr>
          <w:p w:rsidR="00BD512F" w:rsidRPr="002046A0" w:rsidRDefault="002046A0" w:rsidP="00B3296A">
            <w:pPr>
              <w:pStyle w:val="Tabletext"/>
              <w:rPr>
                <w:rFonts w:cs="Arial"/>
                <w:highlight w:val="black"/>
              </w:rPr>
            </w:pPr>
            <w:r>
              <w:rPr>
                <w:rFonts w:cs="Arial"/>
                <w:noProof/>
                <w:color w:val="000000"/>
                <w:highlight w:val="black"/>
              </w:rPr>
              <w:t>''''''''''''''''''' '''''' ''''''''''''''''''''''''''' '''''''''''''''''' ''''''''' ''' '''''''''''' '''''''''''''''''' '''''''''''''''''''''''' ''''''''''''' '''''''''''''''''''''''''''''' ''''' '''''''''''' '''''''''''''''' ''''''''''' '''''''''''' ''''''' '''''''''''''''''''''''''''''''</w:t>
            </w:r>
          </w:p>
        </w:tc>
        <w:tc>
          <w:tcPr>
            <w:tcW w:w="1134" w:type="dxa"/>
          </w:tcPr>
          <w:p w:rsidR="00BD512F" w:rsidRPr="00F05153" w:rsidRDefault="00BD512F" w:rsidP="00BD512F">
            <w:pPr>
              <w:pStyle w:val="Tabletext"/>
              <w:rPr>
                <w:rFonts w:cs="Arial"/>
              </w:rPr>
            </w:pPr>
            <w:r w:rsidRPr="00F05153">
              <w:rPr>
                <w:rFonts w:cs="Arial"/>
              </w:rPr>
              <w:t>Low</w:t>
            </w:r>
          </w:p>
          <w:p w:rsidR="00BD512F" w:rsidRPr="00F05153" w:rsidRDefault="00BD512F" w:rsidP="00BD512F">
            <w:pPr>
              <w:pStyle w:val="Tabletext"/>
              <w:rPr>
                <w:rFonts w:cs="Cambria Math"/>
                <w:bCs/>
              </w:rPr>
            </w:pPr>
            <w:r w:rsidRPr="00F05153">
              <w:rPr>
                <w:rFonts w:ascii="Cambria Math" w:hAnsi="Cambria Math" w:cs="Cambria Math"/>
                <w:bCs/>
                <w:color w:val="00B050"/>
              </w:rPr>
              <w:t>⨁⨁</w:t>
            </w:r>
            <w:r w:rsidRPr="00F05153">
              <w:rPr>
                <w:rFonts w:ascii="Cambria Math" w:eastAsia="Times New Roman" w:hAnsi="Cambria Math" w:cs="Cambria Math"/>
                <w:bCs/>
                <w:color w:val="FF0000"/>
              </w:rPr>
              <w:t>⨀⨀</w:t>
            </w:r>
          </w:p>
          <w:p w:rsidR="00BD512F" w:rsidRPr="00F05153" w:rsidRDefault="00BD512F" w:rsidP="00BD512F">
            <w:pPr>
              <w:pStyle w:val="Tabletext"/>
              <w:rPr>
                <w:rFonts w:cs="Arial"/>
              </w:rPr>
            </w:pPr>
            <w:r w:rsidRPr="00F05153">
              <w:rPr>
                <w:rFonts w:cs="Arial"/>
              </w:rPr>
              <w:t>Important</w:t>
            </w:r>
          </w:p>
        </w:tc>
      </w:tr>
      <w:tr w:rsidR="00BD512F" w:rsidRPr="00F05153" w:rsidTr="001B552D">
        <w:tc>
          <w:tcPr>
            <w:tcW w:w="1560" w:type="dxa"/>
          </w:tcPr>
          <w:p w:rsidR="00BD512F" w:rsidRPr="00F05153" w:rsidRDefault="00BD512F" w:rsidP="00BD512F">
            <w:pPr>
              <w:pStyle w:val="Tabletext"/>
              <w:rPr>
                <w:rFonts w:cs="Arial"/>
              </w:rPr>
            </w:pPr>
            <w:r w:rsidRPr="00F05153">
              <w:rPr>
                <w:rFonts w:cs="Arial"/>
              </w:rPr>
              <w:t>Change in QoL from baseline</w:t>
            </w:r>
          </w:p>
        </w:tc>
        <w:tc>
          <w:tcPr>
            <w:tcW w:w="1275" w:type="dxa"/>
          </w:tcPr>
          <w:p w:rsidR="00BD512F" w:rsidRPr="00F05153" w:rsidRDefault="00BD512F" w:rsidP="00BD512F">
            <w:pPr>
              <w:pStyle w:val="Tabletext"/>
              <w:rPr>
                <w:rFonts w:cs="Arial"/>
              </w:rPr>
            </w:pPr>
            <w:r w:rsidRPr="00F05153">
              <w:rPr>
                <w:rFonts w:cs="Arial"/>
              </w:rPr>
              <w:t>N=27</w:t>
            </w:r>
          </w:p>
          <w:p w:rsidR="00BD512F" w:rsidRPr="00F05153" w:rsidRDefault="00BD512F" w:rsidP="00BD512F">
            <w:pPr>
              <w:pStyle w:val="Tabletext"/>
              <w:rPr>
                <w:rFonts w:cs="Arial"/>
              </w:rPr>
            </w:pPr>
            <w:r w:rsidRPr="00F05153">
              <w:rPr>
                <w:rFonts w:cs="Arial"/>
              </w:rPr>
              <w:t>k=1 RCT</w:t>
            </w:r>
          </w:p>
        </w:tc>
        <w:tc>
          <w:tcPr>
            <w:tcW w:w="1701" w:type="dxa"/>
          </w:tcPr>
          <w:p w:rsidR="00BD512F" w:rsidRPr="00F05153" w:rsidRDefault="00BD512F" w:rsidP="00BD512F">
            <w:pPr>
              <w:pStyle w:val="Tabletext"/>
              <w:rPr>
                <w:rFonts w:cs="Arial"/>
              </w:rPr>
            </w:pPr>
            <w:r w:rsidRPr="00F05153">
              <w:rPr>
                <w:rFonts w:cs="Arial"/>
              </w:rPr>
              <w:t>Risk of bias: 0</w:t>
            </w:r>
          </w:p>
          <w:p w:rsidR="00BD512F" w:rsidRPr="00F05153" w:rsidRDefault="00BD512F" w:rsidP="00BD512F">
            <w:pPr>
              <w:pStyle w:val="Tabletext"/>
              <w:rPr>
                <w:rFonts w:cs="Arial"/>
              </w:rPr>
            </w:pPr>
            <w:r w:rsidRPr="00F05153">
              <w:rPr>
                <w:rFonts w:cs="Arial"/>
              </w:rPr>
              <w:t>Inconsistency: 0</w:t>
            </w:r>
          </w:p>
          <w:p w:rsidR="00BD512F" w:rsidRPr="00F05153" w:rsidRDefault="00BD512F" w:rsidP="00BD512F">
            <w:pPr>
              <w:pStyle w:val="Tabletext"/>
              <w:rPr>
                <w:rFonts w:cs="Arial"/>
              </w:rPr>
            </w:pPr>
            <w:r w:rsidRPr="00F05153">
              <w:rPr>
                <w:rFonts w:cs="Arial"/>
              </w:rPr>
              <w:t>Indirectness: 0</w:t>
            </w:r>
          </w:p>
          <w:p w:rsidR="00BD512F" w:rsidRPr="00F05153" w:rsidRDefault="00BD512F" w:rsidP="00BD512F">
            <w:pPr>
              <w:pStyle w:val="Tabletext"/>
              <w:rPr>
                <w:rFonts w:cs="Arial"/>
              </w:rPr>
            </w:pPr>
            <w:r w:rsidRPr="00F05153">
              <w:rPr>
                <w:rFonts w:cs="Arial"/>
              </w:rPr>
              <w:t>Imprecision: −2</w:t>
            </w:r>
          </w:p>
          <w:p w:rsidR="00BD512F" w:rsidRPr="00F05153" w:rsidRDefault="00BD512F" w:rsidP="00BD512F">
            <w:pPr>
              <w:pStyle w:val="Tabletext"/>
              <w:rPr>
                <w:rFonts w:cs="Arial"/>
              </w:rPr>
            </w:pPr>
            <w:r w:rsidRPr="00F05153">
              <w:rPr>
                <w:rFonts w:cs="Arial"/>
              </w:rPr>
              <w:t>Publication bias: 0</w:t>
            </w:r>
          </w:p>
          <w:p w:rsidR="00BD512F" w:rsidRPr="00F05153" w:rsidRDefault="00BD512F" w:rsidP="00BD512F">
            <w:pPr>
              <w:pStyle w:val="Tabletext"/>
              <w:rPr>
                <w:rFonts w:cs="Arial"/>
              </w:rPr>
            </w:pPr>
            <w:r w:rsidRPr="00F05153">
              <w:rPr>
                <w:rFonts w:cs="Arial"/>
              </w:rPr>
              <w:t>Association: 0 to +1</w:t>
            </w:r>
          </w:p>
        </w:tc>
        <w:tc>
          <w:tcPr>
            <w:tcW w:w="1413" w:type="dxa"/>
          </w:tcPr>
          <w:p w:rsidR="00BD512F" w:rsidRPr="002046A0" w:rsidRDefault="002046A0" w:rsidP="00BD512F">
            <w:pPr>
              <w:pStyle w:val="Tabletext"/>
              <w:rPr>
                <w:highlight w:val="black"/>
              </w:rPr>
            </w:pPr>
            <w:r>
              <w:rPr>
                <w:noProof/>
                <w:color w:val="000000"/>
                <w:highlight w:val="black"/>
              </w:rPr>
              <w:t>'''''''''''''''''''''</w:t>
            </w:r>
            <w:r>
              <w:rPr>
                <w:noProof/>
                <w:color w:val="000000"/>
                <w:highlight w:val="black"/>
              </w:rPr>
              <w:br/>
              <w:t>'''''''' ''' '''''''''''''' ''''''''''''' '''''''''''''''''''''''''''''</w:t>
            </w:r>
          </w:p>
          <w:p w:rsidR="00BD512F" w:rsidRPr="002046A0" w:rsidRDefault="002046A0" w:rsidP="00BD512F">
            <w:pPr>
              <w:pStyle w:val="Tabletext"/>
              <w:rPr>
                <w:highlight w:val="black"/>
              </w:rPr>
            </w:pPr>
            <w:r>
              <w:rPr>
                <w:noProof/>
                <w:color w:val="000000"/>
                <w:highlight w:val="black"/>
              </w:rPr>
              <w:t>'''''''''''''</w:t>
            </w:r>
            <w:r>
              <w:rPr>
                <w:noProof/>
                <w:color w:val="000000"/>
                <w:highlight w:val="black"/>
              </w:rPr>
              <w:br/>
              <w:t>'''''''' ''' ''''''' ''''''''''' '''''''''''''''''''''''''''''</w:t>
            </w:r>
          </w:p>
        </w:tc>
        <w:tc>
          <w:tcPr>
            <w:tcW w:w="2551" w:type="dxa"/>
          </w:tcPr>
          <w:p w:rsidR="00BD512F" w:rsidRPr="002046A0" w:rsidRDefault="002046A0" w:rsidP="00BD512F">
            <w:pPr>
              <w:pStyle w:val="Tabletext"/>
              <w:rPr>
                <w:rFonts w:cs="Arial"/>
                <w:highlight w:val="black"/>
              </w:rPr>
            </w:pPr>
            <w:r>
              <w:rPr>
                <w:rFonts w:cs="Arial"/>
                <w:noProof/>
                <w:color w:val="000000"/>
                <w:highlight w:val="black"/>
              </w:rPr>
              <w:t>'''''''''''''''''''' '''''' '''''''''''''''''''''''''' ''''''''''''''''' '''''''''' '''' '''''''''''''' '''''''''''''' ''''''''''''''''''''''''''''' ''''' '''''''''''' '''''''''' ''''''''''' '''''''''''''' ''''''' ''''''''''''''''''''''''''''''' '''''''''' '''''''' ''''''''''''''''''''''''' '''' '''''''' '''''''''''''''''' ''''''''''''' ''''''''''''''''' '''''''''''''''''''''</w:t>
            </w:r>
          </w:p>
        </w:tc>
        <w:tc>
          <w:tcPr>
            <w:tcW w:w="1134" w:type="dxa"/>
          </w:tcPr>
          <w:p w:rsidR="00BD512F" w:rsidRPr="00F05153" w:rsidRDefault="00BD512F" w:rsidP="00BD512F">
            <w:pPr>
              <w:pStyle w:val="Tabletext"/>
              <w:rPr>
                <w:rFonts w:cs="Arial"/>
              </w:rPr>
            </w:pPr>
            <w:r w:rsidRPr="00F05153">
              <w:rPr>
                <w:rFonts w:cs="Arial"/>
              </w:rPr>
              <w:t>Moderate</w:t>
            </w:r>
          </w:p>
          <w:p w:rsidR="00BD512F" w:rsidRPr="00F05153" w:rsidRDefault="00BD512F" w:rsidP="00BD512F">
            <w:pPr>
              <w:pStyle w:val="Tabletext"/>
              <w:rPr>
                <w:rFonts w:cs="Cambria Math"/>
                <w:bCs/>
              </w:rPr>
            </w:pPr>
            <w:r w:rsidRPr="00F05153">
              <w:rPr>
                <w:rFonts w:ascii="Cambria Math" w:hAnsi="Cambria Math" w:cs="Cambria Math"/>
                <w:bCs/>
                <w:color w:val="00B050"/>
              </w:rPr>
              <w:t>⨁⨁⨁</w:t>
            </w:r>
            <w:r w:rsidRPr="00F05153">
              <w:rPr>
                <w:rFonts w:ascii="Cambria Math" w:eastAsia="Times New Roman" w:hAnsi="Cambria Math" w:cs="Cambria Math"/>
                <w:bCs/>
                <w:color w:val="FF0000"/>
              </w:rPr>
              <w:t>⨀</w:t>
            </w:r>
          </w:p>
          <w:p w:rsidR="00BD512F" w:rsidRPr="00F05153" w:rsidRDefault="00BD512F" w:rsidP="00BD512F">
            <w:pPr>
              <w:pStyle w:val="Tabletext"/>
              <w:rPr>
                <w:rFonts w:cs="Arial"/>
              </w:rPr>
            </w:pPr>
            <w:r w:rsidRPr="00F05153">
              <w:rPr>
                <w:rFonts w:cs="Arial"/>
              </w:rPr>
              <w:t>Important</w:t>
            </w:r>
          </w:p>
        </w:tc>
      </w:tr>
      <w:tr w:rsidR="00BD512F" w:rsidRPr="006316DF" w:rsidTr="00B14FF5">
        <w:tc>
          <w:tcPr>
            <w:tcW w:w="1560" w:type="dxa"/>
          </w:tcPr>
          <w:p w:rsidR="00BD512F" w:rsidRPr="00F05153" w:rsidRDefault="00BD512F" w:rsidP="00BD512F">
            <w:pPr>
              <w:pStyle w:val="Tabletext"/>
              <w:rPr>
                <w:rFonts w:cs="Arial"/>
              </w:rPr>
            </w:pPr>
            <w:r w:rsidRPr="00F05153">
              <w:rPr>
                <w:rFonts w:cs="Arial"/>
              </w:rPr>
              <w:t>Change in haemodynamic parameters from baseline</w:t>
            </w:r>
          </w:p>
        </w:tc>
        <w:tc>
          <w:tcPr>
            <w:tcW w:w="1275" w:type="dxa"/>
          </w:tcPr>
          <w:p w:rsidR="00BD512F" w:rsidRPr="00F05153" w:rsidRDefault="00BD512F" w:rsidP="00BD512F">
            <w:pPr>
              <w:pStyle w:val="Tabletext"/>
              <w:rPr>
                <w:rFonts w:cs="Arial"/>
              </w:rPr>
            </w:pPr>
            <w:r w:rsidRPr="00F05153">
              <w:rPr>
                <w:rFonts w:cs="Arial"/>
              </w:rPr>
              <w:t>N=27</w:t>
            </w:r>
          </w:p>
          <w:p w:rsidR="00BD512F" w:rsidRPr="00F05153" w:rsidRDefault="00BD512F" w:rsidP="00BD512F">
            <w:pPr>
              <w:pStyle w:val="Tabletext"/>
              <w:rPr>
                <w:rFonts w:cs="Arial"/>
              </w:rPr>
            </w:pPr>
            <w:r w:rsidRPr="00F05153">
              <w:rPr>
                <w:rFonts w:cs="Arial"/>
              </w:rPr>
              <w:t>k=1 RCT</w:t>
            </w:r>
          </w:p>
        </w:tc>
        <w:tc>
          <w:tcPr>
            <w:tcW w:w="1701" w:type="dxa"/>
          </w:tcPr>
          <w:p w:rsidR="00BD512F" w:rsidRPr="00F05153" w:rsidRDefault="00BD512F" w:rsidP="00BD512F">
            <w:pPr>
              <w:pStyle w:val="Tabletext"/>
              <w:rPr>
                <w:rFonts w:cs="Arial"/>
              </w:rPr>
            </w:pPr>
            <w:r w:rsidRPr="00F05153">
              <w:rPr>
                <w:rFonts w:cs="Arial"/>
              </w:rPr>
              <w:t>Risk of bias: 0</w:t>
            </w:r>
          </w:p>
          <w:p w:rsidR="00BD512F" w:rsidRPr="00F05153" w:rsidRDefault="00BD512F" w:rsidP="00BD512F">
            <w:pPr>
              <w:pStyle w:val="Tabletext"/>
              <w:rPr>
                <w:rFonts w:cs="Arial"/>
              </w:rPr>
            </w:pPr>
            <w:r w:rsidRPr="00F05153">
              <w:rPr>
                <w:rFonts w:cs="Arial"/>
              </w:rPr>
              <w:t>Inconsistency: 0</w:t>
            </w:r>
          </w:p>
          <w:p w:rsidR="00BD512F" w:rsidRPr="00F05153" w:rsidRDefault="00BD512F" w:rsidP="00BD512F">
            <w:pPr>
              <w:pStyle w:val="Tabletext"/>
              <w:rPr>
                <w:rFonts w:cs="Arial"/>
              </w:rPr>
            </w:pPr>
            <w:r w:rsidRPr="00F05153">
              <w:rPr>
                <w:rFonts w:cs="Arial"/>
              </w:rPr>
              <w:t>Indirectness: −2</w:t>
            </w:r>
          </w:p>
          <w:p w:rsidR="00BD512F" w:rsidRPr="00F05153" w:rsidRDefault="00BD512F" w:rsidP="00BD512F">
            <w:pPr>
              <w:pStyle w:val="Tabletext"/>
              <w:rPr>
                <w:rFonts w:cs="Arial"/>
              </w:rPr>
            </w:pPr>
            <w:r w:rsidRPr="00F05153">
              <w:rPr>
                <w:rFonts w:cs="Arial"/>
              </w:rPr>
              <w:t>Imprecision: −2</w:t>
            </w:r>
          </w:p>
          <w:p w:rsidR="00BD512F" w:rsidRPr="00F05153" w:rsidRDefault="00BD512F" w:rsidP="00BD512F">
            <w:pPr>
              <w:pStyle w:val="Tabletext"/>
              <w:rPr>
                <w:rFonts w:cs="Arial"/>
              </w:rPr>
            </w:pPr>
            <w:r w:rsidRPr="00F05153">
              <w:rPr>
                <w:rFonts w:cs="Arial"/>
              </w:rPr>
              <w:t>Publication bias: 0</w:t>
            </w:r>
          </w:p>
          <w:p w:rsidR="00BD512F" w:rsidRPr="00F05153" w:rsidRDefault="00BD512F" w:rsidP="00BD512F">
            <w:pPr>
              <w:pStyle w:val="Tabletext"/>
              <w:rPr>
                <w:rFonts w:cs="Arial"/>
              </w:rPr>
            </w:pPr>
            <w:r w:rsidRPr="00F05153">
              <w:rPr>
                <w:rFonts w:cs="Arial"/>
              </w:rPr>
              <w:t>Association: +1</w:t>
            </w:r>
          </w:p>
        </w:tc>
        <w:tc>
          <w:tcPr>
            <w:tcW w:w="1413" w:type="dxa"/>
          </w:tcPr>
          <w:p w:rsidR="00BD512F" w:rsidRPr="002046A0" w:rsidRDefault="002046A0" w:rsidP="00BD512F">
            <w:pPr>
              <w:pStyle w:val="Tabletext"/>
              <w:rPr>
                <w:highlight w:val="black"/>
              </w:rPr>
            </w:pPr>
            <w:r>
              <w:rPr>
                <w:noProof/>
                <w:color w:val="000000"/>
                <w:highlight w:val="black"/>
              </w:rPr>
              <w:t>'''''''''''</w:t>
            </w:r>
            <w:r>
              <w:rPr>
                <w:noProof/>
                <w:color w:val="000000"/>
                <w:highlight w:val="black"/>
              </w:rPr>
              <w:br/>
              <w:t>'''''''' ''' '''''''''''''''' ''''''''''''''''''''''''''''''''</w:t>
            </w:r>
          </w:p>
        </w:tc>
        <w:tc>
          <w:tcPr>
            <w:tcW w:w="2551" w:type="dxa"/>
          </w:tcPr>
          <w:p w:rsidR="00BD512F" w:rsidRPr="002046A0" w:rsidRDefault="002046A0" w:rsidP="005C0F6F">
            <w:pPr>
              <w:pStyle w:val="Tabletext"/>
              <w:rPr>
                <w:rFonts w:cs="Arial"/>
                <w:highlight w:val="black"/>
              </w:rPr>
            </w:pPr>
            <w:r>
              <w:rPr>
                <w:rFonts w:cs="Arial"/>
                <w:noProof/>
                <w:color w:val="000000"/>
                <w:highlight w:val="black"/>
              </w:rPr>
              <w:t>''''''''''''''''''''' '''''' ''''''''''''''''''''''''''''''' ''''''''''''''''' ''''''''' '''' '''''''''''' ''''''''''''''''''''' '''''''''''''''''''''' ''''''''''''' ''''''''''''''''''''''''''''' ''''' '''''''''' '''''''''''''''''''''''''''''''''' '''''''''''''''''''''''''''' ''''''''''' '''''''''''''' '''''' ''''''''''''''''''''''''''''''</w:t>
            </w:r>
          </w:p>
        </w:tc>
        <w:tc>
          <w:tcPr>
            <w:tcW w:w="1134" w:type="dxa"/>
          </w:tcPr>
          <w:p w:rsidR="00BD512F" w:rsidRPr="00F05153" w:rsidRDefault="00BD512F" w:rsidP="00BD512F">
            <w:pPr>
              <w:pStyle w:val="Tabletext"/>
              <w:rPr>
                <w:rFonts w:cs="Arial"/>
              </w:rPr>
            </w:pPr>
            <w:r w:rsidRPr="00F05153">
              <w:rPr>
                <w:rFonts w:cs="Arial"/>
              </w:rPr>
              <w:t>Very low</w:t>
            </w:r>
          </w:p>
          <w:p w:rsidR="00BD512F" w:rsidRPr="00F05153" w:rsidRDefault="00BD512F" w:rsidP="00BD512F">
            <w:pPr>
              <w:pStyle w:val="Tabletext"/>
              <w:rPr>
                <w:rFonts w:cs="Cambria Math"/>
                <w:bCs/>
              </w:rPr>
            </w:pPr>
            <w:r w:rsidRPr="00F05153">
              <w:rPr>
                <w:rFonts w:ascii="Cambria Math" w:hAnsi="Cambria Math" w:cs="Cambria Math"/>
                <w:bCs/>
                <w:color w:val="00B050"/>
              </w:rPr>
              <w:t>⨁</w:t>
            </w:r>
            <w:r w:rsidRPr="00F05153">
              <w:rPr>
                <w:rFonts w:ascii="Cambria Math" w:eastAsia="Times New Roman" w:hAnsi="Cambria Math" w:cs="Cambria Math"/>
                <w:bCs/>
                <w:color w:val="FF0000"/>
              </w:rPr>
              <w:t>⨀⨀</w:t>
            </w:r>
            <w:r w:rsidRPr="00F05153">
              <w:rPr>
                <w:rFonts w:ascii="Cambria Math" w:hAnsi="Cambria Math" w:cs="Cambria Math"/>
                <w:color w:val="C00000"/>
              </w:rPr>
              <w:t>⨀</w:t>
            </w:r>
          </w:p>
          <w:p w:rsidR="00BD512F" w:rsidRPr="006316DF" w:rsidRDefault="00BD512F" w:rsidP="00BD512F">
            <w:pPr>
              <w:pStyle w:val="Tabletext"/>
              <w:rPr>
                <w:rFonts w:cs="Arial"/>
              </w:rPr>
            </w:pPr>
            <w:r w:rsidRPr="00F05153">
              <w:rPr>
                <w:rFonts w:cs="Arial"/>
              </w:rPr>
              <w:t>Not important</w:t>
            </w:r>
          </w:p>
        </w:tc>
      </w:tr>
    </w:tbl>
    <w:p w:rsidR="0075777C" w:rsidRPr="006316DF" w:rsidRDefault="0075777C" w:rsidP="00B14FF5">
      <w:pPr>
        <w:pStyle w:val="Tablenote"/>
      </w:pPr>
      <w:proofErr w:type="gramStart"/>
      <w:r w:rsidRPr="006316DF">
        <w:rPr>
          <w:vertAlign w:val="superscript"/>
        </w:rPr>
        <w:t>a</w:t>
      </w:r>
      <w:proofErr w:type="gramEnd"/>
      <w:r w:rsidRPr="006316DF">
        <w:rPr>
          <w:vertAlign w:val="superscript"/>
        </w:rPr>
        <w:t xml:space="preserve"> </w:t>
      </w:r>
      <w:r w:rsidRPr="006316DF">
        <w:t xml:space="preserve">GRADE Working Group grades of evidence </w:t>
      </w:r>
      <w:r w:rsidR="001D34EE" w:rsidRPr="001D34EE">
        <w:rPr>
          <w:noProof/>
          <w:vertAlign w:val="superscript"/>
        </w:rPr>
        <w:t>1</w:t>
      </w:r>
    </w:p>
    <w:p w:rsidR="000211A3" w:rsidRDefault="000211A3" w:rsidP="000211A3">
      <w:pPr>
        <w:pStyle w:val="Tablenote"/>
      </w:pPr>
      <w:proofErr w:type="gramStart"/>
      <w:r>
        <w:rPr>
          <w:vertAlign w:val="superscript"/>
        </w:rPr>
        <w:t>b</w:t>
      </w:r>
      <w:proofErr w:type="gramEnd"/>
      <w:r>
        <w:rPr>
          <w:vertAlign w:val="superscript"/>
        </w:rPr>
        <w:t xml:space="preserve"> </w:t>
      </w:r>
      <w:r>
        <w:t xml:space="preserve">EQ-5D utility scores range from </w:t>
      </w:r>
      <w:r w:rsidRPr="00C569DB">
        <w:t>−</w:t>
      </w:r>
      <w:r>
        <w:t>0.59 to 1.00. A higher score represents better QoL.</w:t>
      </w:r>
    </w:p>
    <w:p w:rsidR="000211A3" w:rsidRDefault="000211A3" w:rsidP="000211A3">
      <w:pPr>
        <w:pStyle w:val="Tablenote"/>
      </w:pPr>
      <w:proofErr w:type="gramStart"/>
      <w:r>
        <w:rPr>
          <w:vertAlign w:val="superscript"/>
        </w:rPr>
        <w:t>c</w:t>
      </w:r>
      <w:proofErr w:type="gramEnd"/>
      <w:r>
        <w:rPr>
          <w:vertAlign w:val="superscript"/>
        </w:rPr>
        <w:t xml:space="preserve"> </w:t>
      </w:r>
      <w:r>
        <w:t>LPH total scores range from 0 to 105. A higher score indicates poorer QoL.</w:t>
      </w:r>
    </w:p>
    <w:p w:rsidR="00BD512F" w:rsidRPr="006316DF" w:rsidRDefault="00BD512F" w:rsidP="00BD512F">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Moderate quality:</w:t>
      </w:r>
      <w:r w:rsidRPr="006316DF">
        <w:t xml:space="preserve"> We are moderately confident in the effect estimate: The true effect is likely to be close to the estimate of the effect, but there is a possibility that it is substantially different</w:t>
      </w:r>
    </w:p>
    <w:p w:rsidR="00BD512F" w:rsidRPr="006316DF" w:rsidRDefault="00BD512F" w:rsidP="00BD512F">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BD512F" w:rsidRPr="00E564DD" w:rsidRDefault="00BD512F" w:rsidP="00BD512F">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146880" w:rsidRDefault="0075777C" w:rsidP="00B14FF5">
      <w:pPr>
        <w:pStyle w:val="Tablenote"/>
      </w:pPr>
      <w:proofErr w:type="gramStart"/>
      <w:r>
        <w:t xml:space="preserve">6MWD = 6-minute </w:t>
      </w:r>
      <w:r w:rsidR="0082368E">
        <w:t>walk distance</w:t>
      </w:r>
      <w:r w:rsidR="00B21201">
        <w:t>; ARD</w:t>
      </w:r>
      <w:r>
        <w:t xml:space="preserve"> = absolute risk </w:t>
      </w:r>
      <w:r w:rsidR="00B21201">
        <w:t>difference</w:t>
      </w:r>
      <w:r>
        <w:t xml:space="preserve">; CI = confidence interval; EQ-5D = EuroQual 5 dimension; FC = functional class; </w:t>
      </w:r>
      <w:r w:rsidR="00385E5A">
        <w:t>GRADE = grading of recommendations assessment, development and evaluation</w:t>
      </w:r>
      <w:r w:rsidR="001D34EE" w:rsidRPr="001D34EE">
        <w:rPr>
          <w:noProof/>
          <w:vertAlign w:val="superscript"/>
        </w:rPr>
        <w:t>1</w:t>
      </w:r>
      <w:r w:rsidR="00146880" w:rsidRPr="00F24B06">
        <w:t xml:space="preserve">; k = number of studies; </w:t>
      </w:r>
      <w:r w:rsidRPr="00C65B42">
        <w:t xml:space="preserve">LPH = living with pulmonary hypertension; </w:t>
      </w:r>
      <w:r>
        <w:t xml:space="preserve">MD = mean difference; N = number of patients;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xml:space="preserve">; </w:t>
      </w:r>
      <w:r w:rsidR="0023244F">
        <w:t xml:space="preserve">QoL = quality of life; </w:t>
      </w:r>
      <w:r>
        <w:t xml:space="preserve">RCT = randomised controlled trial; RR = relative risk; </w:t>
      </w:r>
      <w:r w:rsidRPr="006C6F7B">
        <w:t xml:space="preserve">sGC = soluble guanylate cyclase; </w:t>
      </w:r>
      <w:r>
        <w:t>WHO = World Health Organization</w:t>
      </w:r>
      <w:proofErr w:type="gramEnd"/>
    </w:p>
    <w:p w:rsidR="0075777C" w:rsidRPr="006316DF" w:rsidRDefault="0075777C" w:rsidP="0075777C">
      <w:pPr>
        <w:pStyle w:val="Heading5"/>
      </w:pPr>
      <w:r w:rsidRPr="006316DF">
        <w:t>Safety</w:t>
      </w:r>
    </w:p>
    <w:p w:rsidR="00457FA6" w:rsidRDefault="00457FA6" w:rsidP="00457FA6">
      <w:r w:rsidRPr="00457FA6">
        <w:t xml:space="preserve">No conclusions about the comparative safety of a sGC stimulator in addition to a </w:t>
      </w:r>
      <w:r w:rsidRPr="00BC3335">
        <w:t>prostanoid</w:t>
      </w:r>
      <w:r w:rsidRPr="00457FA6">
        <w:t xml:space="preserve">, relative to </w:t>
      </w:r>
      <w:r w:rsidRPr="00BC3335">
        <w:t xml:space="preserve">prostanoid </w:t>
      </w:r>
      <w:r w:rsidRPr="00457FA6">
        <w:t xml:space="preserve">monotherapy in </w:t>
      </w:r>
      <w:r>
        <w:t xml:space="preserve">PAH </w:t>
      </w:r>
      <w:r w:rsidRPr="00457FA6">
        <w:t xml:space="preserve">patients </w:t>
      </w:r>
      <w:proofErr w:type="gramStart"/>
      <w:r w:rsidRPr="00457FA6">
        <w:t>could be made</w:t>
      </w:r>
      <w:proofErr w:type="gramEnd"/>
      <w:r w:rsidRPr="00457FA6">
        <w:t xml:space="preserve"> due to a lack of evidence.</w:t>
      </w:r>
    </w:p>
    <w:p w:rsidR="005A20F4" w:rsidRDefault="005A20F4" w:rsidP="005A20F4">
      <w:pPr>
        <w:pStyle w:val="Heading3"/>
      </w:pPr>
      <w:bookmarkStart w:id="394" w:name="_Toc38360290"/>
      <w:r>
        <w:t>Effectiveness and safety of triple combination therapy</w:t>
      </w:r>
      <w:bookmarkEnd w:id="394"/>
    </w:p>
    <w:p w:rsidR="00126F99" w:rsidRPr="00377908" w:rsidRDefault="0075777C" w:rsidP="00981B83">
      <w:r w:rsidRPr="00377908">
        <w:t>No cl</w:t>
      </w:r>
      <w:r w:rsidR="00981B83">
        <w:t xml:space="preserve">inical evidence </w:t>
      </w:r>
      <w:proofErr w:type="gramStart"/>
      <w:r w:rsidR="00981B83">
        <w:t>was identified</w:t>
      </w:r>
      <w:proofErr w:type="gramEnd"/>
      <w:r w:rsidR="00981B83">
        <w:t>.</w:t>
      </w:r>
    </w:p>
    <w:p w:rsidR="00126F99" w:rsidRDefault="00126F99" w:rsidP="00126F99">
      <w:pPr>
        <w:pStyle w:val="Heading3"/>
      </w:pPr>
      <w:bookmarkStart w:id="395" w:name="_Toc38360291"/>
      <w:r>
        <w:t>Extended assessment of safety</w:t>
      </w:r>
      <w:bookmarkEnd w:id="395"/>
    </w:p>
    <w:p w:rsidR="001D0FDA" w:rsidRDefault="001D0FDA" w:rsidP="00E43898">
      <w:pPr>
        <w:pStyle w:val="BodyTextnospacebefore"/>
      </w:pPr>
      <w:r>
        <w:t xml:space="preserve">The four RCTs included for the extended safety assessment of PAH medicines had a short-term study period of 6 to 16 weeks. Results from Trial STARTS-1 indicated that, in paediatric PAH patients, sildenafil had an inferior safety profile, with </w:t>
      </w:r>
      <w:r w:rsidR="006B2A7D">
        <w:t>AE</w:t>
      </w:r>
      <w:r>
        <w:t xml:space="preserve">s of </w:t>
      </w:r>
      <w:r w:rsidRPr="00147C70">
        <w:t xml:space="preserve">pyrexia, increased erection, and upper respiratory tract infection </w:t>
      </w:r>
      <w:r>
        <w:t>occurring more frequently in children treated with sildenafil than those receiving placebo. The incidence of p</w:t>
      </w:r>
      <w:r w:rsidRPr="00147C70">
        <w:t>yrexia, vomiting, and na</w:t>
      </w:r>
      <w:r>
        <w:t xml:space="preserve">usea appeared to be sildenafil dose-related. The results of eye disorder </w:t>
      </w:r>
      <w:r w:rsidR="006B2A7D">
        <w:t>AE</w:t>
      </w:r>
      <w:r>
        <w:t xml:space="preserve">s from SUPER-1 indicated that, in general, sildenafil dosing up to 80 mg tid </w:t>
      </w:r>
      <w:proofErr w:type="gramStart"/>
      <w:r>
        <w:t>was tolerated</w:t>
      </w:r>
      <w:proofErr w:type="gramEnd"/>
      <w:r>
        <w:t xml:space="preserve"> from an ocular perspective in patients with PAH. In this population, the incidence of ocular </w:t>
      </w:r>
      <w:r w:rsidR="006B2A7D">
        <w:t>AE</w:t>
      </w:r>
      <w:r>
        <w:t xml:space="preserve">s was low and comparable between the 20 mg tid (PI-recommended dose) and placebo groups, but with some </w:t>
      </w:r>
      <w:r w:rsidR="006B2A7D">
        <w:t>AE</w:t>
      </w:r>
      <w:r>
        <w:t xml:space="preserve">s occurred only in patients receiving sildenafil, eg retinal haemorrhage. PHIRST trial reported higher incidence of overall </w:t>
      </w:r>
      <w:r w:rsidR="006B2A7D">
        <w:t>AE</w:t>
      </w:r>
      <w:r>
        <w:t xml:space="preserve">s, </w:t>
      </w:r>
      <w:r w:rsidRPr="00733295">
        <w:t xml:space="preserve">diarrhoea, nausea, nasopharyngitis, upper respiratory tract infection, myalgia, flushing, dyspepsia and pain </w:t>
      </w:r>
      <w:r w:rsidR="00DB4D9C" w:rsidRPr="00DB4D9C">
        <w:t>in the extremities</w:t>
      </w:r>
      <w:r w:rsidRPr="00733295">
        <w:t xml:space="preserve"> </w:t>
      </w:r>
      <w:r>
        <w:t>in patients receiving tadalafil at a recommended dose of 40</w:t>
      </w:r>
      <w:r w:rsidR="00883A9F">
        <w:t> </w:t>
      </w:r>
      <w:r>
        <w:t xml:space="preserve">mg od, compared with patients in the </w:t>
      </w:r>
      <w:r w:rsidRPr="00733295">
        <w:t>placebo</w:t>
      </w:r>
      <w:r>
        <w:t xml:space="preserve"> arm</w:t>
      </w:r>
      <w:r w:rsidRPr="00733295">
        <w:t xml:space="preserve">. </w:t>
      </w:r>
      <w:proofErr w:type="gramStart"/>
      <w:r>
        <w:t xml:space="preserve">Insufficient trial data was provided by </w:t>
      </w:r>
      <w:r w:rsidRPr="00733295">
        <w:t>Mukhopadhyay 2011</w:t>
      </w:r>
      <w:proofErr w:type="gramEnd"/>
      <w:r>
        <w:t xml:space="preserve"> for evaluation of comparative safe</w:t>
      </w:r>
      <w:r w:rsidR="00981B83">
        <w:t>ty of tadalafil versus placebo.</w:t>
      </w:r>
    </w:p>
    <w:p w:rsidR="001D0FDA" w:rsidRDefault="001D0FDA" w:rsidP="00E43898">
      <w:pPr>
        <w:pStyle w:val="BodyTextnospacebefore"/>
      </w:pPr>
      <w:r>
        <w:t xml:space="preserve">The study period in the observational studies included for extended assessment of safety varied between 2 years to up to 5 years. This reflects the typical prolonged use of PAH medicines in clinical practice. However, any interpretation of the safety results should considered the non-comparative nature of these observational studies for safety assessment, which could hinder the establishment of a temporal association between PAH medicines and </w:t>
      </w:r>
      <w:r w:rsidR="006B2A7D">
        <w:t>AE</w:t>
      </w:r>
      <w:r>
        <w:t xml:space="preserve">s observed in these studies, especially when the incidence of </w:t>
      </w:r>
      <w:r w:rsidR="006B2A7D">
        <w:t>AE</w:t>
      </w:r>
      <w:r>
        <w:t xml:space="preserve">s is low. Overall, observational study findings generally agreed with each other and with the safety results reported by clinical trials and post-marketing data included in respective PI documents. No clear safety signal has been detected </w:t>
      </w:r>
      <w:proofErr w:type="gramStart"/>
      <w:r>
        <w:t>on the basis of</w:t>
      </w:r>
      <w:proofErr w:type="gramEnd"/>
      <w:r>
        <w:t xml:space="preserve"> the included observational studies. The incidence of some known treatment-related </w:t>
      </w:r>
      <w:r w:rsidR="006B2A7D">
        <w:t>AE</w:t>
      </w:r>
      <w:r>
        <w:t xml:space="preserve">s in the observational studies may be higher than that reported by clinical trials, given the long-term follow-up period of the </w:t>
      </w:r>
      <w:r w:rsidR="002D2E0E">
        <w:t>included observational studies.</w:t>
      </w:r>
    </w:p>
    <w:p w:rsidR="001D0FDA" w:rsidRDefault="001D0FDA" w:rsidP="00E43898">
      <w:pPr>
        <w:pStyle w:val="BodyTextnospacebefore"/>
      </w:pPr>
      <w:r>
        <w:t>There was limited data from the included studies on the safety of PAH medicines for treatment of paediatric PAH patients: STARTS-1 and its extension study for sildenafil and Hiplop 2011 for bosentan. Study results suggested that t</w:t>
      </w:r>
      <w:r w:rsidRPr="001A293B">
        <w:t xml:space="preserve">he safety profile seen in the paediatric </w:t>
      </w:r>
      <w:r>
        <w:t xml:space="preserve">patients </w:t>
      </w:r>
      <w:r w:rsidRPr="001A293B">
        <w:t>was generally consistent with that in adults</w:t>
      </w:r>
      <w:r>
        <w:t xml:space="preserve"> for both drugs</w:t>
      </w:r>
      <w:r w:rsidRPr="001A293B">
        <w:t>.</w:t>
      </w:r>
    </w:p>
    <w:p w:rsidR="001D0FDA" w:rsidRPr="00676D38" w:rsidRDefault="001D0FDA" w:rsidP="00E43898">
      <w:pPr>
        <w:pStyle w:val="BodyTextnospacebefore"/>
      </w:pPr>
      <w:proofErr w:type="gramStart"/>
      <w:r w:rsidRPr="00676D38">
        <w:t>The following safety signals are noted by the EMA SmPC, but have not been included in the TGA-approved PI: use of bosentan in patients with chronic obstructive pulmonary disease</w:t>
      </w:r>
      <w:r w:rsidR="00466BBD">
        <w:t xml:space="preserve"> (</w:t>
      </w:r>
      <w:r w:rsidR="00466BBD" w:rsidRPr="00466BBD">
        <w:t>increase in minute ventilation</w:t>
      </w:r>
      <w:r w:rsidR="00466BBD">
        <w:t xml:space="preserve">, </w:t>
      </w:r>
      <w:r w:rsidR="00466BBD" w:rsidRPr="00466BBD">
        <w:t>decrease in oxygen saturation</w:t>
      </w:r>
      <w:r w:rsidR="00466BBD">
        <w:t xml:space="preserve"> and dyspnoea)</w:t>
      </w:r>
      <w:r w:rsidRPr="00676D38">
        <w:t xml:space="preserve">; </w:t>
      </w:r>
      <w:r w:rsidR="006B2A7D">
        <w:t>AE</w:t>
      </w:r>
      <w:r w:rsidRPr="00676D38">
        <w:t xml:space="preserve">s of penile haemorrhage and haematospermia in patients receiving PDE-5 inhibitors (both sildenafil and tadalafil); potential for vaso-occlusive crises in patients receiving sildenafil for PH secondary to sickle cell anaemia; intracerebral haemorrhage in tadalafil-treated patients; and increased mortality and serious </w:t>
      </w:r>
      <w:r w:rsidR="006B2A7D">
        <w:t>AE</w:t>
      </w:r>
      <w:r w:rsidRPr="00676D38">
        <w:t xml:space="preserve">s in patients </w:t>
      </w:r>
      <w:r>
        <w:t xml:space="preserve">receiving riociguat for treatment of </w:t>
      </w:r>
      <w:r w:rsidRPr="00676D38">
        <w:t>PH associated with idio</w:t>
      </w:r>
      <w:r w:rsidR="002856B6">
        <w:t>pathic interstitial pneumonias.</w:t>
      </w:r>
      <w:proofErr w:type="gramEnd"/>
    </w:p>
    <w:p w:rsidR="00BF48DF" w:rsidRDefault="001D0FDA" w:rsidP="00E43898">
      <w:pPr>
        <w:pStyle w:val="BodyTextnospacebefore"/>
      </w:pPr>
      <w:r w:rsidRPr="00676D38">
        <w:t xml:space="preserve">Higher risk of mortality with increasing sildenafil dose for treatment paediatric PAH </w:t>
      </w:r>
      <w:proofErr w:type="gramStart"/>
      <w:r w:rsidRPr="00676D38">
        <w:t>was reported</w:t>
      </w:r>
      <w:proofErr w:type="gramEnd"/>
      <w:r w:rsidRPr="00676D38">
        <w:t xml:space="preserve"> by </w:t>
      </w:r>
      <w:r w:rsidR="00423DCE">
        <w:t xml:space="preserve">a </w:t>
      </w:r>
      <w:r w:rsidRPr="00676D38">
        <w:t>long-term observational stud</w:t>
      </w:r>
      <w:r w:rsidR="00423DCE">
        <w:t>y</w:t>
      </w:r>
      <w:r w:rsidRPr="00676D38">
        <w:t xml:space="preserve">. </w:t>
      </w:r>
      <w:proofErr w:type="gramStart"/>
      <w:r w:rsidRPr="00676D38">
        <w:t>Different decisions were made by regulatory agencies based on this finding: the TGA states that sildenafil is not indicated for use in paediatric patients; the FDA does not recommend the use of sildenafil in paediatric patients (health care professionals must consider whether the benefits of treatment with the drug are likely to outweigh its potential risks for each patient); whilst the EMA recommends the use of sildenafil but only at a recommended low dose.</w:t>
      </w:r>
      <w:r w:rsidR="00BF48DF">
        <w:br w:type="page"/>
      </w:r>
      <w:proofErr w:type="gramEnd"/>
    </w:p>
    <w:p w:rsidR="00CC3BA4" w:rsidRPr="00CC3BA4" w:rsidRDefault="00CC3BA4" w:rsidP="001D0FDA">
      <w:pPr>
        <w:pStyle w:val="Heading2"/>
        <w:numPr>
          <w:ilvl w:val="0"/>
          <w:numId w:val="0"/>
        </w:numPr>
      </w:pPr>
      <w:bookmarkStart w:id="396" w:name="_Toc482351229"/>
      <w:bookmarkStart w:id="397" w:name="_Toc503811649"/>
      <w:bookmarkStart w:id="398" w:name="_Toc38360292"/>
      <w:r w:rsidRPr="00CC3BA4">
        <w:t>References</w:t>
      </w:r>
      <w:bookmarkEnd w:id="396"/>
      <w:bookmarkEnd w:id="397"/>
      <w:bookmarkEnd w:id="398"/>
    </w:p>
    <w:p w:rsidR="001D34EE" w:rsidRPr="001D34EE" w:rsidRDefault="001D34EE" w:rsidP="001D34EE">
      <w:pPr>
        <w:pStyle w:val="EndNoteBibliography"/>
        <w:spacing w:after="0"/>
        <w:ind w:left="720" w:hanging="720"/>
      </w:pPr>
      <w:bookmarkStart w:id="399" w:name="_ENREF_1"/>
      <w:r w:rsidRPr="001D34EE">
        <w:t>1.</w:t>
      </w:r>
      <w:r w:rsidRPr="001D34EE">
        <w:tab/>
        <w:t xml:space="preserve">Guyatt G, Oxman AD, Sultan S, Brozek J, Glasziou P, Alonso-Coello P, et al. GRADE guidelines: 11. Making an overall rating of confidence in effect estimates for a single outcome and for all outcomes. </w:t>
      </w:r>
      <w:r w:rsidRPr="001D34EE">
        <w:rPr>
          <w:i/>
        </w:rPr>
        <w:t>J Clin Epidemiol</w:t>
      </w:r>
      <w:r w:rsidRPr="001D34EE">
        <w:t>. 2013;66(2):151-7.</w:t>
      </w:r>
      <w:bookmarkEnd w:id="399"/>
    </w:p>
    <w:p w:rsidR="001D34EE" w:rsidRPr="001D34EE" w:rsidRDefault="001D34EE" w:rsidP="001D34EE">
      <w:pPr>
        <w:pStyle w:val="EndNoteBibliography"/>
        <w:spacing w:after="0"/>
        <w:ind w:left="720" w:hanging="720"/>
      </w:pPr>
      <w:bookmarkStart w:id="400" w:name="_ENREF_2"/>
      <w:r w:rsidRPr="001D34EE">
        <w:t>2.</w:t>
      </w:r>
      <w:r w:rsidRPr="001D34EE">
        <w:tab/>
        <w:t xml:space="preserve">Rubin LJ, Badesch DB, Barst RJ, Galiè N, Black CM, Keogh A, et al. Bosentan therapy for pulmonary arterial hypertension. </w:t>
      </w:r>
      <w:r w:rsidRPr="001D34EE">
        <w:rPr>
          <w:i/>
        </w:rPr>
        <w:t>New England Journal of Medicine</w:t>
      </w:r>
      <w:r w:rsidRPr="001D34EE">
        <w:t>. 2002;346(12):896-903.</w:t>
      </w:r>
      <w:bookmarkEnd w:id="400"/>
    </w:p>
    <w:p w:rsidR="001D34EE" w:rsidRPr="001D34EE" w:rsidRDefault="001D34EE" w:rsidP="001D34EE">
      <w:pPr>
        <w:pStyle w:val="EndNoteBibliography"/>
        <w:spacing w:after="0"/>
        <w:ind w:left="720" w:hanging="720"/>
      </w:pPr>
      <w:bookmarkStart w:id="401" w:name="_ENREF_3"/>
      <w:r w:rsidRPr="001D34EE">
        <w:t>3.</w:t>
      </w:r>
      <w:r w:rsidRPr="001D34EE">
        <w:tab/>
        <w:t xml:space="preserve">Badesch DB, Bodin F, Channick RN, Frost A, Rainisio M, Robbins IM, et al. Complete results of the first randomized, placebo-controlled study of bosentan, a dual endothelin receptor antagonist, in pulmonary arterial hypertension. </w:t>
      </w:r>
      <w:r w:rsidRPr="001D34EE">
        <w:rPr>
          <w:i/>
        </w:rPr>
        <w:t>Current Therapeutic Research - Clinical and Experimental</w:t>
      </w:r>
      <w:r w:rsidRPr="001D34EE">
        <w:t>. 2002;63(4):227-46.</w:t>
      </w:r>
      <w:bookmarkEnd w:id="401"/>
    </w:p>
    <w:p w:rsidR="001D34EE" w:rsidRPr="001D34EE" w:rsidRDefault="001D34EE" w:rsidP="001D34EE">
      <w:pPr>
        <w:pStyle w:val="EndNoteBibliography"/>
        <w:spacing w:after="0"/>
        <w:ind w:left="720" w:hanging="720"/>
      </w:pPr>
      <w:bookmarkStart w:id="402" w:name="_ENREF_4"/>
      <w:r w:rsidRPr="001D34EE">
        <w:t>4.</w:t>
      </w:r>
      <w:r w:rsidRPr="001D34EE">
        <w:tab/>
        <w:t xml:space="preserve">Channick RN, Simonneau G, Sitbon O, Robbins IM, Frost A, Tapson VF, et al. Effects of the dual endothelin-receptor antagonist bosentan in patients with pulmonary hypertension: A randomised placebo-controlled study. </w:t>
      </w:r>
      <w:r w:rsidRPr="001D34EE">
        <w:rPr>
          <w:i/>
        </w:rPr>
        <w:t>Lancet</w:t>
      </w:r>
      <w:r w:rsidRPr="001D34EE">
        <w:t>. 2001;358(9288):1119-23.</w:t>
      </w:r>
      <w:bookmarkEnd w:id="402"/>
    </w:p>
    <w:p w:rsidR="001D34EE" w:rsidRPr="001D34EE" w:rsidRDefault="001D34EE" w:rsidP="001D34EE">
      <w:pPr>
        <w:pStyle w:val="EndNoteBibliography"/>
        <w:spacing w:after="0"/>
        <w:ind w:left="720" w:hanging="720"/>
      </w:pPr>
      <w:bookmarkStart w:id="403" w:name="_ENREF_5"/>
      <w:r w:rsidRPr="001D34EE">
        <w:t>5.</w:t>
      </w:r>
      <w:r w:rsidRPr="001D34EE">
        <w:tab/>
        <w:t xml:space="preserve">Galiè N, Beghetti M, Gatzoulis MA, Granton J, Berger RMF, Lauer A, et al. Bosentan therapy in patients with Eisenmenger syndrome: A multicenter, double-blind, randomized, placebo-controlled study. </w:t>
      </w:r>
      <w:r w:rsidRPr="001D34EE">
        <w:rPr>
          <w:i/>
        </w:rPr>
        <w:t>Circulation</w:t>
      </w:r>
      <w:r w:rsidRPr="001D34EE">
        <w:t>. 2006;114(1):48-54.</w:t>
      </w:r>
      <w:bookmarkEnd w:id="403"/>
    </w:p>
    <w:p w:rsidR="001D34EE" w:rsidRPr="001D34EE" w:rsidRDefault="001D34EE" w:rsidP="001D34EE">
      <w:pPr>
        <w:pStyle w:val="EndNoteBibliography"/>
        <w:spacing w:after="0"/>
        <w:ind w:left="720" w:hanging="720"/>
      </w:pPr>
      <w:bookmarkStart w:id="404" w:name="_ENREF_6"/>
      <w:r w:rsidRPr="001D34EE">
        <w:t>6.</w:t>
      </w:r>
      <w:r w:rsidRPr="001D34EE">
        <w:tab/>
        <w:t xml:space="preserve">Galiè N, Olschewski H, Oudiz RJ, Torres F, Frost A, Ghofrani HA, et al. Ambrisentan for the treatment of pulmonary arterial hypertension: Results of the ambrisentan in pulmonary arterial hypertension, randomized, double-Blind, placebo-controlled, multicenter, efficacy (ARIES) study 1 and 2. </w:t>
      </w:r>
      <w:r w:rsidRPr="001D34EE">
        <w:rPr>
          <w:i/>
        </w:rPr>
        <w:t>Circulation</w:t>
      </w:r>
      <w:r w:rsidRPr="001D34EE">
        <w:t>. 2008;117(23):3010-9.</w:t>
      </w:r>
      <w:bookmarkEnd w:id="404"/>
    </w:p>
    <w:p w:rsidR="001D34EE" w:rsidRPr="001D34EE" w:rsidRDefault="001D34EE" w:rsidP="001D34EE">
      <w:pPr>
        <w:pStyle w:val="EndNoteBibliography"/>
        <w:spacing w:after="0"/>
        <w:ind w:left="720" w:hanging="720"/>
      </w:pPr>
      <w:bookmarkStart w:id="405" w:name="_ENREF_7"/>
      <w:r w:rsidRPr="001D34EE">
        <w:t>7.</w:t>
      </w:r>
      <w:r w:rsidRPr="001D34EE">
        <w:tab/>
        <w:t xml:space="preserve">Pulido T, Adzerikho I, Channick RN, Delcroix M, Galiè N, Ghofrani HA, et al. Macitentan and morbidity and mortality in pulmonary arterial hypertension. </w:t>
      </w:r>
      <w:r w:rsidRPr="001D34EE">
        <w:rPr>
          <w:i/>
        </w:rPr>
        <w:t>New England Journal of Medicine</w:t>
      </w:r>
      <w:r w:rsidRPr="001D34EE">
        <w:t>. 2013;369(9):809-18.</w:t>
      </w:r>
      <w:bookmarkEnd w:id="405"/>
    </w:p>
    <w:p w:rsidR="001D34EE" w:rsidRPr="001D34EE" w:rsidRDefault="001D34EE" w:rsidP="001D34EE">
      <w:pPr>
        <w:pStyle w:val="EndNoteBibliography"/>
        <w:spacing w:after="0"/>
        <w:ind w:left="720" w:hanging="720"/>
      </w:pPr>
      <w:bookmarkStart w:id="406" w:name="_ENREF_8"/>
      <w:r w:rsidRPr="001D34EE">
        <w:t>8.</w:t>
      </w:r>
      <w:r w:rsidRPr="001D34EE">
        <w:tab/>
        <w:t xml:space="preserve">Galiè N, Hinderliter AL, Torbicki A, Fourme T, Simonneau G, Pulido T, et al. Effects of the oral endothelin-receptor antagonist bosentan on echocardiographic and Doppler measures in patients with pulmonary arterial hypertension. </w:t>
      </w:r>
      <w:r w:rsidRPr="001D34EE">
        <w:rPr>
          <w:i/>
        </w:rPr>
        <w:t>Journal of the American College of Cardiology</w:t>
      </w:r>
      <w:r w:rsidRPr="001D34EE">
        <w:t>. 2003;41(8):1380-6.</w:t>
      </w:r>
      <w:bookmarkEnd w:id="406"/>
    </w:p>
    <w:p w:rsidR="001D34EE" w:rsidRPr="001D34EE" w:rsidRDefault="001D34EE" w:rsidP="001D34EE">
      <w:pPr>
        <w:pStyle w:val="EndNoteBibliography"/>
        <w:spacing w:after="0"/>
        <w:ind w:left="720" w:hanging="720"/>
      </w:pPr>
      <w:bookmarkStart w:id="407" w:name="_ENREF_9"/>
      <w:r w:rsidRPr="001D34EE">
        <w:t>9.</w:t>
      </w:r>
      <w:r w:rsidRPr="001D34EE">
        <w:tab/>
        <w:t xml:space="preserve">Galiè N, Rubin L, Hoeper M, Jansa P, Al-Hiti H, Meyer G, et al. Treatment of patients with mildly symptomatic pulmonary arterial hypertension with bosentan (EARLY study): a double-blind, randomised controlled trial. </w:t>
      </w:r>
      <w:r w:rsidRPr="001D34EE">
        <w:rPr>
          <w:i/>
        </w:rPr>
        <w:t>The Lancet</w:t>
      </w:r>
      <w:r w:rsidRPr="001D34EE">
        <w:t>. 2008;371(9630):2093-100.</w:t>
      </w:r>
      <w:bookmarkEnd w:id="407"/>
    </w:p>
    <w:p w:rsidR="001D34EE" w:rsidRPr="001D34EE" w:rsidRDefault="001D34EE" w:rsidP="001D34EE">
      <w:pPr>
        <w:pStyle w:val="EndNoteBibliography"/>
        <w:spacing w:after="0"/>
        <w:ind w:left="720" w:hanging="720"/>
      </w:pPr>
      <w:bookmarkStart w:id="408" w:name="_ENREF_10"/>
      <w:r w:rsidRPr="001D34EE">
        <w:t>10.</w:t>
      </w:r>
      <w:r w:rsidRPr="001D34EE">
        <w:tab/>
        <w:t xml:space="preserve">Barst RJ, Langleben D, Badesch D, Frost A, Lawrence EC, Shapiro S, et al. Treatment of Pulmonary Arterial Hypertension With the Selective Endothelin-A Receptor Antagonist Sitaxsentan. </w:t>
      </w:r>
      <w:r w:rsidRPr="001D34EE">
        <w:rPr>
          <w:i/>
        </w:rPr>
        <w:t>Journal of the American College of Cardiology</w:t>
      </w:r>
      <w:r w:rsidRPr="001D34EE">
        <w:t>. 2006;47(10):2049-56.</w:t>
      </w:r>
      <w:bookmarkEnd w:id="408"/>
    </w:p>
    <w:p w:rsidR="001D34EE" w:rsidRPr="001D34EE" w:rsidRDefault="001D34EE" w:rsidP="001D34EE">
      <w:pPr>
        <w:pStyle w:val="EndNoteBibliography"/>
        <w:spacing w:after="0"/>
        <w:ind w:left="720" w:hanging="720"/>
      </w:pPr>
      <w:bookmarkStart w:id="409" w:name="_ENREF_11"/>
      <w:r w:rsidRPr="001D34EE">
        <w:t>11.</w:t>
      </w:r>
      <w:r w:rsidRPr="001D34EE">
        <w:tab/>
        <w:t xml:space="preserve">Galiè N, Ghofrani HA, Torbicki A, Barst RJ, Rubin LJ, Badesch D, et al. Sildenafil citrate therapy for pulmonary arterial hypertension. </w:t>
      </w:r>
      <w:r w:rsidRPr="001D34EE">
        <w:rPr>
          <w:i/>
        </w:rPr>
        <w:t>New England Journal of Medicine</w:t>
      </w:r>
      <w:r w:rsidRPr="001D34EE">
        <w:t>. 2005;353(20):2148-57.</w:t>
      </w:r>
      <w:bookmarkEnd w:id="409"/>
    </w:p>
    <w:p w:rsidR="001D34EE" w:rsidRPr="001D34EE" w:rsidRDefault="001D34EE" w:rsidP="001D34EE">
      <w:pPr>
        <w:pStyle w:val="EndNoteBibliography"/>
        <w:spacing w:after="0"/>
        <w:ind w:left="720" w:hanging="720"/>
      </w:pPr>
      <w:bookmarkStart w:id="410" w:name="_ENREF_12"/>
      <w:r w:rsidRPr="001D34EE">
        <w:t>12.</w:t>
      </w:r>
      <w:r w:rsidRPr="001D34EE">
        <w:tab/>
        <w:t xml:space="preserve">Galiè N, Brundage BH, Ghofrani HA, Oudiz RJ, Simonneau G, Safdar Z, et al. Tadalafil therapy for pulmonary arterial hypertension. </w:t>
      </w:r>
      <w:r w:rsidRPr="001D34EE">
        <w:rPr>
          <w:i/>
        </w:rPr>
        <w:t>Circulation</w:t>
      </w:r>
      <w:r w:rsidRPr="001D34EE">
        <w:t>. 2009;119(22):2894-903.</w:t>
      </w:r>
      <w:bookmarkEnd w:id="410"/>
    </w:p>
    <w:p w:rsidR="001D34EE" w:rsidRPr="001D34EE" w:rsidRDefault="001D34EE" w:rsidP="001D34EE">
      <w:pPr>
        <w:pStyle w:val="EndNoteBibliography"/>
        <w:spacing w:after="0"/>
        <w:ind w:left="720" w:hanging="720"/>
      </w:pPr>
      <w:bookmarkStart w:id="411" w:name="_ENREF_13"/>
      <w:r w:rsidRPr="001D34EE">
        <w:t>13.</w:t>
      </w:r>
      <w:r w:rsidRPr="001D34EE">
        <w:tab/>
        <w:t xml:space="preserve">Pepke-Zaba J, Beardsworth A, Chan M, Angalakuditi M. Tadalafil therapy and health-related quality of life in pulmonary arterial hypertension. </w:t>
      </w:r>
      <w:r w:rsidRPr="001D34EE">
        <w:rPr>
          <w:i/>
        </w:rPr>
        <w:t>Current Medical Research and Opinion</w:t>
      </w:r>
      <w:r w:rsidRPr="001D34EE">
        <w:t>. 2009;25(10):2479-85.</w:t>
      </w:r>
      <w:bookmarkEnd w:id="411"/>
    </w:p>
    <w:p w:rsidR="001D34EE" w:rsidRPr="001D34EE" w:rsidRDefault="001D34EE" w:rsidP="001D34EE">
      <w:pPr>
        <w:pStyle w:val="EndNoteBibliography"/>
        <w:spacing w:after="0"/>
        <w:ind w:left="720" w:hanging="720"/>
      </w:pPr>
      <w:bookmarkStart w:id="412" w:name="_ENREF_14"/>
      <w:r w:rsidRPr="001D34EE">
        <w:t>14.</w:t>
      </w:r>
      <w:r w:rsidRPr="001D34EE">
        <w:tab/>
        <w:t xml:space="preserve">Croxtall JD, Lyseng-Williamson KA. Tadalafil: in pulmonary arterial hypertension. </w:t>
      </w:r>
      <w:r w:rsidRPr="001D34EE">
        <w:rPr>
          <w:i/>
        </w:rPr>
        <w:t>Drugs</w:t>
      </w:r>
      <w:r w:rsidRPr="001D34EE">
        <w:t>. 2010;70(4):479-88.</w:t>
      </w:r>
      <w:bookmarkEnd w:id="412"/>
    </w:p>
    <w:p w:rsidR="001D34EE" w:rsidRPr="001D34EE" w:rsidRDefault="001D34EE" w:rsidP="001D34EE">
      <w:pPr>
        <w:pStyle w:val="EndNoteBibliography"/>
        <w:spacing w:after="0"/>
        <w:ind w:left="720" w:hanging="720"/>
      </w:pPr>
      <w:bookmarkStart w:id="413" w:name="_ENREF_15"/>
      <w:r w:rsidRPr="001D34EE">
        <w:t>15.</w:t>
      </w:r>
      <w:r w:rsidRPr="001D34EE">
        <w:tab/>
        <w:t xml:space="preserve">Badesch DB, Hill NS, Burgess G, Rubin LJ, Barst RJ, Galiè N, et al. Sildenafil for pulmonary arterial hypertension associated with connective tissue disease. </w:t>
      </w:r>
      <w:r w:rsidRPr="001D34EE">
        <w:rPr>
          <w:i/>
        </w:rPr>
        <w:t>Journal of Rheumatology</w:t>
      </w:r>
      <w:r w:rsidRPr="001D34EE">
        <w:t>. 2007;34(12):2417-22.</w:t>
      </w:r>
      <w:bookmarkEnd w:id="413"/>
    </w:p>
    <w:p w:rsidR="001D34EE" w:rsidRPr="001D34EE" w:rsidRDefault="001D34EE" w:rsidP="001D34EE">
      <w:pPr>
        <w:pStyle w:val="EndNoteBibliography"/>
        <w:spacing w:after="0"/>
        <w:ind w:left="720" w:hanging="720"/>
      </w:pPr>
      <w:bookmarkStart w:id="414" w:name="_ENREF_16"/>
      <w:r w:rsidRPr="001D34EE">
        <w:t>16.</w:t>
      </w:r>
      <w:r w:rsidRPr="001D34EE">
        <w:tab/>
        <w:t xml:space="preserve">Pepke-Zaba J, Gilbert C, Collings L, Brown MCJ. Sildenafil improves health-related quality of life in patients with pulmonary arterial hypertension. </w:t>
      </w:r>
      <w:r w:rsidRPr="001D34EE">
        <w:rPr>
          <w:i/>
        </w:rPr>
        <w:t>Chest</w:t>
      </w:r>
      <w:r w:rsidRPr="001D34EE">
        <w:t>. 2008;133(1):183-9.</w:t>
      </w:r>
      <w:bookmarkEnd w:id="414"/>
    </w:p>
    <w:p w:rsidR="001D34EE" w:rsidRPr="001D34EE" w:rsidRDefault="001D34EE" w:rsidP="001D34EE">
      <w:pPr>
        <w:pStyle w:val="EndNoteBibliography"/>
        <w:spacing w:after="0"/>
        <w:ind w:left="720" w:hanging="720"/>
      </w:pPr>
      <w:bookmarkStart w:id="415" w:name="_ENREF_17"/>
      <w:r w:rsidRPr="001D34EE">
        <w:t>17.</w:t>
      </w:r>
      <w:r w:rsidRPr="001D34EE">
        <w:tab/>
        <w:t xml:space="preserve">Gilbert C, Brown MCJ, Cappelleri JC, Carlsson M, McKenna SP. Estimating a minimally important difference in pulmonary arterial hypertension following treatment with sildenafil. </w:t>
      </w:r>
      <w:r w:rsidRPr="001D34EE">
        <w:rPr>
          <w:i/>
        </w:rPr>
        <w:t>Chest</w:t>
      </w:r>
      <w:r w:rsidRPr="001D34EE">
        <w:t>. 2009;135(1):137-42.</w:t>
      </w:r>
      <w:bookmarkEnd w:id="415"/>
    </w:p>
    <w:p w:rsidR="001D34EE" w:rsidRPr="001D34EE" w:rsidRDefault="001D34EE" w:rsidP="001D34EE">
      <w:pPr>
        <w:pStyle w:val="EndNoteBibliography"/>
        <w:spacing w:after="0"/>
        <w:ind w:left="720" w:hanging="720"/>
      </w:pPr>
      <w:bookmarkStart w:id="416" w:name="_ENREF_18"/>
      <w:r w:rsidRPr="001D34EE">
        <w:t>18.</w:t>
      </w:r>
      <w:r w:rsidRPr="001D34EE">
        <w:tab/>
        <w:t xml:space="preserve">Olschewski H, Simonneau G, Galiè N, Higenbottam T, Naeije R, Rubin LJ, et al. Inhaled iloprost for severe pulmonary hypertension. </w:t>
      </w:r>
      <w:r w:rsidRPr="001D34EE">
        <w:rPr>
          <w:i/>
        </w:rPr>
        <w:t>New England Journal of Medicine</w:t>
      </w:r>
      <w:r w:rsidRPr="001D34EE">
        <w:t>. 2002;347(5):322-9.</w:t>
      </w:r>
      <w:bookmarkEnd w:id="416"/>
    </w:p>
    <w:p w:rsidR="001D34EE" w:rsidRPr="001D34EE" w:rsidRDefault="001D34EE" w:rsidP="001D34EE">
      <w:pPr>
        <w:pStyle w:val="EndNoteBibliography"/>
        <w:spacing w:after="0"/>
        <w:ind w:left="720" w:hanging="720"/>
      </w:pPr>
      <w:bookmarkStart w:id="417" w:name="_ENREF_19"/>
      <w:r w:rsidRPr="001D34EE">
        <w:t>19.</w:t>
      </w:r>
      <w:r w:rsidRPr="001D34EE">
        <w:tab/>
        <w:t xml:space="preserve">Barst RJ, Rubin LJ, Long WA, McGoon MD, Rich S, Badesch DB, et al. A comparison of continuous intravenous epoprostenol (prostacyclin) with conventional therapy for primary pulmonary hypertension. </w:t>
      </w:r>
      <w:r w:rsidRPr="001D34EE">
        <w:rPr>
          <w:i/>
        </w:rPr>
        <w:t>New England Journal of Medicine</w:t>
      </w:r>
      <w:r w:rsidRPr="001D34EE">
        <w:t>. 1996;334(5):296-301.</w:t>
      </w:r>
      <w:bookmarkEnd w:id="417"/>
    </w:p>
    <w:p w:rsidR="001D34EE" w:rsidRPr="001D34EE" w:rsidRDefault="001D34EE" w:rsidP="001D34EE">
      <w:pPr>
        <w:pStyle w:val="EndNoteBibliography"/>
        <w:spacing w:after="0"/>
        <w:ind w:left="720" w:hanging="720"/>
      </w:pPr>
      <w:bookmarkStart w:id="418" w:name="_ENREF_20"/>
      <w:r w:rsidRPr="001D34EE">
        <w:t>20.</w:t>
      </w:r>
      <w:r w:rsidRPr="001D34EE">
        <w:tab/>
        <w:t xml:space="preserve">Rubin LJ, Mendoza J, Hood M, McGoon M, Barst R, Williams WB, et al. Treatment of primary pulmonary hypertension with continuous intravenous prostacyclin (epoprostenol). Results of a randomized trial. </w:t>
      </w:r>
      <w:r w:rsidRPr="001D34EE">
        <w:rPr>
          <w:i/>
        </w:rPr>
        <w:t>Annals of Internal Medicine</w:t>
      </w:r>
      <w:r w:rsidRPr="001D34EE">
        <w:t>. 1990;112(7):485-91.</w:t>
      </w:r>
      <w:bookmarkEnd w:id="418"/>
    </w:p>
    <w:p w:rsidR="001D34EE" w:rsidRPr="001D34EE" w:rsidRDefault="001D34EE" w:rsidP="001D34EE">
      <w:pPr>
        <w:pStyle w:val="EndNoteBibliography"/>
        <w:spacing w:after="0"/>
        <w:ind w:left="720" w:hanging="720"/>
      </w:pPr>
      <w:bookmarkStart w:id="419" w:name="_ENREF_21"/>
      <w:r w:rsidRPr="001D34EE">
        <w:t>21.</w:t>
      </w:r>
      <w:r w:rsidRPr="001D34EE">
        <w:tab/>
        <w:t xml:space="preserve">Badesch DB, Tapson VF, McGoon MD, Brundage BH, Rubin LJ, Wigley FM, et al. Continuous intravenous epoprostenol for pulmonary hypertension due to the scleroderma spectrum of disease: A randomized, controlled trial. </w:t>
      </w:r>
      <w:r w:rsidRPr="001D34EE">
        <w:rPr>
          <w:i/>
        </w:rPr>
        <w:t>Annals of Internal Medicine</w:t>
      </w:r>
      <w:r w:rsidRPr="001D34EE">
        <w:t>. 2000;132(6):425-34.</w:t>
      </w:r>
      <w:bookmarkEnd w:id="419"/>
    </w:p>
    <w:p w:rsidR="001D34EE" w:rsidRPr="001D34EE" w:rsidRDefault="001D34EE" w:rsidP="001D34EE">
      <w:pPr>
        <w:pStyle w:val="EndNoteBibliography"/>
        <w:spacing w:after="0"/>
        <w:ind w:left="720" w:hanging="720"/>
      </w:pPr>
      <w:bookmarkStart w:id="420" w:name="_ENREF_22"/>
      <w:r w:rsidRPr="001D34EE">
        <w:t>22.</w:t>
      </w:r>
      <w:r w:rsidRPr="001D34EE">
        <w:tab/>
        <w:t xml:space="preserve">Denton CP, Humbert M, Rubin L, Black CM. Bosentan treatment for pulmonary arterial hypertension related to connective tissue disease: A subgroup analysis of the pivotal clinical trials and their open-label extensions. </w:t>
      </w:r>
      <w:r w:rsidRPr="001D34EE">
        <w:rPr>
          <w:i/>
        </w:rPr>
        <w:t>Annals of the Rheumatic Diseases</w:t>
      </w:r>
      <w:r w:rsidRPr="001D34EE">
        <w:t>. 2006;65(10):1336-40.</w:t>
      </w:r>
      <w:bookmarkEnd w:id="420"/>
    </w:p>
    <w:p w:rsidR="001D34EE" w:rsidRPr="001D34EE" w:rsidRDefault="001D34EE" w:rsidP="001D34EE">
      <w:pPr>
        <w:pStyle w:val="EndNoteBibliography"/>
        <w:spacing w:after="0"/>
        <w:ind w:left="720" w:hanging="720"/>
      </w:pPr>
      <w:bookmarkStart w:id="421" w:name="_ENREF_23"/>
      <w:r w:rsidRPr="001D34EE">
        <w:t>23.</w:t>
      </w:r>
      <w:r w:rsidRPr="001D34EE">
        <w:tab/>
        <w:t xml:space="preserve">Ghofrani HA, Galiè N, Grimminger F, Grünig E, Humbert M, Jing ZC, et al. Riociguat for the treatment of pulmonary arterial hypertension. </w:t>
      </w:r>
      <w:r w:rsidRPr="001D34EE">
        <w:rPr>
          <w:i/>
        </w:rPr>
        <w:t>New England Journal of Medicine</w:t>
      </w:r>
      <w:r w:rsidRPr="001D34EE">
        <w:t>. 2013;369(4):330-40.</w:t>
      </w:r>
      <w:bookmarkEnd w:id="421"/>
    </w:p>
    <w:p w:rsidR="001D34EE" w:rsidRPr="001D34EE" w:rsidRDefault="001D34EE" w:rsidP="001D34EE">
      <w:pPr>
        <w:pStyle w:val="EndNoteBibliography"/>
        <w:spacing w:after="0"/>
        <w:ind w:left="720" w:hanging="720"/>
      </w:pPr>
      <w:bookmarkStart w:id="422" w:name="_ENREF_24"/>
      <w:r w:rsidRPr="001D34EE">
        <w:t>24.</w:t>
      </w:r>
      <w:r w:rsidRPr="001D34EE">
        <w:tab/>
        <w:t xml:space="preserve">Liberati A, Altman DG, Tetzlaff J, Mulrow C, Gotzsche PC, Ioannidis JP, et al. The PRISMA statement for reporting systematic reviews and meta-analyses of studies that evaluate health care interventions: explanation and elaboration. </w:t>
      </w:r>
      <w:r w:rsidRPr="001D34EE">
        <w:rPr>
          <w:i/>
        </w:rPr>
        <w:t>PLoS Med</w:t>
      </w:r>
      <w:r w:rsidRPr="001D34EE">
        <w:t>. 2009;6(7):e1000100.</w:t>
      </w:r>
      <w:bookmarkEnd w:id="422"/>
    </w:p>
    <w:p w:rsidR="001D34EE" w:rsidRPr="001D34EE" w:rsidRDefault="001D34EE" w:rsidP="001D34EE">
      <w:pPr>
        <w:pStyle w:val="EndNoteBibliography"/>
        <w:spacing w:after="0"/>
        <w:ind w:left="720" w:hanging="720"/>
      </w:pPr>
      <w:bookmarkStart w:id="423" w:name="_ENREF_25"/>
      <w:r w:rsidRPr="001D34EE">
        <w:t>25.</w:t>
      </w:r>
      <w:r w:rsidRPr="001D34EE">
        <w:tab/>
        <w:t xml:space="preserve">Higgins JP, Altman DG, Gotzsche PC, Juni P, Moher D, Oxman AD, et al. The Cochrane Collaboration's tool for assessing risk of bias in randomised trials. </w:t>
      </w:r>
      <w:r w:rsidRPr="001D34EE">
        <w:rPr>
          <w:i/>
        </w:rPr>
        <w:t>BMJ</w:t>
      </w:r>
      <w:r w:rsidRPr="001D34EE">
        <w:t>. 2011;343:d5928.</w:t>
      </w:r>
      <w:bookmarkEnd w:id="423"/>
    </w:p>
    <w:p w:rsidR="001D34EE" w:rsidRPr="001D34EE" w:rsidRDefault="001D34EE" w:rsidP="001D34EE">
      <w:pPr>
        <w:pStyle w:val="EndNoteBibliography"/>
        <w:spacing w:after="0"/>
        <w:ind w:left="720" w:hanging="720"/>
      </w:pPr>
      <w:bookmarkStart w:id="424" w:name="_ENREF_26"/>
      <w:r w:rsidRPr="001D34EE">
        <w:t>26.</w:t>
      </w:r>
      <w:r w:rsidRPr="001D34EE">
        <w:tab/>
        <w:t xml:space="preserve">Sterne JA, Hernan MA, Reeves BC, Savovic J, Berkman ND, Viswanathan M, et al. ROBINS-I: a tool for assessing risk of bias in non-randomised studies of interventions. </w:t>
      </w:r>
      <w:r w:rsidRPr="001D34EE">
        <w:rPr>
          <w:i/>
        </w:rPr>
        <w:t>BMJ</w:t>
      </w:r>
      <w:r w:rsidRPr="001D34EE">
        <w:t>. 2016;355:i4919.</w:t>
      </w:r>
      <w:bookmarkEnd w:id="424"/>
    </w:p>
    <w:p w:rsidR="001D34EE" w:rsidRPr="001D34EE" w:rsidRDefault="001D34EE" w:rsidP="001D34EE">
      <w:pPr>
        <w:pStyle w:val="EndNoteBibliography"/>
        <w:spacing w:after="0"/>
        <w:ind w:left="720" w:hanging="720"/>
      </w:pPr>
      <w:bookmarkStart w:id="425" w:name="_ENREF_27"/>
      <w:r w:rsidRPr="001D34EE">
        <w:t>27.</w:t>
      </w:r>
      <w:r w:rsidRPr="001D34EE">
        <w:tab/>
        <w:t xml:space="preserve">Shea BJ, Reeves BC, Wells G, Thuku M, Hamel C, Moran J, et al. AMSTAR 2: a critical appraisal tool for systematic reviews that include randomised or non-randomised studies of healthcare interventions, or both. </w:t>
      </w:r>
      <w:r w:rsidRPr="001D34EE">
        <w:rPr>
          <w:i/>
        </w:rPr>
        <w:t>BMJ</w:t>
      </w:r>
      <w:r w:rsidRPr="001D34EE">
        <w:t>. 2017;358:j4008.</w:t>
      </w:r>
      <w:bookmarkEnd w:id="425"/>
    </w:p>
    <w:p w:rsidR="001D34EE" w:rsidRPr="00116E63" w:rsidRDefault="001D34EE" w:rsidP="001D34EE">
      <w:pPr>
        <w:pStyle w:val="EndNoteBibliography"/>
        <w:spacing w:after="0"/>
        <w:ind w:left="720" w:hanging="720"/>
        <w:rPr>
          <w:szCs w:val="24"/>
        </w:rPr>
      </w:pPr>
      <w:bookmarkStart w:id="426" w:name="_ENREF_28"/>
      <w:r w:rsidRPr="001D34EE">
        <w:t>28.</w:t>
      </w:r>
      <w:r w:rsidRPr="001D34EE">
        <w:tab/>
      </w:r>
      <w:r w:rsidRPr="00116E63">
        <w:rPr>
          <w:szCs w:val="24"/>
        </w:rPr>
        <w:t>NHMRC. How to use the evidence: assessment and application of scientific evidence. Canberra: National Health and Medical Research Council, Commonwealth of Australia. 2000.</w:t>
      </w:r>
      <w:bookmarkEnd w:id="426"/>
    </w:p>
    <w:p w:rsidR="001D34EE" w:rsidRPr="001D34EE" w:rsidRDefault="001D34EE" w:rsidP="001D34EE">
      <w:pPr>
        <w:pStyle w:val="EndNoteBibliography"/>
        <w:spacing w:after="0"/>
        <w:ind w:left="720" w:hanging="720"/>
      </w:pPr>
      <w:bookmarkStart w:id="427" w:name="_ENREF_29"/>
      <w:r w:rsidRPr="001D34EE">
        <w:t>29.</w:t>
      </w:r>
      <w:r w:rsidRPr="001D34EE">
        <w:tab/>
        <w:t xml:space="preserve">Merlin T, Weston A, Tooher R. Extending an evidence hierarchy to include topics other than treatment: revising the Australian 'levels of evidence'. </w:t>
      </w:r>
      <w:r w:rsidRPr="001D34EE">
        <w:rPr>
          <w:i/>
        </w:rPr>
        <w:t>BMC Med Res Methodol</w:t>
      </w:r>
      <w:r w:rsidRPr="001D34EE">
        <w:t>. 2009;9:34.</w:t>
      </w:r>
      <w:bookmarkEnd w:id="427"/>
    </w:p>
    <w:p w:rsidR="001D34EE" w:rsidRPr="001D34EE" w:rsidRDefault="001D34EE" w:rsidP="001D34EE">
      <w:pPr>
        <w:pStyle w:val="EndNoteBibliography"/>
        <w:spacing w:after="0"/>
        <w:ind w:left="720" w:hanging="720"/>
      </w:pPr>
      <w:bookmarkStart w:id="428" w:name="_ENREF_30"/>
      <w:r w:rsidRPr="001D34EE">
        <w:t>30.</w:t>
      </w:r>
      <w:r w:rsidRPr="001D34EE">
        <w:tab/>
        <w:t xml:space="preserve">Galie N, Barbera JA, Frost AE, Ghofrani HA, Hoeper MM, McLaughlin VV, et al. Initial use of ambrisentan plus tadalafil in pulmonary arterial hypertension. </w:t>
      </w:r>
      <w:r w:rsidRPr="001D34EE">
        <w:rPr>
          <w:i/>
        </w:rPr>
        <w:t>New England Journal of Medicine</w:t>
      </w:r>
      <w:r w:rsidRPr="001D34EE">
        <w:t>. 2015;373(9):834-44.</w:t>
      </w:r>
      <w:bookmarkEnd w:id="428"/>
    </w:p>
    <w:p w:rsidR="001D34EE" w:rsidRPr="001D34EE" w:rsidRDefault="001D34EE" w:rsidP="001D34EE">
      <w:pPr>
        <w:pStyle w:val="EndNoteBibliography"/>
        <w:spacing w:after="0"/>
        <w:ind w:left="720" w:hanging="720"/>
      </w:pPr>
      <w:bookmarkStart w:id="429" w:name="_ENREF_31"/>
      <w:r w:rsidRPr="001D34EE">
        <w:t>31.</w:t>
      </w:r>
      <w:r w:rsidRPr="001D34EE">
        <w:tab/>
        <w:t xml:space="preserve">Coghlan J, Galie N, Barbera J, Frost A, Ghofrani H, Hoeper M. Initial combination therapy with ambrisentan and tadalafil in connective tissue disease-associated pulmonary arterial hypertension (CTD-PAH): subgroup analysis from the AMBITION trial. </w:t>
      </w:r>
      <w:r w:rsidRPr="001D34EE">
        <w:rPr>
          <w:i/>
        </w:rPr>
        <w:t>Annals of the Rheumatic Diseases</w:t>
      </w:r>
      <w:r w:rsidRPr="001D34EE">
        <w:t>. 2016;76(7):1219-27.</w:t>
      </w:r>
      <w:bookmarkEnd w:id="429"/>
    </w:p>
    <w:p w:rsidR="001D34EE" w:rsidRPr="001D34EE" w:rsidRDefault="001D34EE" w:rsidP="001D34EE">
      <w:pPr>
        <w:pStyle w:val="EndNoteBibliography"/>
        <w:spacing w:after="0"/>
        <w:ind w:left="720" w:hanging="720"/>
      </w:pPr>
      <w:bookmarkStart w:id="430" w:name="_ENREF_32"/>
      <w:r w:rsidRPr="001D34EE">
        <w:t>32.</w:t>
      </w:r>
      <w:r w:rsidRPr="001D34EE">
        <w:tab/>
        <w:t xml:space="preserve">Hoeper MM, McLaughlin VV, Barberá JA, Frost AE, Ghofrani HA, Peacock AJ, et al. Initial combination therapy with ambrisentan and tadalafil and mortality in patients with pulmonary arterial hypertension: a secondary analysis of the results from the randomised, controlled AMBITION study. </w:t>
      </w:r>
      <w:r w:rsidRPr="001D34EE">
        <w:rPr>
          <w:i/>
        </w:rPr>
        <w:t>The Lancet Respiratory Medicine</w:t>
      </w:r>
      <w:r w:rsidRPr="001D34EE">
        <w:t>. 2016;4(11):894-901.</w:t>
      </w:r>
      <w:bookmarkEnd w:id="430"/>
    </w:p>
    <w:p w:rsidR="001D34EE" w:rsidRPr="001D34EE" w:rsidRDefault="001D34EE" w:rsidP="001D34EE">
      <w:pPr>
        <w:pStyle w:val="EndNoteBibliography"/>
        <w:spacing w:after="0"/>
        <w:ind w:left="720" w:hanging="720"/>
      </w:pPr>
      <w:bookmarkStart w:id="431" w:name="_ENREF_33"/>
      <w:r w:rsidRPr="001D34EE">
        <w:t>33.</w:t>
      </w:r>
      <w:r w:rsidRPr="001D34EE">
        <w:tab/>
        <w:t xml:space="preserve">Chin KM, Bartolome S, Miller K, Blair C, Gillies H, Torres F. Does treatment response to ambrisentan vary by pulmonary arterial hypertension severity? Implications for clinicians and for the design of future clinical trials. </w:t>
      </w:r>
      <w:r w:rsidRPr="001D34EE">
        <w:rPr>
          <w:i/>
        </w:rPr>
        <w:t>International Journal of Clinical Practice</w:t>
      </w:r>
      <w:r w:rsidRPr="001D34EE">
        <w:t>. 2014;68(5):568-77.</w:t>
      </w:r>
      <w:bookmarkEnd w:id="431"/>
    </w:p>
    <w:p w:rsidR="001D34EE" w:rsidRPr="001D34EE" w:rsidRDefault="001D34EE" w:rsidP="001D34EE">
      <w:pPr>
        <w:pStyle w:val="EndNoteBibliography"/>
        <w:spacing w:after="0"/>
        <w:ind w:left="720" w:hanging="720"/>
      </w:pPr>
      <w:bookmarkStart w:id="432" w:name="_ENREF_34"/>
      <w:r w:rsidRPr="001D34EE">
        <w:t>34.</w:t>
      </w:r>
      <w:r w:rsidRPr="001D34EE">
        <w:tab/>
        <w:t xml:space="preserve">Fischer A, Denton CP, Matucci-Cerinic M, Gillies H, Blair C, Tislow J, et al. Ambrisentan response in connective tissue disease-associated pulmonary arterial hypertension (CTD-PAH) – A subgroup analysis of the ARIES-E clinical trial. </w:t>
      </w:r>
      <w:r w:rsidRPr="001D34EE">
        <w:rPr>
          <w:i/>
        </w:rPr>
        <w:t>Respiratory Medicine</w:t>
      </w:r>
      <w:r w:rsidRPr="001D34EE">
        <w:t>. 2016;117:254-63.</w:t>
      </w:r>
      <w:bookmarkEnd w:id="432"/>
    </w:p>
    <w:p w:rsidR="001D34EE" w:rsidRPr="001D34EE" w:rsidRDefault="001D34EE" w:rsidP="001D34EE">
      <w:pPr>
        <w:pStyle w:val="EndNoteBibliography"/>
        <w:spacing w:after="0"/>
        <w:ind w:left="720" w:hanging="720"/>
      </w:pPr>
      <w:bookmarkStart w:id="433" w:name="_ENREF_35"/>
      <w:r w:rsidRPr="001D34EE">
        <w:t>35.</w:t>
      </w:r>
      <w:r w:rsidRPr="001D34EE">
        <w:tab/>
        <w:t xml:space="preserve">Humbert M, Barst RJ, Robbins IM, Channick RN, Galiè N, Boonstra A, et al. Combination of bosentan with epoprostenol in pulmonary arterial hypertension: BREATHE-2. </w:t>
      </w:r>
      <w:r w:rsidRPr="001D34EE">
        <w:rPr>
          <w:i/>
        </w:rPr>
        <w:t>European Respiratory Journal</w:t>
      </w:r>
      <w:r w:rsidRPr="001D34EE">
        <w:t>. 2004;24(3):353-9.</w:t>
      </w:r>
      <w:bookmarkEnd w:id="433"/>
    </w:p>
    <w:p w:rsidR="001D34EE" w:rsidRPr="001D34EE" w:rsidRDefault="001D34EE" w:rsidP="001D34EE">
      <w:pPr>
        <w:pStyle w:val="EndNoteBibliography"/>
        <w:spacing w:after="0"/>
        <w:ind w:left="720" w:hanging="720"/>
      </w:pPr>
      <w:bookmarkStart w:id="434" w:name="_ENREF_36"/>
      <w:r w:rsidRPr="001D34EE">
        <w:t>36.</w:t>
      </w:r>
      <w:r w:rsidRPr="001D34EE">
        <w:tab/>
        <w:t xml:space="preserve">Hoeper MM, Leuchte H, Halank M, Wilkens H, Meyer FJ, Seyfarth HJ, et al. Combining inhaled iloprost with bosentan in patients with idiopathic pulmonary arterial hypertension. </w:t>
      </w:r>
      <w:r w:rsidRPr="001D34EE">
        <w:rPr>
          <w:i/>
        </w:rPr>
        <w:t>European Respiratory Journal</w:t>
      </w:r>
      <w:r w:rsidRPr="001D34EE">
        <w:t>. 2006;28(4):691-4.</w:t>
      </w:r>
      <w:bookmarkEnd w:id="434"/>
    </w:p>
    <w:p w:rsidR="001D34EE" w:rsidRPr="001D34EE" w:rsidRDefault="001D34EE" w:rsidP="001D34EE">
      <w:pPr>
        <w:pStyle w:val="EndNoteBibliography"/>
        <w:spacing w:after="0"/>
        <w:ind w:left="720" w:hanging="720"/>
      </w:pPr>
      <w:bookmarkStart w:id="435" w:name="_ENREF_37"/>
      <w:r w:rsidRPr="001D34EE">
        <w:t>37.</w:t>
      </w:r>
      <w:r w:rsidRPr="001D34EE">
        <w:tab/>
        <w:t xml:space="preserve">McLaughlin V, Channick RN, Ghofrani HA, Lemarié JC, Naeije R, Packer M, et al. Bosentan added to sildenafil therapy in patients with pulmonary arterial hypertension. </w:t>
      </w:r>
      <w:r w:rsidRPr="001D34EE">
        <w:rPr>
          <w:i/>
        </w:rPr>
        <w:t>European Respiratory Journal</w:t>
      </w:r>
      <w:r w:rsidRPr="001D34EE">
        <w:t>. 2015;46(2):405-13.</w:t>
      </w:r>
      <w:bookmarkEnd w:id="435"/>
    </w:p>
    <w:p w:rsidR="001D34EE" w:rsidRPr="001D34EE" w:rsidRDefault="001D34EE" w:rsidP="001D34EE">
      <w:pPr>
        <w:pStyle w:val="EndNoteBibliography"/>
        <w:spacing w:after="0"/>
        <w:ind w:left="720" w:hanging="720"/>
      </w:pPr>
      <w:bookmarkStart w:id="436" w:name="_ENREF_38"/>
      <w:r w:rsidRPr="001D34EE">
        <w:t>38.</w:t>
      </w:r>
      <w:r w:rsidRPr="001D34EE">
        <w:tab/>
        <w:t xml:space="preserve">Han X, Zhang Y, Dong L, Fang L, Chai Y, Niu M. Treatment of pulmonary arterial hypertension using initial combination therapy of bosentan and iloprost. </w:t>
      </w:r>
      <w:r w:rsidRPr="001D34EE">
        <w:rPr>
          <w:i/>
        </w:rPr>
        <w:t>Respiratory Care</w:t>
      </w:r>
      <w:r w:rsidRPr="001D34EE">
        <w:t>. 2017;62(4):489-96.</w:t>
      </w:r>
      <w:bookmarkEnd w:id="436"/>
    </w:p>
    <w:p w:rsidR="001D34EE" w:rsidRPr="001D34EE" w:rsidRDefault="001D34EE" w:rsidP="001D34EE">
      <w:pPr>
        <w:pStyle w:val="EndNoteBibliography"/>
        <w:spacing w:after="0"/>
        <w:ind w:left="720" w:hanging="720"/>
      </w:pPr>
      <w:bookmarkStart w:id="437" w:name="_ENREF_39"/>
      <w:r w:rsidRPr="001D34EE">
        <w:t>39.</w:t>
      </w:r>
      <w:r w:rsidRPr="001D34EE">
        <w:tab/>
        <w:t xml:space="preserve">Mainguy V, Malenfant S, Neyron AS, Bonnet S, Maltais F, Saey D, et al. Repeatability and responsiveness of exercise tests in pulmonary arterial hypertension. </w:t>
      </w:r>
      <w:r w:rsidRPr="001D34EE">
        <w:rPr>
          <w:i/>
        </w:rPr>
        <w:t>European Respiratory Journal</w:t>
      </w:r>
      <w:r w:rsidRPr="001D34EE">
        <w:t>. 2013;42(2):425-34.</w:t>
      </w:r>
      <w:bookmarkEnd w:id="437"/>
    </w:p>
    <w:p w:rsidR="001D34EE" w:rsidRPr="001D34EE" w:rsidRDefault="001D34EE" w:rsidP="001D34EE">
      <w:pPr>
        <w:pStyle w:val="EndNoteBibliography"/>
        <w:spacing w:after="0"/>
        <w:ind w:left="720" w:hanging="720"/>
      </w:pPr>
      <w:bookmarkStart w:id="438" w:name="_ENREF_40"/>
      <w:r w:rsidRPr="001D34EE">
        <w:t>40.</w:t>
      </w:r>
      <w:r w:rsidRPr="001D34EE">
        <w:tab/>
        <w:t xml:space="preserve">Mukhopadhyay S, Nathani S, Yusuf J, Shrimal D, Tyagi S. Clinical efficacy of phosphodiesterase-5 inhibitor tadalafil in Eisenmenger Syndrome-A randomized, placebo-controlled, double-blind crossover study. </w:t>
      </w:r>
      <w:r w:rsidRPr="001D34EE">
        <w:rPr>
          <w:i/>
        </w:rPr>
        <w:t>Congenital Heart Disease</w:t>
      </w:r>
      <w:r w:rsidRPr="001D34EE">
        <w:t>. 2011;6(5):424-31.</w:t>
      </w:r>
      <w:bookmarkEnd w:id="438"/>
    </w:p>
    <w:p w:rsidR="001D34EE" w:rsidRPr="001D34EE" w:rsidRDefault="001D34EE" w:rsidP="001D34EE">
      <w:pPr>
        <w:pStyle w:val="EndNoteBibliography"/>
        <w:spacing w:after="0"/>
        <w:ind w:left="720" w:hanging="720"/>
      </w:pPr>
      <w:bookmarkStart w:id="439" w:name="_ENREF_41"/>
      <w:r w:rsidRPr="001D34EE">
        <w:t>41.</w:t>
      </w:r>
      <w:r w:rsidRPr="001D34EE">
        <w:tab/>
        <w:t xml:space="preserve">Simonneau G, Rubin LJ, Galiè N, Barst RJ, Fleming TR, Frost AE, et al. Addition of sildenafil to long-term intravenous epoprostenol therapy in patients with pulmonary arterial hypertension: A randomized trial. </w:t>
      </w:r>
      <w:r w:rsidRPr="001D34EE">
        <w:rPr>
          <w:i/>
        </w:rPr>
        <w:t>Annals of Internal Medicine</w:t>
      </w:r>
      <w:r w:rsidRPr="001D34EE">
        <w:t>. 2008;149(8):521-30.</w:t>
      </w:r>
      <w:bookmarkEnd w:id="439"/>
    </w:p>
    <w:p w:rsidR="001D34EE" w:rsidRPr="001D34EE" w:rsidRDefault="001D34EE" w:rsidP="001D34EE">
      <w:pPr>
        <w:pStyle w:val="EndNoteBibliography"/>
        <w:spacing w:after="0"/>
        <w:ind w:left="720" w:hanging="720"/>
      </w:pPr>
      <w:bookmarkStart w:id="440" w:name="_ENREF_42"/>
      <w:r w:rsidRPr="001D34EE">
        <w:t>42.</w:t>
      </w:r>
      <w:r w:rsidRPr="001D34EE">
        <w:tab/>
        <w:t xml:space="preserve">Langleben D, Galiè N, He J, Huang Y, Humbert M, Keogh A, et al. Use of clinically relevant responder threshold criteria to evaluate the response to treatment in the Phase III PATENT-1 study. </w:t>
      </w:r>
      <w:r w:rsidRPr="001D34EE">
        <w:rPr>
          <w:i/>
        </w:rPr>
        <w:t>Journal of Heart and Lung Transplantation</w:t>
      </w:r>
      <w:r w:rsidRPr="001D34EE">
        <w:t>. 2015;34(3):338-47.</w:t>
      </w:r>
      <w:bookmarkEnd w:id="440"/>
    </w:p>
    <w:p w:rsidR="001D34EE" w:rsidRPr="001D34EE" w:rsidRDefault="001D34EE" w:rsidP="001D34EE">
      <w:pPr>
        <w:pStyle w:val="EndNoteBibliography"/>
        <w:spacing w:after="0"/>
        <w:ind w:left="720" w:hanging="720"/>
      </w:pPr>
      <w:bookmarkStart w:id="441" w:name="_ENREF_43"/>
      <w:r w:rsidRPr="001D34EE">
        <w:t>43.</w:t>
      </w:r>
      <w:r w:rsidRPr="001D34EE">
        <w:tab/>
        <w:t xml:space="preserve">Galiè N, Grimminger F, Grünig E, Hoeper MM, Humbert M, Jing ZC, et al. Comparison of hemodynamic parameters in treatment-naïve and pre-treated patients with pulmonary arterial hypertension in the randomized phase III PATENT-1 study. </w:t>
      </w:r>
      <w:r w:rsidRPr="001D34EE">
        <w:rPr>
          <w:i/>
        </w:rPr>
        <w:t>Journal of Heart and Lung Transplantation</w:t>
      </w:r>
      <w:r w:rsidRPr="001D34EE">
        <w:t>. 2017;36(5):509-19.</w:t>
      </w:r>
      <w:bookmarkEnd w:id="441"/>
    </w:p>
    <w:p w:rsidR="001D34EE" w:rsidRPr="001D34EE" w:rsidRDefault="001D34EE" w:rsidP="001D34EE">
      <w:pPr>
        <w:pStyle w:val="EndNoteBibliography"/>
        <w:spacing w:after="0"/>
        <w:ind w:left="720" w:hanging="720"/>
      </w:pPr>
      <w:bookmarkStart w:id="442" w:name="_ENREF_44"/>
      <w:r w:rsidRPr="001D34EE">
        <w:t>44.</w:t>
      </w:r>
      <w:r w:rsidRPr="001D34EE">
        <w:tab/>
        <w:t xml:space="preserve">Galiè N, Müller K, Scalise AV, Grünig E. PATENT PLUS: A blinded, randomised and extension study of riociguat plus sildenafil in pulmonary arterial hypertension. </w:t>
      </w:r>
      <w:r w:rsidRPr="001D34EE">
        <w:rPr>
          <w:i/>
        </w:rPr>
        <w:t>European Respiratory Journal</w:t>
      </w:r>
      <w:r w:rsidRPr="001D34EE">
        <w:t>. 2015;45(5):1314-22.</w:t>
      </w:r>
      <w:bookmarkEnd w:id="442"/>
    </w:p>
    <w:p w:rsidR="001D34EE" w:rsidRPr="001D34EE" w:rsidRDefault="001D34EE" w:rsidP="001D34EE">
      <w:pPr>
        <w:pStyle w:val="EndNoteBibliography"/>
        <w:spacing w:after="0"/>
        <w:ind w:left="720" w:hanging="720"/>
      </w:pPr>
      <w:bookmarkStart w:id="443" w:name="_ENREF_45"/>
      <w:r w:rsidRPr="001D34EE">
        <w:t>45.</w:t>
      </w:r>
      <w:r w:rsidRPr="001D34EE">
        <w:tab/>
        <w:t>Barst R, Oudiz R, Beardsworth A, Brundage B, Simonneau G, Ghofrani H, et al. Tadalafil monotherapy and as add-on to background bosentan in patients with pulmonary arterial hypertension. 2011;30(6):632-43.</w:t>
      </w:r>
      <w:bookmarkEnd w:id="443"/>
    </w:p>
    <w:p w:rsidR="001D34EE" w:rsidRPr="001D34EE" w:rsidRDefault="001D34EE" w:rsidP="001D34EE">
      <w:pPr>
        <w:pStyle w:val="EndNoteBibliography"/>
        <w:spacing w:after="0"/>
        <w:ind w:left="720" w:hanging="720"/>
      </w:pPr>
      <w:bookmarkStart w:id="444" w:name="_ENREF_46"/>
      <w:r w:rsidRPr="001D34EE">
        <w:t>46.</w:t>
      </w:r>
      <w:r w:rsidRPr="001D34EE">
        <w:tab/>
        <w:t xml:space="preserve">Channick RN, Delcroix M, Ghofrani HA, Hunsche E, Jansa P, Le Brun FO, et al. Effect of macitentan on hospitalizations: Results from the SERAPHIN trial. </w:t>
      </w:r>
      <w:r w:rsidRPr="001D34EE">
        <w:rPr>
          <w:i/>
        </w:rPr>
        <w:t>JACC: Heart Failure</w:t>
      </w:r>
      <w:r w:rsidRPr="001D34EE">
        <w:t>. 2015;3(1):1-8.</w:t>
      </w:r>
      <w:bookmarkEnd w:id="444"/>
    </w:p>
    <w:p w:rsidR="001D34EE" w:rsidRPr="001D34EE" w:rsidRDefault="001D34EE" w:rsidP="001D34EE">
      <w:pPr>
        <w:pStyle w:val="EndNoteBibliography"/>
        <w:spacing w:after="0"/>
        <w:ind w:left="720" w:hanging="720"/>
      </w:pPr>
      <w:bookmarkStart w:id="445" w:name="_ENREF_47"/>
      <w:r w:rsidRPr="001D34EE">
        <w:t>47.</w:t>
      </w:r>
      <w:r w:rsidRPr="001D34EE">
        <w:tab/>
        <w:t xml:space="preserve">Mehta S, Sastry BKS, Souza R, Torbicki A, Ghofrani HA, Channick RN, et al. Macitentan Improves Health-Related Quality of Life for Patients With Pulmonary Arterial Hypertension: Results From the Randomized Controlled SERAPHIN Trial. </w:t>
      </w:r>
      <w:r w:rsidRPr="001D34EE">
        <w:rPr>
          <w:i/>
        </w:rPr>
        <w:t>Chest</w:t>
      </w:r>
      <w:r w:rsidRPr="001D34EE">
        <w:t>. 2017;151(1):106-18.</w:t>
      </w:r>
      <w:bookmarkEnd w:id="445"/>
    </w:p>
    <w:p w:rsidR="001D34EE" w:rsidRPr="001D34EE" w:rsidRDefault="001D34EE" w:rsidP="001D34EE">
      <w:pPr>
        <w:pStyle w:val="EndNoteBibliography"/>
        <w:spacing w:after="0"/>
        <w:ind w:left="720" w:hanging="720"/>
      </w:pPr>
      <w:bookmarkStart w:id="446" w:name="_ENREF_48"/>
      <w:r w:rsidRPr="001D34EE">
        <w:t>48.</w:t>
      </w:r>
      <w:r w:rsidRPr="001D34EE">
        <w:tab/>
        <w:t xml:space="preserve">McLaughlin VV, Oudiz RJ, Frost A, Tapson VF, Murali S, Channick RN, et al. Randomized study of adding inhaled iloprost to existing bosentan in pulmonary arterial hypertension. </w:t>
      </w:r>
      <w:r w:rsidRPr="001D34EE">
        <w:rPr>
          <w:i/>
        </w:rPr>
        <w:t>American Journal of Respiratory and Critical Care Medicine</w:t>
      </w:r>
      <w:r w:rsidRPr="001D34EE">
        <w:t>. 2006;174(11):1257-63.</w:t>
      </w:r>
      <w:bookmarkEnd w:id="446"/>
    </w:p>
    <w:p w:rsidR="001D34EE" w:rsidRPr="001D34EE" w:rsidRDefault="001D34EE" w:rsidP="001D34EE">
      <w:pPr>
        <w:pStyle w:val="EndNoteBibliography"/>
        <w:spacing w:after="0"/>
        <w:ind w:left="720" w:hanging="720"/>
      </w:pPr>
      <w:bookmarkStart w:id="447" w:name="_ENREF_49"/>
      <w:r w:rsidRPr="001D34EE">
        <w:t>49.</w:t>
      </w:r>
      <w:r w:rsidRPr="001D34EE">
        <w:tab/>
        <w:t xml:space="preserve">Vizza CD, Jansa P, Teal S, Dombi T, Zhou D. Sildenafil dosed concomitantly with bosentan for adult pulmonary arterial hypertension in a randomized controlled trial. </w:t>
      </w:r>
      <w:r w:rsidRPr="001D34EE">
        <w:rPr>
          <w:i/>
        </w:rPr>
        <w:t>BMC Cardiovascular Disorders</w:t>
      </w:r>
      <w:r w:rsidRPr="001D34EE">
        <w:t>. 2017;17(1).</w:t>
      </w:r>
      <w:bookmarkEnd w:id="447"/>
    </w:p>
    <w:p w:rsidR="001D34EE" w:rsidRPr="001D34EE" w:rsidRDefault="001D34EE" w:rsidP="001D34EE">
      <w:pPr>
        <w:pStyle w:val="EndNoteBibliography"/>
        <w:spacing w:after="0"/>
        <w:ind w:left="720" w:hanging="720"/>
      </w:pPr>
      <w:bookmarkStart w:id="448" w:name="_ENREF_50"/>
      <w:r w:rsidRPr="001D34EE">
        <w:t>50.</w:t>
      </w:r>
      <w:r w:rsidRPr="001D34EE">
        <w:tab/>
        <w:t xml:space="preserve">Zhuang Y, Jiang B, Gao H, Zhao W. Randomized study of adding tadalafil to existing ambrisentan in pulmonary arterial hypertension. </w:t>
      </w:r>
      <w:r w:rsidRPr="001D34EE">
        <w:rPr>
          <w:i/>
        </w:rPr>
        <w:t>Hypertension Research</w:t>
      </w:r>
      <w:r w:rsidRPr="001D34EE">
        <w:t>. 2014;37(6):507-12.</w:t>
      </w:r>
      <w:bookmarkEnd w:id="448"/>
    </w:p>
    <w:p w:rsidR="001D34EE" w:rsidRPr="001D34EE" w:rsidRDefault="001D34EE" w:rsidP="001D34EE">
      <w:pPr>
        <w:pStyle w:val="EndNoteBibliography"/>
        <w:spacing w:after="0"/>
        <w:ind w:left="720" w:hanging="720"/>
      </w:pPr>
      <w:bookmarkStart w:id="449" w:name="_ENREF_51"/>
      <w:r w:rsidRPr="001D34EE">
        <w:t>51.</w:t>
      </w:r>
      <w:r w:rsidRPr="001D34EE">
        <w:tab/>
        <w:t xml:space="preserve">Sun YJ, Yang T, Zeng WJ, Gu Q, Ni XH, Zhao ZH, et al. Impact of sildenafil on survival of patients with eisenmenger syndrome. </w:t>
      </w:r>
      <w:r w:rsidRPr="001D34EE">
        <w:rPr>
          <w:i/>
        </w:rPr>
        <w:t>Journal of Clinical Pharmacology</w:t>
      </w:r>
      <w:r w:rsidRPr="001D34EE">
        <w:t>. 2013;53(6):611-8.</w:t>
      </w:r>
      <w:bookmarkEnd w:id="449"/>
    </w:p>
    <w:p w:rsidR="001D34EE" w:rsidRPr="001D34EE" w:rsidRDefault="001D34EE" w:rsidP="001D34EE">
      <w:pPr>
        <w:pStyle w:val="EndNoteBibliography"/>
        <w:spacing w:after="0"/>
        <w:ind w:left="720" w:hanging="720"/>
      </w:pPr>
      <w:bookmarkStart w:id="450" w:name="_ENREF_52"/>
      <w:r w:rsidRPr="001D34EE">
        <w:t>52.</w:t>
      </w:r>
      <w:r w:rsidRPr="001D34EE">
        <w:tab/>
        <w:t xml:space="preserve">Sastry BKS, Soma Raju B, Narasimhan C, Surya Prakash G, Krishna Reddy N, Ananad B. Sildenafil improves survival in idiopathic pulmonary arterial hypertension. </w:t>
      </w:r>
      <w:r w:rsidRPr="001D34EE">
        <w:rPr>
          <w:i/>
        </w:rPr>
        <w:t>Indian Heart Journal</w:t>
      </w:r>
      <w:r w:rsidRPr="001D34EE">
        <w:t>. 2007;59(4):336-41.</w:t>
      </w:r>
      <w:bookmarkEnd w:id="450"/>
    </w:p>
    <w:p w:rsidR="001D34EE" w:rsidRPr="001D34EE" w:rsidRDefault="001D34EE" w:rsidP="001D34EE">
      <w:pPr>
        <w:pStyle w:val="EndNoteBibliography"/>
        <w:spacing w:after="0"/>
        <w:ind w:left="720" w:hanging="720"/>
      </w:pPr>
      <w:bookmarkStart w:id="451" w:name="_ENREF_53"/>
      <w:r w:rsidRPr="001D34EE">
        <w:t>53.</w:t>
      </w:r>
      <w:r w:rsidRPr="001D34EE">
        <w:tab/>
        <w:t xml:space="preserve">Wirostko BM, Tressler C, Hwang LJ, Burgess G, Laties AM. Ocular safety of sildenafil citrate when administered chronically for pulmonary arterial hypertension: results from phase III, randomised, double masked, placebo controlled trial and open label extension. </w:t>
      </w:r>
      <w:r w:rsidRPr="001D34EE">
        <w:rPr>
          <w:i/>
        </w:rPr>
        <w:t>BMJ (Clinical research ed)</w:t>
      </w:r>
      <w:r w:rsidRPr="001D34EE">
        <w:t>. 2012;344:e554.</w:t>
      </w:r>
      <w:bookmarkEnd w:id="451"/>
    </w:p>
    <w:p w:rsidR="001D34EE" w:rsidRPr="001D34EE" w:rsidRDefault="001D34EE" w:rsidP="001D34EE">
      <w:pPr>
        <w:pStyle w:val="EndNoteBibliography"/>
        <w:spacing w:after="0"/>
        <w:ind w:left="720" w:hanging="720"/>
      </w:pPr>
      <w:bookmarkStart w:id="452" w:name="_ENREF_54"/>
      <w:r w:rsidRPr="001D34EE">
        <w:t>54.</w:t>
      </w:r>
      <w:r w:rsidRPr="001D34EE">
        <w:tab/>
        <w:t xml:space="preserve">Barst RJ, Ivy DD, Gaitan G, Szatmari A, Rudzinski A, Garcia AE, et al. A randomized, double-blind, placebo-controlled, dose-ranging study of oral sildenafil citrate in treatment-naive children with pulmonary arterial hypertension. </w:t>
      </w:r>
      <w:r w:rsidRPr="001D34EE">
        <w:rPr>
          <w:i/>
        </w:rPr>
        <w:t>Circulation</w:t>
      </w:r>
      <w:r w:rsidRPr="001D34EE">
        <w:t>. 2012;125(2):324-34.</w:t>
      </w:r>
      <w:bookmarkEnd w:id="452"/>
    </w:p>
    <w:p w:rsidR="001D34EE" w:rsidRPr="001D34EE" w:rsidRDefault="001D34EE" w:rsidP="001D34EE">
      <w:pPr>
        <w:pStyle w:val="EndNoteBibliography"/>
        <w:spacing w:after="0"/>
        <w:ind w:left="720" w:hanging="720"/>
      </w:pPr>
      <w:bookmarkStart w:id="453" w:name="_ENREF_55"/>
      <w:r w:rsidRPr="001D34EE">
        <w:t>55.</w:t>
      </w:r>
      <w:r w:rsidRPr="001D34EE">
        <w:tab/>
        <w:t xml:space="preserve">Oudiz RJ, Galiè N, Olschewski H, Torres F, Frost A, Ghofrani HA, et al. Long-Term Ambrisentan Therapy for the Treatment of Pulmonary Arterial Hypertension. </w:t>
      </w:r>
      <w:r w:rsidRPr="001D34EE">
        <w:rPr>
          <w:i/>
        </w:rPr>
        <w:t>Journal of the American College of Cardiology</w:t>
      </w:r>
      <w:r w:rsidRPr="001D34EE">
        <w:t>. 2009;54(21):1971-81.</w:t>
      </w:r>
      <w:bookmarkEnd w:id="453"/>
    </w:p>
    <w:p w:rsidR="001D34EE" w:rsidRPr="001D34EE" w:rsidRDefault="001D34EE" w:rsidP="001D34EE">
      <w:pPr>
        <w:pStyle w:val="EndNoteBibliography"/>
        <w:spacing w:after="0"/>
        <w:ind w:left="720" w:hanging="720"/>
      </w:pPr>
      <w:bookmarkStart w:id="454" w:name="_ENREF_56"/>
      <w:r w:rsidRPr="001D34EE">
        <w:t>56.</w:t>
      </w:r>
      <w:r w:rsidRPr="001D34EE">
        <w:tab/>
        <w:t xml:space="preserve">Dickinson MG, Schölvinck EH, Boonstra A, Vonk-Noordegraaf A, Snijder RJ, Berger RMF. Low Complication Rates With Totally Implantable Access Port Use in Epoprostenol Treatment of Pulmonary Hypertension. </w:t>
      </w:r>
      <w:r w:rsidRPr="001D34EE">
        <w:rPr>
          <w:i/>
        </w:rPr>
        <w:t>Journal of Heart and Lung Transplantation</w:t>
      </w:r>
      <w:r w:rsidRPr="001D34EE">
        <w:t>. 2009;28(3):273-9.</w:t>
      </w:r>
      <w:bookmarkEnd w:id="454"/>
    </w:p>
    <w:p w:rsidR="001D34EE" w:rsidRPr="001D34EE" w:rsidRDefault="001D34EE" w:rsidP="001D34EE">
      <w:pPr>
        <w:pStyle w:val="EndNoteBibliography"/>
        <w:spacing w:after="0"/>
        <w:ind w:left="720" w:hanging="720"/>
      </w:pPr>
      <w:bookmarkStart w:id="455" w:name="_ENREF_57"/>
      <w:r w:rsidRPr="001D34EE">
        <w:t>57.</w:t>
      </w:r>
      <w:r w:rsidRPr="001D34EE">
        <w:tab/>
        <w:t xml:space="preserve">Simonneau G, Galiè N, Jansa P, Meyer GMB, Al-Hiti H, Kusic-Pajic A, et al. Long-term results from the EARLY study of bosentan in WHO functional class II pulmonary arterial hypertension patients. </w:t>
      </w:r>
      <w:r w:rsidRPr="001D34EE">
        <w:rPr>
          <w:i/>
        </w:rPr>
        <w:t>International Journal of Cardiology</w:t>
      </w:r>
      <w:r w:rsidRPr="001D34EE">
        <w:t>. 2014;172(2):332-9.</w:t>
      </w:r>
      <w:bookmarkEnd w:id="455"/>
    </w:p>
    <w:p w:rsidR="001D34EE" w:rsidRPr="001D34EE" w:rsidRDefault="001D34EE" w:rsidP="001D34EE">
      <w:pPr>
        <w:pStyle w:val="EndNoteBibliography"/>
        <w:spacing w:after="0"/>
        <w:ind w:left="720" w:hanging="720"/>
      </w:pPr>
      <w:bookmarkStart w:id="456" w:name="_ENREF_58"/>
      <w:r w:rsidRPr="001D34EE">
        <w:t>58.</w:t>
      </w:r>
      <w:r w:rsidRPr="001D34EE">
        <w:tab/>
        <w:t xml:space="preserve">Hislop AA, Moledina S, Foster H, Schulze-Neick I, Haworth SG. Long-term efficacy of bosentan in treatment of pulmonary arterial hypertension in children. </w:t>
      </w:r>
      <w:r w:rsidRPr="001D34EE">
        <w:rPr>
          <w:i/>
        </w:rPr>
        <w:t>European Respiratory Journal</w:t>
      </w:r>
      <w:r w:rsidRPr="001D34EE">
        <w:t>. 2011;38(1):70-7.</w:t>
      </w:r>
      <w:bookmarkEnd w:id="456"/>
    </w:p>
    <w:p w:rsidR="001D34EE" w:rsidRPr="001D34EE" w:rsidRDefault="001D34EE" w:rsidP="001D34EE">
      <w:pPr>
        <w:pStyle w:val="EndNoteBibliography"/>
        <w:spacing w:after="0"/>
        <w:ind w:left="720" w:hanging="720"/>
      </w:pPr>
      <w:bookmarkStart w:id="457" w:name="_ENREF_59"/>
      <w:r w:rsidRPr="001D34EE">
        <w:t>59.</w:t>
      </w:r>
      <w:r w:rsidRPr="001D34EE">
        <w:tab/>
        <w:t xml:space="preserve">Kallen AJ, Lederman E, Balaji A, Trevino I, Petersen EE, Shoulson R, et al. Bloodstream infections in patients given treatment with intravenous prostanoids. </w:t>
      </w:r>
      <w:r w:rsidRPr="001D34EE">
        <w:rPr>
          <w:i/>
        </w:rPr>
        <w:t>Infection Control and Hospital Epidemiology</w:t>
      </w:r>
      <w:r w:rsidRPr="001D34EE">
        <w:t>. 2008;29(4):342-9.</w:t>
      </w:r>
      <w:bookmarkEnd w:id="457"/>
    </w:p>
    <w:p w:rsidR="001D34EE" w:rsidRPr="001D34EE" w:rsidRDefault="001D34EE" w:rsidP="001D34EE">
      <w:pPr>
        <w:pStyle w:val="EndNoteBibliography"/>
        <w:spacing w:after="0"/>
        <w:ind w:left="720" w:hanging="720"/>
      </w:pPr>
      <w:bookmarkStart w:id="458" w:name="_ENREF_60"/>
      <w:r w:rsidRPr="001D34EE">
        <w:t>60.</w:t>
      </w:r>
      <w:r w:rsidRPr="001D34EE">
        <w:tab/>
        <w:t xml:space="preserve">Keogh A, Strange G, McNeil K, Williams TJ, Gabbay E, Proudman S, et al. The bosentan patient registry: Long-term survival in pulmonary arterial hypertension. </w:t>
      </w:r>
      <w:r w:rsidRPr="001D34EE">
        <w:rPr>
          <w:i/>
        </w:rPr>
        <w:t>Internal Medicine Journal</w:t>
      </w:r>
      <w:r w:rsidRPr="001D34EE">
        <w:t>. 2011;41(3):227-34.</w:t>
      </w:r>
      <w:bookmarkEnd w:id="458"/>
    </w:p>
    <w:p w:rsidR="001D34EE" w:rsidRPr="001D34EE" w:rsidRDefault="001D34EE" w:rsidP="001D34EE">
      <w:pPr>
        <w:pStyle w:val="EndNoteBibliography"/>
        <w:spacing w:after="0"/>
        <w:ind w:left="720" w:hanging="720"/>
      </w:pPr>
      <w:bookmarkStart w:id="459" w:name="_ENREF_61"/>
      <w:r w:rsidRPr="001D34EE">
        <w:t>61.</w:t>
      </w:r>
      <w:r w:rsidRPr="001D34EE">
        <w:tab/>
        <w:t xml:space="preserve">Kitterman N, Poms A, Miller DP, Lombardi S, Farber HW, Barst RJ. Bloodstream infections in patients with pulmonary arterial hypertension treated with intravenous prostanoids: Insights from the REVEAL REGISTRY®. </w:t>
      </w:r>
      <w:r w:rsidRPr="001D34EE">
        <w:rPr>
          <w:i/>
        </w:rPr>
        <w:t>Mayo Clinic Proceedings</w:t>
      </w:r>
      <w:r w:rsidRPr="001D34EE">
        <w:t>. 2012;87(9):825-34.</w:t>
      </w:r>
      <w:bookmarkEnd w:id="459"/>
    </w:p>
    <w:p w:rsidR="001D34EE" w:rsidRPr="001D34EE" w:rsidRDefault="001D34EE" w:rsidP="001D34EE">
      <w:pPr>
        <w:pStyle w:val="EndNoteBibliography"/>
        <w:spacing w:after="0"/>
        <w:ind w:left="720" w:hanging="720"/>
      </w:pPr>
      <w:bookmarkStart w:id="460" w:name="_ENREF_62"/>
      <w:r w:rsidRPr="001D34EE">
        <w:t>62.</w:t>
      </w:r>
      <w:r w:rsidRPr="001D34EE">
        <w:tab/>
        <w:t xml:space="preserve">McLaughlin VV, Shillington A, Rich S. Survival in primary pulmonary hypertension: The impact of epoprostenol therapy. </w:t>
      </w:r>
      <w:r w:rsidRPr="001D34EE">
        <w:rPr>
          <w:i/>
        </w:rPr>
        <w:t>Circulation</w:t>
      </w:r>
      <w:r w:rsidRPr="001D34EE">
        <w:t>. 2002;106(12):1477-82.</w:t>
      </w:r>
      <w:bookmarkEnd w:id="460"/>
    </w:p>
    <w:p w:rsidR="001D34EE" w:rsidRPr="001D34EE" w:rsidRDefault="001D34EE" w:rsidP="001D34EE">
      <w:pPr>
        <w:pStyle w:val="EndNoteBibliography"/>
        <w:spacing w:after="0"/>
        <w:ind w:left="720" w:hanging="720"/>
      </w:pPr>
      <w:bookmarkStart w:id="461" w:name="_ENREF_63"/>
      <w:r w:rsidRPr="001D34EE">
        <w:t>63.</w:t>
      </w:r>
      <w:r w:rsidRPr="001D34EE">
        <w:tab/>
        <w:t xml:space="preserve">Oudiz RJ, Widlitz A, Beckmann XJ, Camanga D, Alfie J, Brundage BH, et al. Micrococcus-associated central venous catheter infection in patients with pulmonary arterial hypertension. </w:t>
      </w:r>
      <w:r w:rsidRPr="001D34EE">
        <w:rPr>
          <w:i/>
        </w:rPr>
        <w:t>Chest</w:t>
      </w:r>
      <w:r w:rsidRPr="001D34EE">
        <w:t>. 2004;126(1):90-4.</w:t>
      </w:r>
      <w:bookmarkEnd w:id="461"/>
    </w:p>
    <w:p w:rsidR="001D34EE" w:rsidRPr="001D34EE" w:rsidRDefault="001D34EE" w:rsidP="001D34EE">
      <w:pPr>
        <w:pStyle w:val="EndNoteBibliography"/>
        <w:spacing w:after="0"/>
        <w:ind w:left="720" w:hanging="720"/>
      </w:pPr>
      <w:bookmarkStart w:id="462" w:name="_ENREF_64"/>
      <w:r w:rsidRPr="001D34EE">
        <w:t>64.</w:t>
      </w:r>
      <w:r w:rsidRPr="001D34EE">
        <w:tab/>
        <w:t xml:space="preserve">Simonneau G, Rubin LJ, Galiè N, Barst RJ, Fleming TR, Frost A, et al. Long-term sildenafil added to intravenous epoprostenol in patients with pulmonary arterial hypertension. </w:t>
      </w:r>
      <w:r w:rsidRPr="001D34EE">
        <w:rPr>
          <w:i/>
        </w:rPr>
        <w:t>Journal of Heart and Lung Transplantation</w:t>
      </w:r>
      <w:r w:rsidRPr="001D34EE">
        <w:t>. 2014;33(7):689-97.</w:t>
      </w:r>
      <w:bookmarkEnd w:id="462"/>
    </w:p>
    <w:p w:rsidR="001D34EE" w:rsidRPr="001D34EE" w:rsidRDefault="001D34EE" w:rsidP="001D34EE">
      <w:pPr>
        <w:pStyle w:val="EndNoteBibliography"/>
        <w:spacing w:after="0"/>
        <w:ind w:left="720" w:hanging="720"/>
      </w:pPr>
      <w:bookmarkStart w:id="463" w:name="_ENREF_65"/>
      <w:r w:rsidRPr="001D34EE">
        <w:t>65.</w:t>
      </w:r>
      <w:r w:rsidRPr="001D34EE">
        <w:tab/>
        <w:t xml:space="preserve">Ghofrani HA, Grimminger F, Grünig E, Huang Y, Jansa P, Jing ZC, et al. Predictors of long-term outcomes in patients treated with riociguat for pulmonary arterial hypertension: Data from the PATENT-2 open-label, randomised, long-term extension trial. </w:t>
      </w:r>
      <w:r w:rsidRPr="001D34EE">
        <w:rPr>
          <w:i/>
        </w:rPr>
        <w:t>The Lancet Respiratory Medicine</w:t>
      </w:r>
      <w:r w:rsidRPr="001D34EE">
        <w:t>. 2016;4(5):361-71.</w:t>
      </w:r>
      <w:bookmarkEnd w:id="463"/>
    </w:p>
    <w:p w:rsidR="001D34EE" w:rsidRPr="001D34EE" w:rsidRDefault="001D34EE" w:rsidP="001D34EE">
      <w:pPr>
        <w:pStyle w:val="EndNoteBibliography"/>
        <w:spacing w:after="0"/>
        <w:ind w:left="720" w:hanging="720"/>
      </w:pPr>
      <w:bookmarkStart w:id="464" w:name="_ENREF_66"/>
      <w:r w:rsidRPr="001D34EE">
        <w:t>66.</w:t>
      </w:r>
      <w:r w:rsidRPr="001D34EE">
        <w:tab/>
        <w:t xml:space="preserve">Provencher S, Sitbon O, Humbert M, Cabrol S, Jaïs X, Simonneau G. Long-term outcome with first-line bosentan therapy in idiopathic pulmonary arterial hypertension. </w:t>
      </w:r>
      <w:r w:rsidRPr="001D34EE">
        <w:rPr>
          <w:i/>
        </w:rPr>
        <w:t>European Heart Journal</w:t>
      </w:r>
      <w:r w:rsidRPr="001D34EE">
        <w:t>. 2006;27(5):589-95.</w:t>
      </w:r>
      <w:bookmarkEnd w:id="464"/>
    </w:p>
    <w:p w:rsidR="001D34EE" w:rsidRPr="001D34EE" w:rsidRDefault="001D34EE" w:rsidP="001D34EE">
      <w:pPr>
        <w:pStyle w:val="EndNoteBibliography"/>
        <w:spacing w:after="0"/>
        <w:ind w:left="720" w:hanging="720"/>
      </w:pPr>
      <w:bookmarkStart w:id="465" w:name="_ENREF_67"/>
      <w:r w:rsidRPr="001D34EE">
        <w:t>67.</w:t>
      </w:r>
      <w:r w:rsidRPr="001D34EE">
        <w:tab/>
        <w:t xml:space="preserve">Sitbon O, Humbert M, Nunes H, Parent F, Garcia G, Hervé P, et al. Long-term intravenous epoprostenol infusion in primary pulmonary hypertension: Prognostic factors and survival. </w:t>
      </w:r>
      <w:r w:rsidRPr="001D34EE">
        <w:rPr>
          <w:i/>
        </w:rPr>
        <w:t>Journal of the American College of Cardiology</w:t>
      </w:r>
      <w:r w:rsidRPr="001D34EE">
        <w:t>. 2002;40(4):780-8.</w:t>
      </w:r>
      <w:bookmarkEnd w:id="465"/>
    </w:p>
    <w:p w:rsidR="001D34EE" w:rsidRPr="001D34EE" w:rsidRDefault="001D34EE" w:rsidP="001D34EE">
      <w:pPr>
        <w:pStyle w:val="EndNoteBibliography"/>
        <w:spacing w:after="0"/>
        <w:ind w:left="720" w:hanging="720"/>
      </w:pPr>
      <w:bookmarkStart w:id="466" w:name="_ENREF_68"/>
      <w:r w:rsidRPr="001D34EE">
        <w:t>68.</w:t>
      </w:r>
      <w:r w:rsidRPr="001D34EE">
        <w:tab/>
        <w:t xml:space="preserve">Sitbon O, Sattler C, Bertoletti L, Savale L, Cottin V, Jaïs X, et al. Initial dual oral combination therapy in pulmonary arterial hypertension. </w:t>
      </w:r>
      <w:r w:rsidRPr="001D34EE">
        <w:rPr>
          <w:i/>
        </w:rPr>
        <w:t>European Respiratory Journal</w:t>
      </w:r>
      <w:r w:rsidRPr="001D34EE">
        <w:t>. 2016;47(6):1727-36.</w:t>
      </w:r>
      <w:bookmarkEnd w:id="466"/>
    </w:p>
    <w:p w:rsidR="001D34EE" w:rsidRPr="001D34EE" w:rsidRDefault="001D34EE" w:rsidP="001D34EE">
      <w:pPr>
        <w:pStyle w:val="EndNoteBibliography"/>
        <w:spacing w:after="0"/>
        <w:ind w:left="720" w:hanging="720"/>
      </w:pPr>
      <w:bookmarkStart w:id="467" w:name="_ENREF_69"/>
      <w:r w:rsidRPr="001D34EE">
        <w:t>69.</w:t>
      </w:r>
      <w:r w:rsidRPr="001D34EE">
        <w:tab/>
        <w:t xml:space="preserve">Barst RJ, Beghetti M, Pulido T, Layton G, Konourina I, Zhang M, et al. STARTS-2: Long-term survival with oral sildenafil monotherapy in treatment-naive pediatric pulmonary arterial hypertension. </w:t>
      </w:r>
      <w:r w:rsidRPr="001D34EE">
        <w:rPr>
          <w:i/>
        </w:rPr>
        <w:t>Circulation</w:t>
      </w:r>
      <w:r w:rsidRPr="001D34EE">
        <w:t>. 2014;129(19):1914-23.</w:t>
      </w:r>
      <w:bookmarkEnd w:id="467"/>
    </w:p>
    <w:p w:rsidR="001D34EE" w:rsidRPr="001D34EE" w:rsidRDefault="001D34EE" w:rsidP="001D34EE">
      <w:pPr>
        <w:pStyle w:val="EndNoteBibliography"/>
        <w:spacing w:after="0"/>
        <w:ind w:left="720" w:hanging="720"/>
      </w:pPr>
      <w:bookmarkStart w:id="468" w:name="_ENREF_70"/>
      <w:r w:rsidRPr="001D34EE">
        <w:t>70.</w:t>
      </w:r>
      <w:r w:rsidRPr="001D34EE">
        <w:tab/>
        <w:t xml:space="preserve">Vachiéry JL, Hoeper MM, Peacock AJ, Sitbon O, Cheli M, Church C, et al. Ambrisentan use for pulmonary arterial hypertension in a post-authorization drug registry: The VOLibris Tracking Study. </w:t>
      </w:r>
      <w:r w:rsidRPr="001D34EE">
        <w:rPr>
          <w:i/>
        </w:rPr>
        <w:t>Journal of Heart and Lung Transplantation</w:t>
      </w:r>
      <w:r w:rsidRPr="001D34EE">
        <w:t>. 2017;36(4):399-406.</w:t>
      </w:r>
      <w:bookmarkEnd w:id="468"/>
    </w:p>
    <w:p w:rsidR="001D34EE" w:rsidRPr="001D34EE" w:rsidRDefault="001D34EE" w:rsidP="001D34EE">
      <w:pPr>
        <w:pStyle w:val="EndNoteBibliography"/>
        <w:spacing w:after="0"/>
        <w:ind w:left="720" w:hanging="720"/>
      </w:pPr>
      <w:bookmarkStart w:id="469" w:name="_ENREF_71"/>
      <w:r w:rsidRPr="001D34EE">
        <w:t>71.</w:t>
      </w:r>
      <w:r w:rsidRPr="001D34EE">
        <w:tab/>
        <w:t xml:space="preserve">Badesch DB, McGoon MD, Barst RJ, Tapson VF, Rubin LJ, Wigley FM, et al. Longterm survival among patients with scleroderma-associated pulmonary arterial hypertension treated with intravenous epoprostenol. </w:t>
      </w:r>
      <w:r w:rsidRPr="001D34EE">
        <w:rPr>
          <w:i/>
        </w:rPr>
        <w:t>Journal of Rheumatology</w:t>
      </w:r>
      <w:r w:rsidRPr="001D34EE">
        <w:t>. 2009;36(10):2244-9.</w:t>
      </w:r>
      <w:bookmarkEnd w:id="469"/>
    </w:p>
    <w:p w:rsidR="001D34EE" w:rsidRPr="001D34EE" w:rsidRDefault="001D34EE" w:rsidP="001D34EE">
      <w:pPr>
        <w:pStyle w:val="EndNoteBibliography"/>
        <w:spacing w:after="0"/>
        <w:ind w:left="720" w:hanging="720"/>
      </w:pPr>
      <w:bookmarkStart w:id="470" w:name="_ENREF_72"/>
      <w:r w:rsidRPr="001D34EE">
        <w:t>72.</w:t>
      </w:r>
      <w:r w:rsidRPr="001D34EE">
        <w:tab/>
        <w:t xml:space="preserve">Vis JC, Duffels MG, Mulder P, De Bruin-Bon RHACM, Bouma BJ, Berger RMF, et al. Prolonged beneficial effect of bosentan treatment and 4-year survival rates in adult patients with pulmonary arterial hypertension associated with congenital heart disease. </w:t>
      </w:r>
      <w:r w:rsidRPr="001D34EE">
        <w:rPr>
          <w:i/>
        </w:rPr>
        <w:t>International Journal of Cardiology</w:t>
      </w:r>
      <w:r w:rsidRPr="001D34EE">
        <w:t>. 2013;164(1):64-9.</w:t>
      </w:r>
      <w:bookmarkEnd w:id="470"/>
    </w:p>
    <w:p w:rsidR="001D34EE" w:rsidRPr="001D34EE" w:rsidRDefault="001D34EE" w:rsidP="001D34EE">
      <w:pPr>
        <w:pStyle w:val="EndNoteBibliography"/>
        <w:spacing w:after="0"/>
        <w:ind w:left="720" w:hanging="720"/>
      </w:pPr>
      <w:bookmarkStart w:id="471" w:name="_ENREF_73"/>
      <w:r w:rsidRPr="001D34EE">
        <w:t>73.</w:t>
      </w:r>
      <w:r w:rsidRPr="001D34EE">
        <w:tab/>
        <w:t xml:space="preserve">McLaughlin VV, Badesch DB, Delcroix M, Fleming TR, Gaine SP, Galie N, et al. End points and clinical trial design in pulmonary arterial hypertension. </w:t>
      </w:r>
      <w:r w:rsidRPr="001D34EE">
        <w:rPr>
          <w:i/>
        </w:rPr>
        <w:t>J Am Coll Cardiol</w:t>
      </w:r>
      <w:r w:rsidRPr="001D34EE">
        <w:t>. 2009;54(1 Suppl):S97-107.</w:t>
      </w:r>
      <w:bookmarkEnd w:id="471"/>
    </w:p>
    <w:p w:rsidR="001D34EE" w:rsidRPr="001D34EE" w:rsidRDefault="001D34EE" w:rsidP="001D34EE">
      <w:pPr>
        <w:pStyle w:val="EndNoteBibliography"/>
        <w:spacing w:after="0"/>
        <w:ind w:left="720" w:hanging="720"/>
      </w:pPr>
      <w:bookmarkStart w:id="472" w:name="_ENREF_74"/>
      <w:r w:rsidRPr="001D34EE">
        <w:t>74.</w:t>
      </w:r>
      <w:r w:rsidRPr="001D34EE">
        <w:tab/>
        <w:t>Committee for Medicinal Products for Human Use (CHMP). Guideline on the clinical investigations of medicinal products for the treatment of pulmonary arterial hypertension. EMEA/CHMP/EWP/356954/2008. 2009. London, UK.</w:t>
      </w:r>
      <w:bookmarkEnd w:id="472"/>
    </w:p>
    <w:p w:rsidR="001D34EE" w:rsidRPr="001D34EE" w:rsidRDefault="001D34EE" w:rsidP="001D34EE">
      <w:pPr>
        <w:pStyle w:val="EndNoteBibliography"/>
        <w:spacing w:after="0"/>
        <w:ind w:left="720" w:hanging="720"/>
      </w:pPr>
      <w:bookmarkStart w:id="473" w:name="_ENREF_75"/>
      <w:r w:rsidRPr="001D34EE">
        <w:t>75.</w:t>
      </w:r>
      <w:r w:rsidRPr="001D34EE">
        <w:tab/>
        <w:t xml:space="preserve">Ventetuolo C, Benza R, AJ P, RT Z, </w:t>
      </w:r>
      <w:r w:rsidRPr="001D34EE">
        <w:rPr>
          <w:i/>
        </w:rPr>
        <w:t>al e</w:t>
      </w:r>
      <w:r w:rsidRPr="001D34EE">
        <w:t xml:space="preserve">. Surrogate and combined end points in pulmonary arterial hypertension. </w:t>
      </w:r>
      <w:r w:rsidRPr="001D34EE">
        <w:rPr>
          <w:i/>
        </w:rPr>
        <w:t>Proceedings of the American Thoracic Society</w:t>
      </w:r>
      <w:r w:rsidRPr="001D34EE">
        <w:t>. 2008;5:617-22.</w:t>
      </w:r>
      <w:bookmarkEnd w:id="473"/>
    </w:p>
    <w:p w:rsidR="001D34EE" w:rsidRPr="001D34EE" w:rsidRDefault="001D34EE" w:rsidP="001D34EE">
      <w:pPr>
        <w:pStyle w:val="EndNoteBibliography"/>
        <w:spacing w:after="0"/>
        <w:ind w:left="720" w:hanging="720"/>
      </w:pPr>
      <w:bookmarkStart w:id="474" w:name="_ENREF_76"/>
      <w:r w:rsidRPr="001D34EE">
        <w:t>76.</w:t>
      </w:r>
      <w:r w:rsidRPr="001D34EE">
        <w:tab/>
        <w:t xml:space="preserve">American Thoracic Society. Guidelines for the six-minute walk test </w:t>
      </w:r>
      <w:r w:rsidRPr="001D34EE">
        <w:rPr>
          <w:i/>
        </w:rPr>
        <w:t xml:space="preserve">American Journal of Respiratory and Critical Care Medicine </w:t>
      </w:r>
      <w:r w:rsidRPr="001D34EE">
        <w:t>2002;166:111-7.</w:t>
      </w:r>
      <w:bookmarkEnd w:id="474"/>
    </w:p>
    <w:p w:rsidR="001D34EE" w:rsidRPr="001D34EE" w:rsidRDefault="001D34EE" w:rsidP="001D34EE">
      <w:pPr>
        <w:pStyle w:val="EndNoteBibliography"/>
        <w:spacing w:after="0"/>
        <w:ind w:left="720" w:hanging="720"/>
      </w:pPr>
      <w:bookmarkStart w:id="475" w:name="_ENREF_77"/>
      <w:r w:rsidRPr="001D34EE">
        <w:t>77.</w:t>
      </w:r>
      <w:r w:rsidRPr="001D34EE">
        <w:tab/>
        <w:t xml:space="preserve">Channick RN, Simonneau G, Sitbon O, Robbins IM, Frost A, Tapson VF, et al. Effects of the dual endothelin-receptor antagonist bosentan in patients with pulmonary hypertension: a randomised placebo-controlled study. </w:t>
      </w:r>
      <w:r w:rsidRPr="001D34EE">
        <w:rPr>
          <w:i/>
        </w:rPr>
        <w:t>Lancet</w:t>
      </w:r>
      <w:r w:rsidRPr="001D34EE">
        <w:t>. 2001;358(9288):1119-23.</w:t>
      </w:r>
      <w:bookmarkEnd w:id="475"/>
    </w:p>
    <w:p w:rsidR="001D34EE" w:rsidRPr="001D34EE" w:rsidRDefault="001D34EE" w:rsidP="001D34EE">
      <w:pPr>
        <w:pStyle w:val="EndNoteBibliography"/>
        <w:spacing w:after="0"/>
        <w:ind w:left="720" w:hanging="720"/>
      </w:pPr>
      <w:bookmarkStart w:id="476" w:name="_ENREF_78"/>
      <w:r w:rsidRPr="001D34EE">
        <w:t>78.</w:t>
      </w:r>
      <w:r w:rsidRPr="001D34EE">
        <w:tab/>
        <w:t xml:space="preserve">du Bois RM, Weycker D, Albera C, Bradford WZ, Costabel U, Kartashov A, et al. Six-minute-walk test in idiopathic pulmonary fibrosis: test validation and minimal clinically important difference. </w:t>
      </w:r>
      <w:r w:rsidRPr="001D34EE">
        <w:rPr>
          <w:i/>
        </w:rPr>
        <w:t>American journal of respiratory and critical care medicine</w:t>
      </w:r>
      <w:r w:rsidRPr="001D34EE">
        <w:t>. 2011;183(9):1231-7.</w:t>
      </w:r>
      <w:bookmarkEnd w:id="476"/>
    </w:p>
    <w:p w:rsidR="001D34EE" w:rsidRPr="001D34EE" w:rsidRDefault="001D34EE" w:rsidP="001D34EE">
      <w:pPr>
        <w:pStyle w:val="EndNoteBibliography"/>
        <w:spacing w:after="0"/>
        <w:ind w:left="720" w:hanging="720"/>
      </w:pPr>
      <w:bookmarkStart w:id="477" w:name="_ENREF_79"/>
      <w:r w:rsidRPr="001D34EE">
        <w:t>79.</w:t>
      </w:r>
      <w:r w:rsidRPr="001D34EE">
        <w:tab/>
        <w:t xml:space="preserve">Heresi GA, Dweik RA. Strengths and limitations of the six-minute-walk test: a model biomarker study in idiopathic pulmonary fibrosis. </w:t>
      </w:r>
      <w:r w:rsidRPr="001D34EE">
        <w:rPr>
          <w:i/>
        </w:rPr>
        <w:t>American journal of respiratory and critical care medicine</w:t>
      </w:r>
      <w:r w:rsidRPr="001D34EE">
        <w:t>. 2011;183(9):1122-4.</w:t>
      </w:r>
      <w:bookmarkEnd w:id="477"/>
    </w:p>
    <w:p w:rsidR="001D34EE" w:rsidRPr="001D34EE" w:rsidRDefault="001D34EE" w:rsidP="001D34EE">
      <w:pPr>
        <w:pStyle w:val="EndNoteBibliography"/>
        <w:spacing w:after="0"/>
        <w:ind w:left="720" w:hanging="720"/>
      </w:pPr>
      <w:bookmarkStart w:id="478" w:name="_ENREF_80"/>
      <w:r w:rsidRPr="001D34EE">
        <w:t>80.</w:t>
      </w:r>
      <w:r w:rsidRPr="001D34EE">
        <w:tab/>
        <w:t xml:space="preserve">Miyamoto S, Nagaya N, Satoh T, Kyotani S, Sakamaki F, Fujita M, et al. Clinical correlates and prognostic significance of six-minute walk test in patients with primary pulmonary hypertension. Comparison with cardiopulmonary exercise testing. </w:t>
      </w:r>
      <w:r w:rsidRPr="001D34EE">
        <w:rPr>
          <w:i/>
        </w:rPr>
        <w:t>American journal of respiratory and critical care medicine</w:t>
      </w:r>
      <w:r w:rsidRPr="001D34EE">
        <w:t>. 2000;161(2 Pt 1):487-92.</w:t>
      </w:r>
      <w:bookmarkEnd w:id="478"/>
    </w:p>
    <w:p w:rsidR="001D34EE" w:rsidRPr="001D34EE" w:rsidRDefault="001D34EE" w:rsidP="001D34EE">
      <w:pPr>
        <w:pStyle w:val="EndNoteBibliography"/>
        <w:spacing w:after="0"/>
        <w:ind w:left="720" w:hanging="720"/>
      </w:pPr>
      <w:bookmarkStart w:id="479" w:name="_ENREF_81"/>
      <w:r w:rsidRPr="001D34EE">
        <w:t>81.</w:t>
      </w:r>
      <w:r w:rsidRPr="001D34EE">
        <w:tab/>
        <w:t xml:space="preserve">Bucher HC, Guyatt GH, Griffith LE, Walter SD. The results of direct and indirect treatment comparisons in meta-analysis of randomized controlled trials. </w:t>
      </w:r>
      <w:r w:rsidRPr="001D34EE">
        <w:rPr>
          <w:i/>
        </w:rPr>
        <w:t>J Clin Epidemiol</w:t>
      </w:r>
      <w:r w:rsidRPr="001D34EE">
        <w:t>. 1997;50(6):683-91.</w:t>
      </w:r>
      <w:bookmarkEnd w:id="479"/>
    </w:p>
    <w:p w:rsidR="001D34EE" w:rsidRPr="001D34EE" w:rsidRDefault="001D34EE" w:rsidP="001D34EE">
      <w:pPr>
        <w:pStyle w:val="EndNoteBibliography"/>
        <w:spacing w:after="0"/>
        <w:ind w:left="720" w:hanging="720"/>
      </w:pPr>
      <w:bookmarkStart w:id="480" w:name="_ENREF_82"/>
      <w:r w:rsidRPr="001D34EE">
        <w:t>82.</w:t>
      </w:r>
      <w:r w:rsidRPr="001D34EE">
        <w:tab/>
        <w:t xml:space="preserve">Sinnott PL, Joyce VR, Barnett PG. Preference measurement in economic analysis. Guidebook. Menlo Park, CA, US: Health Economics Resource Center (HERC); 2007. Available from: </w:t>
      </w:r>
      <w:r w:rsidRPr="002046A0">
        <w:t>http://www.herc.research.va.gov/files/BOOK_419.pdf</w:t>
      </w:r>
      <w:r w:rsidRPr="001D34EE">
        <w:t>.</w:t>
      </w:r>
      <w:bookmarkEnd w:id="480"/>
    </w:p>
    <w:p w:rsidR="001D34EE" w:rsidRPr="001D34EE" w:rsidRDefault="001D34EE" w:rsidP="001D34EE">
      <w:pPr>
        <w:pStyle w:val="EndNoteBibliography"/>
        <w:spacing w:after="0"/>
        <w:ind w:left="720" w:hanging="720"/>
      </w:pPr>
      <w:bookmarkStart w:id="481" w:name="_ENREF_83"/>
      <w:r w:rsidRPr="001D34EE">
        <w:t>83.</w:t>
      </w:r>
      <w:r w:rsidRPr="001D34EE">
        <w:tab/>
        <w:t xml:space="preserve">Bonner N, Abetz L, Meunier J, Sikirica M, Mathai SC. Development and validation of the living with pulmonary hypertension questionnaire in pulmonary arterial hypertension patients. </w:t>
      </w:r>
      <w:r w:rsidRPr="001D34EE">
        <w:rPr>
          <w:i/>
        </w:rPr>
        <w:t>Health and Quality of Life Outcomes</w:t>
      </w:r>
      <w:r w:rsidRPr="001D34EE">
        <w:t>. 2013;11(1):161.</w:t>
      </w:r>
      <w:bookmarkEnd w:id="481"/>
    </w:p>
    <w:p w:rsidR="001D34EE" w:rsidRPr="001D34EE" w:rsidRDefault="001D34EE" w:rsidP="001D34EE">
      <w:pPr>
        <w:pStyle w:val="EndNoteBibliography"/>
        <w:spacing w:after="0"/>
        <w:ind w:left="720" w:hanging="720"/>
      </w:pPr>
      <w:bookmarkStart w:id="482" w:name="_ENREF_84"/>
      <w:r w:rsidRPr="001D34EE">
        <w:t>84.</w:t>
      </w:r>
      <w:r w:rsidRPr="001D34EE">
        <w:tab/>
        <w:t xml:space="preserve">Behlouli H, Feldman DE, Ducharme A, Frenette M, Giannetti N, Grondin F, et al. Identifying relative cut-off scores with neural networks for interpretation of the Minnesota Living with Heart Failure questionnaire. </w:t>
      </w:r>
      <w:r w:rsidRPr="001D34EE">
        <w:rPr>
          <w:i/>
        </w:rPr>
        <w:t>Conf Proc IEEE Eng Med Biol Soc</w:t>
      </w:r>
      <w:r w:rsidRPr="001D34EE">
        <w:t>. 2009;2009:6242-6.</w:t>
      </w:r>
      <w:bookmarkEnd w:id="482"/>
    </w:p>
    <w:p w:rsidR="001D34EE" w:rsidRPr="001D34EE" w:rsidRDefault="001D34EE" w:rsidP="001D34EE">
      <w:pPr>
        <w:pStyle w:val="EndNoteBibliography"/>
        <w:spacing w:after="0"/>
        <w:ind w:left="720" w:hanging="720"/>
      </w:pPr>
      <w:bookmarkStart w:id="483" w:name="_ENREF_85"/>
      <w:r w:rsidRPr="001D34EE">
        <w:t>85.</w:t>
      </w:r>
      <w:r w:rsidRPr="001D34EE">
        <w:tab/>
        <w:t xml:space="preserve">Nolan CM, Longworth L, Lord J, Canavan JL, Jones SE, Kon SSC, et al. The EQ-5D-5L health status questionnaire in COPD: validity, responsiveness and minimum important difference. </w:t>
      </w:r>
      <w:r w:rsidRPr="001D34EE">
        <w:rPr>
          <w:i/>
        </w:rPr>
        <w:t>Thorax</w:t>
      </w:r>
      <w:r w:rsidRPr="001D34EE">
        <w:t>. 2016.</w:t>
      </w:r>
      <w:bookmarkEnd w:id="483"/>
    </w:p>
    <w:p w:rsidR="001D34EE" w:rsidRPr="001D34EE" w:rsidRDefault="001D34EE" w:rsidP="001D34EE">
      <w:pPr>
        <w:pStyle w:val="EndNoteBibliography"/>
        <w:spacing w:after="0"/>
        <w:ind w:left="720" w:hanging="720"/>
      </w:pPr>
      <w:bookmarkStart w:id="484" w:name="_ENREF_86"/>
      <w:r w:rsidRPr="001D34EE">
        <w:t>86.</w:t>
      </w:r>
      <w:r w:rsidRPr="001D34EE">
        <w:tab/>
        <w:t xml:space="preserve">Zanini A, Aiello M, Adamo D, Casale S, Cherubino F, Della Patrona S, et al. Estimation of minimal clinically important difference in EQ-5D visual analog scale score after pulmonary rehabilitation in subjects with COPD. </w:t>
      </w:r>
      <w:r w:rsidRPr="001D34EE">
        <w:rPr>
          <w:i/>
        </w:rPr>
        <w:t>Respir Care</w:t>
      </w:r>
      <w:r w:rsidRPr="001D34EE">
        <w:t>. 2015;60(1):88-95.</w:t>
      </w:r>
      <w:bookmarkEnd w:id="484"/>
    </w:p>
    <w:p w:rsidR="001D34EE" w:rsidRPr="001D34EE" w:rsidRDefault="001D34EE" w:rsidP="001D34EE">
      <w:pPr>
        <w:pStyle w:val="EndNoteBibliography"/>
        <w:spacing w:after="0"/>
        <w:ind w:left="720" w:hanging="720"/>
      </w:pPr>
      <w:bookmarkStart w:id="485" w:name="_ENREF_87"/>
      <w:r w:rsidRPr="001D34EE">
        <w:t>87.</w:t>
      </w:r>
      <w:r w:rsidRPr="001D34EE">
        <w:tab/>
        <w:t xml:space="preserve">Karim MY, Alba P, Tungekar MF, Abbs IC, Khamashta MA, Hughes GR, et al. Hypertension as the presenting feature of the antiphospholipid syndrome. </w:t>
      </w:r>
      <w:r w:rsidRPr="001D34EE">
        <w:rPr>
          <w:i/>
        </w:rPr>
        <w:t>Lupus</w:t>
      </w:r>
      <w:r w:rsidRPr="001D34EE">
        <w:t>. 2002;11(4):253-6.</w:t>
      </w:r>
      <w:bookmarkEnd w:id="485"/>
    </w:p>
    <w:p w:rsidR="001D34EE" w:rsidRPr="001D34EE" w:rsidRDefault="001D34EE" w:rsidP="001D34EE">
      <w:pPr>
        <w:pStyle w:val="EndNoteBibliography"/>
        <w:spacing w:after="0"/>
        <w:ind w:left="720" w:hanging="720"/>
      </w:pPr>
      <w:bookmarkStart w:id="486" w:name="_ENREF_88"/>
      <w:r w:rsidRPr="001D34EE">
        <w:t>88.</w:t>
      </w:r>
      <w:r w:rsidRPr="001D34EE">
        <w:tab/>
        <w:t xml:space="preserve">Launay D, Souza R, Guillevin L, Hachulla E, Pouchot J, Simonneau G, et al. Pulmonary arterial hypertension in ANCA-associated vasculitis. </w:t>
      </w:r>
      <w:r w:rsidRPr="001D34EE">
        <w:rPr>
          <w:i/>
        </w:rPr>
        <w:t>Sarcoidosis Vasc Diffuse Lung Dis</w:t>
      </w:r>
      <w:r w:rsidRPr="001D34EE">
        <w:t>. 2006;23(3):223-8.</w:t>
      </w:r>
      <w:bookmarkEnd w:id="486"/>
    </w:p>
    <w:p w:rsidR="001D34EE" w:rsidRPr="001D34EE" w:rsidRDefault="001D34EE" w:rsidP="001D34EE">
      <w:pPr>
        <w:pStyle w:val="EndNoteBibliography"/>
        <w:spacing w:after="0"/>
        <w:ind w:left="720" w:hanging="720"/>
      </w:pPr>
      <w:bookmarkStart w:id="487" w:name="_ENREF_89"/>
      <w:r w:rsidRPr="001D34EE">
        <w:t>89.</w:t>
      </w:r>
      <w:r w:rsidRPr="001D34EE">
        <w:tab/>
        <w:t xml:space="preserve">Guillevin L. Vasculopathy and pulmonary arterial hypertension. </w:t>
      </w:r>
      <w:r w:rsidRPr="001D34EE">
        <w:rPr>
          <w:i/>
        </w:rPr>
        <w:t>Rheumatology (Oxford)</w:t>
      </w:r>
      <w:r w:rsidRPr="001D34EE">
        <w:t>. 2009;48 Suppl 3:iii54-7.</w:t>
      </w:r>
      <w:bookmarkEnd w:id="487"/>
    </w:p>
    <w:p w:rsidR="001D34EE" w:rsidRPr="001D34EE" w:rsidRDefault="001D34EE" w:rsidP="001D34EE">
      <w:pPr>
        <w:pStyle w:val="EndNoteBibliography"/>
        <w:ind w:left="720" w:hanging="720"/>
      </w:pPr>
      <w:bookmarkStart w:id="488" w:name="_ENREF_90"/>
      <w:r w:rsidRPr="001D34EE">
        <w:t>90.</w:t>
      </w:r>
      <w:r w:rsidRPr="001D34EE">
        <w:tab/>
        <w:t xml:space="preserve">Nickel NP, O'Leary JM, Brittain EL, Fessel JP, Zamanian RT, West JD, et al. Kidney dysfunction in patients with pulmonary arterial hypertension. </w:t>
      </w:r>
      <w:r w:rsidRPr="001D34EE">
        <w:rPr>
          <w:i/>
        </w:rPr>
        <w:t>Pulm Circ</w:t>
      </w:r>
      <w:r w:rsidRPr="001D34EE">
        <w:t>. 2017;7(1):38-54.</w:t>
      </w:r>
      <w:bookmarkEnd w:id="488"/>
    </w:p>
    <w:p w:rsidR="009D0670" w:rsidRPr="00091BE6" w:rsidRDefault="009D0670" w:rsidP="00FD5A29">
      <w:pPr>
        <w:pStyle w:val="BodyText"/>
        <w:ind w:left="426" w:hanging="426"/>
        <w:rPr>
          <w:rFonts w:ascii="Calibri" w:hAnsi="Calibri"/>
        </w:rPr>
      </w:pPr>
    </w:p>
    <w:p w:rsidR="00CC3BA4" w:rsidRDefault="00CC3BA4" w:rsidP="00126F99">
      <w:pPr>
        <w:pStyle w:val="BodyText"/>
        <w:sectPr w:rsidR="00CC3BA4" w:rsidSect="00170E8E">
          <w:headerReference w:type="even" r:id="rId32"/>
          <w:headerReference w:type="default" r:id="rId33"/>
          <w:footerReference w:type="default" r:id="rId34"/>
          <w:headerReference w:type="first" r:id="rId35"/>
          <w:footnotePr>
            <w:numFmt w:val="chicago"/>
          </w:footnotePr>
          <w:pgSz w:w="11906" w:h="16838"/>
          <w:pgMar w:top="1134" w:right="1134" w:bottom="1134" w:left="1134" w:header="709" w:footer="709" w:gutter="0"/>
          <w:pgNumType w:start="1"/>
          <w:cols w:space="708"/>
          <w:docGrid w:linePitch="360"/>
        </w:sectPr>
      </w:pPr>
    </w:p>
    <w:p w:rsidR="001D0FDA" w:rsidRDefault="001D0FDA" w:rsidP="001D0FDA">
      <w:pPr>
        <w:pStyle w:val="Heading2"/>
        <w:numPr>
          <w:ilvl w:val="0"/>
          <w:numId w:val="0"/>
        </w:numPr>
      </w:pPr>
      <w:bookmarkStart w:id="489" w:name="_Ref506463323"/>
      <w:bookmarkStart w:id="490" w:name="_Toc506464149"/>
      <w:bookmarkStart w:id="491" w:name="_Toc38360293"/>
      <w:bookmarkStart w:id="492" w:name="_Toc503811648"/>
      <w:r>
        <w:t xml:space="preserve">Appendix </w:t>
      </w:r>
      <w:r w:rsidR="00C41087">
        <w:t>4.</w:t>
      </w:r>
      <w:r w:rsidR="003951FA">
        <w:rPr>
          <w:noProof/>
        </w:rPr>
        <w:t>A</w:t>
      </w:r>
      <w:bookmarkEnd w:id="489"/>
      <w:r>
        <w:tab/>
        <w:t>Studies included in the literature review</w:t>
      </w:r>
      <w:bookmarkEnd w:id="490"/>
      <w:bookmarkEnd w:id="491"/>
    </w:p>
    <w:p w:rsidR="001D0FDA" w:rsidRPr="007B0AA0" w:rsidRDefault="001D0FDA" w:rsidP="001D0FDA">
      <w:pPr>
        <w:pStyle w:val="Caption"/>
      </w:pPr>
      <w:bookmarkStart w:id="493" w:name="_Ref506398677"/>
      <w:bookmarkStart w:id="494" w:name="_Toc38360441"/>
      <w:bookmarkStart w:id="495" w:name="_Toc460406531"/>
      <w:r>
        <w:t>Table 4.</w:t>
      </w:r>
      <w:r w:rsidR="003951FA">
        <w:rPr>
          <w:noProof/>
        </w:rPr>
        <w:t>144</w:t>
      </w:r>
      <w:bookmarkEnd w:id="493"/>
      <w:r>
        <w:tab/>
        <w:t xml:space="preserve">Studies included </w:t>
      </w:r>
      <w:proofErr w:type="gramStart"/>
      <w:r>
        <w:t>to address</w:t>
      </w:r>
      <w:proofErr w:type="gramEnd"/>
      <w:r>
        <w:t xml:space="preserve"> </w:t>
      </w:r>
      <w:r w:rsidRPr="00204000">
        <w:t>research questions</w:t>
      </w:r>
      <w:bookmarkEnd w:id="494"/>
    </w:p>
    <w:tbl>
      <w:tblPr>
        <w:tblStyle w:val="TableGrid2"/>
        <w:tblpPr w:leftFromText="181" w:rightFromText="181" w:tblpYSpec="bottom"/>
        <w:tblOverlap w:val="never"/>
        <w:tblW w:w="4964" w:type="pct"/>
        <w:tblLook w:val="04A0" w:firstRow="1" w:lastRow="0" w:firstColumn="1" w:lastColumn="0" w:noHBand="0" w:noVBand="1"/>
        <w:tblCaption w:val="Studies included to address research questions"/>
      </w:tblPr>
      <w:tblGrid>
        <w:gridCol w:w="1535"/>
        <w:gridCol w:w="1376"/>
        <w:gridCol w:w="2232"/>
        <w:gridCol w:w="4738"/>
        <w:gridCol w:w="2345"/>
        <w:gridCol w:w="2229"/>
      </w:tblGrid>
      <w:tr w:rsidR="001D0FDA" w:rsidRPr="00204000" w:rsidTr="00E1668E">
        <w:trPr>
          <w:cnfStyle w:val="100000000000" w:firstRow="1" w:lastRow="0" w:firstColumn="0" w:lastColumn="0" w:oddVBand="0" w:evenVBand="0" w:oddHBand="0" w:evenHBand="0" w:firstRowFirstColumn="0" w:firstRowLastColumn="0" w:lastRowFirstColumn="0" w:lastRowLastColumn="0"/>
        </w:trPr>
        <w:tc>
          <w:tcPr>
            <w:tcW w:w="531" w:type="pct"/>
            <w:tcBorders>
              <w:bottom w:val="single" w:sz="4" w:space="0" w:color="auto"/>
            </w:tcBorders>
          </w:tcPr>
          <w:p w:rsidR="001D0FDA" w:rsidRPr="00091BE6" w:rsidRDefault="001D0FDA" w:rsidP="00E1668E">
            <w:pPr>
              <w:pStyle w:val="Tabletext"/>
              <w:rPr>
                <w:rFonts w:cs="Arial"/>
                <w:b/>
                <w:color w:val="auto"/>
                <w:szCs w:val="18"/>
              </w:rPr>
            </w:pPr>
            <w:r w:rsidRPr="00091BE6">
              <w:rPr>
                <w:rFonts w:cs="Arial"/>
                <w:b/>
                <w:color w:val="auto"/>
                <w:szCs w:val="18"/>
              </w:rPr>
              <w:t>Study ID</w:t>
            </w:r>
          </w:p>
          <w:p w:rsidR="001D0FDA" w:rsidRPr="00091BE6" w:rsidRDefault="001D0FDA" w:rsidP="00E1668E">
            <w:pPr>
              <w:pStyle w:val="Tabletext"/>
              <w:rPr>
                <w:rFonts w:cs="Arial"/>
                <w:b/>
                <w:color w:val="auto"/>
                <w:szCs w:val="18"/>
              </w:rPr>
            </w:pPr>
            <w:r w:rsidRPr="00091BE6">
              <w:rPr>
                <w:rFonts w:cs="Arial"/>
                <w:b/>
                <w:color w:val="auto"/>
                <w:szCs w:val="18"/>
              </w:rPr>
              <w:t>Author year</w:t>
            </w:r>
          </w:p>
          <w:p w:rsidR="001D0FDA" w:rsidRPr="00091BE6" w:rsidRDefault="001D0FDA" w:rsidP="00E1668E">
            <w:pPr>
              <w:pStyle w:val="Tabletext"/>
              <w:rPr>
                <w:rFonts w:cs="Arial"/>
                <w:b/>
                <w:color w:val="auto"/>
                <w:szCs w:val="18"/>
              </w:rPr>
            </w:pPr>
            <w:r w:rsidRPr="00091BE6">
              <w:rPr>
                <w:rFonts w:cs="Arial"/>
                <w:b/>
                <w:color w:val="auto"/>
                <w:szCs w:val="18"/>
              </w:rPr>
              <w:t>Study period</w:t>
            </w:r>
          </w:p>
          <w:p w:rsidR="001D0FDA" w:rsidRPr="00091BE6" w:rsidRDefault="001D0FDA" w:rsidP="00E1668E">
            <w:pPr>
              <w:pStyle w:val="Tabletext"/>
              <w:rPr>
                <w:rFonts w:cs="Arial"/>
                <w:b/>
                <w:color w:val="auto"/>
                <w:szCs w:val="18"/>
              </w:rPr>
            </w:pPr>
            <w:r w:rsidRPr="00091BE6">
              <w:rPr>
                <w:rFonts w:cs="Arial"/>
                <w:b/>
                <w:color w:val="auto"/>
                <w:szCs w:val="18"/>
              </w:rPr>
              <w:t>Location</w:t>
            </w:r>
          </w:p>
        </w:tc>
        <w:tc>
          <w:tcPr>
            <w:tcW w:w="476" w:type="pct"/>
            <w:tcBorders>
              <w:bottom w:val="single" w:sz="4" w:space="0" w:color="auto"/>
            </w:tcBorders>
          </w:tcPr>
          <w:p w:rsidR="001D0FDA" w:rsidRPr="00091BE6" w:rsidRDefault="001D0FDA" w:rsidP="00E1668E">
            <w:pPr>
              <w:pStyle w:val="Tabletext"/>
              <w:rPr>
                <w:rFonts w:cs="Arial"/>
                <w:b/>
                <w:color w:val="auto"/>
                <w:szCs w:val="18"/>
              </w:rPr>
            </w:pPr>
            <w:r w:rsidRPr="00091BE6">
              <w:rPr>
                <w:rFonts w:cs="Arial"/>
                <w:b/>
                <w:color w:val="auto"/>
                <w:szCs w:val="18"/>
              </w:rPr>
              <w:t>Study design</w:t>
            </w:r>
          </w:p>
          <w:p w:rsidR="001D0FDA" w:rsidRPr="00091BE6" w:rsidRDefault="001D0FDA" w:rsidP="00E1668E">
            <w:pPr>
              <w:pStyle w:val="Tabletext"/>
              <w:rPr>
                <w:rFonts w:cs="Arial"/>
                <w:b/>
                <w:color w:val="auto"/>
                <w:szCs w:val="18"/>
              </w:rPr>
            </w:pPr>
            <w:r w:rsidRPr="00091BE6">
              <w:rPr>
                <w:rFonts w:cs="Arial"/>
                <w:b/>
                <w:color w:val="auto"/>
                <w:szCs w:val="18"/>
              </w:rPr>
              <w:t>Level of evidence</w:t>
            </w:r>
          </w:p>
          <w:p w:rsidR="001D0FDA" w:rsidRPr="00091BE6" w:rsidRDefault="001D0FDA" w:rsidP="00E1668E">
            <w:pPr>
              <w:pStyle w:val="Tabletext"/>
              <w:rPr>
                <w:rFonts w:cs="Arial"/>
                <w:b/>
                <w:color w:val="auto"/>
                <w:szCs w:val="18"/>
              </w:rPr>
            </w:pPr>
            <w:r w:rsidRPr="00091BE6">
              <w:rPr>
                <w:rFonts w:cs="Arial"/>
                <w:b/>
                <w:color w:val="auto"/>
                <w:szCs w:val="18"/>
              </w:rPr>
              <w:t>Duration of follow-up</w:t>
            </w:r>
          </w:p>
          <w:p w:rsidR="001D0FDA" w:rsidRPr="00091BE6" w:rsidRDefault="001D0FDA" w:rsidP="00E1668E">
            <w:pPr>
              <w:pStyle w:val="Tabletext"/>
              <w:rPr>
                <w:rFonts w:cs="Arial"/>
                <w:b/>
                <w:color w:val="auto"/>
                <w:szCs w:val="18"/>
              </w:rPr>
            </w:pPr>
            <w:r w:rsidRPr="00091BE6">
              <w:rPr>
                <w:rFonts w:cs="Arial"/>
                <w:b/>
                <w:color w:val="auto"/>
                <w:szCs w:val="18"/>
              </w:rPr>
              <w:t>Risk of bias</w:t>
            </w:r>
          </w:p>
        </w:tc>
        <w:tc>
          <w:tcPr>
            <w:tcW w:w="772" w:type="pct"/>
            <w:tcBorders>
              <w:bottom w:val="single" w:sz="4" w:space="0" w:color="auto"/>
            </w:tcBorders>
          </w:tcPr>
          <w:p w:rsidR="001D0FDA" w:rsidRPr="00091BE6" w:rsidRDefault="001D0FDA" w:rsidP="00E1668E">
            <w:pPr>
              <w:pStyle w:val="Tabletext"/>
              <w:rPr>
                <w:rFonts w:cs="Arial"/>
                <w:b/>
                <w:szCs w:val="18"/>
              </w:rPr>
            </w:pPr>
            <w:r w:rsidRPr="00091BE6">
              <w:rPr>
                <w:rFonts w:cs="Arial"/>
                <w:b/>
                <w:color w:val="auto"/>
                <w:szCs w:val="18"/>
              </w:rPr>
              <w:t>Eligibility criteria</w:t>
            </w:r>
          </w:p>
        </w:tc>
        <w:tc>
          <w:tcPr>
            <w:tcW w:w="0" w:type="auto"/>
            <w:tcBorders>
              <w:bottom w:val="single" w:sz="4" w:space="0" w:color="auto"/>
            </w:tcBorders>
          </w:tcPr>
          <w:p w:rsidR="001D0FDA" w:rsidRPr="00091BE6" w:rsidRDefault="001D0FDA" w:rsidP="00E1668E">
            <w:pPr>
              <w:pStyle w:val="Tabletext"/>
              <w:rPr>
                <w:rFonts w:cs="Arial"/>
                <w:b/>
                <w:color w:val="auto"/>
                <w:szCs w:val="18"/>
              </w:rPr>
            </w:pPr>
            <w:r w:rsidRPr="00091BE6">
              <w:rPr>
                <w:rFonts w:cs="Arial"/>
                <w:b/>
                <w:color w:val="auto"/>
                <w:szCs w:val="18"/>
              </w:rPr>
              <w:t>N</w:t>
            </w:r>
            <w:r w:rsidRPr="00091BE6">
              <w:rPr>
                <w:rFonts w:cs="Arial"/>
                <w:b/>
                <w:color w:val="auto"/>
                <w:szCs w:val="18"/>
                <w:vertAlign w:val="superscript"/>
              </w:rPr>
              <w:t>a</w:t>
            </w:r>
          </w:p>
          <w:p w:rsidR="001D0FDA" w:rsidRPr="00091BE6" w:rsidRDefault="001D0FDA" w:rsidP="00E1668E">
            <w:pPr>
              <w:pStyle w:val="Tabletext"/>
              <w:rPr>
                <w:rFonts w:cs="Arial"/>
                <w:b/>
                <w:color w:val="auto"/>
                <w:szCs w:val="18"/>
              </w:rPr>
            </w:pPr>
            <w:r w:rsidRPr="00091BE6">
              <w:rPr>
                <w:rFonts w:cs="Arial"/>
                <w:b/>
                <w:color w:val="auto"/>
                <w:szCs w:val="18"/>
              </w:rPr>
              <w:t>Population characteristics</w:t>
            </w:r>
          </w:p>
        </w:tc>
        <w:tc>
          <w:tcPr>
            <w:tcW w:w="811" w:type="pct"/>
            <w:tcBorders>
              <w:bottom w:val="single" w:sz="4" w:space="0" w:color="auto"/>
            </w:tcBorders>
          </w:tcPr>
          <w:p w:rsidR="001D0FDA" w:rsidRPr="00091BE6" w:rsidRDefault="001D0FDA" w:rsidP="00E1668E">
            <w:pPr>
              <w:pStyle w:val="Tabletext"/>
              <w:rPr>
                <w:rFonts w:cs="Arial"/>
                <w:b/>
                <w:color w:val="auto"/>
                <w:szCs w:val="18"/>
              </w:rPr>
            </w:pPr>
            <w:r w:rsidRPr="00091BE6">
              <w:rPr>
                <w:rFonts w:cs="Arial"/>
                <w:b/>
                <w:color w:val="auto"/>
                <w:szCs w:val="18"/>
              </w:rPr>
              <w:t>Intervention</w:t>
            </w:r>
            <w:r w:rsidRPr="00091BE6">
              <w:rPr>
                <w:rFonts w:cs="Arial"/>
                <w:b/>
                <w:color w:val="auto"/>
                <w:szCs w:val="18"/>
                <w:vertAlign w:val="superscript"/>
              </w:rPr>
              <w:t>b</w:t>
            </w:r>
          </w:p>
          <w:p w:rsidR="001D0FDA" w:rsidRPr="00091BE6" w:rsidRDefault="001D0FDA" w:rsidP="00E1668E">
            <w:pPr>
              <w:pStyle w:val="Tabletext"/>
              <w:rPr>
                <w:rFonts w:cs="Arial"/>
                <w:b/>
                <w:color w:val="auto"/>
                <w:szCs w:val="18"/>
              </w:rPr>
            </w:pPr>
            <w:r w:rsidRPr="00091BE6">
              <w:rPr>
                <w:rFonts w:cs="Arial"/>
                <w:b/>
                <w:color w:val="auto"/>
                <w:szCs w:val="18"/>
              </w:rPr>
              <w:t>Comparator</w:t>
            </w:r>
          </w:p>
          <w:p w:rsidR="001D0FDA" w:rsidRPr="00091BE6" w:rsidRDefault="001D0FDA" w:rsidP="00E1668E">
            <w:pPr>
              <w:pStyle w:val="Tabletext"/>
              <w:rPr>
                <w:rFonts w:cs="Arial"/>
                <w:b/>
                <w:color w:val="auto"/>
                <w:szCs w:val="18"/>
              </w:rPr>
            </w:pPr>
            <w:r w:rsidRPr="00091BE6">
              <w:rPr>
                <w:rFonts w:cs="Arial"/>
                <w:b/>
                <w:color w:val="auto"/>
                <w:szCs w:val="18"/>
              </w:rPr>
              <w:t>Background therapy (if any)</w:t>
            </w:r>
          </w:p>
        </w:tc>
        <w:tc>
          <w:tcPr>
            <w:tcW w:w="771" w:type="pct"/>
            <w:tcBorders>
              <w:bottom w:val="single" w:sz="4" w:space="0" w:color="auto"/>
            </w:tcBorders>
          </w:tcPr>
          <w:p w:rsidR="001D0FDA" w:rsidRPr="00091BE6" w:rsidRDefault="001D0FDA" w:rsidP="00E1668E">
            <w:pPr>
              <w:pStyle w:val="Tabletext"/>
              <w:rPr>
                <w:rFonts w:cs="Arial"/>
                <w:b/>
                <w:color w:val="auto"/>
                <w:szCs w:val="18"/>
              </w:rPr>
            </w:pPr>
            <w:r w:rsidRPr="00091BE6">
              <w:rPr>
                <w:rFonts w:cs="Arial"/>
                <w:b/>
                <w:color w:val="auto"/>
                <w:szCs w:val="18"/>
              </w:rPr>
              <w:t>Outcomes assessed</w:t>
            </w:r>
          </w:p>
        </w:tc>
      </w:tr>
      <w:tr w:rsidR="001D0FDA" w:rsidRPr="00204000" w:rsidTr="00E1668E">
        <w:tc>
          <w:tcPr>
            <w:tcW w:w="1007" w:type="pct"/>
            <w:gridSpan w:val="2"/>
            <w:shd w:val="clear" w:color="auto" w:fill="000000" w:themeFill="text1"/>
          </w:tcPr>
          <w:p w:rsidR="001D0FDA" w:rsidRPr="00D53F84" w:rsidRDefault="001D0FDA" w:rsidP="00E1668E">
            <w:pPr>
              <w:pStyle w:val="Tabletext"/>
              <w:ind w:right="-28"/>
              <w:rPr>
                <w:rFonts w:eastAsia="Times New Roman"/>
                <w:snapToGrid w:val="0"/>
                <w:lang w:eastAsia="en-US"/>
              </w:rPr>
            </w:pPr>
            <w:r>
              <w:rPr>
                <w:rFonts w:eastAsia="Times New Roman"/>
                <w:b/>
                <w:color w:val="FFFFFF" w:themeColor="background1"/>
                <w:lang w:eastAsia="en-US"/>
              </w:rPr>
              <w:t>Randomised controlled trials</w:t>
            </w:r>
          </w:p>
        </w:tc>
        <w:tc>
          <w:tcPr>
            <w:tcW w:w="772" w:type="pct"/>
            <w:shd w:val="clear" w:color="auto" w:fill="000000" w:themeFill="text1"/>
          </w:tcPr>
          <w:p w:rsidR="001D0FDA" w:rsidRPr="00EA1FCD" w:rsidRDefault="001D0FDA" w:rsidP="00E1668E">
            <w:pPr>
              <w:pStyle w:val="Tabletext"/>
              <w:rPr>
                <w:rFonts w:cs="Tahoma"/>
                <w:i/>
                <w:szCs w:val="18"/>
              </w:rPr>
            </w:pPr>
          </w:p>
        </w:tc>
        <w:tc>
          <w:tcPr>
            <w:tcW w:w="0" w:type="auto"/>
            <w:shd w:val="clear" w:color="auto" w:fill="000000" w:themeFill="text1"/>
          </w:tcPr>
          <w:p w:rsidR="001D0FDA" w:rsidRDefault="001D0FDA" w:rsidP="00E1668E">
            <w:pPr>
              <w:pStyle w:val="Tabletext"/>
              <w:rPr>
                <w:rFonts w:cs="Tahoma"/>
                <w:szCs w:val="18"/>
              </w:rPr>
            </w:pPr>
          </w:p>
        </w:tc>
        <w:tc>
          <w:tcPr>
            <w:tcW w:w="811" w:type="pct"/>
            <w:shd w:val="clear" w:color="auto" w:fill="000000" w:themeFill="text1"/>
          </w:tcPr>
          <w:p w:rsidR="001D0FDA" w:rsidRDefault="001D0FDA" w:rsidP="00E1668E">
            <w:pPr>
              <w:pStyle w:val="Tabletext"/>
              <w:rPr>
                <w:rFonts w:cs="Tahoma"/>
                <w:i/>
                <w:szCs w:val="18"/>
              </w:rPr>
            </w:pPr>
          </w:p>
        </w:tc>
        <w:tc>
          <w:tcPr>
            <w:tcW w:w="771" w:type="pct"/>
            <w:shd w:val="clear" w:color="auto" w:fill="000000" w:themeFill="text1"/>
          </w:tcPr>
          <w:p w:rsidR="001D0FDA" w:rsidRPr="005331C3" w:rsidRDefault="001D0FDA" w:rsidP="00E1668E">
            <w:pPr>
              <w:pStyle w:val="Tabletext"/>
              <w:rPr>
                <w:rFonts w:cs="Tahoma"/>
                <w:i/>
                <w:szCs w:val="18"/>
              </w:rPr>
            </w:pPr>
          </w:p>
        </w:tc>
      </w:tr>
      <w:tr w:rsidR="001D0FDA" w:rsidRPr="00204000" w:rsidTr="00E1668E">
        <w:tc>
          <w:tcPr>
            <w:tcW w:w="531" w:type="pct"/>
          </w:tcPr>
          <w:p w:rsidR="001D0FDA" w:rsidRPr="00D53F84" w:rsidRDefault="001D0FDA" w:rsidP="00E1668E">
            <w:pPr>
              <w:pStyle w:val="Tabletext"/>
              <w:ind w:right="-28"/>
              <w:rPr>
                <w:rFonts w:eastAsia="Times New Roman"/>
                <w:lang w:eastAsia="en-US"/>
              </w:rPr>
            </w:pPr>
            <w:r w:rsidRPr="00D53F84">
              <w:rPr>
                <w:rFonts w:eastAsia="Times New Roman"/>
                <w:lang w:eastAsia="en-US"/>
              </w:rPr>
              <w:t>AMBITION</w:t>
            </w:r>
            <w:r w:rsidR="001D34EE" w:rsidRPr="001A1C44">
              <w:rPr>
                <w:rFonts w:eastAsia="Times New Roman"/>
                <w:noProof/>
                <w:vertAlign w:val="superscript"/>
                <w:lang w:eastAsia="en-US"/>
              </w:rPr>
              <w:t>30-32</w:t>
            </w:r>
          </w:p>
          <w:p w:rsidR="001D0FDA" w:rsidRPr="00D53F84" w:rsidRDefault="001D0FDA" w:rsidP="00E1668E">
            <w:pPr>
              <w:pStyle w:val="Tabletext"/>
              <w:ind w:right="-28"/>
              <w:rPr>
                <w:rFonts w:eastAsia="Times New Roman"/>
                <w:lang w:eastAsia="en-US"/>
              </w:rPr>
            </w:pPr>
            <w:r w:rsidRPr="00D53F84">
              <w:rPr>
                <w:rFonts w:eastAsia="Times New Roman"/>
                <w:snapToGrid w:val="0"/>
                <w:lang w:eastAsia="en-US"/>
              </w:rPr>
              <w:t>2010-2014</w:t>
            </w:r>
          </w:p>
          <w:p w:rsidR="001D0FDA" w:rsidRDefault="001D0FDA" w:rsidP="00E1668E">
            <w:pPr>
              <w:pStyle w:val="Tabletext"/>
              <w:rPr>
                <w:rFonts w:cs="Tahoma"/>
                <w:szCs w:val="18"/>
              </w:rPr>
            </w:pPr>
            <w:r w:rsidRPr="00D53F84">
              <w:rPr>
                <w:rFonts w:eastAsia="Times New Roman"/>
                <w:snapToGrid w:val="0"/>
                <w:lang w:eastAsia="en-US"/>
              </w:rPr>
              <w:t>US, Canada, Europe, Australia, Japan</w:t>
            </w:r>
          </w:p>
        </w:tc>
        <w:tc>
          <w:tcPr>
            <w:tcW w:w="476" w:type="pct"/>
          </w:tcPr>
          <w:p w:rsidR="001D0FDA" w:rsidRDefault="001D0FDA" w:rsidP="00E1668E">
            <w:pPr>
              <w:pStyle w:val="Tabletext"/>
              <w:ind w:right="-28"/>
              <w:rPr>
                <w:rFonts w:eastAsia="Times New Roman"/>
                <w:snapToGrid w:val="0"/>
                <w:lang w:eastAsia="en-US"/>
              </w:rPr>
            </w:pPr>
            <w:r w:rsidRPr="00D53F84">
              <w:rPr>
                <w:rFonts w:eastAsia="Times New Roman"/>
                <w:snapToGrid w:val="0"/>
                <w:lang w:eastAsia="en-US"/>
              </w:rPr>
              <w:t>RCT, DB</w:t>
            </w:r>
          </w:p>
          <w:p w:rsidR="001D0FDA" w:rsidRPr="00D53F84" w:rsidRDefault="001D0FDA" w:rsidP="00E1668E">
            <w:pPr>
              <w:pStyle w:val="Tabletext"/>
              <w:ind w:right="-28"/>
              <w:rPr>
                <w:rFonts w:eastAsia="Times New Roman"/>
                <w:snapToGrid w:val="0"/>
                <w:lang w:eastAsia="en-US"/>
              </w:rPr>
            </w:pPr>
            <w:r>
              <w:rPr>
                <w:rFonts w:eastAsia="Times New Roman"/>
                <w:snapToGrid w:val="0"/>
                <w:lang w:eastAsia="en-US"/>
              </w:rPr>
              <w:t>Level II evidence</w:t>
            </w:r>
          </w:p>
          <w:p w:rsidR="001D0FDA" w:rsidRPr="00D53F84" w:rsidRDefault="001D0FDA" w:rsidP="00E1668E">
            <w:pPr>
              <w:pStyle w:val="Tabletext"/>
              <w:ind w:right="-28"/>
              <w:rPr>
                <w:rFonts w:eastAsia="Times New Roman"/>
                <w:snapToGrid w:val="0"/>
                <w:lang w:eastAsia="en-US"/>
              </w:rPr>
            </w:pPr>
            <w:r>
              <w:rPr>
                <w:rFonts w:eastAsia="Times New Roman"/>
                <w:snapToGrid w:val="0"/>
                <w:lang w:eastAsia="en-US"/>
              </w:rPr>
              <w:t>Follow-up: 20 months</w:t>
            </w:r>
          </w:p>
          <w:p w:rsidR="001D0FDA" w:rsidRPr="00351FF5" w:rsidRDefault="001D0FDA" w:rsidP="00E1668E">
            <w:pPr>
              <w:pStyle w:val="Tabletext"/>
              <w:rPr>
                <w:rFonts w:cs="Tahoma"/>
                <w:szCs w:val="18"/>
              </w:rPr>
            </w:pPr>
            <w:r w:rsidRPr="00351FF5">
              <w:rPr>
                <w:rFonts w:cs="Tahoma"/>
                <w:szCs w:val="18"/>
              </w:rPr>
              <w:t>Risk of bias</w:t>
            </w:r>
            <w:r>
              <w:rPr>
                <w:rFonts w:cs="Tahoma"/>
                <w:szCs w:val="18"/>
              </w:rPr>
              <w:t>:</w:t>
            </w:r>
            <w:r w:rsidRPr="00D53F84">
              <w:rPr>
                <w:rFonts w:eastAsia="Times New Roman"/>
                <w:snapToGrid w:val="0"/>
                <w:lang w:eastAsia="en-US"/>
              </w:rPr>
              <w:t xml:space="preserve"> </w:t>
            </w:r>
            <w:r>
              <w:rPr>
                <w:rFonts w:eastAsia="Times New Roman"/>
                <w:snapToGrid w:val="0"/>
                <w:lang w:eastAsia="en-US"/>
              </w:rPr>
              <w:t>l</w:t>
            </w:r>
            <w:r w:rsidRPr="00D53F84">
              <w:rPr>
                <w:rFonts w:eastAsia="Times New Roman"/>
                <w:snapToGrid w:val="0"/>
                <w:lang w:eastAsia="en-US"/>
              </w:rPr>
              <w:t>ow</w:t>
            </w:r>
          </w:p>
        </w:tc>
        <w:tc>
          <w:tcPr>
            <w:tcW w:w="772" w:type="pct"/>
          </w:tcPr>
          <w:p w:rsidR="001D0FDA" w:rsidRPr="00EA1FCD" w:rsidRDefault="001D0FDA" w:rsidP="00E1668E">
            <w:pPr>
              <w:pStyle w:val="Tabletext"/>
              <w:rPr>
                <w:rFonts w:cs="Tahoma"/>
                <w:i/>
                <w:szCs w:val="18"/>
              </w:rPr>
            </w:pPr>
            <w:r w:rsidRPr="00EA1FCD">
              <w:rPr>
                <w:rFonts w:cs="Tahoma"/>
                <w:i/>
                <w:szCs w:val="18"/>
              </w:rPr>
              <w:t>Inclusion criteria</w:t>
            </w:r>
          </w:p>
          <w:p w:rsidR="001D0FDA" w:rsidRPr="0001197E" w:rsidRDefault="001D0FDA" w:rsidP="00E1668E">
            <w:pPr>
              <w:pStyle w:val="Tabletext"/>
              <w:numPr>
                <w:ilvl w:val="0"/>
                <w:numId w:val="54"/>
              </w:numPr>
              <w:ind w:left="239" w:hanging="144"/>
              <w:rPr>
                <w:rFonts w:cs="Tahoma"/>
                <w:szCs w:val="18"/>
              </w:rPr>
            </w:pPr>
            <w:r>
              <w:rPr>
                <w:rFonts w:cs="Tahoma"/>
                <w:szCs w:val="18"/>
              </w:rPr>
              <w:t>Age of</w:t>
            </w:r>
            <w:r w:rsidRPr="0001197E">
              <w:rPr>
                <w:rFonts w:cs="Tahoma"/>
                <w:szCs w:val="18"/>
              </w:rPr>
              <w:t xml:space="preserve"> 18-75 years, weighted ≥40</w:t>
            </w:r>
            <w:r w:rsidR="00F449B1">
              <w:rPr>
                <w:rFonts w:cs="Tahoma"/>
                <w:szCs w:val="18"/>
              </w:rPr>
              <w:t> kg</w:t>
            </w:r>
            <w:r w:rsidRPr="0001197E">
              <w:rPr>
                <w:rFonts w:cs="Tahoma"/>
                <w:szCs w:val="18"/>
              </w:rPr>
              <w:t xml:space="preserve"> </w:t>
            </w:r>
          </w:p>
          <w:p w:rsidR="001D0FDA" w:rsidRPr="0001197E" w:rsidRDefault="001D0FDA" w:rsidP="00E1668E">
            <w:pPr>
              <w:pStyle w:val="Tabletext"/>
              <w:numPr>
                <w:ilvl w:val="0"/>
                <w:numId w:val="54"/>
              </w:numPr>
              <w:ind w:left="239" w:hanging="144"/>
              <w:rPr>
                <w:rFonts w:cs="Tahoma"/>
                <w:szCs w:val="18"/>
              </w:rPr>
            </w:pPr>
            <w:r w:rsidRPr="0001197E">
              <w:rPr>
                <w:rFonts w:cs="Tahoma"/>
                <w:szCs w:val="18"/>
              </w:rPr>
              <w:t>Patients with WHO FC II</w:t>
            </w:r>
            <w:r>
              <w:rPr>
                <w:rFonts w:cs="Tahoma"/>
                <w:szCs w:val="18"/>
              </w:rPr>
              <w:t>-III</w:t>
            </w:r>
            <w:r w:rsidRPr="0001197E">
              <w:rPr>
                <w:rFonts w:cs="Tahoma"/>
                <w:szCs w:val="18"/>
              </w:rPr>
              <w:t xml:space="preserve"> IPAH, HPAH, PAH-CTD, PAH-CHD, PAH</w:t>
            </w:r>
            <w:r>
              <w:rPr>
                <w:rFonts w:cs="Tahoma"/>
                <w:szCs w:val="18"/>
              </w:rPr>
              <w:t>-DT</w:t>
            </w:r>
            <w:r w:rsidRPr="0001197E">
              <w:rPr>
                <w:rFonts w:cs="Tahoma"/>
                <w:szCs w:val="18"/>
              </w:rPr>
              <w:t xml:space="preserve">, PAH-HIV </w:t>
            </w:r>
          </w:p>
          <w:p w:rsidR="001D0FDA" w:rsidRPr="0001197E" w:rsidRDefault="001D0FDA" w:rsidP="00E1668E">
            <w:pPr>
              <w:pStyle w:val="Tabletext"/>
              <w:numPr>
                <w:ilvl w:val="0"/>
                <w:numId w:val="54"/>
              </w:numPr>
              <w:ind w:left="239" w:hanging="144"/>
              <w:rPr>
                <w:rFonts w:cs="Tahoma"/>
                <w:szCs w:val="18"/>
              </w:rPr>
            </w:pPr>
            <w:r w:rsidRPr="0001197E">
              <w:rPr>
                <w:rFonts w:cs="Tahoma"/>
                <w:szCs w:val="18"/>
              </w:rPr>
              <w:t>Patients who had had either not received previous treatment with an approved therapy for PAH or had received treatment &lt;14 days and</w:t>
            </w:r>
            <w:r>
              <w:rPr>
                <w:rFonts w:cs="Tahoma"/>
                <w:szCs w:val="18"/>
              </w:rPr>
              <w:t xml:space="preserve"> </w:t>
            </w:r>
            <w:r w:rsidRPr="0001197E">
              <w:rPr>
                <w:rFonts w:cs="Tahoma"/>
                <w:szCs w:val="18"/>
              </w:rPr>
              <w:t xml:space="preserve">had not received any approved therapy for </w:t>
            </w:r>
            <w:r>
              <w:rPr>
                <w:rFonts w:cs="Tahoma"/>
                <w:szCs w:val="18"/>
              </w:rPr>
              <w:t>PAH</w:t>
            </w:r>
            <w:r w:rsidRPr="0001197E">
              <w:rPr>
                <w:rFonts w:cs="Tahoma"/>
                <w:szCs w:val="18"/>
              </w:rPr>
              <w:t xml:space="preserve"> within 7 days before</w:t>
            </w:r>
            <w:r>
              <w:rPr>
                <w:rFonts w:cs="Tahoma"/>
                <w:szCs w:val="18"/>
              </w:rPr>
              <w:t xml:space="preserve"> enrolment </w:t>
            </w:r>
          </w:p>
          <w:p w:rsidR="001D0FDA" w:rsidRPr="00EA1FCD" w:rsidRDefault="001D0FDA" w:rsidP="00E1668E">
            <w:pPr>
              <w:pStyle w:val="Tabletext"/>
              <w:rPr>
                <w:rFonts w:cs="Tahoma"/>
                <w:i/>
                <w:szCs w:val="18"/>
              </w:rPr>
            </w:pPr>
            <w:r w:rsidRPr="00EA1FCD">
              <w:rPr>
                <w:rFonts w:cs="Tahoma"/>
                <w:i/>
                <w:szCs w:val="18"/>
              </w:rPr>
              <w:t>Exclusion criteria</w:t>
            </w:r>
          </w:p>
          <w:p w:rsidR="001D0FDA" w:rsidRPr="0001197E" w:rsidRDefault="001D0FDA" w:rsidP="00E1668E">
            <w:pPr>
              <w:pStyle w:val="Tabletext"/>
              <w:numPr>
                <w:ilvl w:val="0"/>
                <w:numId w:val="54"/>
              </w:numPr>
              <w:ind w:left="239" w:hanging="144"/>
              <w:rPr>
                <w:rFonts w:cs="Tahoma"/>
                <w:szCs w:val="18"/>
              </w:rPr>
            </w:pPr>
            <w:r>
              <w:rPr>
                <w:rFonts w:cs="Tahoma"/>
                <w:szCs w:val="18"/>
              </w:rPr>
              <w:t>Patients who re</w:t>
            </w:r>
            <w:r w:rsidRPr="0001197E">
              <w:rPr>
                <w:rFonts w:cs="Tahoma"/>
                <w:szCs w:val="18"/>
              </w:rPr>
              <w:t>ceived ERA or PDE</w:t>
            </w:r>
            <w:r>
              <w:rPr>
                <w:rFonts w:cs="Tahoma"/>
                <w:szCs w:val="18"/>
              </w:rPr>
              <w:t>-</w:t>
            </w:r>
            <w:r w:rsidRPr="0001197E">
              <w:rPr>
                <w:rFonts w:cs="Tahoma"/>
                <w:szCs w:val="18"/>
              </w:rPr>
              <w:t xml:space="preserve">5i at any time </w:t>
            </w:r>
            <w:r>
              <w:rPr>
                <w:rFonts w:cs="Tahoma"/>
                <w:szCs w:val="18"/>
              </w:rPr>
              <w:t xml:space="preserve">and </w:t>
            </w:r>
            <w:r w:rsidRPr="0001197E">
              <w:rPr>
                <w:rFonts w:cs="Tahoma"/>
                <w:szCs w:val="18"/>
              </w:rPr>
              <w:t>discontinued due to tolerance issues other than those associated with liver function abnormalities</w:t>
            </w:r>
          </w:p>
          <w:p w:rsidR="001D0FDA" w:rsidRPr="00351FF5" w:rsidRDefault="001D0FDA" w:rsidP="00E1668E">
            <w:pPr>
              <w:pStyle w:val="Tabletext"/>
              <w:numPr>
                <w:ilvl w:val="0"/>
                <w:numId w:val="54"/>
              </w:numPr>
              <w:ind w:left="239" w:hanging="144"/>
              <w:rPr>
                <w:rFonts w:cs="Tahoma"/>
                <w:i/>
                <w:szCs w:val="18"/>
              </w:rPr>
            </w:pPr>
            <w:r>
              <w:rPr>
                <w:rFonts w:cs="Tahoma"/>
                <w:szCs w:val="18"/>
              </w:rPr>
              <w:t xml:space="preserve">Patients </w:t>
            </w:r>
            <w:r w:rsidRPr="0001197E">
              <w:rPr>
                <w:rFonts w:cs="Tahoma"/>
                <w:szCs w:val="18"/>
              </w:rPr>
              <w:t xml:space="preserve">who </w:t>
            </w:r>
            <w:r>
              <w:rPr>
                <w:rFonts w:cs="Tahoma"/>
                <w:szCs w:val="18"/>
              </w:rPr>
              <w:t xml:space="preserve">had </w:t>
            </w:r>
            <w:r w:rsidRPr="0001197E">
              <w:rPr>
                <w:rFonts w:cs="Tahoma"/>
                <w:szCs w:val="18"/>
              </w:rPr>
              <w:t>previously discontinued ambrisentan or tadalafil for safety or tolerability reasons</w:t>
            </w:r>
          </w:p>
        </w:tc>
        <w:tc>
          <w:tcPr>
            <w:tcW w:w="0" w:type="auto"/>
          </w:tcPr>
          <w:p w:rsidR="001D0FDA" w:rsidRDefault="001D0FDA" w:rsidP="00E1668E">
            <w:pPr>
              <w:pStyle w:val="Tabletext"/>
              <w:rPr>
                <w:rFonts w:cs="Tahoma"/>
                <w:szCs w:val="18"/>
              </w:rPr>
            </w:pPr>
            <w:r>
              <w:rPr>
                <w:rFonts w:cs="Tahoma"/>
                <w:szCs w:val="18"/>
              </w:rPr>
              <w:t>N=500</w:t>
            </w:r>
          </w:p>
          <w:tbl>
            <w:tblPr>
              <w:tblStyle w:val="TableGrid"/>
              <w:tblW w:w="45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AMBITION"/>
            </w:tblPr>
            <w:tblGrid>
              <w:gridCol w:w="1081"/>
              <w:gridCol w:w="1237"/>
              <w:gridCol w:w="1237"/>
              <w:gridCol w:w="1003"/>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1443" w:type="dxa"/>
                  <w:shd w:val="clear" w:color="auto" w:fill="FFFFFF" w:themeFill="background1"/>
                </w:tcPr>
                <w:p w:rsidR="001D0FDA" w:rsidRPr="00351FF5" w:rsidRDefault="001D0FDA" w:rsidP="00570FC8">
                  <w:pPr>
                    <w:pStyle w:val="Tabletext"/>
                    <w:framePr w:hSpace="181" w:wrap="around" w:hAnchor="text" w:yAlign="bottom"/>
                    <w:spacing w:before="0" w:after="0"/>
                    <w:suppressOverlap/>
                    <w:rPr>
                      <w:rFonts w:cs="Tahoma"/>
                      <w:b/>
                      <w:szCs w:val="18"/>
                    </w:rPr>
                  </w:pPr>
                </w:p>
              </w:tc>
              <w:tc>
                <w:tcPr>
                  <w:tcW w:w="1095" w:type="dxa"/>
                  <w:shd w:val="clear" w:color="auto" w:fill="FFFFFF" w:themeFill="background1"/>
                </w:tcPr>
                <w:p w:rsidR="001D0FDA" w:rsidRPr="00411013" w:rsidRDefault="001D0FDA" w:rsidP="00570FC8">
                  <w:pPr>
                    <w:pStyle w:val="Tabletext"/>
                    <w:framePr w:hSpace="181" w:wrap="around" w:hAnchor="text" w:yAlign="bottom"/>
                    <w:spacing w:before="0"/>
                    <w:suppressOverlap/>
                    <w:jc w:val="center"/>
                    <w:rPr>
                      <w:rFonts w:cs="Tahoma"/>
                      <w:szCs w:val="18"/>
                    </w:rPr>
                  </w:pPr>
                  <w:r w:rsidRPr="00411013">
                    <w:rPr>
                      <w:rFonts w:cs="Tahoma"/>
                      <w:szCs w:val="18"/>
                    </w:rPr>
                    <w:t>Ambrisentan + tadalafil</w:t>
                  </w:r>
                </w:p>
                <w:p w:rsidR="001D0FDA" w:rsidRPr="00802B85" w:rsidRDefault="001D0FDA" w:rsidP="00570FC8">
                  <w:pPr>
                    <w:pStyle w:val="Tabletext"/>
                    <w:framePr w:hSpace="181" w:wrap="around" w:hAnchor="text" w:yAlign="bottom"/>
                    <w:spacing w:before="0"/>
                    <w:suppressOverlap/>
                    <w:jc w:val="center"/>
                    <w:rPr>
                      <w:rFonts w:cs="Tahoma"/>
                      <w:szCs w:val="18"/>
                    </w:rPr>
                  </w:pPr>
                  <w:r>
                    <w:rPr>
                      <w:rFonts w:cs="Tahoma"/>
                      <w:szCs w:val="18"/>
                    </w:rPr>
                    <w:t>(N=253)</w:t>
                  </w:r>
                </w:p>
              </w:tc>
              <w:tc>
                <w:tcPr>
                  <w:tcW w:w="1045" w:type="dxa"/>
                  <w:shd w:val="clear" w:color="auto" w:fill="FFFFFF" w:themeFill="background1"/>
                </w:tcPr>
                <w:p w:rsidR="001D0FDA" w:rsidRPr="00411013" w:rsidRDefault="001D0FDA" w:rsidP="00570FC8">
                  <w:pPr>
                    <w:pStyle w:val="Tabletext"/>
                    <w:framePr w:hSpace="181" w:wrap="around" w:hAnchor="text" w:yAlign="bottom"/>
                    <w:spacing w:before="0"/>
                    <w:suppressOverlap/>
                    <w:jc w:val="center"/>
                    <w:rPr>
                      <w:rFonts w:cs="Tahoma"/>
                      <w:szCs w:val="18"/>
                    </w:rPr>
                  </w:pPr>
                  <w:r w:rsidRPr="00411013">
                    <w:rPr>
                      <w:rFonts w:cs="Tahoma"/>
                      <w:szCs w:val="18"/>
                    </w:rPr>
                    <w:t>Ambrisentan</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411013">
                    <w:rPr>
                      <w:rFonts w:cs="Tahoma"/>
                      <w:szCs w:val="18"/>
                    </w:rPr>
                    <w:t>(N=126)</w:t>
                  </w:r>
                </w:p>
              </w:tc>
              <w:tc>
                <w:tcPr>
                  <w:tcW w:w="927" w:type="dxa"/>
                  <w:shd w:val="clear" w:color="auto" w:fill="FFFFFF" w:themeFill="background1"/>
                </w:tcPr>
                <w:p w:rsidR="001D0FDA" w:rsidRPr="00411013" w:rsidRDefault="001D0FDA" w:rsidP="00570FC8">
                  <w:pPr>
                    <w:pStyle w:val="Tabletext"/>
                    <w:framePr w:hSpace="181" w:wrap="around" w:hAnchor="text" w:yAlign="bottom"/>
                    <w:spacing w:before="0"/>
                    <w:suppressOverlap/>
                    <w:jc w:val="center"/>
                    <w:rPr>
                      <w:rFonts w:cs="Tahoma"/>
                      <w:szCs w:val="18"/>
                    </w:rPr>
                  </w:pPr>
                  <w:r w:rsidRPr="00411013">
                    <w:rPr>
                      <w:rFonts w:cs="Tahoma"/>
                      <w:szCs w:val="18"/>
                    </w:rPr>
                    <w:t>Tadalafil</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411013">
                    <w:rPr>
                      <w:rFonts w:cs="Tahoma"/>
                      <w:szCs w:val="18"/>
                    </w:rPr>
                    <w:t>(N=121)</w:t>
                  </w:r>
                </w:p>
              </w:tc>
            </w:tr>
            <w:tr w:rsidR="001D0FDA" w:rsidRPr="00351FF5" w:rsidTr="001D0FDA">
              <w:tc>
                <w:tcPr>
                  <w:tcW w:w="1443"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095"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11013">
                    <w:rPr>
                      <w:rFonts w:cs="Tahoma"/>
                      <w:szCs w:val="18"/>
                    </w:rPr>
                    <w:t>55±14</w:t>
                  </w:r>
                </w:p>
              </w:tc>
              <w:tc>
                <w:tcPr>
                  <w:tcW w:w="1045"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11013">
                    <w:rPr>
                      <w:rFonts w:cs="Tahoma"/>
                      <w:szCs w:val="18"/>
                    </w:rPr>
                    <w:t>54±15</w:t>
                  </w:r>
                </w:p>
              </w:tc>
              <w:tc>
                <w:tcPr>
                  <w:tcW w:w="927"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11013">
                    <w:rPr>
                      <w:rFonts w:cs="Tahoma"/>
                      <w:szCs w:val="18"/>
                    </w:rPr>
                    <w:t>55±15</w:t>
                  </w:r>
                </w:p>
              </w:tc>
            </w:tr>
            <w:tr w:rsidR="001D0FDA" w:rsidRPr="00351FF5" w:rsidTr="001D0FDA">
              <w:tc>
                <w:tcPr>
                  <w:tcW w:w="1443"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95"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188 (74%)</w:t>
                  </w:r>
                </w:p>
              </w:tc>
              <w:tc>
                <w:tcPr>
                  <w:tcW w:w="1045"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100 (79%)</w:t>
                  </w:r>
                </w:p>
              </w:tc>
              <w:tc>
                <w:tcPr>
                  <w:tcW w:w="927"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100 (83%)</w:t>
                  </w:r>
                </w:p>
              </w:tc>
            </w:tr>
            <w:tr w:rsidR="001D0FDA" w:rsidRPr="00351FF5" w:rsidTr="001D0FDA">
              <w:tc>
                <w:tcPr>
                  <w:tcW w:w="1443"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095"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1045"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927"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1443" w:type="dxa"/>
                  <w:tcBorders>
                    <w:top w:val="nil"/>
                    <w:bottom w:val="nil"/>
                  </w:tcBorders>
                </w:tcPr>
                <w:p w:rsidR="001D0FDA" w:rsidRPr="00E1668E" w:rsidRDefault="001D0FDA" w:rsidP="00570FC8">
                  <w:pPr>
                    <w:pStyle w:val="Tabletext"/>
                    <w:framePr w:hSpace="181" w:wrap="around" w:hAnchor="text" w:yAlign="bottom"/>
                    <w:spacing w:before="0" w:after="0"/>
                    <w:ind w:left="196"/>
                    <w:suppressOverlap/>
                    <w:rPr>
                      <w:rFonts w:cs="Tahoma"/>
                      <w:sz w:val="18"/>
                      <w:szCs w:val="18"/>
                    </w:rPr>
                  </w:pPr>
                  <w:r w:rsidRPr="00E1668E">
                    <w:rPr>
                      <w:rFonts w:cs="Tahoma"/>
                      <w:sz w:val="18"/>
                      <w:szCs w:val="18"/>
                    </w:rPr>
                    <w:t>IPAH</w:t>
                  </w:r>
                </w:p>
              </w:tc>
              <w:tc>
                <w:tcPr>
                  <w:tcW w:w="109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127 (50%)</w:t>
                  </w:r>
                </w:p>
              </w:tc>
              <w:tc>
                <w:tcPr>
                  <w:tcW w:w="104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72 (57%)</w:t>
                  </w:r>
                </w:p>
              </w:tc>
              <w:tc>
                <w:tcPr>
                  <w:tcW w:w="927"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66 (55%)</w:t>
                  </w:r>
                </w:p>
              </w:tc>
            </w:tr>
            <w:tr w:rsidR="001D0FDA" w:rsidRPr="00351FF5" w:rsidTr="001D0FDA">
              <w:tc>
                <w:tcPr>
                  <w:tcW w:w="1443" w:type="dxa"/>
                  <w:tcBorders>
                    <w:top w:val="nil"/>
                    <w:bottom w:val="nil"/>
                  </w:tcBorders>
                </w:tcPr>
                <w:p w:rsidR="001D0FDA" w:rsidRPr="00E1668E" w:rsidRDefault="001D0FDA" w:rsidP="00570FC8">
                  <w:pPr>
                    <w:pStyle w:val="Tabletext"/>
                    <w:framePr w:hSpace="181" w:wrap="around" w:hAnchor="text" w:yAlign="bottom"/>
                    <w:spacing w:before="0" w:after="0"/>
                    <w:ind w:left="196"/>
                    <w:suppressOverlap/>
                    <w:rPr>
                      <w:rFonts w:cs="Tahoma"/>
                      <w:sz w:val="18"/>
                      <w:szCs w:val="18"/>
                    </w:rPr>
                  </w:pPr>
                  <w:r w:rsidRPr="00E1668E">
                    <w:rPr>
                      <w:rFonts w:cs="Tahoma"/>
                      <w:sz w:val="18"/>
                      <w:szCs w:val="18"/>
                    </w:rPr>
                    <w:t>HPAH</w:t>
                  </w:r>
                </w:p>
              </w:tc>
              <w:tc>
                <w:tcPr>
                  <w:tcW w:w="109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7 (3%)</w:t>
                  </w:r>
                </w:p>
              </w:tc>
              <w:tc>
                <w:tcPr>
                  <w:tcW w:w="104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3 (2%)</w:t>
                  </w:r>
                </w:p>
              </w:tc>
              <w:tc>
                <w:tcPr>
                  <w:tcW w:w="927"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4 (3%)</w:t>
                  </w:r>
                </w:p>
              </w:tc>
            </w:tr>
            <w:tr w:rsidR="001D0FDA" w:rsidRPr="00351FF5" w:rsidTr="001D0FDA">
              <w:tc>
                <w:tcPr>
                  <w:tcW w:w="1443" w:type="dxa"/>
                  <w:tcBorders>
                    <w:top w:val="nil"/>
                    <w:bottom w:val="nil"/>
                  </w:tcBorders>
                </w:tcPr>
                <w:p w:rsidR="001D0FDA" w:rsidRPr="00E1668E" w:rsidRDefault="001D0FDA" w:rsidP="00570FC8">
                  <w:pPr>
                    <w:pStyle w:val="Tabletext"/>
                    <w:framePr w:hSpace="181" w:wrap="around" w:hAnchor="text" w:yAlign="bottom"/>
                    <w:spacing w:before="0" w:after="0"/>
                    <w:ind w:left="196"/>
                    <w:suppressOverlap/>
                    <w:rPr>
                      <w:rFonts w:cs="Tahoma"/>
                      <w:sz w:val="18"/>
                      <w:szCs w:val="18"/>
                    </w:rPr>
                  </w:pPr>
                  <w:r w:rsidRPr="00E1668E">
                    <w:rPr>
                      <w:rFonts w:cs="Tahoma"/>
                      <w:sz w:val="18"/>
                      <w:szCs w:val="18"/>
                    </w:rPr>
                    <w:t>PAH-CTD</w:t>
                  </w:r>
                </w:p>
              </w:tc>
              <w:tc>
                <w:tcPr>
                  <w:tcW w:w="109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103 (41%)</w:t>
                  </w:r>
                </w:p>
              </w:tc>
              <w:tc>
                <w:tcPr>
                  <w:tcW w:w="104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44 (35%)</w:t>
                  </w:r>
                </w:p>
              </w:tc>
              <w:tc>
                <w:tcPr>
                  <w:tcW w:w="927"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40 (33%)</w:t>
                  </w:r>
                </w:p>
              </w:tc>
            </w:tr>
            <w:tr w:rsidR="001D0FDA" w:rsidRPr="00351FF5" w:rsidTr="001D0FDA">
              <w:tc>
                <w:tcPr>
                  <w:tcW w:w="1443" w:type="dxa"/>
                  <w:tcBorders>
                    <w:top w:val="nil"/>
                    <w:bottom w:val="nil"/>
                  </w:tcBorders>
                </w:tcPr>
                <w:p w:rsidR="001D0FDA" w:rsidRPr="00E1668E" w:rsidRDefault="001D0FDA" w:rsidP="00570FC8">
                  <w:pPr>
                    <w:pStyle w:val="Tabletext"/>
                    <w:framePr w:hSpace="181" w:wrap="around" w:hAnchor="text" w:yAlign="bottom"/>
                    <w:spacing w:before="0" w:after="0"/>
                    <w:ind w:left="196"/>
                    <w:suppressOverlap/>
                    <w:rPr>
                      <w:rFonts w:cs="Tahoma"/>
                      <w:sz w:val="18"/>
                      <w:szCs w:val="18"/>
                    </w:rPr>
                  </w:pPr>
                  <w:r w:rsidRPr="00E1668E">
                    <w:rPr>
                      <w:rFonts w:cs="Tahoma"/>
                      <w:sz w:val="18"/>
                      <w:szCs w:val="18"/>
                    </w:rPr>
                    <w:t>PAH-CHD</w:t>
                  </w:r>
                </w:p>
              </w:tc>
              <w:tc>
                <w:tcPr>
                  <w:tcW w:w="109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5 (2%)</w:t>
                  </w:r>
                </w:p>
              </w:tc>
              <w:tc>
                <w:tcPr>
                  <w:tcW w:w="104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1 (1%)</w:t>
                  </w:r>
                </w:p>
              </w:tc>
              <w:tc>
                <w:tcPr>
                  <w:tcW w:w="927"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3 (2%)</w:t>
                  </w:r>
                </w:p>
              </w:tc>
            </w:tr>
            <w:tr w:rsidR="001D0FDA" w:rsidRPr="00351FF5" w:rsidTr="001D0FDA">
              <w:tc>
                <w:tcPr>
                  <w:tcW w:w="1443" w:type="dxa"/>
                  <w:tcBorders>
                    <w:top w:val="nil"/>
                    <w:bottom w:val="nil"/>
                  </w:tcBorders>
                </w:tcPr>
                <w:p w:rsidR="001D0FDA" w:rsidRPr="00E1668E" w:rsidRDefault="001D0FDA" w:rsidP="00570FC8">
                  <w:pPr>
                    <w:pStyle w:val="Tabletext"/>
                    <w:framePr w:hSpace="181" w:wrap="around" w:hAnchor="text" w:yAlign="bottom"/>
                    <w:spacing w:before="0" w:after="0"/>
                    <w:ind w:left="196"/>
                    <w:suppressOverlap/>
                    <w:rPr>
                      <w:rFonts w:cs="Tahoma"/>
                      <w:sz w:val="18"/>
                      <w:szCs w:val="18"/>
                    </w:rPr>
                  </w:pPr>
                  <w:r w:rsidRPr="00E1668E">
                    <w:rPr>
                      <w:rFonts w:cs="Tahoma"/>
                      <w:sz w:val="18"/>
                      <w:szCs w:val="18"/>
                    </w:rPr>
                    <w:t>PAH-DT</w:t>
                  </w:r>
                </w:p>
              </w:tc>
              <w:tc>
                <w:tcPr>
                  <w:tcW w:w="109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6 (2%)</w:t>
                  </w:r>
                </w:p>
              </w:tc>
              <w:tc>
                <w:tcPr>
                  <w:tcW w:w="1045"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4 (3%)</w:t>
                  </w:r>
                </w:p>
              </w:tc>
              <w:tc>
                <w:tcPr>
                  <w:tcW w:w="927"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6 (5%)</w:t>
                  </w:r>
                </w:p>
              </w:tc>
            </w:tr>
            <w:tr w:rsidR="001D0FDA" w:rsidRPr="00351FF5" w:rsidTr="001D0FDA">
              <w:tc>
                <w:tcPr>
                  <w:tcW w:w="1443" w:type="dxa"/>
                  <w:tcBorders>
                    <w:top w:val="nil"/>
                    <w:bottom w:val="single" w:sz="4" w:space="0" w:color="BFBFBF" w:themeColor="background1" w:themeShade="BF"/>
                  </w:tcBorders>
                </w:tcPr>
                <w:p w:rsidR="001D0FDA" w:rsidRPr="00E1668E" w:rsidRDefault="001D0FDA" w:rsidP="00570FC8">
                  <w:pPr>
                    <w:pStyle w:val="Tabletext"/>
                    <w:framePr w:hSpace="181" w:wrap="around" w:hAnchor="text" w:yAlign="bottom"/>
                    <w:spacing w:before="0" w:after="0"/>
                    <w:ind w:left="196"/>
                    <w:suppressOverlap/>
                    <w:rPr>
                      <w:rFonts w:cs="Tahoma"/>
                      <w:sz w:val="18"/>
                      <w:szCs w:val="18"/>
                    </w:rPr>
                  </w:pPr>
                  <w:r w:rsidRPr="00E1668E">
                    <w:rPr>
                      <w:rFonts w:cs="Tahoma"/>
                      <w:sz w:val="18"/>
                      <w:szCs w:val="18"/>
                    </w:rPr>
                    <w:t>PAH-HIV</w:t>
                  </w:r>
                </w:p>
              </w:tc>
              <w:tc>
                <w:tcPr>
                  <w:tcW w:w="1095" w:type="dxa"/>
                  <w:tcBorders>
                    <w:top w:val="nil"/>
                    <w:bottom w:val="single" w:sz="4" w:space="0" w:color="BFBFBF" w:themeColor="background1" w:themeShade="BF"/>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5 (2%)</w:t>
                  </w:r>
                </w:p>
              </w:tc>
              <w:tc>
                <w:tcPr>
                  <w:tcW w:w="1045" w:type="dxa"/>
                  <w:tcBorders>
                    <w:top w:val="nil"/>
                    <w:bottom w:val="single" w:sz="4" w:space="0" w:color="BFBFBF" w:themeColor="background1" w:themeShade="BF"/>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2 (2%)</w:t>
                  </w:r>
                </w:p>
              </w:tc>
              <w:tc>
                <w:tcPr>
                  <w:tcW w:w="927" w:type="dxa"/>
                  <w:tcBorders>
                    <w:top w:val="nil"/>
                    <w:bottom w:val="single" w:sz="4" w:space="0" w:color="BFBFBF" w:themeColor="background1" w:themeShade="BF"/>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2 (2%)</w:t>
                  </w:r>
                </w:p>
              </w:tc>
            </w:tr>
            <w:tr w:rsidR="001D0FDA" w:rsidRPr="00351FF5" w:rsidTr="001D0FDA">
              <w:tc>
                <w:tcPr>
                  <w:tcW w:w="1443"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095"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1045"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927"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1443" w:type="dxa"/>
                  <w:tcBorders>
                    <w:top w:val="nil"/>
                    <w:bottom w:val="nil"/>
                  </w:tcBorders>
                </w:tcPr>
                <w:p w:rsidR="001D0FDA" w:rsidRPr="00E1668E" w:rsidRDefault="001D0FDA" w:rsidP="00570FC8">
                  <w:pPr>
                    <w:pStyle w:val="Tabletext"/>
                    <w:framePr w:hSpace="181" w:wrap="around" w:hAnchor="text" w:yAlign="bottom"/>
                    <w:spacing w:before="0" w:after="0"/>
                    <w:ind w:left="196"/>
                    <w:suppressOverlap/>
                    <w:rPr>
                      <w:rFonts w:cs="Tahoma"/>
                      <w:sz w:val="18"/>
                      <w:szCs w:val="18"/>
                    </w:rPr>
                  </w:pPr>
                  <w:r w:rsidRPr="00E1668E">
                    <w:rPr>
                      <w:rFonts w:cs="Tahoma"/>
                      <w:sz w:val="18"/>
                      <w:szCs w:val="18"/>
                    </w:rPr>
                    <w:t>II</w:t>
                  </w:r>
                </w:p>
              </w:tc>
              <w:tc>
                <w:tcPr>
                  <w:tcW w:w="1095" w:type="dxa"/>
                  <w:tcBorders>
                    <w:top w:val="nil"/>
                    <w:bottom w:val="nil"/>
                  </w:tcBorders>
                </w:tcPr>
                <w:p w:rsidR="001D0FDA" w:rsidRPr="00E1668E" w:rsidRDefault="001D0FDA" w:rsidP="00570FC8">
                  <w:pPr>
                    <w:pStyle w:val="Tabletext"/>
                    <w:framePr w:hSpace="181" w:wrap="around" w:hAnchor="text" w:yAlign="bottom"/>
                    <w:spacing w:before="0" w:after="0"/>
                    <w:suppressOverlap/>
                    <w:jc w:val="center"/>
                    <w:rPr>
                      <w:rFonts w:cs="Tahoma"/>
                      <w:sz w:val="18"/>
                      <w:szCs w:val="18"/>
                    </w:rPr>
                  </w:pPr>
                  <w:r w:rsidRPr="00E1668E">
                    <w:rPr>
                      <w:rFonts w:cs="Tahoma"/>
                      <w:sz w:val="18"/>
                      <w:szCs w:val="18"/>
                    </w:rPr>
                    <w:t>76 (30%)</w:t>
                  </w:r>
                </w:p>
              </w:tc>
              <w:tc>
                <w:tcPr>
                  <w:tcW w:w="1045" w:type="dxa"/>
                  <w:tcBorders>
                    <w:top w:val="nil"/>
                    <w:bottom w:val="nil"/>
                  </w:tcBorders>
                </w:tcPr>
                <w:p w:rsidR="001D0FDA" w:rsidRPr="00E1668E" w:rsidRDefault="001D0FDA" w:rsidP="00570FC8">
                  <w:pPr>
                    <w:pStyle w:val="Tabletext"/>
                    <w:framePr w:hSpace="181" w:wrap="around" w:hAnchor="text" w:yAlign="bottom"/>
                    <w:spacing w:before="0" w:after="0"/>
                    <w:suppressOverlap/>
                    <w:jc w:val="center"/>
                    <w:rPr>
                      <w:rFonts w:cs="Tahoma"/>
                      <w:sz w:val="18"/>
                      <w:szCs w:val="18"/>
                    </w:rPr>
                  </w:pPr>
                  <w:r w:rsidRPr="00E1668E">
                    <w:rPr>
                      <w:rFonts w:cs="Tahoma"/>
                      <w:sz w:val="18"/>
                      <w:szCs w:val="18"/>
                    </w:rPr>
                    <w:t>38 (30%)</w:t>
                  </w:r>
                </w:p>
              </w:tc>
              <w:tc>
                <w:tcPr>
                  <w:tcW w:w="927" w:type="dxa"/>
                  <w:tcBorders>
                    <w:top w:val="nil"/>
                    <w:bottom w:val="nil"/>
                  </w:tcBorders>
                </w:tcPr>
                <w:p w:rsidR="001D0FDA" w:rsidRPr="00E1668E" w:rsidRDefault="001D0FDA" w:rsidP="00570FC8">
                  <w:pPr>
                    <w:pStyle w:val="Tabletext"/>
                    <w:framePr w:hSpace="181" w:wrap="around" w:hAnchor="text" w:yAlign="bottom"/>
                    <w:spacing w:before="0" w:after="0"/>
                    <w:suppressOverlap/>
                    <w:jc w:val="center"/>
                    <w:rPr>
                      <w:rFonts w:cs="Tahoma"/>
                      <w:sz w:val="18"/>
                      <w:szCs w:val="18"/>
                    </w:rPr>
                  </w:pPr>
                  <w:r w:rsidRPr="00E1668E">
                    <w:rPr>
                      <w:rFonts w:cs="Tahoma"/>
                      <w:sz w:val="18"/>
                      <w:szCs w:val="18"/>
                    </w:rPr>
                    <w:t>41 (34%)</w:t>
                  </w:r>
                </w:p>
              </w:tc>
            </w:tr>
            <w:tr w:rsidR="001D0FDA" w:rsidRPr="00351FF5" w:rsidTr="001D0FDA">
              <w:tc>
                <w:tcPr>
                  <w:tcW w:w="1443" w:type="dxa"/>
                  <w:tcBorders>
                    <w:top w:val="nil"/>
                  </w:tcBorders>
                </w:tcPr>
                <w:p w:rsidR="001D0FDA" w:rsidRPr="00E1668E" w:rsidRDefault="001D0FDA" w:rsidP="00570FC8">
                  <w:pPr>
                    <w:pStyle w:val="Tabletext"/>
                    <w:framePr w:hSpace="181" w:wrap="around" w:hAnchor="text" w:yAlign="bottom"/>
                    <w:spacing w:before="0" w:after="0"/>
                    <w:ind w:left="196"/>
                    <w:suppressOverlap/>
                    <w:rPr>
                      <w:rFonts w:cs="Tahoma"/>
                      <w:sz w:val="18"/>
                      <w:szCs w:val="18"/>
                    </w:rPr>
                  </w:pPr>
                  <w:r w:rsidRPr="00E1668E">
                    <w:rPr>
                      <w:rFonts w:cs="Tahoma"/>
                      <w:sz w:val="18"/>
                      <w:szCs w:val="18"/>
                    </w:rPr>
                    <w:t>III</w:t>
                  </w:r>
                </w:p>
              </w:tc>
              <w:tc>
                <w:tcPr>
                  <w:tcW w:w="1095" w:type="dxa"/>
                  <w:tcBorders>
                    <w:top w:val="nil"/>
                  </w:tcBorders>
                </w:tcPr>
                <w:p w:rsidR="001D0FDA" w:rsidRPr="00E1668E" w:rsidRDefault="001D0FDA" w:rsidP="00570FC8">
                  <w:pPr>
                    <w:pStyle w:val="Tabletext"/>
                    <w:framePr w:hSpace="181" w:wrap="around" w:hAnchor="text" w:yAlign="bottom"/>
                    <w:spacing w:before="0" w:after="0"/>
                    <w:suppressOverlap/>
                    <w:jc w:val="center"/>
                    <w:rPr>
                      <w:rFonts w:cs="Tahoma"/>
                      <w:sz w:val="18"/>
                      <w:szCs w:val="18"/>
                    </w:rPr>
                  </w:pPr>
                  <w:r w:rsidRPr="00E1668E">
                    <w:rPr>
                      <w:rFonts w:cs="Tahoma"/>
                      <w:sz w:val="18"/>
                      <w:szCs w:val="18"/>
                    </w:rPr>
                    <w:t>177 (70%)</w:t>
                  </w:r>
                </w:p>
              </w:tc>
              <w:tc>
                <w:tcPr>
                  <w:tcW w:w="1045" w:type="dxa"/>
                  <w:tcBorders>
                    <w:top w:val="nil"/>
                  </w:tcBorders>
                </w:tcPr>
                <w:p w:rsidR="001D0FDA" w:rsidRPr="00E1668E" w:rsidRDefault="001D0FDA" w:rsidP="00570FC8">
                  <w:pPr>
                    <w:pStyle w:val="Tabletext"/>
                    <w:framePr w:hSpace="181" w:wrap="around" w:hAnchor="text" w:yAlign="bottom"/>
                    <w:spacing w:before="0" w:after="0"/>
                    <w:suppressOverlap/>
                    <w:jc w:val="center"/>
                    <w:rPr>
                      <w:rFonts w:cs="Tahoma"/>
                      <w:sz w:val="18"/>
                      <w:szCs w:val="18"/>
                    </w:rPr>
                  </w:pPr>
                  <w:r w:rsidRPr="00E1668E">
                    <w:rPr>
                      <w:rFonts w:cs="Tahoma"/>
                      <w:sz w:val="18"/>
                      <w:szCs w:val="18"/>
                    </w:rPr>
                    <w:t>88 (70%)</w:t>
                  </w:r>
                </w:p>
              </w:tc>
              <w:tc>
                <w:tcPr>
                  <w:tcW w:w="927" w:type="dxa"/>
                  <w:tcBorders>
                    <w:top w:val="nil"/>
                  </w:tcBorders>
                </w:tcPr>
                <w:p w:rsidR="001D0FDA" w:rsidRPr="00E1668E" w:rsidRDefault="001D0FDA" w:rsidP="00570FC8">
                  <w:pPr>
                    <w:pStyle w:val="Tabletext"/>
                    <w:framePr w:hSpace="181" w:wrap="around" w:hAnchor="text" w:yAlign="bottom"/>
                    <w:spacing w:before="0" w:after="0"/>
                    <w:suppressOverlap/>
                    <w:jc w:val="center"/>
                    <w:rPr>
                      <w:rFonts w:cs="Tahoma"/>
                      <w:sz w:val="18"/>
                      <w:szCs w:val="18"/>
                    </w:rPr>
                  </w:pPr>
                  <w:r w:rsidRPr="00E1668E">
                    <w:rPr>
                      <w:rFonts w:cs="Tahoma"/>
                      <w:sz w:val="18"/>
                      <w:szCs w:val="18"/>
                    </w:rPr>
                    <w:t>80 (66%)</w:t>
                  </w:r>
                </w:p>
              </w:tc>
            </w:tr>
            <w:tr w:rsidR="001D0FDA" w:rsidRPr="00351FF5" w:rsidTr="001D0FDA">
              <w:tc>
                <w:tcPr>
                  <w:tcW w:w="1443" w:type="dxa"/>
                </w:tcPr>
                <w:p w:rsidR="001D0FDA" w:rsidRPr="00351FF5" w:rsidRDefault="001D0FDA" w:rsidP="00570FC8">
                  <w:pPr>
                    <w:pStyle w:val="Tabletext"/>
                    <w:framePr w:hSpace="181" w:wrap="around" w:hAnchor="text" w:yAlign="bottom"/>
                    <w:spacing w:before="0" w:after="0"/>
                    <w:suppressOverlap/>
                    <w:rPr>
                      <w:rFonts w:cs="Tahoma"/>
                      <w:szCs w:val="18"/>
                    </w:rPr>
                  </w:pPr>
                  <w:r>
                    <w:rPr>
                      <w:rFonts w:cs="Tahoma"/>
                      <w:szCs w:val="18"/>
                    </w:rPr>
                    <w:t>No history of therapy specifically for PAH, n (%)</w:t>
                  </w:r>
                </w:p>
              </w:tc>
              <w:tc>
                <w:tcPr>
                  <w:tcW w:w="1095"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11013">
                    <w:rPr>
                      <w:rFonts w:cs="Tahoma"/>
                      <w:szCs w:val="18"/>
                    </w:rPr>
                    <w:t>242 (96%)</w:t>
                  </w:r>
                </w:p>
              </w:tc>
              <w:tc>
                <w:tcPr>
                  <w:tcW w:w="1045"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11013">
                    <w:rPr>
                      <w:rFonts w:cs="Tahoma"/>
                      <w:szCs w:val="18"/>
                    </w:rPr>
                    <w:t>120 (95%)</w:t>
                  </w:r>
                </w:p>
              </w:tc>
              <w:tc>
                <w:tcPr>
                  <w:tcW w:w="927"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11013">
                    <w:rPr>
                      <w:rFonts w:cs="Tahoma"/>
                      <w:szCs w:val="18"/>
                    </w:rPr>
                    <w:t>115 (95%)</w:t>
                  </w:r>
                </w:p>
              </w:tc>
            </w:tr>
            <w:tr w:rsidR="001D0FDA" w:rsidRPr="00351FF5" w:rsidTr="001D0FDA">
              <w:tc>
                <w:tcPr>
                  <w:tcW w:w="1443"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mPAP, mean±SD (mmHg)</w:t>
                  </w:r>
                </w:p>
              </w:tc>
              <w:tc>
                <w:tcPr>
                  <w:tcW w:w="1095" w:type="dxa"/>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48.1±12.4</w:t>
                  </w:r>
                </w:p>
              </w:tc>
              <w:tc>
                <w:tcPr>
                  <w:tcW w:w="1045" w:type="dxa"/>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50.4±12.5</w:t>
                  </w:r>
                </w:p>
              </w:tc>
              <w:tc>
                <w:tcPr>
                  <w:tcW w:w="927" w:type="dxa"/>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5331C3">
                    <w:rPr>
                      <w:rFonts w:cs="Tahoma"/>
                      <w:szCs w:val="18"/>
                    </w:rPr>
                    <w:t>48.1±12.6</w:t>
                  </w:r>
                </w:p>
              </w:tc>
            </w:tr>
            <w:tr w:rsidR="001D0FDA" w:rsidRPr="00351FF5" w:rsidTr="001D0FDA">
              <w:tc>
                <w:tcPr>
                  <w:tcW w:w="1443"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PVR, mean±SD </w:t>
                  </w:r>
                  <w:r w:rsidRPr="00E1668E">
                    <w:rPr>
                      <w:rFonts w:cs="Tahoma"/>
                      <w:sz w:val="16"/>
                      <w:szCs w:val="16"/>
                    </w:rPr>
                    <w:t>(dyn*s*cm</w:t>
                  </w:r>
                  <w:r w:rsidRPr="00E1668E">
                    <w:rPr>
                      <w:rFonts w:cs="Tahoma"/>
                      <w:sz w:val="16"/>
                      <w:szCs w:val="16"/>
                      <w:vertAlign w:val="superscript"/>
                    </w:rPr>
                    <w:t>-5</w:t>
                  </w:r>
                  <w:r w:rsidRPr="00E1668E">
                    <w:rPr>
                      <w:rFonts w:cs="Tahoma"/>
                      <w:sz w:val="16"/>
                      <w:szCs w:val="16"/>
                    </w:rPr>
                    <w:t>)</w:t>
                  </w:r>
                </w:p>
              </w:tc>
              <w:tc>
                <w:tcPr>
                  <w:tcW w:w="1095" w:type="dxa"/>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824±467</w:t>
                  </w:r>
                </w:p>
              </w:tc>
              <w:tc>
                <w:tcPr>
                  <w:tcW w:w="1045" w:type="dxa"/>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852</w:t>
                  </w:r>
                  <w:r w:rsidRPr="005331C3">
                    <w:rPr>
                      <w:rFonts w:cs="Tahoma"/>
                      <w:szCs w:val="18"/>
                    </w:rPr>
                    <w:t>±39</w:t>
                  </w:r>
                  <w:r>
                    <w:rPr>
                      <w:rFonts w:cs="Tahoma"/>
                      <w:szCs w:val="18"/>
                    </w:rPr>
                    <w:t>5</w:t>
                  </w:r>
                </w:p>
              </w:tc>
              <w:tc>
                <w:tcPr>
                  <w:tcW w:w="927" w:type="dxa"/>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789±409</w:t>
                  </w:r>
                </w:p>
              </w:tc>
            </w:tr>
          </w:tbl>
          <w:p w:rsidR="001D0FDA" w:rsidRPr="00351FF5" w:rsidRDefault="001D0FDA" w:rsidP="00E1668E">
            <w:pPr>
              <w:pStyle w:val="Tabletext"/>
              <w:rPr>
                <w:rFonts w:cs="Tahoma"/>
                <w:szCs w:val="18"/>
              </w:rPr>
            </w:pPr>
          </w:p>
        </w:tc>
        <w:tc>
          <w:tcPr>
            <w:tcW w:w="811" w:type="pct"/>
          </w:tcPr>
          <w:p w:rsidR="001D0FDA" w:rsidRDefault="001D0FDA" w:rsidP="00E1668E">
            <w:pPr>
              <w:pStyle w:val="Tabletext"/>
              <w:rPr>
                <w:rFonts w:cs="Tahoma"/>
                <w:i/>
                <w:szCs w:val="18"/>
              </w:rPr>
            </w:pPr>
            <w:r>
              <w:rPr>
                <w:rFonts w:cs="Tahoma"/>
                <w:i/>
                <w:szCs w:val="18"/>
              </w:rPr>
              <w:t>Intervention</w:t>
            </w:r>
          </w:p>
          <w:p w:rsidR="001D0FDA" w:rsidRPr="005331C3" w:rsidRDefault="001D0FDA" w:rsidP="00E1668E">
            <w:pPr>
              <w:pStyle w:val="Tabletext"/>
              <w:rPr>
                <w:rFonts w:cs="Tahoma"/>
                <w:szCs w:val="18"/>
              </w:rPr>
            </w:pPr>
            <w:r>
              <w:rPr>
                <w:rFonts w:cs="Tahoma"/>
                <w:szCs w:val="18"/>
              </w:rPr>
              <w:t xml:space="preserve">Ambrisentan + tadalafil </w:t>
            </w:r>
          </w:p>
          <w:p w:rsidR="001D0FDA" w:rsidRPr="005331C3" w:rsidRDefault="001D0FDA" w:rsidP="00E1668E">
            <w:pPr>
              <w:pStyle w:val="Tabletext"/>
              <w:rPr>
                <w:rFonts w:cs="Tahoma"/>
                <w:szCs w:val="18"/>
              </w:rPr>
            </w:pPr>
            <w:r w:rsidRPr="005331C3">
              <w:rPr>
                <w:rFonts w:cs="Tahoma"/>
                <w:szCs w:val="18"/>
              </w:rPr>
              <w:t>Ambrisentan: initial dose of 5</w:t>
            </w:r>
            <w:r w:rsidR="002820F1">
              <w:rPr>
                <w:rFonts w:cs="Tahoma"/>
                <w:szCs w:val="18"/>
              </w:rPr>
              <w:t> </w:t>
            </w:r>
            <w:r w:rsidRPr="005331C3">
              <w:rPr>
                <w:rFonts w:cs="Tahoma"/>
                <w:szCs w:val="18"/>
              </w:rPr>
              <w:t>m</w:t>
            </w:r>
            <w:r>
              <w:rPr>
                <w:rFonts w:cs="Tahoma"/>
                <w:szCs w:val="18"/>
              </w:rPr>
              <w:t>g for 8 weeks, then up-titrated</w:t>
            </w:r>
            <w:r w:rsidRPr="005331C3">
              <w:rPr>
                <w:rFonts w:cs="Tahoma"/>
                <w:szCs w:val="18"/>
              </w:rPr>
              <w:t xml:space="preserve"> to 10</w:t>
            </w:r>
            <w:r w:rsidR="002820F1">
              <w:rPr>
                <w:rFonts w:cs="Tahoma"/>
                <w:szCs w:val="18"/>
              </w:rPr>
              <w:t> </w:t>
            </w:r>
            <w:r w:rsidRPr="005331C3">
              <w:rPr>
                <w:rFonts w:cs="Tahoma"/>
                <w:szCs w:val="18"/>
              </w:rPr>
              <w:t xml:space="preserve">mg </w:t>
            </w:r>
          </w:p>
          <w:p w:rsidR="001D0FDA" w:rsidRDefault="001D0FDA" w:rsidP="00E1668E">
            <w:pPr>
              <w:pStyle w:val="Tabletext"/>
              <w:rPr>
                <w:rFonts w:cs="Tahoma"/>
                <w:szCs w:val="18"/>
              </w:rPr>
            </w:pPr>
            <w:r w:rsidRPr="005331C3">
              <w:rPr>
                <w:rFonts w:cs="Tahoma"/>
                <w:szCs w:val="18"/>
              </w:rPr>
              <w:t>Tadalafil: initial dose of 20</w:t>
            </w:r>
            <w:r w:rsidR="002820F1">
              <w:rPr>
                <w:rFonts w:cs="Tahoma"/>
                <w:szCs w:val="18"/>
              </w:rPr>
              <w:t> </w:t>
            </w:r>
            <w:r w:rsidRPr="005331C3">
              <w:rPr>
                <w:rFonts w:cs="Tahoma"/>
                <w:szCs w:val="18"/>
              </w:rPr>
              <w:t>m</w:t>
            </w:r>
            <w:r>
              <w:rPr>
                <w:rFonts w:cs="Tahoma"/>
                <w:szCs w:val="18"/>
              </w:rPr>
              <w:t>g for 4 weeks, then up-titrated</w:t>
            </w:r>
            <w:r w:rsidRPr="005331C3">
              <w:rPr>
                <w:rFonts w:cs="Tahoma"/>
                <w:szCs w:val="18"/>
              </w:rPr>
              <w:t xml:space="preserve"> to 40</w:t>
            </w:r>
            <w:r w:rsidR="002820F1">
              <w:rPr>
                <w:rFonts w:cs="Tahoma"/>
                <w:szCs w:val="18"/>
              </w:rPr>
              <w:t> </w:t>
            </w:r>
            <w:r w:rsidRPr="005331C3">
              <w:rPr>
                <w:rFonts w:cs="Tahoma"/>
                <w:szCs w:val="18"/>
              </w:rPr>
              <w:t>mg</w:t>
            </w:r>
          </w:p>
          <w:p w:rsidR="001D0FDA" w:rsidRDefault="001D0FDA" w:rsidP="00E1668E">
            <w:pPr>
              <w:pStyle w:val="Tabletext"/>
              <w:rPr>
                <w:rFonts w:cs="Tahoma"/>
                <w:szCs w:val="18"/>
              </w:rPr>
            </w:pPr>
          </w:p>
          <w:p w:rsidR="001D0FDA" w:rsidRPr="005331C3" w:rsidRDefault="001D0FDA" w:rsidP="00E1668E">
            <w:pPr>
              <w:pStyle w:val="Tabletext"/>
              <w:rPr>
                <w:rFonts w:cs="Tahoma"/>
                <w:i/>
                <w:szCs w:val="18"/>
              </w:rPr>
            </w:pPr>
            <w:r>
              <w:rPr>
                <w:rFonts w:cs="Tahoma"/>
                <w:i/>
                <w:szCs w:val="18"/>
              </w:rPr>
              <w:t>Comparator</w:t>
            </w:r>
          </w:p>
          <w:p w:rsidR="001D0FDA" w:rsidRPr="005331C3" w:rsidRDefault="001D0FDA" w:rsidP="00E1668E">
            <w:pPr>
              <w:pStyle w:val="Tabletext"/>
              <w:rPr>
                <w:rFonts w:cs="Tahoma"/>
                <w:szCs w:val="18"/>
              </w:rPr>
            </w:pPr>
            <w:r>
              <w:rPr>
                <w:rFonts w:cs="Tahoma"/>
                <w:szCs w:val="18"/>
              </w:rPr>
              <w:t xml:space="preserve">Ambrisentan </w:t>
            </w:r>
            <w:r w:rsidRPr="005331C3">
              <w:rPr>
                <w:rFonts w:cs="Tahoma"/>
                <w:szCs w:val="18"/>
              </w:rPr>
              <w:t>+</w:t>
            </w:r>
            <w:r>
              <w:rPr>
                <w:rFonts w:cs="Tahoma"/>
                <w:szCs w:val="18"/>
              </w:rPr>
              <w:t xml:space="preserve"> </w:t>
            </w:r>
            <w:r w:rsidRPr="005331C3">
              <w:rPr>
                <w:rFonts w:cs="Tahoma"/>
                <w:szCs w:val="18"/>
              </w:rPr>
              <w:t>placebo</w:t>
            </w:r>
          </w:p>
          <w:p w:rsidR="001D0FDA" w:rsidRPr="005331C3" w:rsidRDefault="001D0FDA" w:rsidP="00E1668E">
            <w:pPr>
              <w:pStyle w:val="Tabletext"/>
              <w:rPr>
                <w:rFonts w:cs="Tahoma"/>
                <w:szCs w:val="18"/>
              </w:rPr>
            </w:pPr>
            <w:r>
              <w:rPr>
                <w:rFonts w:cs="Tahoma"/>
                <w:szCs w:val="18"/>
              </w:rPr>
              <w:t xml:space="preserve">Tadalafil </w:t>
            </w:r>
            <w:r w:rsidRPr="005331C3">
              <w:rPr>
                <w:rFonts w:cs="Tahoma"/>
                <w:szCs w:val="18"/>
              </w:rPr>
              <w:t>+</w:t>
            </w:r>
            <w:r>
              <w:rPr>
                <w:rFonts w:cs="Tahoma"/>
                <w:szCs w:val="18"/>
              </w:rPr>
              <w:t xml:space="preserve"> </w:t>
            </w:r>
            <w:r w:rsidRPr="005331C3">
              <w:rPr>
                <w:rFonts w:cs="Tahoma"/>
                <w:szCs w:val="18"/>
              </w:rPr>
              <w:t>placebo</w:t>
            </w:r>
          </w:p>
          <w:p w:rsidR="001D0FDA" w:rsidRPr="005331C3" w:rsidRDefault="001D0FDA" w:rsidP="00E1668E">
            <w:pPr>
              <w:pStyle w:val="Tabletext"/>
              <w:rPr>
                <w:rFonts w:cs="Tahoma"/>
                <w:szCs w:val="18"/>
              </w:rPr>
            </w:pPr>
            <w:r w:rsidRPr="005331C3">
              <w:rPr>
                <w:rFonts w:cs="Tahoma"/>
                <w:szCs w:val="18"/>
              </w:rPr>
              <w:t>Ambrisentan: initial dose of 5</w:t>
            </w:r>
            <w:r w:rsidR="002820F1">
              <w:rPr>
                <w:rFonts w:cs="Tahoma"/>
                <w:szCs w:val="18"/>
              </w:rPr>
              <w:t> </w:t>
            </w:r>
            <w:r w:rsidRPr="005331C3">
              <w:rPr>
                <w:rFonts w:cs="Tahoma"/>
                <w:szCs w:val="18"/>
              </w:rPr>
              <w:t>m</w:t>
            </w:r>
            <w:r>
              <w:rPr>
                <w:rFonts w:cs="Tahoma"/>
                <w:szCs w:val="18"/>
              </w:rPr>
              <w:t>g for 8 weeks, then up-titrated</w:t>
            </w:r>
            <w:r w:rsidRPr="005331C3">
              <w:rPr>
                <w:rFonts w:cs="Tahoma"/>
                <w:szCs w:val="18"/>
              </w:rPr>
              <w:t xml:space="preserve"> to 10</w:t>
            </w:r>
            <w:r w:rsidR="002820F1">
              <w:rPr>
                <w:rFonts w:cs="Tahoma"/>
                <w:szCs w:val="18"/>
              </w:rPr>
              <w:t> </w:t>
            </w:r>
            <w:r w:rsidRPr="005331C3">
              <w:rPr>
                <w:rFonts w:cs="Tahoma"/>
                <w:szCs w:val="18"/>
              </w:rPr>
              <w:t xml:space="preserve">mg </w:t>
            </w:r>
          </w:p>
          <w:p w:rsidR="001D0FDA" w:rsidRPr="005331C3" w:rsidRDefault="001D0FDA" w:rsidP="00E1668E">
            <w:pPr>
              <w:pStyle w:val="Tabletext"/>
              <w:rPr>
                <w:rFonts w:cs="Tahoma"/>
                <w:szCs w:val="18"/>
              </w:rPr>
            </w:pPr>
            <w:r w:rsidRPr="005331C3">
              <w:rPr>
                <w:rFonts w:cs="Tahoma"/>
                <w:szCs w:val="18"/>
              </w:rPr>
              <w:t>Tadalafil: initi</w:t>
            </w:r>
            <w:r>
              <w:rPr>
                <w:rFonts w:cs="Tahoma"/>
                <w:szCs w:val="18"/>
              </w:rPr>
              <w:t>al dose of 20</w:t>
            </w:r>
            <w:r w:rsidR="002820F1">
              <w:rPr>
                <w:rFonts w:cs="Tahoma"/>
                <w:szCs w:val="18"/>
              </w:rPr>
              <w:t> </w:t>
            </w:r>
            <w:r>
              <w:rPr>
                <w:rFonts w:cs="Tahoma"/>
                <w:szCs w:val="18"/>
              </w:rPr>
              <w:t>mg for 4 weeks, the</w:t>
            </w:r>
            <w:r w:rsidRPr="005331C3">
              <w:rPr>
                <w:rFonts w:cs="Tahoma"/>
                <w:szCs w:val="18"/>
              </w:rPr>
              <w:t>n up-</w:t>
            </w:r>
            <w:r>
              <w:rPr>
                <w:rFonts w:cs="Tahoma"/>
                <w:szCs w:val="18"/>
              </w:rPr>
              <w:t>titrated</w:t>
            </w:r>
            <w:r w:rsidRPr="005331C3">
              <w:rPr>
                <w:rFonts w:cs="Tahoma"/>
                <w:szCs w:val="18"/>
              </w:rPr>
              <w:t xml:space="preserve"> to 40</w:t>
            </w:r>
            <w:r w:rsidR="002820F1">
              <w:rPr>
                <w:rFonts w:cs="Tahoma"/>
                <w:szCs w:val="18"/>
              </w:rPr>
              <w:t> </w:t>
            </w:r>
            <w:r w:rsidRPr="005331C3">
              <w:rPr>
                <w:rFonts w:cs="Tahoma"/>
                <w:szCs w:val="18"/>
              </w:rPr>
              <w:t>mg</w:t>
            </w:r>
          </w:p>
        </w:tc>
        <w:tc>
          <w:tcPr>
            <w:tcW w:w="771" w:type="pct"/>
          </w:tcPr>
          <w:p w:rsidR="001D0FDA" w:rsidRPr="005331C3" w:rsidRDefault="001D0FDA" w:rsidP="00E1668E">
            <w:pPr>
              <w:pStyle w:val="Tabletext"/>
              <w:rPr>
                <w:rFonts w:cs="Tahoma"/>
                <w:i/>
                <w:szCs w:val="18"/>
              </w:rPr>
            </w:pPr>
            <w:r w:rsidRPr="005331C3">
              <w:rPr>
                <w:rFonts w:cs="Tahoma"/>
                <w:i/>
                <w:szCs w:val="18"/>
              </w:rPr>
              <w:t>Effectiveness</w:t>
            </w:r>
          </w:p>
          <w:p w:rsidR="001D0FDA" w:rsidRPr="005331C3" w:rsidRDefault="001D0FDA" w:rsidP="00E1668E">
            <w:pPr>
              <w:pStyle w:val="Tabletext"/>
              <w:rPr>
                <w:rFonts w:cs="Tahoma"/>
                <w:szCs w:val="18"/>
              </w:rPr>
            </w:pPr>
            <w:r w:rsidRPr="005331C3">
              <w:rPr>
                <w:rFonts w:cs="Tahoma"/>
                <w:szCs w:val="18"/>
              </w:rPr>
              <w:t>Primary</w:t>
            </w:r>
            <w:r>
              <w:rPr>
                <w:rFonts w:cs="Tahoma"/>
                <w:szCs w:val="18"/>
              </w:rPr>
              <w:t xml:space="preserve">: </w:t>
            </w:r>
          </w:p>
          <w:p w:rsidR="001D0FDA" w:rsidRPr="005331C3" w:rsidRDefault="001D0FDA" w:rsidP="00E1668E">
            <w:pPr>
              <w:pStyle w:val="Tabletext"/>
              <w:numPr>
                <w:ilvl w:val="0"/>
                <w:numId w:val="54"/>
              </w:numPr>
              <w:ind w:left="239" w:hanging="144"/>
              <w:rPr>
                <w:rFonts w:cs="Tahoma"/>
                <w:szCs w:val="18"/>
              </w:rPr>
            </w:pPr>
            <w:r w:rsidRPr="005331C3">
              <w:rPr>
                <w:rFonts w:cs="Tahoma"/>
                <w:szCs w:val="18"/>
              </w:rPr>
              <w:t xml:space="preserve">Time to clinical </w:t>
            </w:r>
            <w:r>
              <w:rPr>
                <w:rFonts w:cs="Tahoma"/>
                <w:szCs w:val="18"/>
              </w:rPr>
              <w:t>worsening</w:t>
            </w:r>
            <w:r>
              <w:rPr>
                <w:rFonts w:cs="Tahoma"/>
                <w:szCs w:val="18"/>
                <w:vertAlign w:val="superscript"/>
              </w:rPr>
              <w:t>c</w:t>
            </w:r>
            <w:r w:rsidRPr="005331C3">
              <w:rPr>
                <w:rFonts w:cs="Tahoma"/>
                <w:szCs w:val="18"/>
              </w:rPr>
              <w:t xml:space="preserve"> </w:t>
            </w:r>
          </w:p>
          <w:p w:rsidR="001D0FDA" w:rsidRPr="005331C3" w:rsidRDefault="001D0FDA" w:rsidP="00E1668E">
            <w:pPr>
              <w:pStyle w:val="Tabletext"/>
              <w:rPr>
                <w:rFonts w:cs="Tahoma"/>
                <w:szCs w:val="18"/>
              </w:rPr>
            </w:pPr>
            <w:r w:rsidRPr="005331C3">
              <w:rPr>
                <w:rFonts w:cs="Tahoma"/>
                <w:szCs w:val="18"/>
              </w:rPr>
              <w:t>Secondary</w:t>
            </w:r>
            <w:r>
              <w:rPr>
                <w:rFonts w:cs="Tahoma"/>
                <w:szCs w:val="18"/>
              </w:rPr>
              <w:t xml:space="preserve">: </w:t>
            </w:r>
          </w:p>
          <w:p w:rsidR="001D0FDA" w:rsidRPr="005331C3" w:rsidRDefault="001D0FDA" w:rsidP="00E1668E">
            <w:pPr>
              <w:pStyle w:val="Tabletext"/>
              <w:numPr>
                <w:ilvl w:val="0"/>
                <w:numId w:val="54"/>
              </w:numPr>
              <w:ind w:left="239" w:hanging="144"/>
              <w:rPr>
                <w:rFonts w:cs="Tahoma"/>
                <w:szCs w:val="18"/>
              </w:rPr>
            </w:pPr>
            <w:r w:rsidRPr="005331C3">
              <w:rPr>
                <w:rFonts w:cs="Tahoma"/>
                <w:szCs w:val="18"/>
              </w:rPr>
              <w:t>Change in 6MWD at Week 24</w:t>
            </w:r>
            <w:r>
              <w:rPr>
                <w:rFonts w:cs="Tahoma"/>
                <w:szCs w:val="18"/>
                <w:vertAlign w:val="superscript"/>
              </w:rPr>
              <w:t>c</w:t>
            </w:r>
            <w:r w:rsidRPr="005331C3">
              <w:rPr>
                <w:rFonts w:cs="Tahoma"/>
                <w:szCs w:val="18"/>
              </w:rPr>
              <w:t xml:space="preserve"> </w:t>
            </w:r>
          </w:p>
          <w:p w:rsidR="001D0FDA" w:rsidRPr="005331C3" w:rsidRDefault="001D0FDA" w:rsidP="00E1668E">
            <w:pPr>
              <w:pStyle w:val="Tabletext"/>
              <w:numPr>
                <w:ilvl w:val="0"/>
                <w:numId w:val="54"/>
              </w:numPr>
              <w:ind w:left="239" w:hanging="144"/>
              <w:rPr>
                <w:rFonts w:cs="Tahoma"/>
                <w:szCs w:val="18"/>
              </w:rPr>
            </w:pPr>
            <w:r w:rsidRPr="005331C3">
              <w:rPr>
                <w:rFonts w:cs="Tahoma"/>
                <w:szCs w:val="18"/>
              </w:rPr>
              <w:t>Change in WHO FC at Week 24</w:t>
            </w:r>
            <w:r>
              <w:rPr>
                <w:rFonts w:cs="Tahoma"/>
                <w:szCs w:val="18"/>
                <w:vertAlign w:val="superscript"/>
              </w:rPr>
              <w:t>c</w:t>
            </w:r>
          </w:p>
          <w:p w:rsidR="001D0FDA" w:rsidRDefault="001D0FDA" w:rsidP="00E1668E">
            <w:pPr>
              <w:pStyle w:val="Tabletext"/>
              <w:numPr>
                <w:ilvl w:val="0"/>
                <w:numId w:val="54"/>
              </w:numPr>
              <w:ind w:left="239" w:hanging="144"/>
              <w:rPr>
                <w:rFonts w:cs="Tahoma"/>
                <w:szCs w:val="18"/>
              </w:rPr>
            </w:pPr>
            <w:r>
              <w:rPr>
                <w:rFonts w:cs="Tahoma"/>
                <w:szCs w:val="18"/>
              </w:rPr>
              <w:t>Hospitalisation</w:t>
            </w:r>
            <w:r>
              <w:rPr>
                <w:rFonts w:cs="Tahoma"/>
                <w:szCs w:val="18"/>
                <w:vertAlign w:val="superscript"/>
              </w:rPr>
              <w:t>c</w:t>
            </w:r>
          </w:p>
          <w:p w:rsidR="001D0FDA" w:rsidRPr="005331C3" w:rsidRDefault="001D0FDA" w:rsidP="00E1668E">
            <w:pPr>
              <w:pStyle w:val="Tabletext"/>
              <w:numPr>
                <w:ilvl w:val="0"/>
                <w:numId w:val="54"/>
              </w:numPr>
              <w:ind w:left="239" w:hanging="144"/>
              <w:rPr>
                <w:rFonts w:cs="Tahoma"/>
                <w:szCs w:val="18"/>
              </w:rPr>
            </w:pPr>
            <w:r w:rsidRPr="005331C3">
              <w:rPr>
                <w:rFonts w:cs="Tahoma"/>
                <w:szCs w:val="18"/>
              </w:rPr>
              <w:t xml:space="preserve">Change in </w:t>
            </w:r>
            <w:r>
              <w:rPr>
                <w:rFonts w:cs="Tahoma"/>
                <w:szCs w:val="18"/>
              </w:rPr>
              <w:t>BDS</w:t>
            </w:r>
            <w:r w:rsidRPr="005331C3">
              <w:rPr>
                <w:rFonts w:cs="Tahoma"/>
                <w:szCs w:val="18"/>
              </w:rPr>
              <w:t xml:space="preserve"> at Week 24</w:t>
            </w:r>
          </w:p>
          <w:p w:rsidR="001D0FDA" w:rsidRDefault="001D0FDA" w:rsidP="00E1668E">
            <w:pPr>
              <w:pStyle w:val="Tabletext"/>
              <w:numPr>
                <w:ilvl w:val="0"/>
                <w:numId w:val="54"/>
              </w:numPr>
              <w:ind w:left="239" w:hanging="144"/>
              <w:rPr>
                <w:rFonts w:cs="Tahoma"/>
                <w:szCs w:val="18"/>
              </w:rPr>
            </w:pPr>
            <w:r w:rsidRPr="00A61E10">
              <w:rPr>
                <w:rFonts w:cs="Tahoma"/>
                <w:szCs w:val="18"/>
              </w:rPr>
              <w:t>% of participants with a satisfactory clinical response within 24 weeks</w:t>
            </w:r>
          </w:p>
          <w:p w:rsidR="001D0FDA" w:rsidRDefault="001D0FDA" w:rsidP="00E1668E">
            <w:pPr>
              <w:pStyle w:val="Tabletext"/>
              <w:rPr>
                <w:rFonts w:cs="Tahoma"/>
                <w:szCs w:val="18"/>
              </w:rPr>
            </w:pPr>
            <w:r>
              <w:rPr>
                <w:rFonts w:cs="Tahoma"/>
                <w:szCs w:val="18"/>
              </w:rPr>
              <w:t>Others:</w:t>
            </w:r>
          </w:p>
          <w:p w:rsidR="001D0FDA" w:rsidRPr="001D75C0" w:rsidRDefault="001D0FDA" w:rsidP="00E1668E">
            <w:pPr>
              <w:pStyle w:val="Tabletext"/>
              <w:numPr>
                <w:ilvl w:val="0"/>
                <w:numId w:val="54"/>
              </w:numPr>
              <w:ind w:left="239" w:hanging="144"/>
              <w:rPr>
                <w:rFonts w:cs="Tahoma"/>
                <w:szCs w:val="18"/>
              </w:rPr>
            </w:pPr>
            <w:r>
              <w:rPr>
                <w:rFonts w:cs="Tahoma"/>
                <w:szCs w:val="18"/>
              </w:rPr>
              <w:t>Mortality</w:t>
            </w:r>
            <w:r>
              <w:rPr>
                <w:rFonts w:cs="Tahoma"/>
                <w:szCs w:val="18"/>
                <w:vertAlign w:val="superscript"/>
              </w:rPr>
              <w:t>c</w:t>
            </w:r>
          </w:p>
          <w:p w:rsidR="001D0FDA" w:rsidRDefault="001D0FDA" w:rsidP="00E1668E">
            <w:pPr>
              <w:pStyle w:val="Tabletext"/>
              <w:ind w:left="95"/>
              <w:rPr>
                <w:rFonts w:cs="Tahoma"/>
                <w:szCs w:val="18"/>
              </w:rPr>
            </w:pPr>
          </w:p>
          <w:p w:rsidR="001D0FDA" w:rsidRPr="00A61E10" w:rsidRDefault="001D0FDA" w:rsidP="00E1668E">
            <w:pPr>
              <w:pStyle w:val="Tabletext"/>
              <w:rPr>
                <w:rFonts w:cs="Tahoma"/>
                <w:szCs w:val="18"/>
              </w:rPr>
            </w:pPr>
            <w:r w:rsidRPr="00A61E10">
              <w:rPr>
                <w:rFonts w:cs="Tahoma"/>
                <w:i/>
                <w:szCs w:val="18"/>
              </w:rPr>
              <w:t xml:space="preserve">Safety </w:t>
            </w:r>
          </w:p>
          <w:p w:rsidR="001D0FDA" w:rsidRPr="00D23B52" w:rsidRDefault="001D0FDA" w:rsidP="00E1668E">
            <w:pPr>
              <w:pStyle w:val="Tabletext"/>
              <w:numPr>
                <w:ilvl w:val="0"/>
                <w:numId w:val="54"/>
              </w:numPr>
              <w:ind w:left="239" w:hanging="144"/>
              <w:rPr>
                <w:rFonts w:cs="Tahoma"/>
                <w:szCs w:val="18"/>
              </w:rPr>
            </w:pPr>
            <w:r w:rsidRPr="005331C3">
              <w:rPr>
                <w:rFonts w:cs="Tahoma"/>
                <w:szCs w:val="18"/>
              </w:rPr>
              <w:t>Adverse event</w:t>
            </w:r>
            <w:r>
              <w:rPr>
                <w:rFonts w:cs="Tahoma"/>
                <w:szCs w:val="18"/>
                <w:vertAlign w:val="superscript"/>
              </w:rPr>
              <w:t>c</w:t>
            </w:r>
          </w:p>
        </w:tc>
      </w:tr>
      <w:tr w:rsidR="001D0FDA" w:rsidRPr="00204000" w:rsidTr="00E1668E">
        <w:tc>
          <w:tcPr>
            <w:tcW w:w="531" w:type="pct"/>
          </w:tcPr>
          <w:p w:rsidR="001D0FDA" w:rsidRPr="00D53F84" w:rsidRDefault="001D0FDA" w:rsidP="00E1668E">
            <w:pPr>
              <w:pStyle w:val="Tabletext"/>
              <w:ind w:right="-28"/>
              <w:rPr>
                <w:rFonts w:eastAsia="Times New Roman"/>
              </w:rPr>
            </w:pPr>
            <w:r w:rsidRPr="00D53F84">
              <w:rPr>
                <w:rFonts w:eastAsia="Times New Roman"/>
              </w:rPr>
              <w:t>ARIES-1</w:t>
            </w:r>
            <w:r w:rsidR="001D34EE" w:rsidRPr="001D34EE">
              <w:rPr>
                <w:rFonts w:eastAsia="Times New Roman"/>
                <w:noProof/>
                <w:vertAlign w:val="superscript"/>
              </w:rPr>
              <w:t>6, 33, 34</w:t>
            </w:r>
          </w:p>
          <w:p w:rsidR="001D0FDA" w:rsidRPr="00D53F84" w:rsidRDefault="001D0FDA" w:rsidP="00E1668E">
            <w:pPr>
              <w:pStyle w:val="Tabletext"/>
              <w:ind w:right="-28"/>
              <w:rPr>
                <w:rFonts w:eastAsia="Times New Roman"/>
                <w:lang w:eastAsia="en-US"/>
              </w:rPr>
            </w:pPr>
            <w:r w:rsidRPr="00D53F84">
              <w:rPr>
                <w:rFonts w:eastAsia="Times New Roman"/>
                <w:lang w:eastAsia="en-US"/>
              </w:rPr>
              <w:t xml:space="preserve">2003-2006 </w:t>
            </w:r>
          </w:p>
          <w:p w:rsidR="001D0FDA" w:rsidRPr="00D53F84" w:rsidRDefault="001D0FDA" w:rsidP="00E1668E">
            <w:pPr>
              <w:pStyle w:val="Tabletext"/>
              <w:ind w:right="-28"/>
              <w:rPr>
                <w:rFonts w:eastAsia="Times New Roman"/>
                <w:lang w:eastAsia="en-US"/>
              </w:rPr>
            </w:pPr>
            <w:r w:rsidRPr="00D53F84">
              <w:rPr>
                <w:rFonts w:eastAsia="Times New Roman"/>
                <w:lang w:eastAsia="en-US"/>
              </w:rPr>
              <w:t>US, Mexico, South America, Australia, Europe</w:t>
            </w:r>
          </w:p>
        </w:tc>
        <w:tc>
          <w:tcPr>
            <w:tcW w:w="476" w:type="pct"/>
          </w:tcPr>
          <w:p w:rsidR="001D0FDA" w:rsidRPr="00D53F84" w:rsidRDefault="001D0FDA" w:rsidP="00E1668E">
            <w:pPr>
              <w:pStyle w:val="Tabletext"/>
              <w:ind w:right="-28"/>
              <w:rPr>
                <w:rFonts w:eastAsia="Times New Roman"/>
                <w:lang w:eastAsia="en-US"/>
              </w:rPr>
            </w:pPr>
            <w:r w:rsidRPr="00D53F84">
              <w:rPr>
                <w:rFonts w:eastAsia="Times New Roman"/>
                <w:lang w:eastAsia="en-US"/>
              </w:rPr>
              <w:t>RCT, DB</w:t>
            </w:r>
          </w:p>
          <w:p w:rsidR="001D0FDA" w:rsidRPr="00351FF5" w:rsidRDefault="001D0FDA" w:rsidP="00E1668E">
            <w:pPr>
              <w:pStyle w:val="Tabletext"/>
              <w:rPr>
                <w:rFonts w:cs="Tahoma"/>
                <w:szCs w:val="18"/>
              </w:rPr>
            </w:pPr>
            <w:r w:rsidRPr="00351FF5">
              <w:rPr>
                <w:rFonts w:cs="Tahoma"/>
                <w:szCs w:val="18"/>
              </w:rPr>
              <w:t>Level II evidence</w:t>
            </w:r>
          </w:p>
          <w:p w:rsidR="001D0FDA" w:rsidRPr="00D53F84" w:rsidRDefault="001D0FDA" w:rsidP="00E1668E">
            <w:pPr>
              <w:pStyle w:val="Tabletext"/>
              <w:ind w:right="-28"/>
              <w:rPr>
                <w:rFonts w:eastAsia="Times New Roman"/>
                <w:lang w:eastAsia="en-US"/>
              </w:rPr>
            </w:pPr>
            <w:r>
              <w:rPr>
                <w:rFonts w:eastAsia="Times New Roman"/>
                <w:lang w:eastAsia="en-US"/>
              </w:rPr>
              <w:t xml:space="preserve">Follow-up: </w:t>
            </w:r>
            <w:r w:rsidRPr="00D53F84">
              <w:rPr>
                <w:rFonts w:eastAsia="Times New Roman"/>
                <w:lang w:eastAsia="en-US"/>
              </w:rPr>
              <w:t>12 weeks</w:t>
            </w:r>
          </w:p>
          <w:p w:rsidR="001D0FDA" w:rsidRPr="00D53F84" w:rsidRDefault="001D0FDA" w:rsidP="00E1668E">
            <w:pPr>
              <w:pStyle w:val="Tabletext"/>
              <w:ind w:right="-28"/>
              <w:rPr>
                <w:rFonts w:eastAsia="Times New Roman"/>
                <w:snapToGrid w:val="0"/>
                <w:lang w:eastAsia="en-US"/>
              </w:rPr>
            </w:pPr>
            <w:r>
              <w:rPr>
                <w:rFonts w:eastAsia="Times New Roman"/>
                <w:lang w:eastAsia="en-US"/>
              </w:rPr>
              <w:t>Risk of bias: l</w:t>
            </w:r>
            <w:r w:rsidRPr="00D53F84">
              <w:rPr>
                <w:rFonts w:eastAsia="Times New Roman"/>
                <w:lang w:eastAsia="en-US"/>
              </w:rPr>
              <w:t>ow-to-moderate</w:t>
            </w:r>
          </w:p>
        </w:tc>
        <w:tc>
          <w:tcPr>
            <w:tcW w:w="772" w:type="pct"/>
          </w:tcPr>
          <w:p w:rsidR="001D0FDA" w:rsidRPr="00B93934" w:rsidRDefault="001D0FDA" w:rsidP="00E1668E">
            <w:pPr>
              <w:pStyle w:val="Tabletext"/>
              <w:rPr>
                <w:rFonts w:cs="Tahoma"/>
                <w:i/>
                <w:szCs w:val="18"/>
              </w:rPr>
            </w:pPr>
            <w:r w:rsidRPr="00B93934">
              <w:rPr>
                <w:rFonts w:cs="Tahoma"/>
                <w:i/>
                <w:szCs w:val="18"/>
              </w:rPr>
              <w:t>Inclusion criteria</w:t>
            </w:r>
          </w:p>
          <w:p w:rsidR="001D0FDA" w:rsidRDefault="001D0FDA" w:rsidP="00E1668E">
            <w:pPr>
              <w:pStyle w:val="Tabletext"/>
              <w:numPr>
                <w:ilvl w:val="0"/>
                <w:numId w:val="54"/>
              </w:numPr>
              <w:ind w:left="239" w:hanging="144"/>
              <w:rPr>
                <w:rFonts w:cs="Tahoma"/>
                <w:szCs w:val="18"/>
              </w:rPr>
            </w:pPr>
            <w:r w:rsidRPr="00B93934">
              <w:rPr>
                <w:rFonts w:cs="Tahoma"/>
                <w:szCs w:val="18"/>
              </w:rPr>
              <w:t xml:space="preserve">Patients with IPAH, PAH-CTD, PAH-HIV or anorexigen-associated PAH </w:t>
            </w:r>
          </w:p>
          <w:p w:rsidR="001D0FDA" w:rsidRPr="00B93934" w:rsidRDefault="001D0FDA" w:rsidP="00E1668E">
            <w:pPr>
              <w:pStyle w:val="Tabletext"/>
              <w:ind w:left="239"/>
              <w:rPr>
                <w:rFonts w:cs="Tahoma"/>
                <w:szCs w:val="18"/>
              </w:rPr>
            </w:pPr>
          </w:p>
          <w:p w:rsidR="001D0FDA" w:rsidRPr="00B93934" w:rsidRDefault="001D0FDA" w:rsidP="00E1668E">
            <w:pPr>
              <w:pStyle w:val="Tabletext"/>
              <w:rPr>
                <w:rFonts w:cs="Tahoma"/>
                <w:i/>
                <w:szCs w:val="18"/>
              </w:rPr>
            </w:pPr>
            <w:r w:rsidRPr="00B93934">
              <w:rPr>
                <w:rFonts w:cs="Tahoma"/>
                <w:i/>
                <w:szCs w:val="18"/>
              </w:rPr>
              <w:t>Inclusion criteria:</w:t>
            </w:r>
          </w:p>
          <w:p w:rsidR="001D0FDA" w:rsidRPr="00B93934" w:rsidRDefault="001D0FDA" w:rsidP="00E1668E">
            <w:pPr>
              <w:pStyle w:val="Tabletext"/>
              <w:numPr>
                <w:ilvl w:val="0"/>
                <w:numId w:val="54"/>
              </w:numPr>
              <w:ind w:left="239" w:hanging="144"/>
              <w:rPr>
                <w:rFonts w:cs="Tahoma"/>
                <w:szCs w:val="18"/>
              </w:rPr>
            </w:pPr>
            <w:r w:rsidRPr="00B93934">
              <w:rPr>
                <w:rFonts w:cs="Tahoma"/>
                <w:szCs w:val="18"/>
              </w:rPr>
              <w:t>Patients with 6MWD &lt;150</w:t>
            </w:r>
            <w:r w:rsidR="00776155">
              <w:rPr>
                <w:rFonts w:cs="Tahoma"/>
                <w:szCs w:val="18"/>
              </w:rPr>
              <w:t> </w:t>
            </w:r>
            <w:r>
              <w:rPr>
                <w:rFonts w:cs="Tahoma"/>
                <w:szCs w:val="18"/>
              </w:rPr>
              <w:t>m</w:t>
            </w:r>
            <w:r w:rsidRPr="00B93934">
              <w:rPr>
                <w:rFonts w:cs="Tahoma"/>
                <w:szCs w:val="18"/>
              </w:rPr>
              <w:t xml:space="preserve"> or &gt;450</w:t>
            </w:r>
            <w:r w:rsidR="00776155">
              <w:rPr>
                <w:rFonts w:cs="Tahoma"/>
                <w:szCs w:val="18"/>
              </w:rPr>
              <w:t> </w:t>
            </w:r>
            <w:r>
              <w:rPr>
                <w:rFonts w:cs="Tahoma"/>
                <w:szCs w:val="18"/>
              </w:rPr>
              <w:t>m</w:t>
            </w:r>
          </w:p>
          <w:p w:rsidR="001D0FDA" w:rsidRPr="00EA1FCD" w:rsidRDefault="001D0FDA" w:rsidP="00E1668E">
            <w:pPr>
              <w:pStyle w:val="Tabletext"/>
              <w:numPr>
                <w:ilvl w:val="0"/>
                <w:numId w:val="54"/>
              </w:numPr>
              <w:ind w:left="239" w:hanging="144"/>
              <w:rPr>
                <w:rFonts w:cs="Tahoma"/>
                <w:i/>
                <w:szCs w:val="18"/>
              </w:rPr>
            </w:pPr>
            <w:r>
              <w:rPr>
                <w:rFonts w:cs="Tahoma"/>
                <w:szCs w:val="18"/>
              </w:rPr>
              <w:t xml:space="preserve">Patients previous treated with </w:t>
            </w:r>
            <w:r w:rsidRPr="00B93934">
              <w:rPr>
                <w:rFonts w:cs="Tahoma"/>
                <w:szCs w:val="18"/>
              </w:rPr>
              <w:t>bosentan, sitaxsentan, sildenafil, epoprostenol, iloprost, or treprostinil</w:t>
            </w:r>
          </w:p>
        </w:tc>
        <w:tc>
          <w:tcPr>
            <w:tcW w:w="0" w:type="auto"/>
          </w:tcPr>
          <w:p w:rsidR="001D0FDA" w:rsidRDefault="001D0FDA" w:rsidP="00E1668E">
            <w:pPr>
              <w:pStyle w:val="Tabletext"/>
              <w:rPr>
                <w:rFonts w:cs="Tahoma"/>
                <w:szCs w:val="18"/>
              </w:rPr>
            </w:pPr>
            <w:r>
              <w:rPr>
                <w:rFonts w:cs="Tahoma"/>
                <w:szCs w:val="18"/>
              </w:rPr>
              <w:t>N=134</w:t>
            </w:r>
          </w:p>
          <w:tbl>
            <w:tblPr>
              <w:tblStyle w:val="TableGrid"/>
              <w:tblW w:w="43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ARIES-1"/>
            </w:tblPr>
            <w:tblGrid>
              <w:gridCol w:w="2016"/>
              <w:gridCol w:w="1237"/>
              <w:gridCol w:w="1114"/>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1D0FDA" w:rsidRPr="00351FF5" w:rsidRDefault="001D0FDA" w:rsidP="00570FC8">
                  <w:pPr>
                    <w:pStyle w:val="Tabletext"/>
                    <w:framePr w:hSpace="181" w:wrap="around" w:hAnchor="text" w:yAlign="bottom"/>
                    <w:spacing w:before="0" w:after="0"/>
                    <w:suppressOverlap/>
                    <w:rPr>
                      <w:rFonts w:cs="Tahoma"/>
                      <w:b/>
                      <w:szCs w:val="18"/>
                    </w:rPr>
                  </w:pPr>
                </w:p>
              </w:tc>
              <w:tc>
                <w:tcPr>
                  <w:tcW w:w="1132" w:type="dxa"/>
                  <w:shd w:val="clear" w:color="auto" w:fill="FFFFFF" w:themeFill="background1"/>
                </w:tcPr>
                <w:p w:rsidR="001D0FDA" w:rsidRPr="00411013" w:rsidRDefault="001D0FDA" w:rsidP="00570FC8">
                  <w:pPr>
                    <w:pStyle w:val="Tabletext"/>
                    <w:framePr w:hSpace="181" w:wrap="around" w:hAnchor="text" w:yAlign="bottom"/>
                    <w:spacing w:before="0"/>
                    <w:suppressOverlap/>
                    <w:jc w:val="center"/>
                    <w:rPr>
                      <w:rFonts w:cs="Tahoma"/>
                      <w:szCs w:val="18"/>
                    </w:rPr>
                  </w:pPr>
                  <w:r w:rsidRPr="00411013">
                    <w:rPr>
                      <w:rFonts w:cs="Tahoma"/>
                      <w:szCs w:val="18"/>
                    </w:rPr>
                    <w:t xml:space="preserve">Ambrisentan </w:t>
                  </w:r>
                  <w:r>
                    <w:rPr>
                      <w:rFonts w:cs="Tahoma"/>
                      <w:szCs w:val="18"/>
                    </w:rPr>
                    <w:t>5</w:t>
                  </w:r>
                  <w:r w:rsidR="00570FC8">
                    <w:rPr>
                      <w:rFonts w:cs="Tahoma"/>
                      <w:szCs w:val="18"/>
                    </w:rPr>
                    <w:t> mg</w:t>
                  </w:r>
                </w:p>
                <w:p w:rsidR="001D0FDA" w:rsidRPr="00802B85" w:rsidRDefault="001D0FDA" w:rsidP="00570FC8">
                  <w:pPr>
                    <w:pStyle w:val="Tabletext"/>
                    <w:framePr w:hSpace="181" w:wrap="around" w:hAnchor="text" w:yAlign="bottom"/>
                    <w:spacing w:before="0"/>
                    <w:suppressOverlap/>
                    <w:jc w:val="center"/>
                    <w:rPr>
                      <w:rFonts w:cs="Tahoma"/>
                      <w:szCs w:val="18"/>
                    </w:rPr>
                  </w:pPr>
                  <w:r>
                    <w:rPr>
                      <w:rFonts w:cs="Tahoma"/>
                      <w:szCs w:val="18"/>
                    </w:rPr>
                    <w:t>(N=67)</w:t>
                  </w:r>
                </w:p>
              </w:tc>
              <w:tc>
                <w:tcPr>
                  <w:tcW w:w="1134"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Pr>
                      <w:rFonts w:cs="Tahoma"/>
                      <w:szCs w:val="18"/>
                    </w:rPr>
                    <w:t>Placebo</w:t>
                  </w:r>
                  <w:r>
                    <w:rPr>
                      <w:rFonts w:cs="Tahoma"/>
                      <w:szCs w:val="18"/>
                    </w:rPr>
                    <w:br/>
                    <w:t>(N=67)</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132" w:type="dxa"/>
                  <w:vAlign w:val="center"/>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53±14</w:t>
                  </w:r>
                </w:p>
              </w:tc>
              <w:tc>
                <w:tcPr>
                  <w:tcW w:w="1134"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C34962">
                    <w:rPr>
                      <w:rFonts w:cs="Tahoma"/>
                      <w:szCs w:val="18"/>
                    </w:rPr>
                    <w:t>48±16</w:t>
                  </w:r>
                </w:p>
              </w:tc>
            </w:tr>
            <w:tr w:rsidR="001D0FDA" w:rsidRPr="00351FF5" w:rsidTr="001D0FDA">
              <w:tc>
                <w:tcPr>
                  <w:tcW w:w="2101"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132"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56 (84%)</w:t>
                  </w:r>
                </w:p>
              </w:tc>
              <w:tc>
                <w:tcPr>
                  <w:tcW w:w="1134"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59 (88%)</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132"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IPAH</w:t>
                  </w:r>
                </w:p>
              </w:tc>
              <w:tc>
                <w:tcPr>
                  <w:tcW w:w="1132"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42 (63%)</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43 (64%)</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PAH-CTD</w:t>
                  </w:r>
                </w:p>
              </w:tc>
              <w:tc>
                <w:tcPr>
                  <w:tcW w:w="1132"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 xml:space="preserve">19 (28%) </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21 (31%)</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PAH-HIV</w:t>
                  </w:r>
                </w:p>
              </w:tc>
              <w:tc>
                <w:tcPr>
                  <w:tcW w:w="1132"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 xml:space="preserve">3 (5%) </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2 (3%)</w:t>
                  </w:r>
                </w:p>
              </w:tc>
            </w:tr>
            <w:tr w:rsidR="001D0FDA" w:rsidRPr="00351FF5" w:rsidTr="001D0FDA">
              <w:tc>
                <w:tcPr>
                  <w:tcW w:w="2101" w:type="dxa"/>
                  <w:tcBorders>
                    <w:top w:val="nil"/>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w:t>
                  </w:r>
                  <w:r>
                    <w:rPr>
                      <w:rFonts w:cs="Tahoma"/>
                      <w:szCs w:val="18"/>
                    </w:rPr>
                    <w:t>DT</w:t>
                  </w:r>
                </w:p>
              </w:tc>
              <w:tc>
                <w:tcPr>
                  <w:tcW w:w="1132" w:type="dxa"/>
                  <w:tcBorders>
                    <w:top w:val="nil"/>
                    <w:bottom w:val="single" w:sz="4" w:space="0" w:color="BFBFBF" w:themeColor="background1" w:themeShade="BF"/>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2 (3%)</w:t>
                  </w:r>
                </w:p>
              </w:tc>
              <w:tc>
                <w:tcPr>
                  <w:tcW w:w="1134" w:type="dxa"/>
                  <w:tcBorders>
                    <w:top w:val="nil"/>
                    <w:bottom w:val="single" w:sz="4" w:space="0" w:color="BFBFBF" w:themeColor="background1" w:themeShade="BF"/>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1</w:t>
                  </w:r>
                  <w:r>
                    <w:rPr>
                      <w:rFonts w:cs="Tahoma"/>
                      <w:szCs w:val="18"/>
                    </w:rPr>
                    <w:t xml:space="preserve"> </w:t>
                  </w:r>
                  <w:r w:rsidRPr="003E6A2B">
                    <w:rPr>
                      <w:rFonts w:cs="Tahoma"/>
                      <w:szCs w:val="18"/>
                    </w:rPr>
                    <w:t>(2%)</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132"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w:t>
                  </w:r>
                </w:p>
              </w:tc>
              <w:tc>
                <w:tcPr>
                  <w:tcW w:w="1132"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1 (2%)</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2 (3%)</w:t>
                  </w:r>
                </w:p>
              </w:tc>
            </w:tr>
            <w:tr w:rsidR="001D0FDA" w:rsidRPr="00351FF5" w:rsidTr="001D0FDA">
              <w:tc>
                <w:tcPr>
                  <w:tcW w:w="2101" w:type="dxa"/>
                  <w:tcBorders>
                    <w:top w:val="nil"/>
                    <w:bottom w:val="nil"/>
                  </w:tcBorders>
                </w:tcPr>
                <w:p w:rsidR="001D0FDA" w:rsidRDefault="001D0FDA" w:rsidP="00570FC8">
                  <w:pPr>
                    <w:pStyle w:val="Tabletext"/>
                    <w:framePr w:hSpace="181" w:wrap="around" w:hAnchor="text" w:yAlign="bottom"/>
                    <w:spacing w:before="0" w:after="0"/>
                    <w:ind w:left="196"/>
                    <w:suppressOverlap/>
                    <w:rPr>
                      <w:rFonts w:cs="Tahoma"/>
                      <w:szCs w:val="18"/>
                    </w:rPr>
                  </w:pPr>
                  <w:r>
                    <w:rPr>
                      <w:rFonts w:cs="Tahoma"/>
                      <w:szCs w:val="18"/>
                    </w:rPr>
                    <w:t>II</w:t>
                  </w:r>
                </w:p>
              </w:tc>
              <w:tc>
                <w:tcPr>
                  <w:tcW w:w="1132"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20 (30%)</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23 (34%</w:t>
                  </w:r>
                </w:p>
              </w:tc>
            </w:tr>
            <w:tr w:rsidR="001D0FDA" w:rsidRPr="00351FF5" w:rsidTr="001D0FDA">
              <w:tc>
                <w:tcPr>
                  <w:tcW w:w="2101" w:type="dxa"/>
                  <w:tcBorders>
                    <w:top w:val="nil"/>
                    <w:bottom w:val="nil"/>
                  </w:tcBorders>
                </w:tcPr>
                <w:p w:rsidR="001D0FDA" w:rsidRDefault="001D0FDA" w:rsidP="00570FC8">
                  <w:pPr>
                    <w:pStyle w:val="Tabletext"/>
                    <w:framePr w:hSpace="181" w:wrap="around" w:hAnchor="text" w:yAlign="bottom"/>
                    <w:spacing w:before="0" w:after="0"/>
                    <w:ind w:left="196"/>
                    <w:suppressOverlap/>
                    <w:rPr>
                      <w:rFonts w:cs="Tahoma"/>
                      <w:szCs w:val="18"/>
                    </w:rPr>
                  </w:pPr>
                  <w:r>
                    <w:rPr>
                      <w:rFonts w:cs="Tahoma"/>
                      <w:szCs w:val="18"/>
                    </w:rPr>
                    <w:t>III</w:t>
                  </w:r>
                </w:p>
              </w:tc>
              <w:tc>
                <w:tcPr>
                  <w:tcW w:w="1132"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C34962">
                    <w:rPr>
                      <w:rFonts w:cs="Tahoma"/>
                      <w:szCs w:val="18"/>
                    </w:rPr>
                    <w:t>40 (60%)</w:t>
                  </w:r>
                </w:p>
              </w:tc>
              <w:tc>
                <w:tcPr>
                  <w:tcW w:w="1134"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C34962">
                    <w:rPr>
                      <w:rFonts w:cs="Tahoma"/>
                      <w:szCs w:val="18"/>
                    </w:rPr>
                    <w:t>41 (61%)</w:t>
                  </w:r>
                </w:p>
              </w:tc>
            </w:tr>
            <w:tr w:rsidR="001D0FDA" w:rsidRPr="00351FF5" w:rsidTr="001D0FDA">
              <w:tc>
                <w:tcPr>
                  <w:tcW w:w="2101" w:type="dxa"/>
                  <w:tcBorders>
                    <w:top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IV</w:t>
                  </w:r>
                </w:p>
              </w:tc>
              <w:tc>
                <w:tcPr>
                  <w:tcW w:w="1132" w:type="dxa"/>
                  <w:tcBorders>
                    <w:top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C34962">
                    <w:rPr>
                      <w:rFonts w:cs="Tahoma"/>
                      <w:szCs w:val="18"/>
                    </w:rPr>
                    <w:t>6 (9%)</w:t>
                  </w:r>
                </w:p>
              </w:tc>
              <w:tc>
                <w:tcPr>
                  <w:tcW w:w="1134" w:type="dxa"/>
                  <w:tcBorders>
                    <w:top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C34962">
                    <w:rPr>
                      <w:rFonts w:cs="Tahoma"/>
                      <w:szCs w:val="18"/>
                    </w:rPr>
                    <w:t>1 (2%)</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mPAP, mean±SD (mmHg)</w:t>
                  </w:r>
                </w:p>
              </w:tc>
              <w:tc>
                <w:tcPr>
                  <w:tcW w:w="1132" w:type="dxa"/>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 xml:space="preserve">47±13 </w:t>
                  </w:r>
                </w:p>
              </w:tc>
              <w:tc>
                <w:tcPr>
                  <w:tcW w:w="1134" w:type="dxa"/>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50±15</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PVR, mean±SD (</w:t>
                  </w:r>
                  <w:r>
                    <w:rPr>
                      <w:rFonts w:cs="Tahoma"/>
                      <w:szCs w:val="18"/>
                    </w:rPr>
                    <w:t>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132" w:type="dxa"/>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 xml:space="preserve">834±424 </w:t>
                  </w:r>
                </w:p>
              </w:tc>
              <w:tc>
                <w:tcPr>
                  <w:tcW w:w="1134" w:type="dxa"/>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968±518</w:t>
                  </w:r>
                </w:p>
              </w:tc>
            </w:tr>
          </w:tbl>
          <w:p w:rsidR="001D0FDA" w:rsidRDefault="001D0FDA" w:rsidP="00E1668E">
            <w:pPr>
              <w:pStyle w:val="Tabletext"/>
              <w:rPr>
                <w:rFonts w:cs="Tahoma"/>
                <w:szCs w:val="18"/>
              </w:rPr>
            </w:pPr>
            <w:r w:rsidRPr="003E6A2B">
              <w:rPr>
                <w:rFonts w:cs="Tahoma"/>
                <w:szCs w:val="18"/>
              </w:rPr>
              <w:t xml:space="preserve">Data on the patient characteristics for the WHO FC I-II subgroup and WHO FC III-IV subgroup between the two treatment groups were not available. Randomisation </w:t>
            </w:r>
            <w:proofErr w:type="gramStart"/>
            <w:r w:rsidRPr="003E6A2B">
              <w:rPr>
                <w:rFonts w:cs="Tahoma"/>
                <w:szCs w:val="18"/>
              </w:rPr>
              <w:t>was not stratified</w:t>
            </w:r>
            <w:proofErr w:type="gramEnd"/>
            <w:r w:rsidRPr="003E6A2B">
              <w:rPr>
                <w:rFonts w:cs="Tahoma"/>
                <w:szCs w:val="18"/>
              </w:rPr>
              <w:t xml:space="preserve"> according to WHO FC.</w:t>
            </w:r>
          </w:p>
        </w:tc>
        <w:tc>
          <w:tcPr>
            <w:tcW w:w="811" w:type="pct"/>
          </w:tcPr>
          <w:p w:rsidR="001D0FDA" w:rsidRDefault="001D0FDA" w:rsidP="00E1668E">
            <w:pPr>
              <w:pStyle w:val="Tabletext"/>
              <w:rPr>
                <w:rFonts w:cs="Tahoma"/>
                <w:i/>
                <w:szCs w:val="18"/>
              </w:rPr>
            </w:pPr>
            <w:r>
              <w:rPr>
                <w:rFonts w:cs="Tahoma"/>
                <w:i/>
                <w:szCs w:val="18"/>
              </w:rPr>
              <w:t>Intervention:</w:t>
            </w:r>
          </w:p>
          <w:p w:rsidR="001D0FDA" w:rsidRPr="00D81DEE" w:rsidRDefault="001D0FDA" w:rsidP="00E1668E">
            <w:pPr>
              <w:pStyle w:val="Tabletext"/>
              <w:rPr>
                <w:rFonts w:cs="Tahoma"/>
                <w:szCs w:val="18"/>
              </w:rPr>
            </w:pPr>
            <w:r w:rsidRPr="00D81DEE">
              <w:rPr>
                <w:rFonts w:cs="Tahoma"/>
                <w:szCs w:val="18"/>
              </w:rPr>
              <w:t>Ambrisentan</w:t>
            </w:r>
            <w:r>
              <w:rPr>
                <w:rFonts w:cs="Tahoma"/>
                <w:szCs w:val="18"/>
              </w:rPr>
              <w:t>:</w:t>
            </w:r>
            <w:r w:rsidRPr="00D81DEE">
              <w:rPr>
                <w:rFonts w:cs="Tahoma"/>
                <w:szCs w:val="18"/>
              </w:rPr>
              <w:t xml:space="preserve"> 5</w:t>
            </w:r>
            <w:r w:rsidR="00776155">
              <w:rPr>
                <w:rFonts w:cs="Tahoma"/>
                <w:szCs w:val="18"/>
              </w:rPr>
              <w:t> </w:t>
            </w:r>
            <w:r w:rsidRPr="00D81DEE">
              <w:rPr>
                <w:rFonts w:cs="Tahoma"/>
                <w:szCs w:val="18"/>
              </w:rPr>
              <w:t>mg od</w:t>
            </w:r>
          </w:p>
          <w:p w:rsidR="001D0FDA" w:rsidRDefault="001D0FDA" w:rsidP="00E1668E">
            <w:pPr>
              <w:pStyle w:val="Tabletext"/>
              <w:rPr>
                <w:rFonts w:cs="Tahoma"/>
                <w:szCs w:val="18"/>
              </w:rPr>
            </w:pPr>
          </w:p>
          <w:p w:rsidR="001D0FDA" w:rsidRPr="002B19BD" w:rsidRDefault="001D0FDA" w:rsidP="00E1668E">
            <w:pPr>
              <w:pStyle w:val="Tabletext"/>
              <w:rPr>
                <w:rFonts w:cs="Tahoma"/>
                <w:i/>
                <w:szCs w:val="18"/>
              </w:rPr>
            </w:pPr>
            <w:r>
              <w:rPr>
                <w:rFonts w:cs="Tahoma"/>
                <w:i/>
                <w:szCs w:val="18"/>
              </w:rPr>
              <w:t>Intervention</w:t>
            </w:r>
          </w:p>
          <w:p w:rsidR="001D0FDA" w:rsidRDefault="001D0FDA" w:rsidP="00E1668E">
            <w:pPr>
              <w:pStyle w:val="Tabletext"/>
              <w:rPr>
                <w:rFonts w:cs="Tahoma"/>
                <w:i/>
                <w:szCs w:val="18"/>
              </w:rPr>
            </w:pPr>
            <w:r w:rsidRPr="00D81DEE">
              <w:rPr>
                <w:rFonts w:cs="Tahoma"/>
                <w:szCs w:val="18"/>
              </w:rPr>
              <w:t>Placebo od</w:t>
            </w:r>
          </w:p>
        </w:tc>
        <w:tc>
          <w:tcPr>
            <w:tcW w:w="771" w:type="pct"/>
          </w:tcPr>
          <w:p w:rsidR="001D0FDA" w:rsidRPr="002B19BD" w:rsidRDefault="001D0FDA" w:rsidP="00E1668E">
            <w:pPr>
              <w:pStyle w:val="Tabletext"/>
              <w:rPr>
                <w:rFonts w:cs="Tahoma"/>
                <w:i/>
                <w:szCs w:val="18"/>
              </w:rPr>
            </w:pPr>
            <w:r w:rsidRPr="002B19BD">
              <w:rPr>
                <w:rFonts w:cs="Tahoma"/>
                <w:i/>
                <w:szCs w:val="18"/>
              </w:rPr>
              <w:t>Effectiveness:</w:t>
            </w:r>
          </w:p>
          <w:p w:rsidR="001D0FDA" w:rsidRPr="002B19BD" w:rsidRDefault="001D0FDA" w:rsidP="00E1668E">
            <w:pPr>
              <w:pStyle w:val="Tabletext"/>
              <w:rPr>
                <w:rFonts w:cs="Tahoma"/>
                <w:szCs w:val="18"/>
              </w:rPr>
            </w:pPr>
            <w:r w:rsidRPr="002B19BD">
              <w:rPr>
                <w:rFonts w:cs="Tahoma"/>
                <w:szCs w:val="18"/>
              </w:rPr>
              <w:t>Primary:</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Change in 6MWD at Week 12</w:t>
            </w:r>
            <w:r w:rsidRPr="002B19BD">
              <w:rPr>
                <w:rFonts w:cs="Tahoma"/>
                <w:szCs w:val="18"/>
                <w:vertAlign w:val="superscript"/>
              </w:rPr>
              <w:t>c</w:t>
            </w:r>
          </w:p>
          <w:p w:rsidR="001D0FDA" w:rsidRPr="002B19BD" w:rsidRDefault="001D0FDA" w:rsidP="00E1668E">
            <w:pPr>
              <w:pStyle w:val="Tabletext"/>
              <w:rPr>
                <w:rFonts w:cs="Tahoma"/>
                <w:szCs w:val="18"/>
              </w:rPr>
            </w:pPr>
            <w:r w:rsidRPr="002B19BD">
              <w:rPr>
                <w:rFonts w:cs="Tahoma"/>
                <w:szCs w:val="18"/>
              </w:rPr>
              <w:t>Secondary:</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Time to clinical worsening</w:t>
            </w:r>
            <w:r w:rsidRPr="002B19BD">
              <w:rPr>
                <w:rFonts w:cs="Tahoma"/>
                <w:szCs w:val="18"/>
                <w:vertAlign w:val="superscript"/>
              </w:rPr>
              <w:t>c</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Change in WHO FC at Week 12</w:t>
            </w:r>
            <w:r w:rsidRPr="002B19BD">
              <w:rPr>
                <w:rFonts w:cs="Tahoma"/>
                <w:szCs w:val="18"/>
                <w:vertAlign w:val="superscript"/>
              </w:rPr>
              <w:t>c</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Change in SF-36 Health Survey physical functioning scales at Week 12</w:t>
            </w:r>
          </w:p>
          <w:p w:rsidR="001D0FDA" w:rsidRDefault="001D0FDA" w:rsidP="00E1668E">
            <w:pPr>
              <w:pStyle w:val="Tabletext"/>
              <w:numPr>
                <w:ilvl w:val="0"/>
                <w:numId w:val="54"/>
              </w:numPr>
              <w:ind w:left="239" w:hanging="144"/>
              <w:rPr>
                <w:rFonts w:cs="Tahoma"/>
                <w:szCs w:val="18"/>
              </w:rPr>
            </w:pPr>
            <w:r w:rsidRPr="002B19BD">
              <w:rPr>
                <w:rFonts w:cs="Tahoma"/>
                <w:szCs w:val="18"/>
              </w:rPr>
              <w:t xml:space="preserve">Change in </w:t>
            </w:r>
            <w:r>
              <w:rPr>
                <w:rFonts w:cs="Tahoma"/>
                <w:szCs w:val="18"/>
              </w:rPr>
              <w:t>BDS</w:t>
            </w:r>
            <w:r w:rsidRPr="002B19BD">
              <w:rPr>
                <w:rFonts w:cs="Tahoma"/>
                <w:szCs w:val="18"/>
              </w:rPr>
              <w:t xml:space="preserve"> at Week 12</w:t>
            </w:r>
          </w:p>
          <w:p w:rsidR="001D0FDA" w:rsidRDefault="001D0FDA" w:rsidP="00E1668E">
            <w:pPr>
              <w:pStyle w:val="Tabletext"/>
              <w:ind w:left="95"/>
              <w:rPr>
                <w:rFonts w:cs="Tahoma"/>
                <w:szCs w:val="18"/>
              </w:rPr>
            </w:pPr>
          </w:p>
          <w:p w:rsidR="001D0FDA" w:rsidRPr="002B19BD" w:rsidRDefault="001D0FDA" w:rsidP="00E1668E">
            <w:pPr>
              <w:pStyle w:val="Tabletext"/>
              <w:rPr>
                <w:rFonts w:cs="Tahoma"/>
                <w:szCs w:val="18"/>
              </w:rPr>
            </w:pPr>
            <w:r w:rsidRPr="002B19BD">
              <w:rPr>
                <w:rFonts w:cs="Tahoma"/>
                <w:i/>
                <w:szCs w:val="18"/>
              </w:rPr>
              <w:t>Safety</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Adverse events</w:t>
            </w:r>
          </w:p>
        </w:tc>
      </w:tr>
      <w:tr w:rsidR="001D0FDA" w:rsidRPr="00204000" w:rsidTr="00E1668E">
        <w:tc>
          <w:tcPr>
            <w:tcW w:w="531" w:type="pct"/>
          </w:tcPr>
          <w:p w:rsidR="001D0FDA" w:rsidRPr="00D53F84" w:rsidRDefault="001D0FDA" w:rsidP="00E1668E">
            <w:pPr>
              <w:pStyle w:val="Tabletext"/>
              <w:ind w:right="-28"/>
              <w:rPr>
                <w:rFonts w:eastAsia="Times New Roman"/>
              </w:rPr>
            </w:pPr>
            <w:r w:rsidRPr="00D53F84">
              <w:rPr>
                <w:rFonts w:eastAsia="Times New Roman"/>
              </w:rPr>
              <w:t>ARIES-2</w:t>
            </w:r>
            <w:r w:rsidR="001D34EE" w:rsidRPr="001A1C44">
              <w:rPr>
                <w:rFonts w:eastAsia="Times New Roman"/>
                <w:noProof/>
                <w:vertAlign w:val="superscript"/>
              </w:rPr>
              <w:t>33</w:t>
            </w:r>
            <w:r w:rsidR="001A1C44" w:rsidRPr="001A1C44">
              <w:rPr>
                <w:rFonts w:eastAsia="Times New Roman"/>
                <w:noProof/>
                <w:vertAlign w:val="superscript"/>
              </w:rPr>
              <w:t xml:space="preserve">, </w:t>
            </w:r>
            <w:r w:rsidR="001D34EE" w:rsidRPr="001A1C44">
              <w:rPr>
                <w:rFonts w:eastAsia="Times New Roman"/>
                <w:noProof/>
                <w:vertAlign w:val="superscript"/>
              </w:rPr>
              <w:t>34</w:t>
            </w:r>
          </w:p>
          <w:p w:rsidR="001D0FDA" w:rsidRPr="00D53F84" w:rsidRDefault="001D0FDA" w:rsidP="00E1668E">
            <w:pPr>
              <w:pStyle w:val="Tabletext"/>
              <w:ind w:right="-28"/>
              <w:rPr>
                <w:rFonts w:eastAsia="Times New Roman"/>
              </w:rPr>
            </w:pPr>
            <w:r w:rsidRPr="00D53F84">
              <w:rPr>
                <w:rFonts w:eastAsia="Times New Roman"/>
                <w:lang w:eastAsia="en-US"/>
              </w:rPr>
              <w:t>2003-2006</w:t>
            </w:r>
          </w:p>
          <w:p w:rsidR="001D0FDA" w:rsidRPr="00D53F84" w:rsidRDefault="001D0FDA" w:rsidP="00E1668E">
            <w:pPr>
              <w:pStyle w:val="Tabletext"/>
              <w:ind w:right="-28"/>
              <w:rPr>
                <w:rFonts w:eastAsia="Times New Roman"/>
                <w:lang w:eastAsia="en-US"/>
              </w:rPr>
            </w:pPr>
            <w:r w:rsidRPr="00D53F84">
              <w:rPr>
                <w:rFonts w:eastAsia="Times New Roman"/>
                <w:lang w:eastAsia="en-US"/>
              </w:rPr>
              <w:t>Europe, Israel, South America</w:t>
            </w:r>
          </w:p>
        </w:tc>
        <w:tc>
          <w:tcPr>
            <w:tcW w:w="476" w:type="pct"/>
          </w:tcPr>
          <w:p w:rsidR="001D0FDA" w:rsidRPr="00D53F84" w:rsidRDefault="001D0FDA" w:rsidP="00E1668E">
            <w:pPr>
              <w:pStyle w:val="Tabletext"/>
              <w:ind w:right="-28"/>
              <w:rPr>
                <w:rFonts w:eastAsia="Times New Roman"/>
                <w:lang w:eastAsia="en-US"/>
              </w:rPr>
            </w:pPr>
            <w:r w:rsidRPr="00D53F84">
              <w:rPr>
                <w:rFonts w:eastAsia="Times New Roman"/>
                <w:lang w:eastAsia="en-US"/>
              </w:rPr>
              <w:t>RCT, DB</w:t>
            </w:r>
          </w:p>
          <w:p w:rsidR="001D0FDA" w:rsidRPr="00351FF5" w:rsidRDefault="001D0FDA" w:rsidP="00E1668E">
            <w:pPr>
              <w:pStyle w:val="Tabletext"/>
              <w:rPr>
                <w:rFonts w:cs="Tahoma"/>
                <w:szCs w:val="18"/>
              </w:rPr>
            </w:pPr>
            <w:r w:rsidRPr="00351FF5">
              <w:rPr>
                <w:rFonts w:cs="Tahoma"/>
                <w:szCs w:val="18"/>
              </w:rPr>
              <w:t>Level II evidence</w:t>
            </w:r>
          </w:p>
          <w:p w:rsidR="001D0FDA" w:rsidRPr="00D53F84" w:rsidRDefault="001D0FDA" w:rsidP="00E1668E">
            <w:pPr>
              <w:pStyle w:val="Tabletext"/>
              <w:ind w:right="-28"/>
              <w:rPr>
                <w:rFonts w:eastAsia="Times New Roman"/>
                <w:lang w:eastAsia="en-US"/>
              </w:rPr>
            </w:pPr>
            <w:r>
              <w:rPr>
                <w:rFonts w:eastAsia="Times New Roman"/>
                <w:lang w:eastAsia="en-US"/>
              </w:rPr>
              <w:t xml:space="preserve">Follow-up: </w:t>
            </w:r>
            <w:r w:rsidRPr="00D53F84">
              <w:rPr>
                <w:rFonts w:eastAsia="Times New Roman"/>
                <w:lang w:eastAsia="en-US"/>
              </w:rPr>
              <w:t>12 weeks</w:t>
            </w:r>
          </w:p>
          <w:p w:rsidR="001D0FDA" w:rsidRPr="00D53F84" w:rsidRDefault="001D0FDA" w:rsidP="00E1668E">
            <w:pPr>
              <w:pStyle w:val="Tabletext"/>
              <w:ind w:right="-28"/>
              <w:rPr>
                <w:rFonts w:eastAsia="Times New Roman"/>
                <w:snapToGrid w:val="0"/>
                <w:lang w:eastAsia="en-US"/>
              </w:rPr>
            </w:pPr>
            <w:r>
              <w:rPr>
                <w:rFonts w:eastAsia="Times New Roman"/>
                <w:lang w:eastAsia="en-US"/>
              </w:rPr>
              <w:t>Risk of bias: l</w:t>
            </w:r>
            <w:r w:rsidRPr="00D53F84">
              <w:rPr>
                <w:rFonts w:eastAsia="Times New Roman"/>
                <w:lang w:eastAsia="en-US"/>
              </w:rPr>
              <w:t>ow-to-moderate</w:t>
            </w:r>
          </w:p>
        </w:tc>
        <w:tc>
          <w:tcPr>
            <w:tcW w:w="772" w:type="pct"/>
          </w:tcPr>
          <w:p w:rsidR="001D0FDA" w:rsidRPr="00B93934" w:rsidRDefault="001D0FDA" w:rsidP="00E1668E">
            <w:pPr>
              <w:pStyle w:val="Tabletext"/>
              <w:rPr>
                <w:rFonts w:cs="Tahoma"/>
                <w:i/>
                <w:szCs w:val="18"/>
              </w:rPr>
            </w:pPr>
            <w:r w:rsidRPr="00B93934">
              <w:rPr>
                <w:rFonts w:cs="Tahoma"/>
                <w:i/>
                <w:szCs w:val="18"/>
              </w:rPr>
              <w:t>Inclusion criteria</w:t>
            </w:r>
          </w:p>
          <w:p w:rsidR="001D0FDA" w:rsidRDefault="001D0FDA" w:rsidP="00E1668E">
            <w:pPr>
              <w:pStyle w:val="Tabletext"/>
              <w:numPr>
                <w:ilvl w:val="0"/>
                <w:numId w:val="54"/>
              </w:numPr>
              <w:ind w:left="239" w:hanging="144"/>
              <w:rPr>
                <w:rFonts w:cs="Tahoma"/>
                <w:szCs w:val="18"/>
              </w:rPr>
            </w:pPr>
            <w:r w:rsidRPr="00B93934">
              <w:rPr>
                <w:rFonts w:cs="Tahoma"/>
                <w:szCs w:val="18"/>
              </w:rPr>
              <w:t xml:space="preserve">Patients with IPAH, PAH-CTD, PAH-HIV or anorexigen-associated PAH </w:t>
            </w:r>
          </w:p>
          <w:p w:rsidR="001D0FDA" w:rsidRPr="00B93934" w:rsidRDefault="001D0FDA" w:rsidP="00E1668E">
            <w:pPr>
              <w:pStyle w:val="Tabletext"/>
              <w:ind w:left="239"/>
              <w:rPr>
                <w:rFonts w:cs="Tahoma"/>
                <w:szCs w:val="18"/>
              </w:rPr>
            </w:pPr>
          </w:p>
          <w:p w:rsidR="001D0FDA" w:rsidRPr="00B93934" w:rsidRDefault="001D0FDA" w:rsidP="00E1668E">
            <w:pPr>
              <w:pStyle w:val="Tabletext"/>
              <w:rPr>
                <w:rFonts w:cs="Tahoma"/>
                <w:i/>
                <w:szCs w:val="18"/>
              </w:rPr>
            </w:pPr>
            <w:r w:rsidRPr="00B93934">
              <w:rPr>
                <w:rFonts w:cs="Tahoma"/>
                <w:i/>
                <w:szCs w:val="18"/>
              </w:rPr>
              <w:t>Inclusion criteria:</w:t>
            </w:r>
          </w:p>
          <w:p w:rsidR="001D0FDA" w:rsidRPr="00B93934" w:rsidRDefault="001D0FDA" w:rsidP="00E1668E">
            <w:pPr>
              <w:pStyle w:val="Tabletext"/>
              <w:numPr>
                <w:ilvl w:val="0"/>
                <w:numId w:val="54"/>
              </w:numPr>
              <w:ind w:left="239" w:hanging="144"/>
              <w:rPr>
                <w:rFonts w:cs="Tahoma"/>
                <w:szCs w:val="18"/>
              </w:rPr>
            </w:pPr>
            <w:r w:rsidRPr="00B93934">
              <w:rPr>
                <w:rFonts w:cs="Tahoma"/>
                <w:szCs w:val="18"/>
              </w:rPr>
              <w:t>Patients with 6MWD &lt;150</w:t>
            </w:r>
            <w:r w:rsidR="00776155">
              <w:rPr>
                <w:rFonts w:cs="Tahoma"/>
                <w:szCs w:val="18"/>
              </w:rPr>
              <w:t> </w:t>
            </w:r>
            <w:r>
              <w:rPr>
                <w:rFonts w:cs="Tahoma"/>
                <w:szCs w:val="18"/>
              </w:rPr>
              <w:t>m</w:t>
            </w:r>
            <w:r w:rsidRPr="00B93934">
              <w:rPr>
                <w:rFonts w:cs="Tahoma"/>
                <w:szCs w:val="18"/>
              </w:rPr>
              <w:t xml:space="preserve"> or &gt;450</w:t>
            </w:r>
            <w:r w:rsidR="00776155">
              <w:rPr>
                <w:rFonts w:cs="Tahoma"/>
                <w:szCs w:val="18"/>
              </w:rPr>
              <w:t> </w:t>
            </w:r>
            <w:r>
              <w:rPr>
                <w:rFonts w:cs="Tahoma"/>
                <w:szCs w:val="18"/>
              </w:rPr>
              <w:t>m</w:t>
            </w:r>
          </w:p>
          <w:p w:rsidR="001D0FDA" w:rsidRPr="00B93934" w:rsidRDefault="001D0FDA" w:rsidP="00E1668E">
            <w:pPr>
              <w:pStyle w:val="Tabletext"/>
              <w:numPr>
                <w:ilvl w:val="0"/>
                <w:numId w:val="54"/>
              </w:numPr>
              <w:ind w:left="239" w:hanging="144"/>
              <w:rPr>
                <w:rFonts w:cs="Tahoma"/>
                <w:szCs w:val="18"/>
              </w:rPr>
            </w:pPr>
            <w:r>
              <w:rPr>
                <w:rFonts w:cs="Tahoma"/>
                <w:szCs w:val="18"/>
              </w:rPr>
              <w:t xml:space="preserve">Patients previous treated with </w:t>
            </w:r>
            <w:r w:rsidRPr="00B93934">
              <w:rPr>
                <w:rFonts w:cs="Tahoma"/>
                <w:szCs w:val="18"/>
              </w:rPr>
              <w:t>bosentan, sitaxsentan, sildenafil, epoprostenol, iloprost, or treprostinil</w:t>
            </w:r>
          </w:p>
        </w:tc>
        <w:tc>
          <w:tcPr>
            <w:tcW w:w="0" w:type="auto"/>
          </w:tcPr>
          <w:p w:rsidR="001D0FDA" w:rsidRDefault="001D0FDA" w:rsidP="00E1668E">
            <w:pPr>
              <w:pStyle w:val="Tabletext"/>
              <w:rPr>
                <w:rFonts w:cs="Tahoma"/>
                <w:szCs w:val="18"/>
              </w:rPr>
            </w:pPr>
            <w:r>
              <w:rPr>
                <w:rFonts w:cs="Tahoma"/>
                <w:szCs w:val="18"/>
              </w:rPr>
              <w:t>N=128</w:t>
            </w:r>
          </w:p>
          <w:tbl>
            <w:tblPr>
              <w:tblStyle w:val="TableGrid"/>
              <w:tblW w:w="43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ARIES-2"/>
            </w:tblPr>
            <w:tblGrid>
              <w:gridCol w:w="2018"/>
              <w:gridCol w:w="1237"/>
              <w:gridCol w:w="1114"/>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1D0FDA" w:rsidRPr="00351FF5" w:rsidRDefault="001D0FDA" w:rsidP="00570FC8">
                  <w:pPr>
                    <w:pStyle w:val="Tabletext"/>
                    <w:framePr w:hSpace="181" w:wrap="around" w:hAnchor="text" w:yAlign="bottom"/>
                    <w:spacing w:before="0" w:after="0"/>
                    <w:suppressOverlap/>
                    <w:rPr>
                      <w:rFonts w:cs="Tahoma"/>
                      <w:b/>
                      <w:szCs w:val="18"/>
                    </w:rPr>
                  </w:pPr>
                </w:p>
              </w:tc>
              <w:tc>
                <w:tcPr>
                  <w:tcW w:w="1134" w:type="dxa"/>
                  <w:shd w:val="clear" w:color="auto" w:fill="FFFFFF" w:themeFill="background1"/>
                </w:tcPr>
                <w:p w:rsidR="001D0FDA" w:rsidRPr="00411013" w:rsidRDefault="001D0FDA" w:rsidP="00570FC8">
                  <w:pPr>
                    <w:pStyle w:val="Tabletext"/>
                    <w:framePr w:hSpace="181" w:wrap="around" w:hAnchor="text" w:yAlign="bottom"/>
                    <w:spacing w:before="0"/>
                    <w:suppressOverlap/>
                    <w:jc w:val="center"/>
                    <w:rPr>
                      <w:rFonts w:cs="Tahoma"/>
                      <w:szCs w:val="18"/>
                    </w:rPr>
                  </w:pPr>
                  <w:r w:rsidRPr="00411013">
                    <w:rPr>
                      <w:rFonts w:cs="Tahoma"/>
                      <w:szCs w:val="18"/>
                    </w:rPr>
                    <w:t xml:space="preserve">Ambrisentan </w:t>
                  </w:r>
                  <w:r>
                    <w:rPr>
                      <w:rFonts w:cs="Tahoma"/>
                      <w:szCs w:val="18"/>
                    </w:rPr>
                    <w:t>5</w:t>
                  </w:r>
                  <w:r w:rsidR="00570FC8">
                    <w:rPr>
                      <w:rFonts w:cs="Tahoma"/>
                      <w:szCs w:val="18"/>
                    </w:rPr>
                    <w:t> mg</w:t>
                  </w:r>
                </w:p>
                <w:p w:rsidR="001D0FDA" w:rsidRPr="00802B85" w:rsidRDefault="001D0FDA" w:rsidP="00570FC8">
                  <w:pPr>
                    <w:pStyle w:val="Tabletext"/>
                    <w:framePr w:hSpace="181" w:wrap="around" w:hAnchor="text" w:yAlign="bottom"/>
                    <w:spacing w:before="0"/>
                    <w:suppressOverlap/>
                    <w:jc w:val="center"/>
                    <w:rPr>
                      <w:rFonts w:cs="Tahoma"/>
                      <w:szCs w:val="18"/>
                    </w:rPr>
                  </w:pPr>
                  <w:r>
                    <w:rPr>
                      <w:rFonts w:cs="Tahoma"/>
                      <w:szCs w:val="18"/>
                    </w:rPr>
                    <w:t>(N=63)</w:t>
                  </w:r>
                </w:p>
              </w:tc>
              <w:tc>
                <w:tcPr>
                  <w:tcW w:w="1134"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Pr>
                      <w:rFonts w:cs="Tahoma"/>
                      <w:szCs w:val="18"/>
                    </w:rPr>
                    <w:t>Placebo</w:t>
                  </w:r>
                  <w:r>
                    <w:rPr>
                      <w:rFonts w:cs="Tahoma"/>
                      <w:szCs w:val="18"/>
                    </w:rPr>
                    <w:br/>
                    <w:t>(N=65)</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134" w:type="dxa"/>
                  <w:vAlign w:val="center"/>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50±16</w:t>
                  </w:r>
                </w:p>
              </w:tc>
              <w:tc>
                <w:tcPr>
                  <w:tcW w:w="1134"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51±14</w:t>
                  </w:r>
                </w:p>
              </w:tc>
            </w:tr>
            <w:tr w:rsidR="001D0FDA" w:rsidRPr="00351FF5" w:rsidTr="001D0FDA">
              <w:tc>
                <w:tcPr>
                  <w:tcW w:w="2101"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134"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51 (81%)</w:t>
                  </w:r>
                </w:p>
              </w:tc>
              <w:tc>
                <w:tcPr>
                  <w:tcW w:w="1134"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44 (68%)</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134"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IPAH</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 xml:space="preserve">41 (65%) </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42 (65%)</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PAH-CTD</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21 (33%)</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22 (34%)</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PAH-HIV</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1 (2%)</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1 (2%)</w:t>
                  </w:r>
                </w:p>
              </w:tc>
            </w:tr>
            <w:tr w:rsidR="001D0FDA" w:rsidRPr="00351FF5" w:rsidTr="001D0FDA">
              <w:tc>
                <w:tcPr>
                  <w:tcW w:w="2101" w:type="dxa"/>
                  <w:tcBorders>
                    <w:top w:val="nil"/>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w:t>
                  </w:r>
                  <w:r>
                    <w:rPr>
                      <w:rFonts w:cs="Tahoma"/>
                      <w:szCs w:val="18"/>
                    </w:rPr>
                    <w:t>DT</w:t>
                  </w:r>
                </w:p>
              </w:tc>
              <w:tc>
                <w:tcPr>
                  <w:tcW w:w="1134" w:type="dxa"/>
                  <w:tcBorders>
                    <w:top w:val="nil"/>
                    <w:bottom w:val="single" w:sz="4" w:space="0" w:color="BFBFBF" w:themeColor="background1" w:themeShade="BF"/>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0 (0%)</w:t>
                  </w:r>
                </w:p>
              </w:tc>
              <w:tc>
                <w:tcPr>
                  <w:tcW w:w="1134" w:type="dxa"/>
                  <w:tcBorders>
                    <w:top w:val="nil"/>
                    <w:bottom w:val="single" w:sz="4" w:space="0" w:color="BFBFBF" w:themeColor="background1" w:themeShade="BF"/>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0 (0%)</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134"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1 (2%)</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2 (3%)</w:t>
                  </w:r>
                </w:p>
              </w:tc>
            </w:tr>
            <w:tr w:rsidR="001D0FDA" w:rsidRPr="00351FF5" w:rsidTr="001D0FDA">
              <w:tc>
                <w:tcPr>
                  <w:tcW w:w="2101" w:type="dxa"/>
                  <w:tcBorders>
                    <w:top w:val="nil"/>
                    <w:bottom w:val="nil"/>
                  </w:tcBorders>
                </w:tcPr>
                <w:p w:rsidR="001D0FDA" w:rsidRDefault="001D0FDA" w:rsidP="00570FC8">
                  <w:pPr>
                    <w:pStyle w:val="Tabletext"/>
                    <w:framePr w:hSpace="181" w:wrap="around" w:hAnchor="text" w:yAlign="bottom"/>
                    <w:spacing w:before="0" w:after="0"/>
                    <w:ind w:left="196"/>
                    <w:suppressOverlap/>
                    <w:rPr>
                      <w:rFonts w:cs="Tahoma"/>
                      <w:szCs w:val="18"/>
                    </w:rPr>
                  </w:pPr>
                  <w:r>
                    <w:rPr>
                      <w:rFonts w:cs="Tahoma"/>
                      <w:szCs w:val="18"/>
                    </w:rPr>
                    <w:t>II</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28 (44%)</w:t>
                  </w:r>
                </w:p>
              </w:tc>
              <w:tc>
                <w:tcPr>
                  <w:tcW w:w="1134"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24 (37%)</w:t>
                  </w:r>
                </w:p>
              </w:tc>
            </w:tr>
            <w:tr w:rsidR="001D0FDA" w:rsidRPr="00351FF5" w:rsidTr="001D0FDA">
              <w:tc>
                <w:tcPr>
                  <w:tcW w:w="2101" w:type="dxa"/>
                  <w:tcBorders>
                    <w:top w:val="nil"/>
                    <w:bottom w:val="nil"/>
                  </w:tcBorders>
                </w:tcPr>
                <w:p w:rsidR="001D0FDA" w:rsidRDefault="001D0FDA" w:rsidP="00570FC8">
                  <w:pPr>
                    <w:pStyle w:val="Tabletext"/>
                    <w:framePr w:hSpace="181" w:wrap="around" w:hAnchor="text" w:yAlign="bottom"/>
                    <w:spacing w:before="0" w:after="0"/>
                    <w:ind w:left="196"/>
                    <w:suppressOverlap/>
                    <w:rPr>
                      <w:rFonts w:cs="Tahoma"/>
                      <w:szCs w:val="18"/>
                    </w:rPr>
                  </w:pPr>
                  <w:r>
                    <w:rPr>
                      <w:rFonts w:cs="Tahoma"/>
                      <w:szCs w:val="18"/>
                    </w:rPr>
                    <w:t>III</w:t>
                  </w:r>
                </w:p>
              </w:tc>
              <w:tc>
                <w:tcPr>
                  <w:tcW w:w="1134"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33 (52%)</w:t>
                  </w:r>
                </w:p>
              </w:tc>
              <w:tc>
                <w:tcPr>
                  <w:tcW w:w="1134"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37 (57%)</w:t>
                  </w:r>
                </w:p>
              </w:tc>
            </w:tr>
            <w:tr w:rsidR="001D0FDA" w:rsidRPr="00351FF5" w:rsidTr="001D0FDA">
              <w:tc>
                <w:tcPr>
                  <w:tcW w:w="2101" w:type="dxa"/>
                  <w:tcBorders>
                    <w:top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IV</w:t>
                  </w:r>
                </w:p>
              </w:tc>
              <w:tc>
                <w:tcPr>
                  <w:tcW w:w="1134" w:type="dxa"/>
                  <w:tcBorders>
                    <w:top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1 (2%)</w:t>
                  </w:r>
                </w:p>
              </w:tc>
              <w:tc>
                <w:tcPr>
                  <w:tcW w:w="1134" w:type="dxa"/>
                  <w:tcBorders>
                    <w:top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2 (3%)</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mPAP, mean±SD (mmHg)</w:t>
                  </w:r>
                </w:p>
              </w:tc>
              <w:tc>
                <w:tcPr>
                  <w:tcW w:w="1134" w:type="dxa"/>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 xml:space="preserve">48±14 </w:t>
                  </w:r>
                </w:p>
              </w:tc>
              <w:tc>
                <w:tcPr>
                  <w:tcW w:w="1134" w:type="dxa"/>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51±3</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PVR, mean±SD (</w:t>
                  </w:r>
                  <w:r>
                    <w:rPr>
                      <w:rFonts w:cs="Tahoma"/>
                      <w:szCs w:val="18"/>
                    </w:rPr>
                    <w:t>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134" w:type="dxa"/>
                </w:tcPr>
                <w:p w:rsidR="001D0FDA" w:rsidRPr="00411013" w:rsidRDefault="001D0FDA" w:rsidP="00570FC8">
                  <w:pPr>
                    <w:pStyle w:val="Tabletext"/>
                    <w:framePr w:hSpace="181" w:wrap="around" w:hAnchor="text" w:yAlign="bottom"/>
                    <w:spacing w:before="0"/>
                    <w:suppressOverlap/>
                    <w:jc w:val="center"/>
                    <w:rPr>
                      <w:rFonts w:cs="Tahoma"/>
                      <w:szCs w:val="18"/>
                    </w:rPr>
                  </w:pPr>
                  <w:r w:rsidRPr="003E6A2B">
                    <w:rPr>
                      <w:rFonts w:cs="Tahoma"/>
                      <w:szCs w:val="18"/>
                    </w:rPr>
                    <w:t>931±672</w:t>
                  </w:r>
                </w:p>
              </w:tc>
              <w:tc>
                <w:tcPr>
                  <w:tcW w:w="1134" w:type="dxa"/>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3E6A2B">
                    <w:rPr>
                      <w:rFonts w:cs="Tahoma"/>
                      <w:szCs w:val="18"/>
                    </w:rPr>
                    <w:t>971±579</w:t>
                  </w:r>
                </w:p>
              </w:tc>
            </w:tr>
          </w:tbl>
          <w:p w:rsidR="009F1E35" w:rsidRDefault="001D0FDA" w:rsidP="00E1668E">
            <w:pPr>
              <w:pStyle w:val="Tabletext"/>
              <w:rPr>
                <w:rFonts w:cs="Tahoma"/>
                <w:szCs w:val="18"/>
              </w:rPr>
            </w:pPr>
            <w:r w:rsidRPr="003E6A2B">
              <w:rPr>
                <w:rFonts w:cs="Tahoma"/>
                <w:szCs w:val="18"/>
              </w:rPr>
              <w:t xml:space="preserve">Data on the patient characteristics for the WHO FC I-II subgroup and WHO FC III-IV subgroup between the two treatment groups were not available. Randomisation </w:t>
            </w:r>
            <w:proofErr w:type="gramStart"/>
            <w:r w:rsidRPr="003E6A2B">
              <w:rPr>
                <w:rFonts w:cs="Tahoma"/>
                <w:szCs w:val="18"/>
              </w:rPr>
              <w:t>was not stratified</w:t>
            </w:r>
            <w:proofErr w:type="gramEnd"/>
            <w:r w:rsidRPr="003E6A2B">
              <w:rPr>
                <w:rFonts w:cs="Tahoma"/>
                <w:szCs w:val="18"/>
              </w:rPr>
              <w:t xml:space="preserve"> according to WHO FC.</w:t>
            </w:r>
          </w:p>
          <w:p w:rsidR="009F1E35" w:rsidRDefault="009F1E35" w:rsidP="00E1668E">
            <w:pPr>
              <w:pStyle w:val="Tabletext"/>
              <w:rPr>
                <w:rFonts w:cs="Tahoma"/>
                <w:szCs w:val="18"/>
              </w:rPr>
            </w:pPr>
          </w:p>
          <w:p w:rsidR="009F1E35" w:rsidRDefault="009F1E35" w:rsidP="00E1668E">
            <w:pPr>
              <w:pStyle w:val="Tabletext"/>
              <w:rPr>
                <w:rFonts w:cs="Tahoma"/>
                <w:szCs w:val="18"/>
              </w:rPr>
            </w:pPr>
          </w:p>
          <w:p w:rsidR="009F1E35" w:rsidRDefault="009F1E35" w:rsidP="00E1668E">
            <w:pPr>
              <w:pStyle w:val="Tabletext"/>
              <w:rPr>
                <w:rFonts w:cs="Tahoma"/>
                <w:szCs w:val="18"/>
              </w:rPr>
            </w:pPr>
          </w:p>
        </w:tc>
        <w:tc>
          <w:tcPr>
            <w:tcW w:w="811" w:type="pct"/>
          </w:tcPr>
          <w:p w:rsidR="001D0FDA" w:rsidRDefault="001D0FDA" w:rsidP="00E1668E">
            <w:pPr>
              <w:pStyle w:val="Tabletext"/>
              <w:rPr>
                <w:rFonts w:cs="Tahoma"/>
                <w:i/>
                <w:szCs w:val="18"/>
              </w:rPr>
            </w:pPr>
            <w:r>
              <w:rPr>
                <w:rFonts w:cs="Tahoma"/>
                <w:i/>
                <w:szCs w:val="18"/>
              </w:rPr>
              <w:t>Intervention:</w:t>
            </w:r>
          </w:p>
          <w:p w:rsidR="001D0FDA" w:rsidRPr="00D81DEE" w:rsidRDefault="001D0FDA" w:rsidP="00E1668E">
            <w:pPr>
              <w:pStyle w:val="Tabletext"/>
              <w:rPr>
                <w:rFonts w:cs="Tahoma"/>
                <w:szCs w:val="18"/>
              </w:rPr>
            </w:pPr>
            <w:r w:rsidRPr="00D81DEE">
              <w:rPr>
                <w:rFonts w:cs="Tahoma"/>
                <w:szCs w:val="18"/>
              </w:rPr>
              <w:t>Ambrisentan</w:t>
            </w:r>
            <w:r>
              <w:rPr>
                <w:rFonts w:cs="Tahoma"/>
                <w:szCs w:val="18"/>
              </w:rPr>
              <w:t>:</w:t>
            </w:r>
            <w:r w:rsidRPr="00D81DEE">
              <w:rPr>
                <w:rFonts w:cs="Tahoma"/>
                <w:szCs w:val="18"/>
              </w:rPr>
              <w:t xml:space="preserve"> 5</w:t>
            </w:r>
            <w:r w:rsidR="00776155">
              <w:rPr>
                <w:rFonts w:cs="Tahoma"/>
                <w:szCs w:val="18"/>
              </w:rPr>
              <w:t> </w:t>
            </w:r>
            <w:r w:rsidRPr="00D81DEE">
              <w:rPr>
                <w:rFonts w:cs="Tahoma"/>
                <w:szCs w:val="18"/>
              </w:rPr>
              <w:t>mg od</w:t>
            </w:r>
          </w:p>
          <w:p w:rsidR="001D0FDA" w:rsidRDefault="001D0FDA" w:rsidP="00E1668E">
            <w:pPr>
              <w:pStyle w:val="Tabletext"/>
              <w:rPr>
                <w:rFonts w:cs="Tahoma"/>
                <w:szCs w:val="18"/>
              </w:rPr>
            </w:pPr>
          </w:p>
          <w:p w:rsidR="001D0FDA" w:rsidRPr="002B19BD" w:rsidRDefault="001D0FDA" w:rsidP="00E1668E">
            <w:pPr>
              <w:pStyle w:val="Tabletext"/>
              <w:rPr>
                <w:rFonts w:cs="Tahoma"/>
                <w:i/>
                <w:szCs w:val="18"/>
              </w:rPr>
            </w:pPr>
            <w:r>
              <w:rPr>
                <w:rFonts w:cs="Tahoma"/>
                <w:i/>
                <w:szCs w:val="18"/>
              </w:rPr>
              <w:t>Intervention</w:t>
            </w:r>
          </w:p>
          <w:p w:rsidR="001D0FDA" w:rsidRPr="00D81DEE" w:rsidRDefault="001D0FDA" w:rsidP="00E1668E">
            <w:pPr>
              <w:pStyle w:val="Tabletext"/>
              <w:rPr>
                <w:rFonts w:cs="Tahoma"/>
                <w:szCs w:val="18"/>
              </w:rPr>
            </w:pPr>
            <w:r w:rsidRPr="00D81DEE">
              <w:rPr>
                <w:rFonts w:cs="Tahoma"/>
                <w:szCs w:val="18"/>
              </w:rPr>
              <w:t>Placebo od</w:t>
            </w:r>
          </w:p>
        </w:tc>
        <w:tc>
          <w:tcPr>
            <w:tcW w:w="771" w:type="pct"/>
          </w:tcPr>
          <w:p w:rsidR="001D0FDA" w:rsidRPr="002B19BD" w:rsidRDefault="001D0FDA" w:rsidP="00E1668E">
            <w:pPr>
              <w:pStyle w:val="Tabletext"/>
              <w:rPr>
                <w:rFonts w:cs="Tahoma"/>
                <w:i/>
                <w:szCs w:val="18"/>
              </w:rPr>
            </w:pPr>
            <w:r w:rsidRPr="002B19BD">
              <w:rPr>
                <w:rFonts w:cs="Tahoma"/>
                <w:i/>
                <w:szCs w:val="18"/>
              </w:rPr>
              <w:t>Effectiveness:</w:t>
            </w:r>
          </w:p>
          <w:p w:rsidR="001D0FDA" w:rsidRPr="002B19BD" w:rsidRDefault="001D0FDA" w:rsidP="00E1668E">
            <w:pPr>
              <w:pStyle w:val="Tabletext"/>
              <w:rPr>
                <w:rFonts w:cs="Tahoma"/>
                <w:szCs w:val="18"/>
              </w:rPr>
            </w:pPr>
            <w:r w:rsidRPr="002B19BD">
              <w:rPr>
                <w:rFonts w:cs="Tahoma"/>
                <w:szCs w:val="18"/>
              </w:rPr>
              <w:t>Primary:</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Change in 6MWD at Week 12</w:t>
            </w:r>
            <w:r w:rsidRPr="002B19BD">
              <w:rPr>
                <w:rFonts w:cs="Tahoma"/>
                <w:szCs w:val="18"/>
                <w:vertAlign w:val="superscript"/>
              </w:rPr>
              <w:t>c</w:t>
            </w:r>
          </w:p>
          <w:p w:rsidR="001D0FDA" w:rsidRPr="002B19BD" w:rsidRDefault="001D0FDA" w:rsidP="00E1668E">
            <w:pPr>
              <w:pStyle w:val="Tabletext"/>
              <w:rPr>
                <w:rFonts w:cs="Tahoma"/>
                <w:szCs w:val="18"/>
              </w:rPr>
            </w:pPr>
            <w:r w:rsidRPr="002B19BD">
              <w:rPr>
                <w:rFonts w:cs="Tahoma"/>
                <w:szCs w:val="18"/>
              </w:rPr>
              <w:t>Secondary:</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Time to clinical worsening</w:t>
            </w:r>
            <w:r w:rsidRPr="002B19BD">
              <w:rPr>
                <w:rFonts w:cs="Tahoma"/>
                <w:szCs w:val="18"/>
                <w:vertAlign w:val="superscript"/>
              </w:rPr>
              <w:t>c</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Change in WHO FC at Week 12</w:t>
            </w:r>
            <w:r w:rsidRPr="002B19BD">
              <w:rPr>
                <w:rFonts w:cs="Tahoma"/>
                <w:szCs w:val="18"/>
                <w:vertAlign w:val="superscript"/>
              </w:rPr>
              <w:t>c</w:t>
            </w:r>
          </w:p>
          <w:p w:rsidR="001D0FDA" w:rsidRPr="002B19BD" w:rsidRDefault="001D0FDA" w:rsidP="00E1668E">
            <w:pPr>
              <w:pStyle w:val="Tabletext"/>
              <w:numPr>
                <w:ilvl w:val="0"/>
                <w:numId w:val="54"/>
              </w:numPr>
              <w:ind w:left="239" w:hanging="144"/>
              <w:rPr>
                <w:rFonts w:cs="Tahoma"/>
                <w:szCs w:val="18"/>
              </w:rPr>
            </w:pPr>
            <w:r w:rsidRPr="002B19BD">
              <w:rPr>
                <w:rFonts w:cs="Tahoma"/>
                <w:szCs w:val="18"/>
              </w:rPr>
              <w:t>Change in SF-36 Health Survey physical functioning scales at Week 12</w:t>
            </w:r>
          </w:p>
          <w:p w:rsidR="001D0FDA" w:rsidRDefault="001D0FDA" w:rsidP="00E1668E">
            <w:pPr>
              <w:pStyle w:val="Tabletext"/>
              <w:numPr>
                <w:ilvl w:val="0"/>
                <w:numId w:val="54"/>
              </w:numPr>
              <w:ind w:left="239" w:hanging="144"/>
              <w:rPr>
                <w:rFonts w:cs="Tahoma"/>
                <w:szCs w:val="18"/>
              </w:rPr>
            </w:pPr>
            <w:r w:rsidRPr="002B19BD">
              <w:rPr>
                <w:rFonts w:cs="Tahoma"/>
                <w:szCs w:val="18"/>
              </w:rPr>
              <w:t xml:space="preserve">Change in </w:t>
            </w:r>
            <w:r>
              <w:rPr>
                <w:rFonts w:cs="Tahoma"/>
                <w:szCs w:val="18"/>
              </w:rPr>
              <w:t>BDS</w:t>
            </w:r>
            <w:r w:rsidRPr="002B19BD">
              <w:rPr>
                <w:rFonts w:cs="Tahoma"/>
                <w:szCs w:val="18"/>
              </w:rPr>
              <w:t xml:space="preserve"> at Week 12</w:t>
            </w:r>
          </w:p>
          <w:p w:rsidR="001D0FDA" w:rsidRDefault="001D0FDA" w:rsidP="00E1668E">
            <w:pPr>
              <w:pStyle w:val="Tabletext"/>
              <w:ind w:left="95"/>
              <w:rPr>
                <w:rFonts w:cs="Tahoma"/>
                <w:szCs w:val="18"/>
              </w:rPr>
            </w:pPr>
          </w:p>
          <w:p w:rsidR="001D0FDA" w:rsidRPr="002B19BD" w:rsidRDefault="001D0FDA" w:rsidP="00E1668E">
            <w:pPr>
              <w:pStyle w:val="Tabletext"/>
              <w:rPr>
                <w:rFonts w:cs="Tahoma"/>
                <w:szCs w:val="18"/>
              </w:rPr>
            </w:pPr>
            <w:r w:rsidRPr="002B19BD">
              <w:rPr>
                <w:rFonts w:cs="Tahoma"/>
                <w:i/>
                <w:szCs w:val="18"/>
              </w:rPr>
              <w:t>Safety</w:t>
            </w:r>
          </w:p>
          <w:p w:rsidR="001D0FDA" w:rsidRPr="005331C3" w:rsidRDefault="001D0FDA" w:rsidP="00E1668E">
            <w:pPr>
              <w:pStyle w:val="Tabletext"/>
              <w:numPr>
                <w:ilvl w:val="0"/>
                <w:numId w:val="54"/>
              </w:numPr>
              <w:ind w:left="239" w:hanging="144"/>
              <w:rPr>
                <w:rFonts w:cs="Tahoma"/>
                <w:i/>
                <w:szCs w:val="18"/>
              </w:rPr>
            </w:pPr>
            <w:r w:rsidRPr="002B19BD">
              <w:rPr>
                <w:rFonts w:cs="Tahoma"/>
                <w:szCs w:val="18"/>
              </w:rPr>
              <w:t>Adverse events</w:t>
            </w:r>
          </w:p>
        </w:tc>
      </w:tr>
      <w:tr w:rsidR="001D0FDA" w:rsidRPr="00204000" w:rsidTr="00E1668E">
        <w:tc>
          <w:tcPr>
            <w:tcW w:w="531" w:type="pct"/>
          </w:tcPr>
          <w:p w:rsidR="001D0FDA" w:rsidRPr="00D53F84" w:rsidRDefault="001D0FDA" w:rsidP="00E1668E">
            <w:pPr>
              <w:pStyle w:val="Tabletext"/>
              <w:ind w:right="-28"/>
              <w:rPr>
                <w:rFonts w:eastAsia="Times New Roman"/>
                <w:lang w:eastAsia="en-US"/>
              </w:rPr>
            </w:pPr>
            <w:r w:rsidRPr="00D53F84">
              <w:rPr>
                <w:rFonts w:eastAsia="Times New Roman"/>
                <w:lang w:eastAsia="en-US"/>
              </w:rPr>
              <w:t>BREATHE-2</w:t>
            </w:r>
            <w:r w:rsidR="001D34EE" w:rsidRPr="001A1C44">
              <w:rPr>
                <w:rFonts w:cs="Tahoma"/>
                <w:noProof/>
                <w:vertAlign w:val="superscript"/>
              </w:rPr>
              <w:t>35</w:t>
            </w:r>
          </w:p>
          <w:p w:rsidR="001D0FDA" w:rsidRPr="00D53F84" w:rsidRDefault="001D0FDA" w:rsidP="00E1668E">
            <w:pPr>
              <w:pStyle w:val="Tabletext"/>
              <w:ind w:right="-28"/>
              <w:rPr>
                <w:rFonts w:eastAsia="Times New Roman"/>
                <w:lang w:eastAsia="en-US"/>
              </w:rPr>
            </w:pPr>
            <w:r w:rsidRPr="00D53F84">
              <w:rPr>
                <w:rFonts w:eastAsia="Times New Roman"/>
                <w:snapToGrid w:val="0"/>
                <w:lang w:eastAsia="en-US"/>
              </w:rPr>
              <w:t>No later than 2004</w:t>
            </w:r>
            <w:r>
              <w:rPr>
                <w:rFonts w:eastAsia="Times New Roman"/>
                <w:snapToGrid w:val="0"/>
                <w:vertAlign w:val="superscript"/>
                <w:lang w:eastAsia="en-US"/>
              </w:rPr>
              <w:t>d</w:t>
            </w:r>
          </w:p>
          <w:p w:rsidR="001D0FDA" w:rsidRDefault="001D0FDA" w:rsidP="00E1668E">
            <w:pPr>
              <w:pStyle w:val="Tabletext"/>
              <w:rPr>
                <w:rFonts w:cs="Tahoma"/>
                <w:szCs w:val="18"/>
              </w:rPr>
            </w:pPr>
            <w:r w:rsidRPr="00D53F84">
              <w:rPr>
                <w:rFonts w:eastAsia="Times New Roman"/>
                <w:snapToGrid w:val="0"/>
                <w:lang w:eastAsia="en-US"/>
              </w:rPr>
              <w:t>US, Europe</w:t>
            </w:r>
          </w:p>
        </w:tc>
        <w:tc>
          <w:tcPr>
            <w:tcW w:w="476" w:type="pct"/>
          </w:tcPr>
          <w:p w:rsidR="001D0FDA" w:rsidRDefault="001D0FDA" w:rsidP="00E1668E">
            <w:pPr>
              <w:pStyle w:val="Tabletext"/>
              <w:ind w:right="-28"/>
              <w:rPr>
                <w:rFonts w:eastAsia="Times New Roman"/>
                <w:snapToGrid w:val="0"/>
                <w:lang w:eastAsia="en-US"/>
              </w:rPr>
            </w:pPr>
            <w:r w:rsidRPr="00D53F84">
              <w:rPr>
                <w:rFonts w:eastAsia="Times New Roman"/>
                <w:snapToGrid w:val="0"/>
                <w:lang w:eastAsia="en-US"/>
              </w:rPr>
              <w:t>RCT, DB</w:t>
            </w:r>
          </w:p>
          <w:p w:rsidR="001D0FDA" w:rsidRPr="00D53F84" w:rsidRDefault="001D0FDA" w:rsidP="00E1668E">
            <w:pPr>
              <w:pStyle w:val="Tabletext"/>
              <w:ind w:right="-28"/>
              <w:rPr>
                <w:rFonts w:eastAsia="Times New Roman"/>
                <w:snapToGrid w:val="0"/>
                <w:lang w:eastAsia="en-US"/>
              </w:rPr>
            </w:pPr>
            <w:r>
              <w:rPr>
                <w:rFonts w:eastAsia="Times New Roman"/>
                <w:snapToGrid w:val="0"/>
                <w:lang w:eastAsia="en-US"/>
              </w:rPr>
              <w:t>Level II evidence</w:t>
            </w:r>
          </w:p>
          <w:p w:rsidR="001D0FDA" w:rsidRPr="00D53F84" w:rsidRDefault="001D0FDA" w:rsidP="00E1668E">
            <w:pPr>
              <w:pStyle w:val="Tabletext"/>
              <w:ind w:right="-28"/>
              <w:rPr>
                <w:rFonts w:eastAsia="Times New Roman"/>
                <w:snapToGrid w:val="0"/>
                <w:lang w:eastAsia="en-US"/>
              </w:rPr>
            </w:pPr>
            <w:r>
              <w:rPr>
                <w:rFonts w:eastAsia="Times New Roman"/>
                <w:snapToGrid w:val="0"/>
                <w:lang w:eastAsia="en-US"/>
              </w:rPr>
              <w:t xml:space="preserve">Follow-up: </w:t>
            </w:r>
            <w:r w:rsidRPr="00D53F84">
              <w:rPr>
                <w:rFonts w:eastAsia="Times New Roman"/>
                <w:snapToGrid w:val="0"/>
                <w:lang w:eastAsia="en-US"/>
              </w:rPr>
              <w:t>16 weeks</w:t>
            </w:r>
          </w:p>
          <w:p w:rsidR="001D0FDA" w:rsidRPr="00351FF5" w:rsidRDefault="001D0FDA" w:rsidP="00E1668E">
            <w:pPr>
              <w:pStyle w:val="Tabletext"/>
              <w:rPr>
                <w:rFonts w:cs="Tahoma"/>
                <w:szCs w:val="18"/>
              </w:rPr>
            </w:pPr>
            <w:r>
              <w:rPr>
                <w:rFonts w:eastAsia="Times New Roman"/>
                <w:snapToGrid w:val="0"/>
                <w:lang w:eastAsia="en-US"/>
              </w:rPr>
              <w:t>Risk of bias: l</w:t>
            </w:r>
            <w:r w:rsidRPr="00D53F84">
              <w:rPr>
                <w:rFonts w:eastAsia="Times New Roman"/>
                <w:snapToGrid w:val="0"/>
                <w:lang w:eastAsia="en-US"/>
              </w:rPr>
              <w:t>ow-to-moderate</w:t>
            </w:r>
          </w:p>
        </w:tc>
        <w:tc>
          <w:tcPr>
            <w:tcW w:w="772" w:type="pct"/>
          </w:tcPr>
          <w:p w:rsidR="001D0FDA" w:rsidRPr="0049122E" w:rsidRDefault="001D0FDA" w:rsidP="00E1668E">
            <w:pPr>
              <w:pStyle w:val="Tabletext"/>
              <w:rPr>
                <w:rFonts w:cs="Tahoma"/>
                <w:i/>
                <w:szCs w:val="18"/>
              </w:rPr>
            </w:pPr>
            <w:r w:rsidRPr="0049122E">
              <w:rPr>
                <w:rFonts w:cs="Tahoma"/>
                <w:i/>
                <w:szCs w:val="18"/>
              </w:rPr>
              <w:t>Inclusion criteria</w:t>
            </w:r>
          </w:p>
          <w:p w:rsidR="001D0FDA" w:rsidRPr="0049122E" w:rsidRDefault="001D0FDA" w:rsidP="00E1668E">
            <w:pPr>
              <w:pStyle w:val="Tabletext"/>
              <w:numPr>
                <w:ilvl w:val="0"/>
                <w:numId w:val="54"/>
              </w:numPr>
              <w:ind w:left="239" w:hanging="144"/>
              <w:rPr>
                <w:rFonts w:cs="Tahoma"/>
                <w:szCs w:val="18"/>
              </w:rPr>
            </w:pPr>
            <w:r w:rsidRPr="0049122E">
              <w:rPr>
                <w:rFonts w:cs="Tahoma"/>
                <w:szCs w:val="18"/>
              </w:rPr>
              <w:t>Patients with WHO FC III/IV IPAH or PAH-CTD</w:t>
            </w:r>
          </w:p>
          <w:p w:rsidR="001D0FDA" w:rsidRPr="0049122E" w:rsidRDefault="001D0FDA" w:rsidP="00E1668E">
            <w:pPr>
              <w:pStyle w:val="Tabletext"/>
              <w:numPr>
                <w:ilvl w:val="0"/>
                <w:numId w:val="54"/>
              </w:numPr>
              <w:ind w:left="239" w:hanging="144"/>
              <w:rPr>
                <w:rFonts w:cs="Tahoma"/>
                <w:szCs w:val="18"/>
              </w:rPr>
            </w:pPr>
            <w:r w:rsidRPr="0049122E">
              <w:rPr>
                <w:rFonts w:cs="Tahoma"/>
                <w:szCs w:val="18"/>
              </w:rPr>
              <w:t>Scheduled for epoprostenol therapy within 2 weeks of screening.</w:t>
            </w:r>
          </w:p>
          <w:p w:rsidR="001D0FDA" w:rsidRPr="0049122E" w:rsidRDefault="001D0FDA" w:rsidP="00E1668E">
            <w:pPr>
              <w:pStyle w:val="Tabletext"/>
              <w:rPr>
                <w:rFonts w:cs="Tahoma"/>
                <w:i/>
                <w:szCs w:val="18"/>
              </w:rPr>
            </w:pPr>
          </w:p>
          <w:p w:rsidR="001D0FDA" w:rsidRPr="0049122E" w:rsidRDefault="001D0FDA" w:rsidP="00E1668E">
            <w:pPr>
              <w:pStyle w:val="Tabletext"/>
              <w:rPr>
                <w:rFonts w:cs="Tahoma"/>
                <w:i/>
                <w:szCs w:val="18"/>
              </w:rPr>
            </w:pPr>
            <w:r w:rsidRPr="0049122E">
              <w:rPr>
                <w:rFonts w:cs="Tahoma"/>
                <w:i/>
                <w:szCs w:val="18"/>
              </w:rPr>
              <w:t>Exclusion criteria</w:t>
            </w:r>
          </w:p>
          <w:p w:rsidR="001D0FDA" w:rsidRPr="0049122E" w:rsidRDefault="001D0FDA" w:rsidP="00E1668E">
            <w:pPr>
              <w:pStyle w:val="Tabletext"/>
              <w:numPr>
                <w:ilvl w:val="0"/>
                <w:numId w:val="54"/>
              </w:numPr>
              <w:ind w:left="239" w:hanging="144"/>
              <w:rPr>
                <w:rFonts w:cs="Tahoma"/>
                <w:szCs w:val="18"/>
              </w:rPr>
            </w:pPr>
            <w:r w:rsidRPr="0049122E">
              <w:rPr>
                <w:rFonts w:cs="Tahoma"/>
                <w:szCs w:val="18"/>
              </w:rPr>
              <w:t xml:space="preserve">Patients with moderate to severe interstitial lung disease </w:t>
            </w:r>
          </w:p>
          <w:p w:rsidR="001D0FDA" w:rsidRPr="00351FF5" w:rsidRDefault="001D0FDA" w:rsidP="00E1668E">
            <w:pPr>
              <w:pStyle w:val="Tabletext"/>
              <w:numPr>
                <w:ilvl w:val="0"/>
                <w:numId w:val="54"/>
              </w:numPr>
              <w:ind w:left="239" w:hanging="144"/>
              <w:rPr>
                <w:rFonts w:cs="Tahoma"/>
                <w:i/>
                <w:szCs w:val="18"/>
              </w:rPr>
            </w:pPr>
            <w:r w:rsidRPr="0049122E">
              <w:rPr>
                <w:rFonts w:cs="Tahoma"/>
                <w:szCs w:val="18"/>
              </w:rPr>
              <w:t>Patients had started or stopped any PAH treatment within 1 month of screening</w:t>
            </w:r>
          </w:p>
        </w:tc>
        <w:tc>
          <w:tcPr>
            <w:tcW w:w="0" w:type="auto"/>
          </w:tcPr>
          <w:p w:rsidR="001D0FDA" w:rsidRDefault="001D0FDA" w:rsidP="00E1668E">
            <w:pPr>
              <w:pStyle w:val="Tabletext"/>
              <w:rPr>
                <w:rFonts w:cs="Tahoma"/>
                <w:szCs w:val="18"/>
              </w:rPr>
            </w:pPr>
            <w:r>
              <w:rPr>
                <w:rFonts w:cs="Tahoma"/>
                <w:szCs w:val="18"/>
              </w:rPr>
              <w:t>N=33</w:t>
            </w:r>
          </w:p>
          <w:tbl>
            <w:tblPr>
              <w:tblStyle w:val="TableGrid"/>
              <w:tblW w:w="437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BREATHE-2"/>
            </w:tblPr>
            <w:tblGrid>
              <w:gridCol w:w="1677"/>
              <w:gridCol w:w="1276"/>
              <w:gridCol w:w="1418"/>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1677" w:type="dxa"/>
                  <w:shd w:val="clear" w:color="auto" w:fill="FFFFFF" w:themeFill="background1"/>
                </w:tcPr>
                <w:p w:rsidR="001D0FDA" w:rsidRPr="00351FF5" w:rsidRDefault="001D0FDA" w:rsidP="00570FC8">
                  <w:pPr>
                    <w:pStyle w:val="Tabletext"/>
                    <w:framePr w:hSpace="181" w:wrap="around" w:hAnchor="text" w:yAlign="bottom"/>
                    <w:spacing w:before="0" w:after="0"/>
                    <w:suppressOverlap/>
                    <w:rPr>
                      <w:rFonts w:cs="Tahoma"/>
                      <w:b/>
                      <w:szCs w:val="18"/>
                    </w:rPr>
                  </w:pPr>
                </w:p>
              </w:tc>
              <w:tc>
                <w:tcPr>
                  <w:tcW w:w="1276" w:type="dxa"/>
                  <w:shd w:val="clear" w:color="auto" w:fill="FFFFFF" w:themeFill="background1"/>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Bosentan</w:t>
                  </w:r>
                </w:p>
                <w:p w:rsidR="001D0FDA" w:rsidRPr="00802B85" w:rsidRDefault="001D0FDA" w:rsidP="00570FC8">
                  <w:pPr>
                    <w:pStyle w:val="Tabletext"/>
                    <w:framePr w:hSpace="181" w:wrap="around" w:hAnchor="text" w:yAlign="bottom"/>
                    <w:spacing w:before="0"/>
                    <w:suppressOverlap/>
                    <w:jc w:val="center"/>
                    <w:rPr>
                      <w:rFonts w:cs="Tahoma"/>
                      <w:szCs w:val="18"/>
                    </w:rPr>
                  </w:pPr>
                  <w:r>
                    <w:rPr>
                      <w:rFonts w:cs="Tahoma"/>
                      <w:szCs w:val="18"/>
                    </w:rPr>
                    <w:t>(N=22)</w:t>
                  </w:r>
                </w:p>
              </w:tc>
              <w:tc>
                <w:tcPr>
                  <w:tcW w:w="1418"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Pr>
                      <w:rFonts w:cs="Tahoma"/>
                      <w:szCs w:val="18"/>
                    </w:rPr>
                    <w:t>Placebo</w:t>
                  </w:r>
                  <w:r>
                    <w:rPr>
                      <w:rFonts w:cs="Tahoma"/>
                      <w:szCs w:val="18"/>
                    </w:rPr>
                    <w:br/>
                    <w:t>(N=11)</w:t>
                  </w:r>
                </w:p>
              </w:tc>
            </w:tr>
            <w:tr w:rsidR="001D0FDA" w:rsidRPr="00351FF5" w:rsidTr="001D0FDA">
              <w:tc>
                <w:tcPr>
                  <w:tcW w:w="1677"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276" w:type="dxa"/>
                  <w:vAlign w:val="center"/>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45±17</w:t>
                  </w:r>
                </w:p>
              </w:tc>
              <w:tc>
                <w:tcPr>
                  <w:tcW w:w="1418" w:type="dxa"/>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9122E">
                    <w:rPr>
                      <w:rFonts w:cs="Tahoma"/>
                      <w:szCs w:val="18"/>
                    </w:rPr>
                    <w:t>47±19</w:t>
                  </w:r>
                </w:p>
              </w:tc>
            </w:tr>
            <w:tr w:rsidR="001D0FDA" w:rsidRPr="00351FF5" w:rsidTr="001D0FDA">
              <w:tc>
                <w:tcPr>
                  <w:tcW w:w="1677"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276"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17 (77%)</w:t>
                  </w:r>
                </w:p>
              </w:tc>
              <w:tc>
                <w:tcPr>
                  <w:tcW w:w="1418" w:type="dxa"/>
                  <w:tcBorders>
                    <w:bottom w:val="single" w:sz="4" w:space="0" w:color="BFBFBF" w:themeColor="background1" w:themeShade="BF"/>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6 (55%)</w:t>
                  </w:r>
                </w:p>
              </w:tc>
            </w:tr>
            <w:tr w:rsidR="001D0FDA" w:rsidRPr="00351FF5" w:rsidTr="001D0FDA">
              <w:tc>
                <w:tcPr>
                  <w:tcW w:w="1677"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276"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1418"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1677"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IPAH</w:t>
                  </w:r>
                </w:p>
              </w:tc>
              <w:tc>
                <w:tcPr>
                  <w:tcW w:w="1276"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17 (77</w:t>
                  </w:r>
                  <w:r w:rsidRPr="0049122E">
                    <w:rPr>
                      <w:rFonts w:cs="Tahoma"/>
                      <w:szCs w:val="18"/>
                    </w:rPr>
                    <w:t>%)</w:t>
                  </w:r>
                </w:p>
              </w:tc>
              <w:tc>
                <w:tcPr>
                  <w:tcW w:w="1418"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10 (91</w:t>
                  </w:r>
                  <w:r w:rsidRPr="0049122E">
                    <w:rPr>
                      <w:rFonts w:cs="Tahoma"/>
                      <w:szCs w:val="18"/>
                    </w:rPr>
                    <w:t>%)</w:t>
                  </w:r>
                </w:p>
              </w:tc>
            </w:tr>
            <w:tr w:rsidR="001D0FDA" w:rsidRPr="00351FF5" w:rsidTr="001D0FDA">
              <w:tc>
                <w:tcPr>
                  <w:tcW w:w="1677"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PAH-CTD</w:t>
                  </w:r>
                </w:p>
              </w:tc>
              <w:tc>
                <w:tcPr>
                  <w:tcW w:w="1276"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5 (23</w:t>
                  </w:r>
                  <w:r w:rsidRPr="0049122E">
                    <w:rPr>
                      <w:rFonts w:cs="Tahoma"/>
                      <w:szCs w:val="18"/>
                    </w:rPr>
                    <w:t>%)</w:t>
                  </w:r>
                </w:p>
              </w:tc>
              <w:tc>
                <w:tcPr>
                  <w:tcW w:w="1418"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1 (9</w:t>
                  </w:r>
                  <w:r w:rsidRPr="0049122E">
                    <w:rPr>
                      <w:rFonts w:cs="Tahoma"/>
                      <w:szCs w:val="18"/>
                    </w:rPr>
                    <w:t>%)</w:t>
                  </w:r>
                </w:p>
              </w:tc>
            </w:tr>
            <w:tr w:rsidR="001D0FDA" w:rsidRPr="00351FF5" w:rsidTr="001D0FDA">
              <w:tc>
                <w:tcPr>
                  <w:tcW w:w="1677"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276"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c>
                <w:tcPr>
                  <w:tcW w:w="1418" w:type="dxa"/>
                  <w:tcBorders>
                    <w:bottom w:val="nil"/>
                  </w:tcBorders>
                  <w:vAlign w:val="center"/>
                </w:tcPr>
                <w:p w:rsidR="001D0FDA" w:rsidRPr="00411013"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1677" w:type="dxa"/>
                  <w:tcBorders>
                    <w:top w:val="nil"/>
                    <w:bottom w:val="nil"/>
                  </w:tcBorders>
                </w:tcPr>
                <w:p w:rsidR="001D0FDA" w:rsidRDefault="001D0FDA" w:rsidP="00570FC8">
                  <w:pPr>
                    <w:pStyle w:val="Tabletext"/>
                    <w:framePr w:hSpace="181" w:wrap="around" w:hAnchor="text" w:yAlign="bottom"/>
                    <w:spacing w:before="0" w:after="0"/>
                    <w:ind w:left="196"/>
                    <w:suppressOverlap/>
                    <w:rPr>
                      <w:rFonts w:cs="Tahoma"/>
                      <w:szCs w:val="18"/>
                    </w:rPr>
                  </w:pPr>
                  <w:r>
                    <w:rPr>
                      <w:rFonts w:cs="Tahoma"/>
                      <w:szCs w:val="18"/>
                    </w:rPr>
                    <w:t>III</w:t>
                  </w:r>
                </w:p>
              </w:tc>
              <w:tc>
                <w:tcPr>
                  <w:tcW w:w="1276" w:type="dxa"/>
                  <w:tcBorders>
                    <w:top w:val="nil"/>
                    <w:bottom w:val="nil"/>
                  </w:tcBorders>
                </w:tcPr>
                <w:p w:rsidR="001D0FDA" w:rsidRPr="00411013" w:rsidRDefault="001D0FDA" w:rsidP="00570FC8">
                  <w:pPr>
                    <w:pStyle w:val="Tabletext"/>
                    <w:framePr w:hSpace="181" w:wrap="around" w:hAnchor="text" w:yAlign="bottom"/>
                    <w:spacing w:before="0"/>
                    <w:suppressOverlap/>
                    <w:jc w:val="center"/>
                    <w:rPr>
                      <w:rFonts w:cs="Tahoma"/>
                      <w:szCs w:val="18"/>
                    </w:rPr>
                  </w:pPr>
                  <w:r>
                    <w:rPr>
                      <w:rFonts w:cs="Tahoma"/>
                      <w:szCs w:val="18"/>
                    </w:rPr>
                    <w:t>17 (77%)</w:t>
                  </w:r>
                </w:p>
              </w:tc>
              <w:tc>
                <w:tcPr>
                  <w:tcW w:w="1418" w:type="dxa"/>
                  <w:tcBorders>
                    <w:top w:val="nil"/>
                    <w:bottom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9122E">
                    <w:rPr>
                      <w:rFonts w:cs="Tahoma"/>
                      <w:szCs w:val="18"/>
                    </w:rPr>
                    <w:t>8 (7</w:t>
                  </w:r>
                  <w:r>
                    <w:rPr>
                      <w:rFonts w:cs="Tahoma"/>
                      <w:szCs w:val="18"/>
                    </w:rPr>
                    <w:t>3</w:t>
                  </w:r>
                  <w:r w:rsidRPr="0049122E">
                    <w:rPr>
                      <w:rFonts w:cs="Tahoma"/>
                      <w:szCs w:val="18"/>
                    </w:rPr>
                    <w:t>%)</w:t>
                  </w:r>
                </w:p>
              </w:tc>
            </w:tr>
            <w:tr w:rsidR="001D0FDA" w:rsidRPr="00351FF5" w:rsidTr="001D0FDA">
              <w:tc>
                <w:tcPr>
                  <w:tcW w:w="1677" w:type="dxa"/>
                  <w:tcBorders>
                    <w:top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IV</w:t>
                  </w:r>
                </w:p>
              </w:tc>
              <w:tc>
                <w:tcPr>
                  <w:tcW w:w="1276" w:type="dxa"/>
                  <w:tcBorders>
                    <w:top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sidRPr="0049122E">
                    <w:rPr>
                      <w:rFonts w:cs="Tahoma"/>
                      <w:szCs w:val="18"/>
                    </w:rPr>
                    <w:t>5 (2</w:t>
                  </w:r>
                  <w:r>
                    <w:rPr>
                      <w:rFonts w:cs="Tahoma"/>
                      <w:szCs w:val="18"/>
                    </w:rPr>
                    <w:t>3</w:t>
                  </w:r>
                  <w:r w:rsidRPr="0049122E">
                    <w:rPr>
                      <w:rFonts w:cs="Tahoma"/>
                      <w:szCs w:val="18"/>
                    </w:rPr>
                    <w:t>%)</w:t>
                  </w:r>
                </w:p>
              </w:tc>
              <w:tc>
                <w:tcPr>
                  <w:tcW w:w="1418" w:type="dxa"/>
                  <w:tcBorders>
                    <w:top w:val="nil"/>
                  </w:tcBorders>
                </w:tcPr>
                <w:p w:rsidR="001D0FDA" w:rsidRPr="00411013" w:rsidRDefault="001D0FDA" w:rsidP="00570FC8">
                  <w:pPr>
                    <w:pStyle w:val="Tabletext"/>
                    <w:framePr w:hSpace="181" w:wrap="around" w:hAnchor="text" w:yAlign="bottom"/>
                    <w:spacing w:before="0" w:after="0"/>
                    <w:suppressOverlap/>
                    <w:jc w:val="center"/>
                    <w:rPr>
                      <w:rFonts w:cs="Tahoma"/>
                      <w:szCs w:val="18"/>
                    </w:rPr>
                  </w:pPr>
                  <w:r>
                    <w:rPr>
                      <w:rFonts w:cs="Tahoma"/>
                      <w:szCs w:val="18"/>
                    </w:rPr>
                    <w:t>3 (27</w:t>
                  </w:r>
                  <w:r w:rsidRPr="0049122E">
                    <w:rPr>
                      <w:rFonts w:cs="Tahoma"/>
                      <w:szCs w:val="18"/>
                    </w:rPr>
                    <w:t>%)</w:t>
                  </w:r>
                </w:p>
              </w:tc>
            </w:tr>
            <w:tr w:rsidR="001D0FDA" w:rsidRPr="00351FF5" w:rsidTr="001D0FDA">
              <w:tc>
                <w:tcPr>
                  <w:tcW w:w="1677" w:type="dxa"/>
                </w:tcPr>
                <w:p w:rsidR="001D0FDA" w:rsidRPr="00351FF5" w:rsidRDefault="001D0FDA" w:rsidP="00570FC8">
                  <w:pPr>
                    <w:pStyle w:val="Tabletext"/>
                    <w:framePr w:hSpace="181" w:wrap="around" w:hAnchor="text" w:yAlign="bottom"/>
                    <w:spacing w:before="0" w:after="0"/>
                    <w:suppressOverlap/>
                    <w:rPr>
                      <w:rFonts w:cs="Tahoma"/>
                      <w:szCs w:val="18"/>
                    </w:rPr>
                  </w:pPr>
                  <w:r>
                    <w:rPr>
                      <w:rFonts w:cs="Tahoma"/>
                      <w:szCs w:val="18"/>
                    </w:rPr>
                    <w:t>Time since diagnosis</w:t>
                  </w:r>
                  <w:r w:rsidRPr="00351FF5">
                    <w:rPr>
                      <w:rFonts w:cs="Tahoma"/>
                      <w:szCs w:val="18"/>
                    </w:rPr>
                    <w:t>, mean±SD</w:t>
                  </w:r>
                  <w:r>
                    <w:rPr>
                      <w:rFonts w:cs="Tahoma"/>
                      <w:szCs w:val="18"/>
                    </w:rPr>
                    <w:t xml:space="preserve"> (months)</w:t>
                  </w:r>
                </w:p>
              </w:tc>
              <w:tc>
                <w:tcPr>
                  <w:tcW w:w="1276" w:type="dxa"/>
                </w:tcPr>
                <w:p w:rsidR="001D0FDA" w:rsidRPr="00411013" w:rsidRDefault="001D0FDA" w:rsidP="00570FC8">
                  <w:pPr>
                    <w:pStyle w:val="Tabletext"/>
                    <w:framePr w:hSpace="181" w:wrap="around" w:hAnchor="text" w:yAlign="bottom"/>
                    <w:spacing w:before="0"/>
                    <w:suppressOverlap/>
                    <w:jc w:val="center"/>
                    <w:rPr>
                      <w:rFonts w:cs="Tahoma"/>
                      <w:szCs w:val="18"/>
                    </w:rPr>
                  </w:pPr>
                  <w:r w:rsidRPr="00B133F6">
                    <w:rPr>
                      <w:rFonts w:cs="Tahoma"/>
                      <w:szCs w:val="18"/>
                    </w:rPr>
                    <w:t>13±30</w:t>
                  </w:r>
                </w:p>
              </w:tc>
              <w:tc>
                <w:tcPr>
                  <w:tcW w:w="1418" w:type="dxa"/>
                </w:tcPr>
                <w:p w:rsidR="001D0FDA" w:rsidRPr="00411013" w:rsidRDefault="001D0FDA" w:rsidP="00570FC8">
                  <w:pPr>
                    <w:pStyle w:val="Tabletext"/>
                    <w:framePr w:hSpace="181" w:wrap="around" w:hAnchor="text" w:yAlign="bottom"/>
                    <w:spacing w:before="0"/>
                    <w:suppressOverlap/>
                    <w:jc w:val="center"/>
                    <w:rPr>
                      <w:rFonts w:cs="Tahoma"/>
                      <w:szCs w:val="18"/>
                    </w:rPr>
                  </w:pPr>
                  <w:r w:rsidRPr="00B133F6">
                    <w:rPr>
                      <w:rFonts w:cs="Tahoma"/>
                      <w:szCs w:val="18"/>
                    </w:rPr>
                    <w:t>15±21</w:t>
                  </w:r>
                </w:p>
              </w:tc>
            </w:tr>
          </w:tbl>
          <w:p w:rsidR="001D0FDA" w:rsidRPr="00351FF5" w:rsidRDefault="001D0FDA" w:rsidP="00E1668E">
            <w:pPr>
              <w:pStyle w:val="Tabletext"/>
              <w:rPr>
                <w:rFonts w:cs="Tahoma"/>
                <w:szCs w:val="18"/>
              </w:rPr>
            </w:pPr>
          </w:p>
        </w:tc>
        <w:tc>
          <w:tcPr>
            <w:tcW w:w="811" w:type="pct"/>
          </w:tcPr>
          <w:p w:rsidR="001D0FDA" w:rsidRDefault="001D0FDA" w:rsidP="00E1668E">
            <w:pPr>
              <w:pStyle w:val="Tabletext"/>
              <w:rPr>
                <w:rFonts w:cs="Tahoma"/>
                <w:i/>
                <w:szCs w:val="18"/>
              </w:rPr>
            </w:pPr>
            <w:r>
              <w:rPr>
                <w:rFonts w:cs="Tahoma"/>
                <w:i/>
                <w:szCs w:val="18"/>
              </w:rPr>
              <w:t xml:space="preserve">Intervention: </w:t>
            </w:r>
          </w:p>
          <w:p w:rsidR="001D0FDA" w:rsidRPr="001D75C0" w:rsidRDefault="001D0FDA" w:rsidP="00E1668E">
            <w:pPr>
              <w:pStyle w:val="Tabletext"/>
              <w:rPr>
                <w:rFonts w:cs="Tahoma"/>
                <w:szCs w:val="18"/>
              </w:rPr>
            </w:pPr>
            <w:r w:rsidRPr="001D75C0">
              <w:rPr>
                <w:rFonts w:cs="Tahoma"/>
                <w:szCs w:val="18"/>
              </w:rPr>
              <w:t>Bosentan + epoprostenol</w:t>
            </w:r>
          </w:p>
          <w:p w:rsidR="001D0FDA" w:rsidRDefault="001D0FDA" w:rsidP="00E1668E">
            <w:pPr>
              <w:pStyle w:val="Tabletext"/>
              <w:rPr>
                <w:rFonts w:cs="Tahoma"/>
                <w:szCs w:val="18"/>
              </w:rPr>
            </w:pPr>
            <w:r w:rsidRPr="001D75C0">
              <w:rPr>
                <w:rFonts w:cs="Tahoma"/>
                <w:szCs w:val="18"/>
              </w:rPr>
              <w:t>Bosentan: initial dose of 62.5</w:t>
            </w:r>
            <w:r w:rsidR="00776155">
              <w:rPr>
                <w:rFonts w:cs="Tahoma"/>
                <w:szCs w:val="18"/>
              </w:rPr>
              <w:t> </w:t>
            </w:r>
            <w:r>
              <w:rPr>
                <w:rFonts w:cs="Tahoma"/>
                <w:szCs w:val="18"/>
              </w:rPr>
              <w:t>mg</w:t>
            </w:r>
            <w:r w:rsidRPr="001D75C0">
              <w:rPr>
                <w:rFonts w:cs="Tahoma"/>
                <w:szCs w:val="18"/>
              </w:rPr>
              <w:t xml:space="preserve"> bid for 4 weeks</w:t>
            </w:r>
            <w:r>
              <w:rPr>
                <w:rFonts w:cs="Tahoma"/>
                <w:szCs w:val="18"/>
              </w:rPr>
              <w:t xml:space="preserve">, then </w:t>
            </w:r>
            <w:r w:rsidRPr="001D75C0">
              <w:rPr>
                <w:rFonts w:cs="Tahoma"/>
                <w:szCs w:val="18"/>
              </w:rPr>
              <w:t>125</w:t>
            </w:r>
            <w:r w:rsidR="00776155">
              <w:rPr>
                <w:rFonts w:cs="Tahoma"/>
                <w:szCs w:val="18"/>
              </w:rPr>
              <w:t> </w:t>
            </w:r>
            <w:r w:rsidRPr="001D75C0">
              <w:rPr>
                <w:rFonts w:cs="Tahoma"/>
                <w:szCs w:val="18"/>
              </w:rPr>
              <w:t>mg bid</w:t>
            </w:r>
          </w:p>
          <w:p w:rsidR="001D0FDA" w:rsidRDefault="001D0FDA" w:rsidP="00E1668E">
            <w:pPr>
              <w:pStyle w:val="Tabletext"/>
              <w:rPr>
                <w:rFonts w:cs="Tahoma"/>
                <w:szCs w:val="18"/>
              </w:rPr>
            </w:pPr>
            <w:r>
              <w:rPr>
                <w:rFonts w:cs="Tahoma"/>
                <w:szCs w:val="18"/>
              </w:rPr>
              <w:t>Epoprostenol:</w:t>
            </w:r>
            <w:r w:rsidRPr="001D75C0">
              <w:rPr>
                <w:rFonts w:cs="Tahoma"/>
                <w:i/>
                <w:szCs w:val="18"/>
              </w:rPr>
              <w:t xml:space="preserve"> </w:t>
            </w:r>
            <w:r w:rsidRPr="001D75C0">
              <w:rPr>
                <w:rFonts w:cs="Tahoma"/>
                <w:szCs w:val="18"/>
              </w:rPr>
              <w:t>initial dose of 2</w:t>
            </w:r>
            <w:r w:rsidR="00776155">
              <w:rPr>
                <w:rFonts w:cs="Tahoma"/>
                <w:szCs w:val="18"/>
              </w:rPr>
              <w:t> </w:t>
            </w:r>
            <w:r w:rsidRPr="001D75C0">
              <w:rPr>
                <w:rFonts w:cs="Tahoma"/>
                <w:szCs w:val="18"/>
              </w:rPr>
              <w:t xml:space="preserve">ng/kg/min </w:t>
            </w:r>
            <w:r>
              <w:rPr>
                <w:rFonts w:cs="Tahoma"/>
                <w:szCs w:val="18"/>
              </w:rPr>
              <w:t>for 4 days, then 4</w:t>
            </w:r>
            <w:r w:rsidR="00776155">
              <w:rPr>
                <w:rFonts w:cs="Tahoma"/>
                <w:szCs w:val="18"/>
              </w:rPr>
              <w:t> </w:t>
            </w:r>
            <w:r>
              <w:rPr>
                <w:rFonts w:cs="Tahoma"/>
                <w:szCs w:val="18"/>
              </w:rPr>
              <w:t>ng/kg/min, the</w:t>
            </w:r>
            <w:r w:rsidRPr="001D75C0">
              <w:rPr>
                <w:rFonts w:cs="Tahoma"/>
                <w:szCs w:val="18"/>
              </w:rPr>
              <w:t>n dose increase of 2</w:t>
            </w:r>
            <w:r w:rsidR="00776155">
              <w:rPr>
                <w:rFonts w:cs="Tahoma"/>
                <w:szCs w:val="18"/>
              </w:rPr>
              <w:t> </w:t>
            </w:r>
            <w:r w:rsidRPr="001D75C0">
              <w:rPr>
                <w:rFonts w:cs="Tahoma"/>
                <w:szCs w:val="18"/>
              </w:rPr>
              <w:t>ng/kg/min at 2-week intervals to a target dose of 12-16</w:t>
            </w:r>
            <w:r w:rsidR="00776155">
              <w:rPr>
                <w:rFonts w:cs="Tahoma"/>
                <w:szCs w:val="18"/>
              </w:rPr>
              <w:t> </w:t>
            </w:r>
            <w:r w:rsidRPr="001D75C0">
              <w:rPr>
                <w:rFonts w:cs="Tahoma"/>
                <w:szCs w:val="18"/>
              </w:rPr>
              <w:t>ng/kg/min</w:t>
            </w:r>
          </w:p>
          <w:p w:rsidR="001D0FDA" w:rsidRPr="001D75C0" w:rsidRDefault="001D0FDA" w:rsidP="00E1668E">
            <w:pPr>
              <w:pStyle w:val="Tabletext"/>
              <w:rPr>
                <w:rFonts w:cs="Tahoma"/>
                <w:szCs w:val="18"/>
              </w:rPr>
            </w:pPr>
          </w:p>
          <w:p w:rsidR="001D0FDA" w:rsidRDefault="001D2077" w:rsidP="00E1668E">
            <w:pPr>
              <w:pStyle w:val="Tabletext"/>
              <w:rPr>
                <w:rFonts w:cs="Tahoma"/>
                <w:i/>
                <w:szCs w:val="18"/>
              </w:rPr>
            </w:pPr>
            <w:r>
              <w:rPr>
                <w:rFonts w:cs="Tahoma"/>
                <w:i/>
                <w:szCs w:val="18"/>
              </w:rPr>
              <w:t>Comparator</w:t>
            </w:r>
            <w:r w:rsidR="001D0FDA">
              <w:rPr>
                <w:rFonts w:cs="Tahoma"/>
                <w:i/>
                <w:szCs w:val="18"/>
              </w:rPr>
              <w:t>:</w:t>
            </w:r>
          </w:p>
          <w:p w:rsidR="001D0FDA" w:rsidRPr="001D75C0" w:rsidRDefault="001D0FDA" w:rsidP="00E1668E">
            <w:pPr>
              <w:pStyle w:val="Tabletext"/>
              <w:rPr>
                <w:rFonts w:cs="Tahoma"/>
                <w:szCs w:val="18"/>
              </w:rPr>
            </w:pPr>
            <w:r w:rsidRPr="001D75C0">
              <w:rPr>
                <w:rFonts w:cs="Tahoma"/>
                <w:szCs w:val="18"/>
              </w:rPr>
              <w:t>Placebo + epoprostenol</w:t>
            </w:r>
          </w:p>
          <w:p w:rsidR="001D0FDA" w:rsidRPr="001D75C0" w:rsidRDefault="001D0FDA" w:rsidP="00E1668E">
            <w:pPr>
              <w:pStyle w:val="Tabletext"/>
              <w:rPr>
                <w:rFonts w:cs="Tahoma"/>
                <w:szCs w:val="18"/>
              </w:rPr>
            </w:pPr>
            <w:r>
              <w:rPr>
                <w:rFonts w:cs="Tahoma"/>
                <w:szCs w:val="18"/>
              </w:rPr>
              <w:t xml:space="preserve">Epoprostenol: </w:t>
            </w:r>
            <w:r w:rsidRPr="001D75C0">
              <w:rPr>
                <w:rFonts w:cs="Tahoma"/>
                <w:szCs w:val="18"/>
              </w:rPr>
              <w:t>initial dose of 2</w:t>
            </w:r>
            <w:r w:rsidR="00776155">
              <w:rPr>
                <w:rFonts w:cs="Tahoma"/>
                <w:szCs w:val="18"/>
              </w:rPr>
              <w:t> </w:t>
            </w:r>
            <w:r w:rsidRPr="001D75C0">
              <w:rPr>
                <w:rFonts w:cs="Tahoma"/>
                <w:szCs w:val="18"/>
              </w:rPr>
              <w:t xml:space="preserve">ng/kg/min </w:t>
            </w:r>
            <w:r>
              <w:rPr>
                <w:rFonts w:cs="Tahoma"/>
                <w:szCs w:val="18"/>
              </w:rPr>
              <w:t>for 4 days, then 4</w:t>
            </w:r>
            <w:r w:rsidR="00776155">
              <w:rPr>
                <w:rFonts w:cs="Tahoma"/>
                <w:szCs w:val="18"/>
              </w:rPr>
              <w:t> </w:t>
            </w:r>
            <w:r>
              <w:rPr>
                <w:rFonts w:cs="Tahoma"/>
                <w:szCs w:val="18"/>
              </w:rPr>
              <w:t>ng/kg/min, the</w:t>
            </w:r>
            <w:r w:rsidRPr="001D75C0">
              <w:rPr>
                <w:rFonts w:cs="Tahoma"/>
                <w:szCs w:val="18"/>
              </w:rPr>
              <w:t>n dose increase of 2</w:t>
            </w:r>
            <w:r w:rsidR="00776155">
              <w:rPr>
                <w:rFonts w:cs="Tahoma"/>
                <w:szCs w:val="18"/>
              </w:rPr>
              <w:t> </w:t>
            </w:r>
            <w:r w:rsidRPr="001D75C0">
              <w:rPr>
                <w:rFonts w:cs="Tahoma"/>
                <w:szCs w:val="18"/>
              </w:rPr>
              <w:t>ng/kg/min at 2-week intervals to a target dose of 12-16</w:t>
            </w:r>
            <w:r w:rsidR="00776155">
              <w:rPr>
                <w:rFonts w:cs="Tahoma"/>
                <w:szCs w:val="18"/>
              </w:rPr>
              <w:t> </w:t>
            </w:r>
            <w:r w:rsidRPr="001D75C0">
              <w:rPr>
                <w:rFonts w:cs="Tahoma"/>
                <w:szCs w:val="18"/>
              </w:rPr>
              <w:t>ng/kg/min</w:t>
            </w:r>
          </w:p>
        </w:tc>
        <w:tc>
          <w:tcPr>
            <w:tcW w:w="771" w:type="pct"/>
          </w:tcPr>
          <w:p w:rsidR="001D0FDA" w:rsidRPr="001D75C0" w:rsidRDefault="001D0FDA" w:rsidP="00E1668E">
            <w:pPr>
              <w:pStyle w:val="Tabletext"/>
              <w:rPr>
                <w:rFonts w:cs="Tahoma"/>
                <w:i/>
                <w:szCs w:val="18"/>
              </w:rPr>
            </w:pPr>
            <w:r w:rsidRPr="001D75C0">
              <w:rPr>
                <w:rFonts w:cs="Tahoma"/>
                <w:i/>
                <w:szCs w:val="18"/>
              </w:rPr>
              <w:t>Effectiveness</w:t>
            </w:r>
          </w:p>
          <w:p w:rsidR="001D0FDA" w:rsidRPr="001D75C0" w:rsidRDefault="001D0FDA" w:rsidP="00E1668E">
            <w:pPr>
              <w:pStyle w:val="Tabletext"/>
              <w:rPr>
                <w:rFonts w:cs="Tahoma"/>
                <w:szCs w:val="18"/>
              </w:rPr>
            </w:pPr>
            <w:r w:rsidRPr="001D75C0">
              <w:rPr>
                <w:rFonts w:cs="Tahoma"/>
                <w:szCs w:val="18"/>
              </w:rPr>
              <w:t>Primary:</w:t>
            </w:r>
          </w:p>
          <w:p w:rsidR="001D0FDA" w:rsidRPr="001D75C0" w:rsidRDefault="001D0FDA" w:rsidP="00E1668E">
            <w:pPr>
              <w:pStyle w:val="Tabletext"/>
              <w:numPr>
                <w:ilvl w:val="0"/>
                <w:numId w:val="54"/>
              </w:numPr>
              <w:ind w:left="239" w:hanging="144"/>
              <w:rPr>
                <w:rFonts w:cs="Tahoma"/>
                <w:szCs w:val="18"/>
              </w:rPr>
            </w:pPr>
            <w:r w:rsidRPr="001D75C0">
              <w:rPr>
                <w:rFonts w:cs="Tahoma"/>
                <w:szCs w:val="18"/>
              </w:rPr>
              <w:t>Change in TPR at Week 16</w:t>
            </w:r>
            <w:r w:rsidRPr="001D75C0">
              <w:rPr>
                <w:rFonts w:cs="Tahoma"/>
                <w:szCs w:val="18"/>
                <w:vertAlign w:val="superscript"/>
              </w:rPr>
              <w:t>c</w:t>
            </w:r>
          </w:p>
          <w:p w:rsidR="001D0FDA" w:rsidRPr="001D75C0" w:rsidRDefault="001D0FDA" w:rsidP="00E1668E">
            <w:pPr>
              <w:pStyle w:val="Tabletext"/>
              <w:rPr>
                <w:rFonts w:cs="Tahoma"/>
                <w:szCs w:val="18"/>
              </w:rPr>
            </w:pPr>
            <w:r w:rsidRPr="001D75C0">
              <w:rPr>
                <w:rFonts w:cs="Tahoma"/>
                <w:szCs w:val="18"/>
              </w:rPr>
              <w:t>Secondary:</w:t>
            </w:r>
          </w:p>
          <w:p w:rsidR="001D0FDA" w:rsidRPr="001D75C0" w:rsidRDefault="001D0FDA" w:rsidP="00E1668E">
            <w:pPr>
              <w:pStyle w:val="Tabletext"/>
              <w:numPr>
                <w:ilvl w:val="0"/>
                <w:numId w:val="54"/>
              </w:numPr>
              <w:ind w:left="239" w:hanging="144"/>
              <w:rPr>
                <w:rFonts w:cs="Tahoma"/>
                <w:szCs w:val="18"/>
              </w:rPr>
            </w:pPr>
            <w:r w:rsidRPr="001D75C0">
              <w:rPr>
                <w:rFonts w:cs="Tahoma"/>
                <w:szCs w:val="18"/>
              </w:rPr>
              <w:t>Change in 6MWD at Week 16</w:t>
            </w:r>
            <w:r w:rsidRPr="001D75C0">
              <w:rPr>
                <w:rFonts w:cs="Tahoma"/>
                <w:szCs w:val="18"/>
                <w:vertAlign w:val="superscript"/>
              </w:rPr>
              <w:t>c</w:t>
            </w:r>
          </w:p>
          <w:p w:rsidR="001D0FDA" w:rsidRDefault="001D0FDA" w:rsidP="00E1668E">
            <w:pPr>
              <w:pStyle w:val="Tabletext"/>
              <w:numPr>
                <w:ilvl w:val="0"/>
                <w:numId w:val="54"/>
              </w:numPr>
              <w:ind w:left="239" w:hanging="144"/>
              <w:rPr>
                <w:rFonts w:cs="Tahoma"/>
                <w:szCs w:val="18"/>
              </w:rPr>
            </w:pPr>
            <w:r w:rsidRPr="001D75C0">
              <w:rPr>
                <w:rFonts w:cs="Tahoma"/>
                <w:szCs w:val="18"/>
              </w:rPr>
              <w:t>Change in WHO FC at Week 16</w:t>
            </w:r>
            <w:r w:rsidRPr="001D75C0">
              <w:rPr>
                <w:rFonts w:cs="Tahoma"/>
                <w:szCs w:val="18"/>
                <w:vertAlign w:val="superscript"/>
              </w:rPr>
              <w:t>c</w:t>
            </w:r>
          </w:p>
          <w:p w:rsidR="001D0FDA" w:rsidRPr="001D75C0" w:rsidRDefault="001D0FDA" w:rsidP="00E1668E">
            <w:pPr>
              <w:pStyle w:val="Tabletext"/>
              <w:numPr>
                <w:ilvl w:val="0"/>
                <w:numId w:val="54"/>
              </w:numPr>
              <w:ind w:left="239" w:hanging="144"/>
              <w:rPr>
                <w:rFonts w:cs="Tahoma"/>
                <w:szCs w:val="18"/>
              </w:rPr>
            </w:pPr>
            <w:r w:rsidRPr="001D75C0">
              <w:rPr>
                <w:rFonts w:cs="Tahoma"/>
                <w:szCs w:val="18"/>
              </w:rPr>
              <w:t>Change in dyspnoea fatigue rating</w:t>
            </w:r>
            <w:r w:rsidRPr="001D75C0">
              <w:rPr>
                <w:rFonts w:cs="Tahoma"/>
                <w:szCs w:val="18"/>
                <w:vertAlign w:val="superscript"/>
              </w:rPr>
              <w:t>c</w:t>
            </w:r>
          </w:p>
          <w:p w:rsidR="001D0FDA" w:rsidRPr="001D75C0" w:rsidRDefault="001D0FDA" w:rsidP="00E1668E">
            <w:pPr>
              <w:pStyle w:val="Tabletext"/>
              <w:numPr>
                <w:ilvl w:val="0"/>
                <w:numId w:val="54"/>
              </w:numPr>
              <w:ind w:left="239" w:hanging="144"/>
              <w:rPr>
                <w:rFonts w:cs="Tahoma"/>
                <w:szCs w:val="18"/>
              </w:rPr>
            </w:pPr>
            <w:r w:rsidRPr="001D75C0">
              <w:rPr>
                <w:rFonts w:cs="Tahoma"/>
                <w:szCs w:val="18"/>
              </w:rPr>
              <w:t xml:space="preserve">Change in </w:t>
            </w:r>
            <w:r>
              <w:rPr>
                <w:rFonts w:cs="Tahoma"/>
                <w:szCs w:val="18"/>
              </w:rPr>
              <w:t>CI, PVR, mPAP, CI, and m</w:t>
            </w:r>
            <w:r w:rsidRPr="001D75C0">
              <w:rPr>
                <w:rFonts w:cs="Tahoma"/>
                <w:szCs w:val="18"/>
              </w:rPr>
              <w:t>RAP</w:t>
            </w:r>
            <w:r>
              <w:rPr>
                <w:rFonts w:cs="Tahoma"/>
                <w:szCs w:val="18"/>
              </w:rPr>
              <w:t xml:space="preserve"> at Week 16</w:t>
            </w:r>
            <w:r w:rsidRPr="001D75C0">
              <w:rPr>
                <w:rFonts w:cs="Tahoma"/>
                <w:szCs w:val="18"/>
                <w:vertAlign w:val="superscript"/>
              </w:rPr>
              <w:t>c</w:t>
            </w:r>
          </w:p>
          <w:p w:rsidR="001D0FDA" w:rsidRDefault="001D0FDA" w:rsidP="00E1668E">
            <w:pPr>
              <w:pStyle w:val="Tabletext"/>
              <w:rPr>
                <w:rFonts w:cs="Tahoma"/>
                <w:szCs w:val="18"/>
              </w:rPr>
            </w:pPr>
            <w:r>
              <w:rPr>
                <w:rFonts w:cs="Tahoma"/>
                <w:szCs w:val="18"/>
              </w:rPr>
              <w:t>Others:</w:t>
            </w:r>
          </w:p>
          <w:p w:rsidR="001D0FDA" w:rsidRPr="001D75C0" w:rsidRDefault="001D0FDA" w:rsidP="00E1668E">
            <w:pPr>
              <w:pStyle w:val="Tabletext"/>
              <w:numPr>
                <w:ilvl w:val="0"/>
                <w:numId w:val="54"/>
              </w:numPr>
              <w:ind w:left="239" w:hanging="144"/>
              <w:rPr>
                <w:rFonts w:cs="Tahoma"/>
                <w:szCs w:val="18"/>
              </w:rPr>
            </w:pPr>
            <w:r>
              <w:rPr>
                <w:rFonts w:cs="Tahoma"/>
                <w:szCs w:val="18"/>
              </w:rPr>
              <w:t>Mortality</w:t>
            </w:r>
            <w:r>
              <w:rPr>
                <w:rFonts w:cs="Tahoma"/>
                <w:szCs w:val="18"/>
                <w:vertAlign w:val="superscript"/>
              </w:rPr>
              <w:t>c</w:t>
            </w:r>
          </w:p>
          <w:p w:rsidR="001D0FDA" w:rsidRPr="006F5135" w:rsidRDefault="001D0FDA" w:rsidP="00E1668E">
            <w:pPr>
              <w:pStyle w:val="Tabletext"/>
              <w:rPr>
                <w:rFonts w:cs="Tahoma"/>
                <w:szCs w:val="18"/>
              </w:rPr>
            </w:pPr>
          </w:p>
          <w:p w:rsidR="001D0FDA" w:rsidRPr="001D75C0" w:rsidRDefault="001D0FDA" w:rsidP="00E1668E">
            <w:pPr>
              <w:pStyle w:val="Tabletext"/>
              <w:rPr>
                <w:rFonts w:cs="Tahoma"/>
                <w:i/>
                <w:szCs w:val="18"/>
              </w:rPr>
            </w:pPr>
            <w:r w:rsidRPr="001D75C0">
              <w:rPr>
                <w:rFonts w:cs="Tahoma"/>
                <w:i/>
                <w:szCs w:val="18"/>
              </w:rPr>
              <w:t>Safety</w:t>
            </w:r>
          </w:p>
          <w:p w:rsidR="001D0FDA" w:rsidRPr="00351FF5" w:rsidRDefault="001D0FDA" w:rsidP="00E1668E">
            <w:pPr>
              <w:pStyle w:val="Tabletext"/>
              <w:numPr>
                <w:ilvl w:val="0"/>
                <w:numId w:val="54"/>
              </w:numPr>
              <w:ind w:left="239" w:hanging="144"/>
              <w:rPr>
                <w:rFonts w:cs="Tahoma"/>
                <w:i/>
                <w:szCs w:val="18"/>
              </w:rPr>
            </w:pPr>
            <w:r w:rsidRPr="001D75C0">
              <w:rPr>
                <w:rFonts w:cs="Tahoma"/>
                <w:szCs w:val="18"/>
              </w:rPr>
              <w:t>Adverse events</w:t>
            </w:r>
            <w:r w:rsidRPr="001D75C0">
              <w:rPr>
                <w:rFonts w:cs="Tahoma"/>
                <w:szCs w:val="18"/>
                <w:vertAlign w:val="superscript"/>
              </w:rPr>
              <w:t>c</w:t>
            </w:r>
          </w:p>
        </w:tc>
      </w:tr>
      <w:tr w:rsidR="001D0FDA" w:rsidRPr="00204000" w:rsidTr="00E1668E">
        <w:tc>
          <w:tcPr>
            <w:tcW w:w="531" w:type="pct"/>
          </w:tcPr>
          <w:p w:rsidR="001D0FDA" w:rsidRPr="00C519BC" w:rsidRDefault="001D0FDA" w:rsidP="00E1668E">
            <w:pPr>
              <w:pStyle w:val="Tabletext"/>
              <w:ind w:right="-28"/>
              <w:rPr>
                <w:rFonts w:eastAsia="Times New Roman"/>
                <w:lang w:eastAsia="en-US"/>
              </w:rPr>
            </w:pPr>
            <w:r w:rsidRPr="00C519BC">
              <w:rPr>
                <w:rFonts w:eastAsia="Times New Roman"/>
                <w:lang w:eastAsia="en-US"/>
              </w:rPr>
              <w:t>COMBI</w:t>
            </w:r>
            <w:r w:rsidR="001D34EE" w:rsidRPr="001A1C44">
              <w:rPr>
                <w:rFonts w:eastAsia="Times New Roman"/>
                <w:noProof/>
                <w:vertAlign w:val="superscript"/>
                <w:lang w:eastAsia="en-US"/>
              </w:rPr>
              <w:t>36</w:t>
            </w:r>
          </w:p>
          <w:p w:rsidR="001D0FDA" w:rsidRDefault="001D0FDA" w:rsidP="00E1668E">
            <w:pPr>
              <w:pStyle w:val="Tabletext"/>
              <w:ind w:right="-28"/>
              <w:rPr>
                <w:rFonts w:eastAsia="Times New Roman"/>
                <w:lang w:eastAsia="en-US"/>
              </w:rPr>
            </w:pPr>
            <w:r>
              <w:rPr>
                <w:rFonts w:eastAsia="Times New Roman"/>
                <w:lang w:eastAsia="en-US"/>
              </w:rPr>
              <w:t>2004</w:t>
            </w:r>
            <w:r w:rsidRPr="00C519BC">
              <w:rPr>
                <w:rFonts w:eastAsia="Times New Roman"/>
                <w:lang w:eastAsia="en-US"/>
              </w:rPr>
              <w:t xml:space="preserve"> </w:t>
            </w:r>
          </w:p>
          <w:p w:rsidR="001D0FDA" w:rsidRPr="00D53F84" w:rsidRDefault="001D0FDA" w:rsidP="00E1668E">
            <w:pPr>
              <w:pStyle w:val="Tabletext"/>
              <w:ind w:right="-28"/>
              <w:rPr>
                <w:rFonts w:eastAsia="Times New Roman"/>
                <w:lang w:eastAsia="en-US"/>
              </w:rPr>
            </w:pPr>
            <w:r w:rsidRPr="00C519BC">
              <w:rPr>
                <w:rFonts w:eastAsia="Times New Roman"/>
                <w:lang w:eastAsia="en-US"/>
              </w:rPr>
              <w:t>Germany</w:t>
            </w:r>
          </w:p>
        </w:tc>
        <w:tc>
          <w:tcPr>
            <w:tcW w:w="476" w:type="pct"/>
          </w:tcPr>
          <w:p w:rsidR="001D0FDA" w:rsidRDefault="001D0FDA" w:rsidP="00E1668E">
            <w:pPr>
              <w:pStyle w:val="Tabletext"/>
              <w:ind w:right="-28"/>
              <w:rPr>
                <w:rFonts w:eastAsia="Times New Roman"/>
                <w:lang w:eastAsia="en-US"/>
              </w:rPr>
            </w:pPr>
            <w:r w:rsidRPr="00C519BC">
              <w:rPr>
                <w:rFonts w:eastAsia="Times New Roman"/>
                <w:lang w:eastAsia="en-US"/>
              </w:rPr>
              <w:t>RCT, OL</w:t>
            </w:r>
          </w:p>
          <w:p w:rsidR="001D0FDA" w:rsidRPr="00C519BC" w:rsidRDefault="001D0FDA" w:rsidP="00E1668E">
            <w:pPr>
              <w:pStyle w:val="Tabletext"/>
              <w:ind w:right="-28"/>
              <w:rPr>
                <w:rFonts w:eastAsia="Times New Roman"/>
                <w:lang w:eastAsia="en-US"/>
              </w:rPr>
            </w:pPr>
            <w:r>
              <w:rPr>
                <w:rFonts w:eastAsia="Times New Roman"/>
                <w:lang w:eastAsia="en-US"/>
              </w:rPr>
              <w:t>Level II evidence</w:t>
            </w:r>
          </w:p>
          <w:p w:rsidR="001D0FDA" w:rsidRPr="00C519BC" w:rsidRDefault="001D0FDA" w:rsidP="00E1668E">
            <w:pPr>
              <w:pStyle w:val="Tabletext"/>
              <w:ind w:right="-28"/>
              <w:rPr>
                <w:rFonts w:eastAsia="Times New Roman"/>
                <w:lang w:eastAsia="en-US"/>
              </w:rPr>
            </w:pPr>
            <w:r>
              <w:rPr>
                <w:rFonts w:eastAsia="Times New Roman"/>
                <w:lang w:eastAsia="en-US"/>
              </w:rPr>
              <w:t xml:space="preserve">Follow-up: </w:t>
            </w:r>
            <w:r w:rsidRPr="00C519BC">
              <w:rPr>
                <w:rFonts w:eastAsia="Times New Roman"/>
                <w:lang w:eastAsia="en-US"/>
              </w:rPr>
              <w:t>12 weeks</w:t>
            </w:r>
          </w:p>
          <w:p w:rsidR="001D0FDA" w:rsidRPr="00D53F84" w:rsidRDefault="001D0FDA" w:rsidP="00E1668E">
            <w:pPr>
              <w:pStyle w:val="Tabletext"/>
              <w:ind w:right="-28"/>
              <w:rPr>
                <w:rFonts w:eastAsia="Times New Roman"/>
                <w:snapToGrid w:val="0"/>
                <w:lang w:eastAsia="en-US"/>
              </w:rPr>
            </w:pPr>
            <w:r>
              <w:rPr>
                <w:rFonts w:eastAsia="Times New Roman"/>
                <w:lang w:eastAsia="en-US"/>
              </w:rPr>
              <w:t>Risk of bias: h</w:t>
            </w:r>
            <w:r w:rsidRPr="00C519BC">
              <w:rPr>
                <w:rFonts w:eastAsia="Times New Roman"/>
                <w:lang w:eastAsia="en-US"/>
              </w:rPr>
              <w:t>igh</w:t>
            </w:r>
          </w:p>
        </w:tc>
        <w:tc>
          <w:tcPr>
            <w:tcW w:w="772" w:type="pct"/>
          </w:tcPr>
          <w:p w:rsidR="001D0FDA" w:rsidRDefault="001D0FDA" w:rsidP="00E1668E">
            <w:pPr>
              <w:pStyle w:val="Tabletext"/>
              <w:rPr>
                <w:rFonts w:cs="Tahoma"/>
                <w:i/>
                <w:szCs w:val="18"/>
              </w:rPr>
            </w:pPr>
            <w:r w:rsidRPr="00C519BC">
              <w:rPr>
                <w:rFonts w:cs="Tahoma"/>
                <w:i/>
                <w:szCs w:val="18"/>
              </w:rPr>
              <w:t>Inclusion criteria</w:t>
            </w:r>
          </w:p>
          <w:p w:rsidR="001D0FDA" w:rsidRDefault="001D0FDA" w:rsidP="00E1668E">
            <w:pPr>
              <w:pStyle w:val="Tabletext"/>
              <w:numPr>
                <w:ilvl w:val="0"/>
                <w:numId w:val="54"/>
              </w:numPr>
              <w:ind w:left="239" w:hanging="144"/>
              <w:rPr>
                <w:rFonts w:cs="Tahoma"/>
                <w:szCs w:val="18"/>
              </w:rPr>
            </w:pPr>
            <w:r>
              <w:rPr>
                <w:rFonts w:cs="Tahoma"/>
                <w:szCs w:val="18"/>
              </w:rPr>
              <w:t xml:space="preserve">Age of </w:t>
            </w:r>
            <w:r w:rsidRPr="00C519BC">
              <w:rPr>
                <w:rFonts w:cs="Tahoma"/>
                <w:szCs w:val="18"/>
              </w:rPr>
              <w:t>18</w:t>
            </w:r>
            <w:r>
              <w:rPr>
                <w:rFonts w:cs="Tahoma"/>
                <w:szCs w:val="18"/>
              </w:rPr>
              <w:t>-75 years</w:t>
            </w:r>
          </w:p>
          <w:p w:rsidR="001D0FDA" w:rsidRDefault="001D0FDA" w:rsidP="00E1668E">
            <w:pPr>
              <w:pStyle w:val="Tabletext"/>
              <w:numPr>
                <w:ilvl w:val="0"/>
                <w:numId w:val="54"/>
              </w:numPr>
              <w:ind w:left="239" w:hanging="144"/>
              <w:rPr>
                <w:rFonts w:cs="Tahoma"/>
                <w:szCs w:val="18"/>
              </w:rPr>
            </w:pPr>
            <w:r w:rsidRPr="00C519BC">
              <w:rPr>
                <w:rFonts w:cs="Tahoma"/>
                <w:szCs w:val="18"/>
              </w:rPr>
              <w:t xml:space="preserve">Patients with </w:t>
            </w:r>
            <w:r>
              <w:rPr>
                <w:rFonts w:cs="Tahoma"/>
                <w:szCs w:val="18"/>
              </w:rPr>
              <w:t>I</w:t>
            </w:r>
            <w:r w:rsidRPr="00C519BC">
              <w:rPr>
                <w:rFonts w:cs="Tahoma"/>
                <w:szCs w:val="18"/>
              </w:rPr>
              <w:t>PAH</w:t>
            </w:r>
          </w:p>
          <w:p w:rsidR="001D0FDA" w:rsidRDefault="001D0FDA" w:rsidP="00E1668E">
            <w:pPr>
              <w:pStyle w:val="Tabletext"/>
              <w:numPr>
                <w:ilvl w:val="0"/>
                <w:numId w:val="54"/>
              </w:numPr>
              <w:ind w:left="239" w:hanging="144"/>
              <w:rPr>
                <w:rFonts w:cs="Tahoma"/>
                <w:szCs w:val="18"/>
              </w:rPr>
            </w:pPr>
            <w:r>
              <w:rPr>
                <w:rFonts w:cs="Tahoma"/>
                <w:szCs w:val="18"/>
              </w:rPr>
              <w:t>Stable WHO FC III for &gt;3 months</w:t>
            </w:r>
          </w:p>
          <w:p w:rsidR="001D0FDA" w:rsidRDefault="001D0FDA" w:rsidP="00E1668E">
            <w:pPr>
              <w:pStyle w:val="Tabletext"/>
              <w:numPr>
                <w:ilvl w:val="0"/>
                <w:numId w:val="54"/>
              </w:numPr>
              <w:ind w:left="239" w:hanging="144"/>
              <w:rPr>
                <w:rFonts w:cs="Tahoma"/>
                <w:szCs w:val="18"/>
              </w:rPr>
            </w:pPr>
            <w:r>
              <w:rPr>
                <w:rFonts w:cs="Tahoma"/>
                <w:szCs w:val="18"/>
              </w:rPr>
              <w:t>Bosentan therapy for &gt;3 months</w:t>
            </w:r>
          </w:p>
          <w:p w:rsidR="001D0FDA" w:rsidRDefault="001D0FDA" w:rsidP="00E1668E">
            <w:pPr>
              <w:pStyle w:val="Tabletext"/>
              <w:numPr>
                <w:ilvl w:val="0"/>
                <w:numId w:val="54"/>
              </w:numPr>
              <w:ind w:left="239" w:hanging="144"/>
              <w:rPr>
                <w:rFonts w:cs="Tahoma"/>
                <w:szCs w:val="18"/>
              </w:rPr>
            </w:pPr>
            <w:r w:rsidRPr="00C519BC">
              <w:rPr>
                <w:rFonts w:cs="Tahoma"/>
                <w:szCs w:val="18"/>
              </w:rPr>
              <w:t xml:space="preserve">6MWD </w:t>
            </w:r>
            <w:r>
              <w:rPr>
                <w:rFonts w:cs="Tahoma"/>
                <w:szCs w:val="18"/>
              </w:rPr>
              <w:t>of 1</w:t>
            </w:r>
            <w:r w:rsidRPr="00C519BC">
              <w:rPr>
                <w:rFonts w:cs="Tahoma"/>
                <w:szCs w:val="18"/>
              </w:rPr>
              <w:t>50</w:t>
            </w:r>
            <w:r>
              <w:rPr>
                <w:rFonts w:cs="Tahoma"/>
                <w:szCs w:val="18"/>
              </w:rPr>
              <w:t>-425</w:t>
            </w:r>
            <w:r w:rsidR="00776155">
              <w:rPr>
                <w:rFonts w:cs="Tahoma"/>
                <w:szCs w:val="18"/>
              </w:rPr>
              <w:t> </w:t>
            </w:r>
            <w:r w:rsidRPr="00C519BC">
              <w:rPr>
                <w:rFonts w:cs="Tahoma"/>
                <w:szCs w:val="18"/>
              </w:rPr>
              <w:t>m</w:t>
            </w:r>
          </w:p>
          <w:p w:rsidR="001D0FDA" w:rsidRPr="00C519BC" w:rsidRDefault="001D0FDA" w:rsidP="00E1668E">
            <w:pPr>
              <w:pStyle w:val="Tabletext"/>
              <w:rPr>
                <w:rFonts w:cs="Tahoma"/>
                <w:i/>
                <w:szCs w:val="18"/>
              </w:rPr>
            </w:pPr>
          </w:p>
          <w:p w:rsidR="001D0FDA" w:rsidRDefault="001D0FDA" w:rsidP="00E1668E">
            <w:pPr>
              <w:pStyle w:val="Tabletext"/>
              <w:rPr>
                <w:rFonts w:cs="Tahoma"/>
                <w:i/>
                <w:szCs w:val="18"/>
              </w:rPr>
            </w:pPr>
            <w:r w:rsidRPr="00C519BC">
              <w:rPr>
                <w:rFonts w:cs="Tahoma"/>
                <w:i/>
                <w:szCs w:val="18"/>
              </w:rPr>
              <w:t>Exclusion criteria</w:t>
            </w:r>
          </w:p>
          <w:p w:rsidR="001D0FDA" w:rsidRPr="00C519BC" w:rsidRDefault="001D0FDA" w:rsidP="00E1668E">
            <w:pPr>
              <w:pStyle w:val="Tabletext"/>
              <w:numPr>
                <w:ilvl w:val="0"/>
                <w:numId w:val="54"/>
              </w:numPr>
              <w:ind w:left="239" w:hanging="144"/>
              <w:rPr>
                <w:rFonts w:cs="Tahoma"/>
                <w:i/>
                <w:szCs w:val="18"/>
              </w:rPr>
            </w:pPr>
            <w:r>
              <w:rPr>
                <w:rFonts w:cs="Tahoma"/>
                <w:szCs w:val="18"/>
              </w:rPr>
              <w:t xml:space="preserve">Patients with </w:t>
            </w:r>
            <w:r w:rsidRPr="00C519BC">
              <w:rPr>
                <w:rFonts w:cs="Tahoma"/>
                <w:szCs w:val="18"/>
              </w:rPr>
              <w:t xml:space="preserve">severe lung disease </w:t>
            </w:r>
          </w:p>
          <w:p w:rsidR="001D0FDA" w:rsidRPr="00C519BC" w:rsidRDefault="001D0FDA" w:rsidP="00E1668E">
            <w:pPr>
              <w:pStyle w:val="Tabletext"/>
              <w:numPr>
                <w:ilvl w:val="0"/>
                <w:numId w:val="54"/>
              </w:numPr>
              <w:ind w:left="239" w:hanging="144"/>
              <w:rPr>
                <w:rFonts w:cs="Tahoma"/>
                <w:i/>
                <w:szCs w:val="18"/>
              </w:rPr>
            </w:pPr>
            <w:r>
              <w:rPr>
                <w:rFonts w:cs="Tahoma"/>
                <w:szCs w:val="18"/>
              </w:rPr>
              <w:t>C</w:t>
            </w:r>
            <w:r w:rsidRPr="00C519BC">
              <w:rPr>
                <w:rFonts w:cs="Tahoma"/>
                <w:szCs w:val="18"/>
              </w:rPr>
              <w:t xml:space="preserve">linical instability </w:t>
            </w:r>
            <w:r>
              <w:rPr>
                <w:rFonts w:cs="Tahoma"/>
                <w:szCs w:val="18"/>
              </w:rPr>
              <w:t>(</w:t>
            </w:r>
            <w:r w:rsidRPr="00C519BC">
              <w:rPr>
                <w:rFonts w:cs="Tahoma"/>
                <w:szCs w:val="18"/>
              </w:rPr>
              <w:t xml:space="preserve">defined </w:t>
            </w:r>
            <w:r>
              <w:rPr>
                <w:rFonts w:cs="Tahoma"/>
                <w:szCs w:val="18"/>
              </w:rPr>
              <w:t>as</w:t>
            </w:r>
            <w:r w:rsidRPr="00C519BC">
              <w:rPr>
                <w:rFonts w:cs="Tahoma"/>
                <w:szCs w:val="18"/>
              </w:rPr>
              <w:t xml:space="preserve"> right-heart failure within the last 3 months</w:t>
            </w:r>
            <w:r>
              <w:rPr>
                <w:rFonts w:cs="Tahoma"/>
                <w:szCs w:val="18"/>
              </w:rPr>
              <w:t>)</w:t>
            </w:r>
          </w:p>
          <w:p w:rsidR="001D0FDA" w:rsidRPr="00C519BC" w:rsidRDefault="001D0FDA" w:rsidP="00E1668E">
            <w:pPr>
              <w:pStyle w:val="Tabletext"/>
              <w:numPr>
                <w:ilvl w:val="0"/>
                <w:numId w:val="54"/>
              </w:numPr>
              <w:ind w:left="239" w:hanging="144"/>
              <w:rPr>
                <w:rFonts w:cs="Tahoma"/>
                <w:i/>
                <w:szCs w:val="18"/>
              </w:rPr>
            </w:pPr>
            <w:r>
              <w:rPr>
                <w:rFonts w:cs="Tahoma"/>
                <w:szCs w:val="18"/>
              </w:rPr>
              <w:t>SBP</w:t>
            </w:r>
            <w:r w:rsidRPr="00C519BC">
              <w:rPr>
                <w:rFonts w:cs="Tahoma"/>
                <w:szCs w:val="18"/>
              </w:rPr>
              <w:t xml:space="preserve"> &lt;85</w:t>
            </w:r>
            <w:r w:rsidR="00776155">
              <w:rPr>
                <w:rFonts w:cs="Tahoma"/>
                <w:szCs w:val="18"/>
              </w:rPr>
              <w:t> </w:t>
            </w:r>
            <w:r w:rsidRPr="00C519BC">
              <w:rPr>
                <w:rFonts w:cs="Tahoma"/>
                <w:szCs w:val="18"/>
              </w:rPr>
              <w:t>mmHg</w:t>
            </w:r>
          </w:p>
          <w:p w:rsidR="001D0FDA" w:rsidRPr="0049122E" w:rsidRDefault="001D0FDA" w:rsidP="00E1668E">
            <w:pPr>
              <w:pStyle w:val="Tabletext"/>
              <w:numPr>
                <w:ilvl w:val="0"/>
                <w:numId w:val="54"/>
              </w:numPr>
              <w:ind w:left="239" w:hanging="144"/>
              <w:rPr>
                <w:rFonts w:cs="Tahoma"/>
                <w:i/>
                <w:szCs w:val="18"/>
              </w:rPr>
            </w:pPr>
            <w:r>
              <w:rPr>
                <w:rFonts w:cs="Tahoma"/>
                <w:szCs w:val="18"/>
              </w:rPr>
              <w:t>C</w:t>
            </w:r>
            <w:r w:rsidRPr="00C519BC">
              <w:rPr>
                <w:rFonts w:cs="Tahoma"/>
                <w:szCs w:val="18"/>
              </w:rPr>
              <w:t>oncomitant sildenafil therapy or treatment w</w:t>
            </w:r>
            <w:r>
              <w:rPr>
                <w:rFonts w:cs="Tahoma"/>
                <w:szCs w:val="18"/>
              </w:rPr>
              <w:t>ith prostanoids within 3 months</w:t>
            </w:r>
          </w:p>
        </w:tc>
        <w:tc>
          <w:tcPr>
            <w:tcW w:w="0" w:type="auto"/>
          </w:tcPr>
          <w:p w:rsidR="001D0FDA" w:rsidRPr="00351FF5" w:rsidRDefault="001D0FDA" w:rsidP="00E1668E">
            <w:pPr>
              <w:pStyle w:val="Tabletext"/>
              <w:rPr>
                <w:rFonts w:cs="Tahoma"/>
                <w:szCs w:val="18"/>
              </w:rPr>
            </w:pPr>
            <w:r>
              <w:rPr>
                <w:rFonts w:cs="Tahoma"/>
                <w:szCs w:val="18"/>
              </w:rPr>
              <w:t>N=40</w:t>
            </w:r>
          </w:p>
          <w:tbl>
            <w:tblPr>
              <w:tblStyle w:val="TableGrid"/>
              <w:tblW w:w="43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COMBI"/>
            </w:tblPr>
            <w:tblGrid>
              <w:gridCol w:w="2101"/>
              <w:gridCol w:w="1134"/>
              <w:gridCol w:w="1134"/>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1D0FDA" w:rsidRPr="00351FF5" w:rsidRDefault="001D0FDA" w:rsidP="00570FC8">
                  <w:pPr>
                    <w:pStyle w:val="Tabletext"/>
                    <w:framePr w:hSpace="181" w:wrap="around" w:hAnchor="text" w:yAlign="bottom"/>
                    <w:spacing w:before="0" w:after="0"/>
                    <w:suppressOverlap/>
                    <w:rPr>
                      <w:rFonts w:cs="Tahoma"/>
                      <w:b/>
                      <w:szCs w:val="18"/>
                    </w:rPr>
                  </w:pPr>
                </w:p>
              </w:tc>
              <w:tc>
                <w:tcPr>
                  <w:tcW w:w="1134"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Pr>
                      <w:rFonts w:cs="Tahoma"/>
                      <w:szCs w:val="18"/>
                    </w:rPr>
                    <w:t>Iloprost + bosentan</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19</w:t>
                  </w:r>
                  <w:r w:rsidRPr="00802B85">
                    <w:rPr>
                      <w:rFonts w:cs="Tahoma"/>
                      <w:szCs w:val="18"/>
                    </w:rPr>
                    <w:t>)</w:t>
                  </w:r>
                </w:p>
              </w:tc>
              <w:tc>
                <w:tcPr>
                  <w:tcW w:w="1134"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Pr>
                      <w:rFonts w:cs="Tahoma"/>
                      <w:szCs w:val="18"/>
                    </w:rPr>
                    <w:t>Bosentan</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21</w:t>
                  </w:r>
                  <w:r w:rsidRPr="00802B85">
                    <w:rPr>
                      <w:rFonts w:cs="Tahoma"/>
                      <w:szCs w:val="18"/>
                    </w:rPr>
                    <w:t>)</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134" w:type="dxa"/>
                </w:tcPr>
                <w:p w:rsidR="001D0FDA" w:rsidRPr="00351FF5" w:rsidRDefault="001D0FDA" w:rsidP="00570FC8">
                  <w:pPr>
                    <w:pStyle w:val="Tabletext"/>
                    <w:framePr w:hSpace="181" w:wrap="around" w:hAnchor="text" w:yAlign="bottom"/>
                    <w:spacing w:before="0"/>
                    <w:suppressOverlap/>
                    <w:jc w:val="center"/>
                    <w:rPr>
                      <w:rFonts w:cs="Tahoma"/>
                      <w:szCs w:val="18"/>
                    </w:rPr>
                  </w:pPr>
                  <w:r w:rsidRPr="0056355D">
                    <w:rPr>
                      <w:rFonts w:cs="Tahoma"/>
                      <w:szCs w:val="18"/>
                    </w:rPr>
                    <w:t xml:space="preserve">48 ± 14 </w:t>
                  </w:r>
                </w:p>
              </w:tc>
              <w:tc>
                <w:tcPr>
                  <w:tcW w:w="1134" w:type="dxa"/>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56355D">
                    <w:rPr>
                      <w:rFonts w:cs="Tahoma"/>
                      <w:szCs w:val="18"/>
                    </w:rPr>
                    <w:t>56 ± 13</w:t>
                  </w:r>
                </w:p>
              </w:tc>
            </w:tr>
            <w:tr w:rsidR="001D0FDA" w:rsidRPr="00351FF5" w:rsidTr="001D0FDA">
              <w:tc>
                <w:tcPr>
                  <w:tcW w:w="2101"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134"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15</w:t>
                  </w:r>
                  <w:r w:rsidRPr="00351FF5">
                    <w:rPr>
                      <w:rFonts w:cs="Tahoma"/>
                      <w:szCs w:val="18"/>
                    </w:rPr>
                    <w:t xml:space="preserve"> (7</w:t>
                  </w:r>
                  <w:r>
                    <w:rPr>
                      <w:rFonts w:cs="Tahoma"/>
                      <w:szCs w:val="18"/>
                    </w:rPr>
                    <w:t>9</w:t>
                  </w:r>
                  <w:r w:rsidRPr="00351FF5">
                    <w:rPr>
                      <w:rFonts w:cs="Tahoma"/>
                      <w:szCs w:val="18"/>
                    </w:rPr>
                    <w:t>%)</w:t>
                  </w:r>
                </w:p>
              </w:tc>
              <w:tc>
                <w:tcPr>
                  <w:tcW w:w="1134"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16</w:t>
                  </w:r>
                  <w:r w:rsidRPr="00351FF5">
                    <w:rPr>
                      <w:rFonts w:cs="Tahoma"/>
                      <w:szCs w:val="18"/>
                    </w:rPr>
                    <w:t xml:space="preserve"> (</w:t>
                  </w:r>
                  <w:r>
                    <w:rPr>
                      <w:rFonts w:cs="Tahoma"/>
                      <w:szCs w:val="18"/>
                    </w:rPr>
                    <w:t>76</w:t>
                  </w:r>
                  <w:r w:rsidRPr="00351FF5">
                    <w:rPr>
                      <w:rFonts w:cs="Tahoma"/>
                      <w:szCs w:val="18"/>
                    </w:rPr>
                    <w:t>%)</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134"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IPAH</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19 (100%)</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21 (100%)</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134"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NR</w:t>
                  </w:r>
                </w:p>
              </w:tc>
              <w:tc>
                <w:tcPr>
                  <w:tcW w:w="1134"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III</w:t>
                  </w:r>
                </w:p>
              </w:tc>
              <w:tc>
                <w:tcPr>
                  <w:tcW w:w="1134" w:type="dxa"/>
                  <w:tcBorders>
                    <w:top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19 (100%)</w:t>
                  </w:r>
                </w:p>
              </w:tc>
              <w:tc>
                <w:tcPr>
                  <w:tcW w:w="1134" w:type="dxa"/>
                  <w:tcBorders>
                    <w:top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21 (100%)</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mPAP, mean±SD (mmHg)</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54</w:t>
                  </w:r>
                  <w:r w:rsidRPr="00351FF5">
                    <w:rPr>
                      <w:rFonts w:cs="Tahoma"/>
                      <w:szCs w:val="18"/>
                    </w:rPr>
                    <w:t>±</w:t>
                  </w:r>
                  <w:r>
                    <w:rPr>
                      <w:rFonts w:cs="Tahoma"/>
                      <w:szCs w:val="18"/>
                    </w:rPr>
                    <w:t>12</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5</w:t>
                  </w:r>
                  <w:r>
                    <w:rPr>
                      <w:rFonts w:cs="Tahoma"/>
                      <w:szCs w:val="18"/>
                    </w:rPr>
                    <w:t>9</w:t>
                  </w:r>
                  <w:r w:rsidRPr="00351FF5">
                    <w:rPr>
                      <w:rFonts w:cs="Tahoma"/>
                      <w:szCs w:val="18"/>
                    </w:rPr>
                    <w:t>±1</w:t>
                  </w:r>
                  <w:r>
                    <w:rPr>
                      <w:rFonts w:cs="Tahoma"/>
                      <w:szCs w:val="18"/>
                    </w:rPr>
                    <w:t>9</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PVR, mean±SD (</w:t>
                  </w:r>
                  <w:r>
                    <w:rPr>
                      <w:rFonts w:cs="Tahoma"/>
                      <w:szCs w:val="18"/>
                    </w:rPr>
                    <w:t>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839±531</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805±369</w:t>
                  </w:r>
                </w:p>
              </w:tc>
            </w:tr>
          </w:tbl>
          <w:p w:rsidR="001D0FDA" w:rsidRDefault="001D0FDA" w:rsidP="00E1668E">
            <w:pPr>
              <w:pStyle w:val="Tabletext"/>
              <w:rPr>
                <w:rFonts w:cs="Tahoma"/>
                <w:szCs w:val="18"/>
              </w:rPr>
            </w:pPr>
          </w:p>
        </w:tc>
        <w:tc>
          <w:tcPr>
            <w:tcW w:w="811" w:type="pct"/>
          </w:tcPr>
          <w:p w:rsidR="001D0FDA" w:rsidRPr="0056355D" w:rsidRDefault="001D0FDA" w:rsidP="00E1668E">
            <w:pPr>
              <w:pStyle w:val="Tabletext"/>
              <w:rPr>
                <w:rFonts w:cs="Tahoma"/>
                <w:i/>
                <w:szCs w:val="18"/>
              </w:rPr>
            </w:pPr>
            <w:r>
              <w:rPr>
                <w:rFonts w:cs="Tahoma"/>
                <w:i/>
                <w:szCs w:val="18"/>
              </w:rPr>
              <w:t>Intervention</w:t>
            </w:r>
          </w:p>
          <w:p w:rsidR="001D0FDA" w:rsidRPr="0056355D" w:rsidRDefault="001D0FDA" w:rsidP="00E1668E">
            <w:pPr>
              <w:pStyle w:val="Tabletext"/>
              <w:rPr>
                <w:rFonts w:cs="Tahoma"/>
                <w:szCs w:val="18"/>
              </w:rPr>
            </w:pPr>
            <w:r w:rsidRPr="0056355D">
              <w:rPr>
                <w:rFonts w:cs="Tahoma"/>
                <w:szCs w:val="18"/>
              </w:rPr>
              <w:t>Iloprost + bosentan</w:t>
            </w:r>
          </w:p>
          <w:p w:rsidR="001D0FDA" w:rsidRPr="0056355D" w:rsidRDefault="001D0FDA" w:rsidP="00E1668E">
            <w:pPr>
              <w:pStyle w:val="Tabletext"/>
              <w:rPr>
                <w:rFonts w:cs="Tahoma"/>
                <w:szCs w:val="18"/>
              </w:rPr>
            </w:pPr>
            <w:r w:rsidRPr="0056355D">
              <w:rPr>
                <w:rFonts w:cs="Tahoma"/>
                <w:szCs w:val="18"/>
              </w:rPr>
              <w:t>Bosentan</w:t>
            </w:r>
            <w:r>
              <w:rPr>
                <w:rFonts w:cs="Tahoma"/>
                <w:szCs w:val="18"/>
              </w:rPr>
              <w:t>:</w:t>
            </w:r>
            <w:r w:rsidRPr="0056355D">
              <w:rPr>
                <w:rFonts w:cs="Tahoma"/>
                <w:szCs w:val="18"/>
              </w:rPr>
              <w:t xml:space="preserve"> </w:t>
            </w:r>
            <w:r>
              <w:rPr>
                <w:rFonts w:cs="Tahoma"/>
                <w:szCs w:val="18"/>
              </w:rPr>
              <w:t>125</w:t>
            </w:r>
            <w:r w:rsidR="00776155">
              <w:rPr>
                <w:rFonts w:cs="Tahoma"/>
                <w:szCs w:val="18"/>
              </w:rPr>
              <w:t> </w:t>
            </w:r>
            <w:r>
              <w:rPr>
                <w:rFonts w:cs="Tahoma"/>
                <w:szCs w:val="18"/>
              </w:rPr>
              <w:t>mg bid</w:t>
            </w:r>
          </w:p>
          <w:p w:rsidR="001D0FDA" w:rsidRDefault="001D0FDA" w:rsidP="00E1668E">
            <w:pPr>
              <w:pStyle w:val="Tabletext"/>
              <w:rPr>
                <w:rFonts w:cs="Tahoma"/>
                <w:szCs w:val="18"/>
              </w:rPr>
            </w:pPr>
            <w:r w:rsidRPr="0056355D">
              <w:rPr>
                <w:rFonts w:cs="Tahoma"/>
                <w:szCs w:val="18"/>
              </w:rPr>
              <w:t>Iloprost</w:t>
            </w:r>
            <w:r>
              <w:rPr>
                <w:rFonts w:cs="Tahoma"/>
                <w:szCs w:val="18"/>
              </w:rPr>
              <w:t xml:space="preserve">: </w:t>
            </w:r>
            <w:r w:rsidRPr="0056355D">
              <w:rPr>
                <w:rFonts w:cs="Tahoma"/>
                <w:szCs w:val="18"/>
              </w:rPr>
              <w:t>5</w:t>
            </w:r>
            <w:r w:rsidR="00776155">
              <w:rPr>
                <w:rFonts w:cs="Tahoma"/>
                <w:szCs w:val="18"/>
              </w:rPr>
              <w:t> </w:t>
            </w:r>
            <w:r w:rsidRPr="0056355D">
              <w:rPr>
                <w:rFonts w:cs="Tahoma"/>
                <w:szCs w:val="18"/>
              </w:rPr>
              <w:t xml:space="preserve">µg </w:t>
            </w:r>
            <w:r>
              <w:rPr>
                <w:rFonts w:cs="Tahoma"/>
                <w:szCs w:val="18"/>
              </w:rPr>
              <w:t>inhaled</w:t>
            </w:r>
            <w:r w:rsidRPr="0056355D">
              <w:rPr>
                <w:rFonts w:cs="Tahoma"/>
                <w:szCs w:val="18"/>
              </w:rPr>
              <w:t xml:space="preserve"> </w:t>
            </w:r>
            <w:r>
              <w:rPr>
                <w:rFonts w:cs="Tahoma"/>
                <w:szCs w:val="18"/>
              </w:rPr>
              <w:t>6 times daily</w:t>
            </w:r>
          </w:p>
          <w:p w:rsidR="001D0FDA" w:rsidRDefault="001D0FDA" w:rsidP="00E1668E">
            <w:pPr>
              <w:pStyle w:val="Tabletext"/>
              <w:rPr>
                <w:rFonts w:cs="Tahoma"/>
                <w:szCs w:val="18"/>
              </w:rPr>
            </w:pPr>
          </w:p>
          <w:p w:rsidR="001D0FDA" w:rsidRPr="0056355D" w:rsidRDefault="001D0FDA" w:rsidP="00E1668E">
            <w:pPr>
              <w:pStyle w:val="Tabletext"/>
              <w:rPr>
                <w:rFonts w:cs="Tahoma"/>
                <w:szCs w:val="18"/>
              </w:rPr>
            </w:pPr>
            <w:r>
              <w:rPr>
                <w:rFonts w:cs="Tahoma"/>
                <w:i/>
                <w:szCs w:val="18"/>
              </w:rPr>
              <w:t>Comparator</w:t>
            </w:r>
            <w:r w:rsidRPr="0056355D">
              <w:rPr>
                <w:rFonts w:cs="Tahoma"/>
                <w:szCs w:val="18"/>
              </w:rPr>
              <w:t xml:space="preserve"> </w:t>
            </w:r>
          </w:p>
          <w:p w:rsidR="001D0FDA" w:rsidRPr="0056355D" w:rsidRDefault="001D0FDA" w:rsidP="00E1668E">
            <w:pPr>
              <w:pStyle w:val="Tabletext"/>
              <w:rPr>
                <w:rFonts w:cs="Tahoma"/>
                <w:szCs w:val="18"/>
              </w:rPr>
            </w:pPr>
            <w:r w:rsidRPr="0056355D">
              <w:rPr>
                <w:rFonts w:cs="Tahoma"/>
                <w:szCs w:val="18"/>
              </w:rPr>
              <w:t>Bosentan alone</w:t>
            </w:r>
          </w:p>
          <w:p w:rsidR="001D0FDA" w:rsidRDefault="001D0FDA" w:rsidP="00E1668E">
            <w:pPr>
              <w:pStyle w:val="Tabletext"/>
              <w:rPr>
                <w:rFonts w:cs="Tahoma"/>
                <w:i/>
                <w:szCs w:val="18"/>
              </w:rPr>
            </w:pPr>
            <w:r w:rsidRPr="0056355D">
              <w:rPr>
                <w:rFonts w:cs="Tahoma"/>
                <w:szCs w:val="18"/>
              </w:rPr>
              <w:t>Bosentan</w:t>
            </w:r>
            <w:r>
              <w:rPr>
                <w:rFonts w:cs="Tahoma"/>
                <w:szCs w:val="18"/>
              </w:rPr>
              <w:t>: 125</w:t>
            </w:r>
            <w:r w:rsidR="00776155">
              <w:rPr>
                <w:rFonts w:cs="Tahoma"/>
                <w:szCs w:val="18"/>
              </w:rPr>
              <w:t> </w:t>
            </w:r>
            <w:r>
              <w:rPr>
                <w:rFonts w:cs="Tahoma"/>
                <w:szCs w:val="18"/>
              </w:rPr>
              <w:t>mg bi</w:t>
            </w:r>
            <w:r w:rsidRPr="0056355D">
              <w:rPr>
                <w:rFonts w:cs="Tahoma"/>
                <w:szCs w:val="18"/>
              </w:rPr>
              <w:t>d</w:t>
            </w:r>
          </w:p>
        </w:tc>
        <w:tc>
          <w:tcPr>
            <w:tcW w:w="771" w:type="pct"/>
          </w:tcPr>
          <w:p w:rsidR="001D0FDA" w:rsidRDefault="001D0FDA" w:rsidP="00E1668E">
            <w:pPr>
              <w:pStyle w:val="Tabletext"/>
              <w:rPr>
                <w:rFonts w:cs="Tahoma"/>
                <w:i/>
                <w:szCs w:val="18"/>
              </w:rPr>
            </w:pPr>
            <w:r>
              <w:rPr>
                <w:rFonts w:cs="Tahoma"/>
                <w:i/>
                <w:szCs w:val="18"/>
              </w:rPr>
              <w:t>Effectiveness:</w:t>
            </w:r>
          </w:p>
          <w:p w:rsidR="001D0FDA" w:rsidRPr="00B551C2" w:rsidRDefault="001D0FDA" w:rsidP="00E1668E">
            <w:pPr>
              <w:pStyle w:val="Tabletext"/>
              <w:rPr>
                <w:rFonts w:cs="Tahoma"/>
                <w:szCs w:val="18"/>
              </w:rPr>
            </w:pPr>
            <w:r w:rsidRPr="00B551C2">
              <w:rPr>
                <w:rFonts w:cs="Tahoma"/>
                <w:szCs w:val="18"/>
              </w:rPr>
              <w:t>Primary:</w:t>
            </w:r>
          </w:p>
          <w:p w:rsidR="001D0FDA" w:rsidRPr="00B551C2" w:rsidRDefault="001D0FDA" w:rsidP="00E1668E">
            <w:pPr>
              <w:pStyle w:val="Tabletext"/>
              <w:numPr>
                <w:ilvl w:val="0"/>
                <w:numId w:val="54"/>
              </w:numPr>
              <w:ind w:left="239" w:hanging="144"/>
              <w:rPr>
                <w:rFonts w:cs="Tahoma"/>
                <w:szCs w:val="18"/>
              </w:rPr>
            </w:pPr>
            <w:r w:rsidRPr="00B551C2">
              <w:rPr>
                <w:rFonts w:cs="Tahoma"/>
                <w:szCs w:val="18"/>
              </w:rPr>
              <w:t xml:space="preserve">Change in 6MWD </w:t>
            </w:r>
            <w:r>
              <w:rPr>
                <w:rFonts w:cs="Tahoma"/>
                <w:szCs w:val="18"/>
              </w:rPr>
              <w:t>at Week 12</w:t>
            </w:r>
            <w:r w:rsidRPr="006F5135">
              <w:rPr>
                <w:rFonts w:cs="Tahoma"/>
                <w:szCs w:val="18"/>
                <w:vertAlign w:val="superscript"/>
              </w:rPr>
              <w:t>c</w:t>
            </w:r>
          </w:p>
          <w:p w:rsidR="001D0FDA" w:rsidRPr="00B551C2" w:rsidRDefault="001D0FDA" w:rsidP="00E1668E">
            <w:pPr>
              <w:pStyle w:val="Tabletext"/>
              <w:rPr>
                <w:rFonts w:cs="Tahoma"/>
                <w:szCs w:val="18"/>
              </w:rPr>
            </w:pPr>
            <w:r w:rsidRPr="00B551C2">
              <w:rPr>
                <w:rFonts w:cs="Tahoma"/>
                <w:szCs w:val="18"/>
              </w:rPr>
              <w:t>Secondary:</w:t>
            </w:r>
          </w:p>
          <w:p w:rsidR="001D0FDA" w:rsidRPr="00B551C2" w:rsidRDefault="001D0FDA" w:rsidP="00E1668E">
            <w:pPr>
              <w:pStyle w:val="Tabletext"/>
              <w:numPr>
                <w:ilvl w:val="0"/>
                <w:numId w:val="54"/>
              </w:numPr>
              <w:ind w:left="239" w:hanging="144"/>
              <w:rPr>
                <w:rFonts w:cs="Tahoma"/>
                <w:szCs w:val="18"/>
              </w:rPr>
            </w:pPr>
            <w:r w:rsidRPr="00B551C2">
              <w:rPr>
                <w:rFonts w:cs="Tahoma"/>
                <w:szCs w:val="18"/>
              </w:rPr>
              <w:t>Change in WHO FC</w:t>
            </w:r>
          </w:p>
          <w:p w:rsidR="001D0FDA" w:rsidRPr="00B551C2" w:rsidRDefault="001D0FDA" w:rsidP="00E1668E">
            <w:pPr>
              <w:pStyle w:val="Tabletext"/>
              <w:numPr>
                <w:ilvl w:val="0"/>
                <w:numId w:val="54"/>
              </w:numPr>
              <w:ind w:left="239" w:hanging="144"/>
              <w:rPr>
                <w:rFonts w:cs="Tahoma"/>
                <w:szCs w:val="18"/>
              </w:rPr>
            </w:pPr>
            <w:r>
              <w:rPr>
                <w:rFonts w:cs="Tahoma"/>
                <w:szCs w:val="18"/>
              </w:rPr>
              <w:t>Change in EQ-</w:t>
            </w:r>
            <w:r w:rsidR="00107963">
              <w:rPr>
                <w:rFonts w:cs="Tahoma"/>
                <w:szCs w:val="18"/>
              </w:rPr>
              <w:t>VAS</w:t>
            </w:r>
            <w:r w:rsidRPr="006F5135">
              <w:rPr>
                <w:rFonts w:cs="Tahoma"/>
                <w:szCs w:val="18"/>
                <w:vertAlign w:val="superscript"/>
              </w:rPr>
              <w:t>c</w:t>
            </w:r>
          </w:p>
          <w:p w:rsidR="001D0FDA" w:rsidRPr="006F5135" w:rsidRDefault="001D0FDA" w:rsidP="00E1668E">
            <w:pPr>
              <w:pStyle w:val="Tabletext"/>
              <w:numPr>
                <w:ilvl w:val="0"/>
                <w:numId w:val="54"/>
              </w:numPr>
              <w:ind w:left="239" w:hanging="144"/>
              <w:rPr>
                <w:rFonts w:cs="Tahoma"/>
                <w:szCs w:val="18"/>
              </w:rPr>
            </w:pPr>
            <w:r w:rsidRPr="00B551C2">
              <w:rPr>
                <w:rFonts w:cs="Tahoma"/>
                <w:szCs w:val="18"/>
              </w:rPr>
              <w:t>Clinical worsening</w:t>
            </w:r>
            <w:r w:rsidRPr="006F5135">
              <w:rPr>
                <w:rFonts w:cs="Tahoma"/>
                <w:szCs w:val="18"/>
                <w:vertAlign w:val="superscript"/>
              </w:rPr>
              <w:t>c</w:t>
            </w:r>
          </w:p>
          <w:p w:rsidR="001D0FDA" w:rsidRDefault="001D0FDA" w:rsidP="00E1668E">
            <w:pPr>
              <w:pStyle w:val="Tabletext"/>
              <w:rPr>
                <w:rFonts w:cs="Tahoma"/>
                <w:szCs w:val="18"/>
              </w:rPr>
            </w:pPr>
            <w:r>
              <w:rPr>
                <w:rFonts w:cs="Tahoma"/>
                <w:szCs w:val="18"/>
              </w:rPr>
              <w:t>Others:</w:t>
            </w:r>
          </w:p>
          <w:p w:rsidR="001D0FDA" w:rsidRPr="00403921" w:rsidRDefault="001D0FDA" w:rsidP="00E1668E">
            <w:pPr>
              <w:pStyle w:val="Tabletext"/>
              <w:numPr>
                <w:ilvl w:val="0"/>
                <w:numId w:val="54"/>
              </w:numPr>
              <w:ind w:left="239" w:hanging="144"/>
              <w:rPr>
                <w:rFonts w:cs="Tahoma"/>
                <w:szCs w:val="18"/>
              </w:rPr>
            </w:pPr>
            <w:r>
              <w:rPr>
                <w:rFonts w:cs="Tahoma"/>
                <w:szCs w:val="18"/>
              </w:rPr>
              <w:t>Mortality</w:t>
            </w:r>
            <w:r>
              <w:rPr>
                <w:rFonts w:cs="Tahoma"/>
                <w:szCs w:val="18"/>
                <w:vertAlign w:val="superscript"/>
              </w:rPr>
              <w:t>c</w:t>
            </w:r>
          </w:p>
          <w:p w:rsidR="00A073C5" w:rsidRPr="001D75C0" w:rsidRDefault="00A073C5" w:rsidP="00E1668E">
            <w:pPr>
              <w:pStyle w:val="Tabletext"/>
              <w:numPr>
                <w:ilvl w:val="0"/>
                <w:numId w:val="54"/>
              </w:numPr>
              <w:ind w:left="239" w:hanging="144"/>
              <w:rPr>
                <w:rFonts w:cs="Tahoma"/>
                <w:szCs w:val="18"/>
              </w:rPr>
            </w:pPr>
            <w:r>
              <w:rPr>
                <w:rFonts w:cs="Tahoma"/>
                <w:szCs w:val="18"/>
              </w:rPr>
              <w:t>Hospitalisation due to PAH</w:t>
            </w:r>
          </w:p>
          <w:p w:rsidR="001D0FDA" w:rsidRDefault="001D0FDA" w:rsidP="00E1668E">
            <w:pPr>
              <w:pStyle w:val="Tabletext"/>
              <w:rPr>
                <w:rFonts w:cs="Tahoma"/>
                <w:i/>
                <w:szCs w:val="18"/>
              </w:rPr>
            </w:pPr>
          </w:p>
          <w:p w:rsidR="001D0FDA" w:rsidRPr="001D75C0" w:rsidRDefault="001D0FDA" w:rsidP="00E1668E">
            <w:pPr>
              <w:pStyle w:val="Tabletext"/>
              <w:rPr>
                <w:rFonts w:cs="Tahoma"/>
                <w:i/>
                <w:szCs w:val="18"/>
              </w:rPr>
            </w:pPr>
            <w:r w:rsidRPr="001D75C0">
              <w:rPr>
                <w:rFonts w:cs="Tahoma"/>
                <w:i/>
                <w:szCs w:val="18"/>
              </w:rPr>
              <w:t>Safety</w:t>
            </w:r>
          </w:p>
          <w:p w:rsidR="001D0FDA" w:rsidRPr="00B551C2" w:rsidRDefault="001D0FDA" w:rsidP="00E1668E">
            <w:pPr>
              <w:pStyle w:val="Tabletext"/>
              <w:numPr>
                <w:ilvl w:val="0"/>
                <w:numId w:val="54"/>
              </w:numPr>
              <w:ind w:left="239" w:hanging="144"/>
              <w:rPr>
                <w:rFonts w:cs="Tahoma"/>
                <w:szCs w:val="18"/>
              </w:rPr>
            </w:pPr>
            <w:r w:rsidRPr="001D75C0">
              <w:rPr>
                <w:rFonts w:cs="Tahoma"/>
                <w:szCs w:val="18"/>
              </w:rPr>
              <w:t>Adverse events</w:t>
            </w:r>
            <w:r w:rsidRPr="00B551C2">
              <w:rPr>
                <w:rFonts w:cs="Tahoma"/>
                <w:szCs w:val="18"/>
                <w:vertAlign w:val="superscript"/>
              </w:rPr>
              <w:t>c</w:t>
            </w:r>
          </w:p>
        </w:tc>
      </w:tr>
      <w:tr w:rsidR="001D0FDA" w:rsidRPr="00204000" w:rsidTr="00E1668E">
        <w:tc>
          <w:tcPr>
            <w:tcW w:w="531" w:type="pct"/>
          </w:tcPr>
          <w:p w:rsidR="001D0FDA" w:rsidRPr="00D53F84" w:rsidRDefault="001D0FDA" w:rsidP="00E1668E">
            <w:pPr>
              <w:pStyle w:val="Tabletext"/>
              <w:ind w:right="-28"/>
              <w:rPr>
                <w:rFonts w:eastAsia="Times New Roman"/>
              </w:rPr>
            </w:pPr>
            <w:r w:rsidRPr="00D53F84">
              <w:rPr>
                <w:rFonts w:eastAsia="Times New Roman"/>
              </w:rPr>
              <w:t>COMPASS-2</w:t>
            </w:r>
            <w:r w:rsidR="001D34EE" w:rsidRPr="001A1C44">
              <w:rPr>
                <w:rFonts w:eastAsia="Times New Roman"/>
                <w:noProof/>
                <w:vertAlign w:val="superscript"/>
              </w:rPr>
              <w:t>37</w:t>
            </w:r>
          </w:p>
          <w:p w:rsidR="001D0FDA" w:rsidRPr="00D53F84" w:rsidRDefault="001D0FDA" w:rsidP="00E1668E">
            <w:pPr>
              <w:pStyle w:val="Tabletext"/>
              <w:ind w:right="-28"/>
              <w:rPr>
                <w:rFonts w:eastAsia="Times New Roman"/>
              </w:rPr>
            </w:pPr>
            <w:r w:rsidRPr="00D53F84">
              <w:rPr>
                <w:rFonts w:eastAsia="Times New Roman"/>
                <w:lang w:eastAsia="en-US"/>
              </w:rPr>
              <w:t>2006-2012</w:t>
            </w:r>
          </w:p>
          <w:p w:rsidR="001D0FDA" w:rsidRPr="00C519BC" w:rsidRDefault="001D0FDA" w:rsidP="00E1668E">
            <w:pPr>
              <w:pStyle w:val="Tabletext"/>
              <w:ind w:right="-28"/>
              <w:rPr>
                <w:rFonts w:eastAsia="Times New Roman"/>
                <w:lang w:eastAsia="en-US"/>
              </w:rPr>
            </w:pPr>
            <w:r w:rsidRPr="00D53F84">
              <w:rPr>
                <w:rFonts w:eastAsia="Times New Roman"/>
                <w:lang w:eastAsia="en-US"/>
              </w:rPr>
              <w:t>US, Europe, Brazil, Saudi Arabia</w:t>
            </w:r>
          </w:p>
        </w:tc>
        <w:tc>
          <w:tcPr>
            <w:tcW w:w="476" w:type="pct"/>
          </w:tcPr>
          <w:p w:rsidR="001D0FDA" w:rsidRDefault="001D0FDA" w:rsidP="00E1668E">
            <w:pPr>
              <w:pStyle w:val="Tabletext"/>
              <w:ind w:right="-28"/>
              <w:rPr>
                <w:rFonts w:eastAsia="Times New Roman"/>
                <w:lang w:eastAsia="en-US"/>
              </w:rPr>
            </w:pPr>
            <w:r w:rsidRPr="00D53F84">
              <w:rPr>
                <w:rFonts w:eastAsia="Times New Roman"/>
                <w:lang w:eastAsia="en-US"/>
              </w:rPr>
              <w:t>RCT, DB</w:t>
            </w:r>
            <w:r>
              <w:rPr>
                <w:rFonts w:eastAsia="Times New Roman"/>
                <w:lang w:eastAsia="en-US"/>
              </w:rPr>
              <w:t xml:space="preserve"> </w:t>
            </w:r>
          </w:p>
          <w:p w:rsidR="001D0FDA" w:rsidRPr="00C519BC" w:rsidRDefault="001D0FDA" w:rsidP="00E1668E">
            <w:pPr>
              <w:pStyle w:val="Tabletext"/>
              <w:ind w:right="-28"/>
              <w:rPr>
                <w:rFonts w:eastAsia="Times New Roman"/>
                <w:lang w:eastAsia="en-US"/>
              </w:rPr>
            </w:pPr>
            <w:r>
              <w:rPr>
                <w:rFonts w:eastAsia="Times New Roman"/>
                <w:lang w:eastAsia="en-US"/>
              </w:rPr>
              <w:t>Level II evidence</w:t>
            </w:r>
          </w:p>
          <w:p w:rsidR="001D0FDA" w:rsidRPr="00D53F84" w:rsidRDefault="001D0FDA" w:rsidP="00E1668E">
            <w:pPr>
              <w:pStyle w:val="Tabletext"/>
              <w:ind w:right="-28"/>
              <w:rPr>
                <w:rFonts w:eastAsia="Times New Roman"/>
                <w:lang w:eastAsia="en-US"/>
              </w:rPr>
            </w:pPr>
            <w:r>
              <w:rPr>
                <w:rFonts w:eastAsia="Times New Roman"/>
                <w:lang w:eastAsia="en-US"/>
              </w:rPr>
              <w:t>Follow-up: 38</w:t>
            </w:r>
            <w:r w:rsidR="00300E1B">
              <w:rPr>
                <w:rFonts w:eastAsia="Times New Roman"/>
                <w:lang w:eastAsia="en-US"/>
              </w:rPr>
              <w:t>.9</w:t>
            </w:r>
            <w:r>
              <w:rPr>
                <w:rFonts w:eastAsia="Times New Roman"/>
                <w:lang w:eastAsia="en-US"/>
              </w:rPr>
              <w:t xml:space="preserve"> months</w:t>
            </w:r>
          </w:p>
          <w:p w:rsidR="001D0FDA" w:rsidRPr="00C519BC" w:rsidRDefault="001D0FDA" w:rsidP="00E1668E">
            <w:pPr>
              <w:pStyle w:val="Tabletext"/>
              <w:ind w:right="-28"/>
              <w:rPr>
                <w:rFonts w:eastAsia="Times New Roman"/>
                <w:lang w:eastAsia="en-US"/>
              </w:rPr>
            </w:pPr>
            <w:r>
              <w:rPr>
                <w:rFonts w:eastAsia="Times New Roman"/>
                <w:lang w:eastAsia="en-US"/>
              </w:rPr>
              <w:t>Risk of bias: l</w:t>
            </w:r>
            <w:r w:rsidRPr="00D53F84">
              <w:rPr>
                <w:rFonts w:eastAsia="Times New Roman"/>
                <w:lang w:eastAsia="en-US"/>
              </w:rPr>
              <w:t>ow-to-moderate</w:t>
            </w:r>
          </w:p>
        </w:tc>
        <w:tc>
          <w:tcPr>
            <w:tcW w:w="772" w:type="pct"/>
          </w:tcPr>
          <w:p w:rsidR="001D0FDA" w:rsidRPr="00A80005" w:rsidRDefault="001D0FDA" w:rsidP="00E1668E">
            <w:pPr>
              <w:pStyle w:val="Tabletext"/>
              <w:rPr>
                <w:rFonts w:cs="Tahoma"/>
                <w:i/>
                <w:szCs w:val="18"/>
              </w:rPr>
            </w:pPr>
            <w:r>
              <w:rPr>
                <w:rFonts w:cs="Tahoma"/>
                <w:i/>
                <w:szCs w:val="18"/>
              </w:rPr>
              <w:t>Inclusion criteria</w:t>
            </w:r>
          </w:p>
          <w:p w:rsidR="001D0FDA" w:rsidRPr="00A80005" w:rsidRDefault="001D0FDA" w:rsidP="00E1668E">
            <w:pPr>
              <w:pStyle w:val="Tabletext"/>
              <w:numPr>
                <w:ilvl w:val="0"/>
                <w:numId w:val="54"/>
              </w:numPr>
              <w:ind w:left="239" w:hanging="144"/>
              <w:rPr>
                <w:rFonts w:cs="Tahoma"/>
                <w:szCs w:val="18"/>
              </w:rPr>
            </w:pPr>
            <w:r w:rsidRPr="00A80005">
              <w:rPr>
                <w:rFonts w:cs="Tahoma"/>
                <w:szCs w:val="18"/>
              </w:rPr>
              <w:t xml:space="preserve">Age </w:t>
            </w:r>
            <w:r>
              <w:rPr>
                <w:rFonts w:cs="Tahoma"/>
                <w:szCs w:val="18"/>
              </w:rPr>
              <w:t>of ≥</w:t>
            </w:r>
            <w:r w:rsidRPr="00A80005">
              <w:rPr>
                <w:rFonts w:cs="Tahoma"/>
                <w:szCs w:val="18"/>
              </w:rPr>
              <w:t xml:space="preserve">18 years </w:t>
            </w:r>
          </w:p>
          <w:p w:rsidR="001D0FDA" w:rsidRPr="00A80005" w:rsidRDefault="001D0FDA" w:rsidP="00E1668E">
            <w:pPr>
              <w:pStyle w:val="Tabletext"/>
              <w:numPr>
                <w:ilvl w:val="0"/>
                <w:numId w:val="54"/>
              </w:numPr>
              <w:ind w:left="239" w:hanging="144"/>
              <w:rPr>
                <w:rFonts w:cs="Tahoma"/>
                <w:szCs w:val="18"/>
              </w:rPr>
            </w:pPr>
            <w:r w:rsidRPr="00A80005">
              <w:rPr>
                <w:rFonts w:cs="Tahoma"/>
                <w:szCs w:val="18"/>
              </w:rPr>
              <w:t>Patients with symptomatic IPAH, HPAH, PAH-CTD, PAH-CHD, or PAH</w:t>
            </w:r>
            <w:r>
              <w:rPr>
                <w:rFonts w:cs="Tahoma"/>
                <w:szCs w:val="18"/>
              </w:rPr>
              <w:t>-DT</w:t>
            </w:r>
          </w:p>
          <w:p w:rsidR="001D0FDA" w:rsidRPr="00A80005" w:rsidRDefault="001D0FDA" w:rsidP="00E1668E">
            <w:pPr>
              <w:pStyle w:val="Tabletext"/>
              <w:numPr>
                <w:ilvl w:val="0"/>
                <w:numId w:val="54"/>
              </w:numPr>
              <w:ind w:left="239" w:hanging="144"/>
              <w:rPr>
                <w:rFonts w:cs="Tahoma"/>
                <w:szCs w:val="18"/>
              </w:rPr>
            </w:pPr>
            <w:r>
              <w:rPr>
                <w:rFonts w:cs="Tahoma"/>
                <w:szCs w:val="18"/>
              </w:rPr>
              <w:t>6MWD of 150-480m</w:t>
            </w:r>
          </w:p>
          <w:p w:rsidR="001D0FDA" w:rsidRPr="00A80005" w:rsidRDefault="001D0FDA" w:rsidP="00E1668E">
            <w:pPr>
              <w:pStyle w:val="Tabletext"/>
              <w:numPr>
                <w:ilvl w:val="0"/>
                <w:numId w:val="54"/>
              </w:numPr>
              <w:ind w:left="239" w:hanging="144"/>
              <w:rPr>
                <w:rFonts w:cs="Tahoma"/>
                <w:szCs w:val="18"/>
              </w:rPr>
            </w:pPr>
            <w:r w:rsidRPr="00A80005">
              <w:rPr>
                <w:rFonts w:cs="Tahoma"/>
                <w:szCs w:val="18"/>
              </w:rPr>
              <w:t>Receiving a stable dose of sildenafil ≥20</w:t>
            </w:r>
            <w:r w:rsidR="00570FC8">
              <w:rPr>
                <w:rFonts w:cs="Tahoma"/>
                <w:szCs w:val="18"/>
              </w:rPr>
              <w:t> mg</w:t>
            </w:r>
            <w:r w:rsidRPr="00A80005">
              <w:rPr>
                <w:rFonts w:cs="Tahoma"/>
                <w:szCs w:val="18"/>
              </w:rPr>
              <w:t xml:space="preserve"> tid for ≥3 months prior to randomisation</w:t>
            </w:r>
          </w:p>
          <w:p w:rsidR="001D0FDA" w:rsidRPr="00A80005" w:rsidRDefault="001D0FDA" w:rsidP="00E1668E">
            <w:pPr>
              <w:pStyle w:val="Tabletext"/>
              <w:rPr>
                <w:rFonts w:cs="Tahoma"/>
                <w:i/>
                <w:szCs w:val="18"/>
              </w:rPr>
            </w:pPr>
          </w:p>
          <w:p w:rsidR="001D0FDA" w:rsidRPr="00A80005" w:rsidRDefault="001D0FDA" w:rsidP="00E1668E">
            <w:pPr>
              <w:pStyle w:val="Tabletext"/>
              <w:rPr>
                <w:rFonts w:cs="Tahoma"/>
                <w:i/>
                <w:szCs w:val="18"/>
              </w:rPr>
            </w:pPr>
            <w:r>
              <w:rPr>
                <w:rFonts w:cs="Tahoma"/>
                <w:i/>
                <w:szCs w:val="18"/>
              </w:rPr>
              <w:t>Exclusion criteria</w:t>
            </w:r>
          </w:p>
          <w:p w:rsidR="001D0FDA" w:rsidRPr="00C519BC" w:rsidRDefault="001D0FDA" w:rsidP="00E1668E">
            <w:pPr>
              <w:pStyle w:val="Tabletext"/>
              <w:numPr>
                <w:ilvl w:val="0"/>
                <w:numId w:val="54"/>
              </w:numPr>
              <w:ind w:left="239" w:hanging="144"/>
              <w:rPr>
                <w:rFonts w:cs="Tahoma"/>
                <w:i/>
                <w:szCs w:val="18"/>
              </w:rPr>
            </w:pPr>
            <w:r w:rsidRPr="00A80005">
              <w:rPr>
                <w:rFonts w:cs="Tahoma"/>
                <w:szCs w:val="18"/>
              </w:rPr>
              <w:t xml:space="preserve">Receiving PAH </w:t>
            </w:r>
            <w:r w:rsidR="00701049">
              <w:rPr>
                <w:rFonts w:cs="Tahoma"/>
                <w:szCs w:val="18"/>
              </w:rPr>
              <w:t>medicine</w:t>
            </w:r>
            <w:r w:rsidRPr="00A80005">
              <w:rPr>
                <w:rFonts w:cs="Tahoma"/>
                <w:szCs w:val="18"/>
              </w:rPr>
              <w:t>s other than sildenafil within 3 months prior to randomisation</w:t>
            </w:r>
          </w:p>
        </w:tc>
        <w:tc>
          <w:tcPr>
            <w:tcW w:w="0" w:type="auto"/>
          </w:tcPr>
          <w:p w:rsidR="001D0FDA" w:rsidRPr="00A80005" w:rsidRDefault="001D0FDA" w:rsidP="00E1668E">
            <w:pPr>
              <w:pStyle w:val="Tabletext"/>
              <w:rPr>
                <w:rFonts w:cs="Tahoma"/>
                <w:szCs w:val="18"/>
              </w:rPr>
            </w:pPr>
            <w:r w:rsidRPr="00A80005">
              <w:rPr>
                <w:rFonts w:cs="Tahoma"/>
                <w:szCs w:val="18"/>
              </w:rPr>
              <w:t>N=334</w:t>
            </w:r>
          </w:p>
          <w:tbl>
            <w:tblPr>
              <w:tblStyle w:val="TableGrid"/>
              <w:tblW w:w="43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COMPASS-2"/>
            </w:tblPr>
            <w:tblGrid>
              <w:gridCol w:w="2101"/>
              <w:gridCol w:w="1134"/>
              <w:gridCol w:w="1105"/>
            </w:tblGrid>
            <w:tr w:rsidR="001D0FDA" w:rsidRPr="00A80005" w:rsidTr="001D0FDA">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1D0FDA" w:rsidRPr="00A80005" w:rsidRDefault="001D0FDA" w:rsidP="00570FC8">
                  <w:pPr>
                    <w:pStyle w:val="Tabletext"/>
                    <w:framePr w:hSpace="181" w:wrap="around" w:hAnchor="text" w:yAlign="bottom"/>
                    <w:spacing w:before="0" w:after="0"/>
                    <w:suppressOverlap/>
                    <w:rPr>
                      <w:rFonts w:cs="Tahoma"/>
                      <w:szCs w:val="18"/>
                    </w:rPr>
                  </w:pPr>
                </w:p>
              </w:tc>
              <w:tc>
                <w:tcPr>
                  <w:tcW w:w="1134" w:type="dxa"/>
                  <w:shd w:val="clear" w:color="auto" w:fill="FFFFFF" w:themeFill="background1"/>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Bosentan</w:t>
                  </w:r>
                  <w:r>
                    <w:rPr>
                      <w:rFonts w:cs="Tahoma"/>
                      <w:szCs w:val="18"/>
                    </w:rPr>
                    <w:t xml:space="preserve"> + sildenafil</w:t>
                  </w:r>
                </w:p>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(n=159)</w:t>
                  </w:r>
                </w:p>
              </w:tc>
              <w:tc>
                <w:tcPr>
                  <w:tcW w:w="1105" w:type="dxa"/>
                  <w:shd w:val="clear" w:color="auto" w:fill="FFFFFF" w:themeFill="background1"/>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 xml:space="preserve">Placebo </w:t>
                  </w:r>
                  <w:r>
                    <w:rPr>
                      <w:rFonts w:cs="Tahoma"/>
                      <w:szCs w:val="18"/>
                    </w:rPr>
                    <w:t>+ sildenafil</w:t>
                  </w:r>
                  <w:r>
                    <w:rPr>
                      <w:rFonts w:cs="Tahoma"/>
                      <w:szCs w:val="18"/>
                    </w:rPr>
                    <w:br/>
                  </w:r>
                  <w:r w:rsidRPr="00A80005">
                    <w:rPr>
                      <w:rFonts w:cs="Tahoma"/>
                      <w:szCs w:val="18"/>
                    </w:rPr>
                    <w:t>(n=175)</w:t>
                  </w:r>
                </w:p>
              </w:tc>
            </w:tr>
            <w:tr w:rsidR="001D0FDA" w:rsidRPr="00A80005" w:rsidTr="001D0FDA">
              <w:tc>
                <w:tcPr>
                  <w:tcW w:w="2101" w:type="dxa"/>
                </w:tcPr>
                <w:p w:rsidR="001D0FDA" w:rsidRPr="00A80005" w:rsidRDefault="001D0FDA" w:rsidP="00570FC8">
                  <w:pPr>
                    <w:pStyle w:val="Tabletext"/>
                    <w:framePr w:hSpace="181" w:wrap="around" w:hAnchor="text" w:yAlign="bottom"/>
                    <w:spacing w:before="0" w:after="0"/>
                    <w:suppressOverlap/>
                    <w:rPr>
                      <w:rFonts w:cs="Tahoma"/>
                      <w:szCs w:val="18"/>
                    </w:rPr>
                  </w:pPr>
                  <w:r>
                    <w:rPr>
                      <w:rFonts w:cs="Tahoma"/>
                      <w:szCs w:val="18"/>
                    </w:rPr>
                    <w:t>Age, mean±SD (yrs)</w:t>
                  </w:r>
                </w:p>
              </w:tc>
              <w:tc>
                <w:tcPr>
                  <w:tcW w:w="1134" w:type="dxa"/>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5</w:t>
                  </w:r>
                  <w:r>
                    <w:rPr>
                      <w:rFonts w:cs="Tahoma"/>
                      <w:szCs w:val="18"/>
                    </w:rPr>
                    <w:t>3</w:t>
                  </w:r>
                  <w:r w:rsidRPr="00A80005">
                    <w:rPr>
                      <w:rFonts w:cs="Tahoma"/>
                      <w:szCs w:val="18"/>
                    </w:rPr>
                    <w:t>±15</w:t>
                  </w:r>
                </w:p>
              </w:tc>
              <w:tc>
                <w:tcPr>
                  <w:tcW w:w="1105" w:type="dxa"/>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5</w:t>
                  </w:r>
                  <w:r>
                    <w:rPr>
                      <w:rFonts w:cs="Tahoma"/>
                      <w:szCs w:val="18"/>
                    </w:rPr>
                    <w:t>5</w:t>
                  </w:r>
                  <w:r w:rsidRPr="00A80005">
                    <w:rPr>
                      <w:rFonts w:cs="Tahoma"/>
                      <w:szCs w:val="18"/>
                    </w:rPr>
                    <w:t>±1</w:t>
                  </w:r>
                  <w:r>
                    <w:rPr>
                      <w:rFonts w:cs="Tahoma"/>
                      <w:szCs w:val="18"/>
                    </w:rPr>
                    <w:t>6</w:t>
                  </w:r>
                </w:p>
              </w:tc>
            </w:tr>
            <w:tr w:rsidR="001D0FDA" w:rsidRPr="00A80005" w:rsidTr="001D0FDA">
              <w:tc>
                <w:tcPr>
                  <w:tcW w:w="2101" w:type="dxa"/>
                </w:tcPr>
                <w:p w:rsidR="001D0FDA"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134" w:type="dxa"/>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Pr>
                      <w:rFonts w:cs="Tahoma"/>
                      <w:szCs w:val="18"/>
                    </w:rPr>
                    <w:t>125 (79%)</w:t>
                  </w:r>
                </w:p>
              </w:tc>
              <w:tc>
                <w:tcPr>
                  <w:tcW w:w="1105" w:type="dxa"/>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Pr>
                      <w:rFonts w:cs="Tahoma"/>
                      <w:szCs w:val="18"/>
                    </w:rPr>
                    <w:t>128 (73%)</w:t>
                  </w:r>
                </w:p>
              </w:tc>
            </w:tr>
            <w:tr w:rsidR="001D0FDA" w:rsidRPr="00A80005" w:rsidTr="001D0FDA">
              <w:tc>
                <w:tcPr>
                  <w:tcW w:w="2101" w:type="dxa"/>
                  <w:tcBorders>
                    <w:bottom w:val="nil"/>
                  </w:tcBorders>
                </w:tcPr>
                <w:p w:rsidR="001D0FDA" w:rsidRPr="00A80005" w:rsidRDefault="001D0FDA" w:rsidP="00570FC8">
                  <w:pPr>
                    <w:pStyle w:val="Tabletext"/>
                    <w:framePr w:hSpace="181" w:wrap="around" w:hAnchor="text" w:yAlign="bottom"/>
                    <w:spacing w:before="0" w:after="0"/>
                    <w:suppressOverlap/>
                    <w:rPr>
                      <w:rFonts w:cs="Tahoma"/>
                      <w:szCs w:val="18"/>
                    </w:rPr>
                  </w:pPr>
                  <w:r>
                    <w:rPr>
                      <w:rFonts w:cs="Tahoma"/>
                      <w:szCs w:val="18"/>
                    </w:rPr>
                    <w:t>PAH a</w:t>
                  </w:r>
                  <w:r w:rsidRPr="00A80005">
                    <w:rPr>
                      <w:rFonts w:cs="Tahoma"/>
                      <w:szCs w:val="18"/>
                    </w:rPr>
                    <w:t>etiology</w:t>
                  </w:r>
                  <w:r>
                    <w:rPr>
                      <w:rFonts w:cs="Tahoma"/>
                      <w:szCs w:val="18"/>
                    </w:rPr>
                    <w:t>, n (%)</w:t>
                  </w:r>
                </w:p>
              </w:tc>
              <w:tc>
                <w:tcPr>
                  <w:tcW w:w="1134" w:type="dxa"/>
                  <w:tcBorders>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p>
              </w:tc>
              <w:tc>
                <w:tcPr>
                  <w:tcW w:w="1105" w:type="dxa"/>
                  <w:tcBorders>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p>
              </w:tc>
            </w:tr>
            <w:tr w:rsidR="001D0FDA" w:rsidRPr="00A80005" w:rsidTr="001D0FDA">
              <w:tc>
                <w:tcPr>
                  <w:tcW w:w="2101" w:type="dxa"/>
                  <w:tcBorders>
                    <w:top w:val="nil"/>
                    <w:bottom w:val="nil"/>
                  </w:tcBorders>
                </w:tcPr>
                <w:p w:rsidR="001D0FDA" w:rsidRPr="00A80005" w:rsidRDefault="001D0FDA" w:rsidP="00570FC8">
                  <w:pPr>
                    <w:pStyle w:val="Tabletext"/>
                    <w:framePr w:hSpace="181" w:wrap="around" w:hAnchor="text" w:yAlign="bottom"/>
                    <w:spacing w:before="0" w:after="0"/>
                    <w:ind w:left="201"/>
                    <w:suppressOverlap/>
                    <w:rPr>
                      <w:rFonts w:cs="Tahoma"/>
                      <w:szCs w:val="18"/>
                    </w:rPr>
                  </w:pPr>
                  <w:r w:rsidRPr="00A80005">
                    <w:rPr>
                      <w:rFonts w:cs="Tahoma"/>
                      <w:szCs w:val="18"/>
                    </w:rPr>
                    <w:t xml:space="preserve">IPAH </w:t>
                  </w:r>
                </w:p>
              </w:tc>
              <w:tc>
                <w:tcPr>
                  <w:tcW w:w="1134"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Pr>
                      <w:rFonts w:cs="Tahoma"/>
                      <w:szCs w:val="18"/>
                    </w:rPr>
                    <w:t>99 (62</w:t>
                  </w:r>
                  <w:r w:rsidRPr="00A80005">
                    <w:rPr>
                      <w:rFonts w:cs="Tahoma"/>
                      <w:szCs w:val="18"/>
                    </w:rPr>
                    <w:t>%)</w:t>
                  </w:r>
                </w:p>
              </w:tc>
              <w:tc>
                <w:tcPr>
                  <w:tcW w:w="1105"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114 (65%)</w:t>
                  </w:r>
                </w:p>
              </w:tc>
            </w:tr>
            <w:tr w:rsidR="001D0FDA" w:rsidRPr="00A80005" w:rsidTr="001D0FDA">
              <w:tc>
                <w:tcPr>
                  <w:tcW w:w="2101" w:type="dxa"/>
                  <w:tcBorders>
                    <w:top w:val="nil"/>
                    <w:bottom w:val="nil"/>
                  </w:tcBorders>
                </w:tcPr>
                <w:p w:rsidR="001D0FDA" w:rsidRPr="00A80005" w:rsidRDefault="001D0FDA" w:rsidP="00570FC8">
                  <w:pPr>
                    <w:pStyle w:val="Tabletext"/>
                    <w:framePr w:hSpace="181" w:wrap="around" w:hAnchor="text" w:yAlign="bottom"/>
                    <w:spacing w:before="0" w:after="0"/>
                    <w:ind w:left="201"/>
                    <w:suppressOverlap/>
                    <w:rPr>
                      <w:rFonts w:cs="Tahoma"/>
                      <w:szCs w:val="18"/>
                    </w:rPr>
                  </w:pPr>
                  <w:r w:rsidRPr="00A80005">
                    <w:rPr>
                      <w:rFonts w:cs="Tahoma"/>
                      <w:szCs w:val="18"/>
                    </w:rPr>
                    <w:t>PAH-CTD</w:t>
                  </w:r>
                </w:p>
              </w:tc>
              <w:tc>
                <w:tcPr>
                  <w:tcW w:w="1134"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Pr>
                      <w:rFonts w:cs="Tahoma"/>
                      <w:szCs w:val="18"/>
                    </w:rPr>
                    <w:t>43 (27</w:t>
                  </w:r>
                  <w:r w:rsidRPr="00A80005">
                    <w:rPr>
                      <w:rFonts w:cs="Tahoma"/>
                      <w:szCs w:val="18"/>
                    </w:rPr>
                    <w:t>%)</w:t>
                  </w:r>
                </w:p>
              </w:tc>
              <w:tc>
                <w:tcPr>
                  <w:tcW w:w="1105"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45 (2</w:t>
                  </w:r>
                  <w:r>
                    <w:rPr>
                      <w:rFonts w:cs="Tahoma"/>
                      <w:szCs w:val="18"/>
                    </w:rPr>
                    <w:t>6</w:t>
                  </w:r>
                  <w:r w:rsidRPr="00A80005">
                    <w:rPr>
                      <w:rFonts w:cs="Tahoma"/>
                      <w:szCs w:val="18"/>
                    </w:rPr>
                    <w:t>%)</w:t>
                  </w:r>
                </w:p>
              </w:tc>
            </w:tr>
            <w:tr w:rsidR="001D0FDA" w:rsidRPr="00A80005" w:rsidTr="001D0FDA">
              <w:tc>
                <w:tcPr>
                  <w:tcW w:w="2101" w:type="dxa"/>
                  <w:tcBorders>
                    <w:top w:val="nil"/>
                    <w:bottom w:val="nil"/>
                  </w:tcBorders>
                </w:tcPr>
                <w:p w:rsidR="001D0FDA" w:rsidRPr="00A80005" w:rsidRDefault="001D0FDA" w:rsidP="00570FC8">
                  <w:pPr>
                    <w:pStyle w:val="Tabletext"/>
                    <w:framePr w:hSpace="181" w:wrap="around" w:hAnchor="text" w:yAlign="bottom"/>
                    <w:spacing w:before="0" w:after="0"/>
                    <w:ind w:left="201"/>
                    <w:suppressOverlap/>
                    <w:rPr>
                      <w:rFonts w:cs="Tahoma"/>
                      <w:szCs w:val="18"/>
                    </w:rPr>
                  </w:pPr>
                  <w:r w:rsidRPr="00A80005">
                    <w:rPr>
                      <w:rFonts w:cs="Tahoma"/>
                      <w:szCs w:val="18"/>
                    </w:rPr>
                    <w:t>PAH-CHD</w:t>
                  </w:r>
                </w:p>
              </w:tc>
              <w:tc>
                <w:tcPr>
                  <w:tcW w:w="1134"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9 (</w:t>
                  </w:r>
                  <w:r>
                    <w:rPr>
                      <w:rFonts w:cs="Tahoma"/>
                      <w:szCs w:val="18"/>
                    </w:rPr>
                    <w:t>6</w:t>
                  </w:r>
                  <w:r w:rsidRPr="00A80005">
                    <w:rPr>
                      <w:rFonts w:cs="Tahoma"/>
                      <w:szCs w:val="18"/>
                    </w:rPr>
                    <w:t>%)</w:t>
                  </w:r>
                </w:p>
              </w:tc>
              <w:tc>
                <w:tcPr>
                  <w:tcW w:w="1105"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11 (6%)</w:t>
                  </w:r>
                </w:p>
              </w:tc>
            </w:tr>
            <w:tr w:rsidR="001D0FDA" w:rsidRPr="00A80005" w:rsidTr="001D0FDA">
              <w:tc>
                <w:tcPr>
                  <w:tcW w:w="2101" w:type="dxa"/>
                  <w:tcBorders>
                    <w:top w:val="nil"/>
                    <w:bottom w:val="nil"/>
                  </w:tcBorders>
                </w:tcPr>
                <w:p w:rsidR="001D0FDA" w:rsidRPr="00A80005" w:rsidRDefault="001D0FDA" w:rsidP="00570FC8">
                  <w:pPr>
                    <w:pStyle w:val="Tabletext"/>
                    <w:framePr w:hSpace="181" w:wrap="around" w:hAnchor="text" w:yAlign="bottom"/>
                    <w:spacing w:before="0" w:after="0"/>
                    <w:ind w:left="201"/>
                    <w:suppressOverlap/>
                    <w:rPr>
                      <w:rFonts w:cs="Tahoma"/>
                      <w:szCs w:val="18"/>
                    </w:rPr>
                  </w:pPr>
                  <w:r w:rsidRPr="00A80005">
                    <w:rPr>
                      <w:rFonts w:cs="Tahoma"/>
                      <w:szCs w:val="18"/>
                    </w:rPr>
                    <w:t>PAH</w:t>
                  </w:r>
                  <w:r>
                    <w:rPr>
                      <w:rFonts w:cs="Tahoma"/>
                      <w:szCs w:val="18"/>
                    </w:rPr>
                    <w:t>-DT</w:t>
                  </w:r>
                </w:p>
              </w:tc>
              <w:tc>
                <w:tcPr>
                  <w:tcW w:w="1134"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Pr>
                      <w:rFonts w:cs="Tahoma"/>
                      <w:szCs w:val="18"/>
                    </w:rPr>
                    <w:t>5 (3</w:t>
                  </w:r>
                  <w:r w:rsidRPr="00A80005">
                    <w:rPr>
                      <w:rFonts w:cs="Tahoma"/>
                      <w:szCs w:val="18"/>
                    </w:rPr>
                    <w:t>%)</w:t>
                  </w:r>
                </w:p>
              </w:tc>
              <w:tc>
                <w:tcPr>
                  <w:tcW w:w="1105"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3 (</w:t>
                  </w:r>
                  <w:r>
                    <w:rPr>
                      <w:rFonts w:cs="Tahoma"/>
                      <w:szCs w:val="18"/>
                    </w:rPr>
                    <w:t>2</w:t>
                  </w:r>
                  <w:r w:rsidRPr="00A80005">
                    <w:rPr>
                      <w:rFonts w:cs="Tahoma"/>
                      <w:szCs w:val="18"/>
                    </w:rPr>
                    <w:t>%)</w:t>
                  </w:r>
                </w:p>
              </w:tc>
            </w:tr>
            <w:tr w:rsidR="001D0FDA" w:rsidRPr="00A80005" w:rsidTr="001D0FDA">
              <w:tc>
                <w:tcPr>
                  <w:tcW w:w="2101" w:type="dxa"/>
                  <w:tcBorders>
                    <w:top w:val="nil"/>
                    <w:bottom w:val="single" w:sz="4" w:space="0" w:color="BFBFBF" w:themeColor="background1" w:themeShade="BF"/>
                  </w:tcBorders>
                </w:tcPr>
                <w:p w:rsidR="001D0FDA" w:rsidRPr="00A80005" w:rsidRDefault="001D0FDA" w:rsidP="00570FC8">
                  <w:pPr>
                    <w:pStyle w:val="Tabletext"/>
                    <w:framePr w:hSpace="181" w:wrap="around" w:hAnchor="text" w:yAlign="bottom"/>
                    <w:spacing w:before="0" w:after="0"/>
                    <w:ind w:left="201"/>
                    <w:suppressOverlap/>
                    <w:rPr>
                      <w:rFonts w:cs="Tahoma"/>
                      <w:szCs w:val="18"/>
                    </w:rPr>
                  </w:pPr>
                  <w:r w:rsidRPr="00A80005">
                    <w:rPr>
                      <w:rFonts w:cs="Tahoma"/>
                      <w:szCs w:val="18"/>
                    </w:rPr>
                    <w:t>HPAH</w:t>
                  </w:r>
                </w:p>
              </w:tc>
              <w:tc>
                <w:tcPr>
                  <w:tcW w:w="1134" w:type="dxa"/>
                  <w:tcBorders>
                    <w:top w:val="nil"/>
                    <w:bottom w:val="single" w:sz="4" w:space="0" w:color="BFBFBF" w:themeColor="background1" w:themeShade="BF"/>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3 (</w:t>
                  </w:r>
                  <w:r>
                    <w:rPr>
                      <w:rFonts w:cs="Tahoma"/>
                      <w:szCs w:val="18"/>
                    </w:rPr>
                    <w:t>2</w:t>
                  </w:r>
                  <w:r w:rsidRPr="00A80005">
                    <w:rPr>
                      <w:rFonts w:cs="Tahoma"/>
                      <w:szCs w:val="18"/>
                    </w:rPr>
                    <w:t>%)</w:t>
                  </w:r>
                </w:p>
              </w:tc>
              <w:tc>
                <w:tcPr>
                  <w:tcW w:w="1105" w:type="dxa"/>
                  <w:tcBorders>
                    <w:top w:val="nil"/>
                    <w:bottom w:val="single" w:sz="4" w:space="0" w:color="BFBFBF" w:themeColor="background1" w:themeShade="BF"/>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Pr>
                      <w:rFonts w:cs="Tahoma"/>
                      <w:szCs w:val="18"/>
                    </w:rPr>
                    <w:t>2 (1</w:t>
                  </w:r>
                  <w:r w:rsidRPr="00A80005">
                    <w:rPr>
                      <w:rFonts w:cs="Tahoma"/>
                      <w:szCs w:val="18"/>
                    </w:rPr>
                    <w:t>%)</w:t>
                  </w:r>
                </w:p>
              </w:tc>
            </w:tr>
            <w:tr w:rsidR="001D0FDA" w:rsidRPr="00A80005" w:rsidTr="001D0FDA">
              <w:tc>
                <w:tcPr>
                  <w:tcW w:w="2101" w:type="dxa"/>
                  <w:tcBorders>
                    <w:bottom w:val="nil"/>
                  </w:tcBorders>
                </w:tcPr>
                <w:p w:rsidR="001D0FDA" w:rsidRPr="00A80005" w:rsidRDefault="001D0FDA" w:rsidP="00570FC8">
                  <w:pPr>
                    <w:pStyle w:val="Tabletext"/>
                    <w:framePr w:hSpace="181" w:wrap="around" w:hAnchor="text" w:yAlign="bottom"/>
                    <w:spacing w:before="0" w:after="0"/>
                    <w:suppressOverlap/>
                    <w:rPr>
                      <w:rFonts w:cs="Tahoma"/>
                      <w:szCs w:val="18"/>
                    </w:rPr>
                  </w:pPr>
                  <w:proofErr w:type="gramStart"/>
                  <w:r w:rsidRPr="00A80005">
                    <w:rPr>
                      <w:rFonts w:cs="Tahoma"/>
                      <w:szCs w:val="18"/>
                    </w:rPr>
                    <w:t>WHO</w:t>
                  </w:r>
                  <w:proofErr w:type="gramEnd"/>
                  <w:r w:rsidRPr="00A80005">
                    <w:rPr>
                      <w:rFonts w:cs="Tahoma"/>
                      <w:szCs w:val="18"/>
                    </w:rPr>
                    <w:t xml:space="preserve"> FC</w:t>
                  </w:r>
                  <w:r>
                    <w:rPr>
                      <w:rFonts w:cs="Tahoma"/>
                      <w:szCs w:val="18"/>
                    </w:rPr>
                    <w:t>, n (%)</w:t>
                  </w:r>
                </w:p>
              </w:tc>
              <w:tc>
                <w:tcPr>
                  <w:tcW w:w="1134" w:type="dxa"/>
                  <w:tcBorders>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p>
              </w:tc>
              <w:tc>
                <w:tcPr>
                  <w:tcW w:w="1105" w:type="dxa"/>
                  <w:tcBorders>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p>
              </w:tc>
            </w:tr>
            <w:tr w:rsidR="001D0FDA" w:rsidRPr="00A80005" w:rsidTr="001D0FDA">
              <w:tc>
                <w:tcPr>
                  <w:tcW w:w="2101" w:type="dxa"/>
                  <w:tcBorders>
                    <w:top w:val="nil"/>
                    <w:bottom w:val="nil"/>
                  </w:tcBorders>
                </w:tcPr>
                <w:p w:rsidR="001D0FDA" w:rsidRPr="00A80005" w:rsidRDefault="001D0FDA" w:rsidP="00570FC8">
                  <w:pPr>
                    <w:pStyle w:val="Tabletext"/>
                    <w:framePr w:hSpace="181" w:wrap="around" w:hAnchor="text" w:yAlign="bottom"/>
                    <w:spacing w:before="0" w:after="0"/>
                    <w:ind w:left="201"/>
                    <w:suppressOverlap/>
                    <w:rPr>
                      <w:rFonts w:cs="Tahoma"/>
                      <w:szCs w:val="18"/>
                    </w:rPr>
                  </w:pPr>
                  <w:r w:rsidRPr="00A80005">
                    <w:rPr>
                      <w:rFonts w:cs="Tahoma"/>
                      <w:szCs w:val="18"/>
                    </w:rPr>
                    <w:t>II</w:t>
                  </w:r>
                </w:p>
              </w:tc>
              <w:tc>
                <w:tcPr>
                  <w:tcW w:w="1134"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71 (4</w:t>
                  </w:r>
                  <w:r>
                    <w:rPr>
                      <w:rFonts w:cs="Tahoma"/>
                      <w:szCs w:val="18"/>
                    </w:rPr>
                    <w:t>5</w:t>
                  </w:r>
                  <w:r w:rsidRPr="00A80005">
                    <w:rPr>
                      <w:rFonts w:cs="Tahoma"/>
                      <w:szCs w:val="18"/>
                    </w:rPr>
                    <w:t>%)</w:t>
                  </w:r>
                </w:p>
              </w:tc>
              <w:tc>
                <w:tcPr>
                  <w:tcW w:w="1105"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69 (39%)</w:t>
                  </w:r>
                </w:p>
              </w:tc>
            </w:tr>
            <w:tr w:rsidR="001D0FDA" w:rsidRPr="00A80005" w:rsidTr="001D0FDA">
              <w:tc>
                <w:tcPr>
                  <w:tcW w:w="2101" w:type="dxa"/>
                  <w:tcBorders>
                    <w:top w:val="nil"/>
                    <w:bottom w:val="nil"/>
                  </w:tcBorders>
                </w:tcPr>
                <w:p w:rsidR="001D0FDA" w:rsidRPr="00A80005" w:rsidRDefault="001D0FDA" w:rsidP="00570FC8">
                  <w:pPr>
                    <w:pStyle w:val="Tabletext"/>
                    <w:framePr w:hSpace="181" w:wrap="around" w:hAnchor="text" w:yAlign="bottom"/>
                    <w:spacing w:before="0" w:after="0"/>
                    <w:ind w:left="201"/>
                    <w:suppressOverlap/>
                    <w:rPr>
                      <w:rFonts w:cs="Tahoma"/>
                      <w:szCs w:val="18"/>
                    </w:rPr>
                  </w:pPr>
                  <w:r w:rsidRPr="00A80005">
                    <w:rPr>
                      <w:rFonts w:cs="Tahoma"/>
                      <w:szCs w:val="18"/>
                    </w:rPr>
                    <w:t>III</w:t>
                  </w:r>
                </w:p>
              </w:tc>
              <w:tc>
                <w:tcPr>
                  <w:tcW w:w="1134"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88 (55%)</w:t>
                  </w:r>
                </w:p>
              </w:tc>
              <w:tc>
                <w:tcPr>
                  <w:tcW w:w="1105" w:type="dxa"/>
                  <w:tcBorders>
                    <w:top w:val="nil"/>
                    <w:bottom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104 (59%)</w:t>
                  </w:r>
                </w:p>
              </w:tc>
            </w:tr>
            <w:tr w:rsidR="001D0FDA" w:rsidRPr="00A80005" w:rsidTr="001D0FDA">
              <w:tc>
                <w:tcPr>
                  <w:tcW w:w="2101" w:type="dxa"/>
                  <w:tcBorders>
                    <w:top w:val="nil"/>
                  </w:tcBorders>
                </w:tcPr>
                <w:p w:rsidR="001D0FDA" w:rsidRPr="00A80005" w:rsidRDefault="001D0FDA" w:rsidP="00570FC8">
                  <w:pPr>
                    <w:pStyle w:val="Tabletext"/>
                    <w:framePr w:hSpace="181" w:wrap="around" w:hAnchor="text" w:yAlign="bottom"/>
                    <w:spacing w:before="0" w:after="0"/>
                    <w:ind w:left="201"/>
                    <w:suppressOverlap/>
                    <w:rPr>
                      <w:rFonts w:cs="Tahoma"/>
                      <w:szCs w:val="18"/>
                    </w:rPr>
                  </w:pPr>
                  <w:r w:rsidRPr="00A80005">
                    <w:rPr>
                      <w:rFonts w:cs="Tahoma"/>
                      <w:szCs w:val="18"/>
                    </w:rPr>
                    <w:t>IV</w:t>
                  </w:r>
                </w:p>
              </w:tc>
              <w:tc>
                <w:tcPr>
                  <w:tcW w:w="1134" w:type="dxa"/>
                  <w:tcBorders>
                    <w:top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0 (0%)</w:t>
                  </w:r>
                </w:p>
              </w:tc>
              <w:tc>
                <w:tcPr>
                  <w:tcW w:w="1105" w:type="dxa"/>
                  <w:tcBorders>
                    <w:top w:val="nil"/>
                  </w:tcBorders>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2 (1%)</w:t>
                  </w:r>
                </w:p>
              </w:tc>
            </w:tr>
            <w:tr w:rsidR="001D0FDA" w:rsidRPr="00A80005" w:rsidTr="001D0FDA">
              <w:tc>
                <w:tcPr>
                  <w:tcW w:w="2101" w:type="dxa"/>
                </w:tcPr>
                <w:p w:rsidR="001D0FDA" w:rsidRPr="00A80005" w:rsidRDefault="001D0FDA" w:rsidP="00570FC8">
                  <w:pPr>
                    <w:pStyle w:val="Tabletext"/>
                    <w:framePr w:hSpace="181" w:wrap="around" w:hAnchor="text" w:yAlign="bottom"/>
                    <w:spacing w:before="0" w:after="0"/>
                    <w:suppressOverlap/>
                    <w:rPr>
                      <w:rFonts w:cs="Tahoma"/>
                      <w:szCs w:val="18"/>
                    </w:rPr>
                  </w:pPr>
                  <w:r w:rsidRPr="00B34193">
                    <w:rPr>
                      <w:rFonts w:cs="Tahoma"/>
                      <w:szCs w:val="18"/>
                    </w:rPr>
                    <w:t>Time from diagnosis, mean±SD (mths)</w:t>
                  </w:r>
                </w:p>
              </w:tc>
              <w:tc>
                <w:tcPr>
                  <w:tcW w:w="1134" w:type="dxa"/>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B34193">
                    <w:rPr>
                      <w:rFonts w:cs="Tahoma"/>
                      <w:szCs w:val="18"/>
                    </w:rPr>
                    <w:t>25±47</w:t>
                  </w:r>
                </w:p>
              </w:tc>
              <w:tc>
                <w:tcPr>
                  <w:tcW w:w="1105" w:type="dxa"/>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B34193">
                    <w:rPr>
                      <w:rFonts w:cs="Tahoma"/>
                      <w:szCs w:val="18"/>
                    </w:rPr>
                    <w:t>26±51</w:t>
                  </w:r>
                </w:p>
              </w:tc>
            </w:tr>
            <w:tr w:rsidR="001D0FDA" w:rsidRPr="00A80005" w:rsidTr="001D0FDA">
              <w:tc>
                <w:tcPr>
                  <w:tcW w:w="2101" w:type="dxa"/>
                </w:tcPr>
                <w:p w:rsidR="001D0FDA" w:rsidRPr="00A80005" w:rsidRDefault="001D0FDA" w:rsidP="00570FC8">
                  <w:pPr>
                    <w:pStyle w:val="Tabletext"/>
                    <w:framePr w:hSpace="181" w:wrap="around" w:hAnchor="text" w:yAlign="bottom"/>
                    <w:spacing w:before="0" w:after="0"/>
                    <w:suppressOverlap/>
                    <w:rPr>
                      <w:rFonts w:cs="Tahoma"/>
                      <w:szCs w:val="18"/>
                    </w:rPr>
                  </w:pPr>
                  <w:r w:rsidRPr="00A80005">
                    <w:rPr>
                      <w:rFonts w:cs="Tahoma"/>
                      <w:szCs w:val="18"/>
                    </w:rPr>
                    <w:t>Sildenafil dose, median (interquartile range) (mg)</w:t>
                  </w:r>
                </w:p>
              </w:tc>
              <w:tc>
                <w:tcPr>
                  <w:tcW w:w="1134" w:type="dxa"/>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60 (60-60)</w:t>
                  </w:r>
                </w:p>
              </w:tc>
              <w:tc>
                <w:tcPr>
                  <w:tcW w:w="1105" w:type="dxa"/>
                  <w:vAlign w:val="center"/>
                </w:tcPr>
                <w:p w:rsidR="001D0FDA" w:rsidRPr="00A80005" w:rsidRDefault="001D0FDA" w:rsidP="00570FC8">
                  <w:pPr>
                    <w:pStyle w:val="Tabletext"/>
                    <w:framePr w:hSpace="181" w:wrap="around" w:hAnchor="text" w:yAlign="bottom"/>
                    <w:spacing w:before="0" w:after="0"/>
                    <w:suppressOverlap/>
                    <w:jc w:val="center"/>
                    <w:rPr>
                      <w:rFonts w:cs="Tahoma"/>
                      <w:szCs w:val="18"/>
                    </w:rPr>
                  </w:pPr>
                  <w:r w:rsidRPr="00A80005">
                    <w:rPr>
                      <w:rFonts w:cs="Tahoma"/>
                      <w:szCs w:val="18"/>
                    </w:rPr>
                    <w:t>60 (60-75)</w:t>
                  </w:r>
                </w:p>
              </w:tc>
            </w:tr>
          </w:tbl>
          <w:p w:rsidR="001D0FDA" w:rsidRDefault="001D0FDA" w:rsidP="00E1668E">
            <w:pPr>
              <w:pStyle w:val="Tabletext"/>
              <w:rPr>
                <w:rFonts w:cs="Tahoma"/>
                <w:szCs w:val="18"/>
              </w:rPr>
            </w:pPr>
          </w:p>
        </w:tc>
        <w:tc>
          <w:tcPr>
            <w:tcW w:w="811" w:type="pct"/>
          </w:tcPr>
          <w:p w:rsidR="001D0FDA" w:rsidRDefault="001D0FDA" w:rsidP="00E1668E">
            <w:pPr>
              <w:pStyle w:val="Tabletext"/>
              <w:rPr>
                <w:rFonts w:cs="Tahoma"/>
                <w:i/>
                <w:szCs w:val="18"/>
              </w:rPr>
            </w:pPr>
            <w:r>
              <w:rPr>
                <w:rFonts w:cs="Tahoma"/>
                <w:i/>
                <w:szCs w:val="18"/>
              </w:rPr>
              <w:t>Intervention</w:t>
            </w:r>
          </w:p>
          <w:p w:rsidR="001D0FDA" w:rsidRPr="00B34193" w:rsidRDefault="001D0FDA" w:rsidP="00E1668E">
            <w:pPr>
              <w:pStyle w:val="Tabletext"/>
              <w:rPr>
                <w:rFonts w:cs="Tahoma"/>
                <w:szCs w:val="18"/>
              </w:rPr>
            </w:pPr>
            <w:r w:rsidRPr="00B34193">
              <w:rPr>
                <w:rFonts w:cs="Tahoma"/>
                <w:szCs w:val="18"/>
              </w:rPr>
              <w:t>Bosentan</w:t>
            </w:r>
            <w:r>
              <w:rPr>
                <w:rFonts w:cs="Tahoma"/>
                <w:szCs w:val="18"/>
              </w:rPr>
              <w:t>: initial dose of</w:t>
            </w:r>
            <w:r w:rsidRPr="00B34193">
              <w:rPr>
                <w:rFonts w:cs="Tahoma"/>
                <w:szCs w:val="18"/>
              </w:rPr>
              <w:t xml:space="preserve"> 62.5</w:t>
            </w:r>
            <w:r w:rsidR="00776155">
              <w:rPr>
                <w:rFonts w:cs="Tahoma"/>
                <w:szCs w:val="18"/>
              </w:rPr>
              <w:t> mg</w:t>
            </w:r>
            <w:r w:rsidRPr="00B34193">
              <w:rPr>
                <w:rFonts w:cs="Tahoma"/>
                <w:szCs w:val="18"/>
              </w:rPr>
              <w:t xml:space="preserve"> bid for 4 weeks</w:t>
            </w:r>
            <w:r>
              <w:rPr>
                <w:rFonts w:cs="Tahoma"/>
                <w:szCs w:val="18"/>
              </w:rPr>
              <w:t>, then</w:t>
            </w:r>
            <w:r w:rsidRPr="00B34193">
              <w:rPr>
                <w:rFonts w:cs="Tahoma"/>
                <w:szCs w:val="18"/>
              </w:rPr>
              <w:t xml:space="preserve"> 125</w:t>
            </w:r>
            <w:r w:rsidR="00776155">
              <w:rPr>
                <w:rFonts w:cs="Tahoma"/>
                <w:szCs w:val="18"/>
              </w:rPr>
              <w:t> </w:t>
            </w:r>
            <w:r w:rsidRPr="00B34193">
              <w:rPr>
                <w:rFonts w:cs="Tahoma"/>
                <w:szCs w:val="18"/>
              </w:rPr>
              <w:t>mg bid</w:t>
            </w:r>
          </w:p>
          <w:p w:rsidR="001D0FDA" w:rsidRDefault="001D0FDA" w:rsidP="00E1668E">
            <w:pPr>
              <w:pStyle w:val="Tabletext"/>
              <w:rPr>
                <w:rFonts w:cs="Tahoma"/>
                <w:i/>
                <w:szCs w:val="18"/>
              </w:rPr>
            </w:pPr>
          </w:p>
          <w:p w:rsidR="001D0FDA" w:rsidRPr="00B34193" w:rsidRDefault="001D0FDA" w:rsidP="00E1668E">
            <w:pPr>
              <w:pStyle w:val="Tabletext"/>
              <w:rPr>
                <w:rFonts w:cs="Tahoma"/>
                <w:i/>
                <w:szCs w:val="18"/>
              </w:rPr>
            </w:pPr>
            <w:r>
              <w:rPr>
                <w:rFonts w:cs="Tahoma"/>
                <w:i/>
                <w:szCs w:val="18"/>
              </w:rPr>
              <w:t>Comparator</w:t>
            </w:r>
          </w:p>
          <w:p w:rsidR="001D0FDA" w:rsidRPr="00B34193" w:rsidRDefault="001D0FDA" w:rsidP="00E1668E">
            <w:pPr>
              <w:pStyle w:val="Tabletext"/>
              <w:rPr>
                <w:rFonts w:cs="Tahoma"/>
                <w:szCs w:val="18"/>
              </w:rPr>
            </w:pPr>
            <w:r w:rsidRPr="00B34193">
              <w:rPr>
                <w:rFonts w:cs="Tahoma"/>
                <w:szCs w:val="18"/>
              </w:rPr>
              <w:t xml:space="preserve">Placebo </w:t>
            </w:r>
          </w:p>
          <w:p w:rsidR="001D0FDA" w:rsidRDefault="001D0FDA" w:rsidP="00E1668E">
            <w:pPr>
              <w:pStyle w:val="Tabletext"/>
              <w:rPr>
                <w:rFonts w:cs="Tahoma"/>
                <w:i/>
                <w:szCs w:val="18"/>
              </w:rPr>
            </w:pPr>
          </w:p>
          <w:p w:rsidR="001D0FDA" w:rsidRDefault="001D0FDA" w:rsidP="00E1668E">
            <w:pPr>
              <w:pStyle w:val="Tabletext"/>
              <w:rPr>
                <w:rFonts w:cs="Tahoma"/>
                <w:i/>
                <w:szCs w:val="18"/>
              </w:rPr>
            </w:pPr>
            <w:r w:rsidRPr="00B34193">
              <w:rPr>
                <w:rFonts w:cs="Tahoma"/>
                <w:i/>
                <w:szCs w:val="18"/>
              </w:rPr>
              <w:t>Background therapy</w:t>
            </w:r>
          </w:p>
          <w:p w:rsidR="001D0FDA" w:rsidRPr="00B34193" w:rsidRDefault="001D0FDA" w:rsidP="00E1668E">
            <w:pPr>
              <w:pStyle w:val="Tabletext"/>
              <w:rPr>
                <w:rFonts w:cs="Tahoma"/>
                <w:szCs w:val="18"/>
              </w:rPr>
            </w:pPr>
            <w:r>
              <w:rPr>
                <w:rFonts w:cs="Tahoma"/>
                <w:szCs w:val="18"/>
              </w:rPr>
              <w:t>S</w:t>
            </w:r>
            <w:r w:rsidRPr="00B34193">
              <w:rPr>
                <w:rFonts w:cs="Tahoma"/>
                <w:szCs w:val="18"/>
              </w:rPr>
              <w:t>ildenafil (100%): ≥20</w:t>
            </w:r>
            <w:r w:rsidR="00776155">
              <w:rPr>
                <w:rFonts w:cs="Tahoma"/>
                <w:szCs w:val="18"/>
              </w:rPr>
              <w:t> </w:t>
            </w:r>
            <w:r w:rsidRPr="00B34193">
              <w:rPr>
                <w:rFonts w:cs="Tahoma"/>
                <w:szCs w:val="18"/>
              </w:rPr>
              <w:t>mg tid</w:t>
            </w:r>
          </w:p>
        </w:tc>
        <w:tc>
          <w:tcPr>
            <w:tcW w:w="771" w:type="pct"/>
          </w:tcPr>
          <w:p w:rsidR="001D0FDA" w:rsidRPr="00942593" w:rsidRDefault="001D0FDA" w:rsidP="00E1668E">
            <w:pPr>
              <w:pStyle w:val="Tabletext"/>
              <w:rPr>
                <w:rFonts w:cs="Tahoma"/>
                <w:i/>
                <w:szCs w:val="18"/>
              </w:rPr>
            </w:pPr>
            <w:r w:rsidRPr="00942593">
              <w:rPr>
                <w:rFonts w:cs="Tahoma"/>
                <w:i/>
                <w:szCs w:val="18"/>
              </w:rPr>
              <w:t>Effectiveness</w:t>
            </w:r>
          </w:p>
          <w:p w:rsidR="001D0FDA" w:rsidRPr="00942593" w:rsidRDefault="001D0FDA" w:rsidP="00E1668E">
            <w:pPr>
              <w:pStyle w:val="Tabletext"/>
              <w:rPr>
                <w:rFonts w:cs="Tahoma"/>
                <w:szCs w:val="18"/>
              </w:rPr>
            </w:pPr>
            <w:r w:rsidRPr="00942593">
              <w:rPr>
                <w:rFonts w:cs="Tahoma"/>
                <w:szCs w:val="18"/>
              </w:rPr>
              <w:t>Primary:</w:t>
            </w:r>
          </w:p>
          <w:p w:rsidR="001D0FDA" w:rsidRPr="00942593" w:rsidRDefault="001D0FDA" w:rsidP="00E1668E">
            <w:pPr>
              <w:pStyle w:val="Tabletext"/>
              <w:numPr>
                <w:ilvl w:val="0"/>
                <w:numId w:val="54"/>
              </w:numPr>
              <w:ind w:left="239" w:hanging="144"/>
              <w:rPr>
                <w:rFonts w:cs="Tahoma"/>
                <w:szCs w:val="18"/>
              </w:rPr>
            </w:pPr>
            <w:r w:rsidRPr="00942593">
              <w:rPr>
                <w:rFonts w:cs="Tahoma"/>
                <w:szCs w:val="18"/>
              </w:rPr>
              <w:t xml:space="preserve">Time to first </w:t>
            </w:r>
            <w:r>
              <w:rPr>
                <w:rFonts w:cs="Tahoma"/>
                <w:szCs w:val="18"/>
              </w:rPr>
              <w:t xml:space="preserve">mortality/morbidity </w:t>
            </w:r>
            <w:r w:rsidRPr="00942593">
              <w:rPr>
                <w:rFonts w:cs="Tahoma"/>
                <w:szCs w:val="18"/>
              </w:rPr>
              <w:t>event</w:t>
            </w:r>
            <w:r w:rsidRPr="00942593">
              <w:rPr>
                <w:rFonts w:cs="Tahoma"/>
                <w:szCs w:val="18"/>
                <w:vertAlign w:val="superscript"/>
              </w:rPr>
              <w:t>c</w:t>
            </w:r>
          </w:p>
          <w:p w:rsidR="001D0FDA" w:rsidRPr="00942593" w:rsidRDefault="001D0FDA" w:rsidP="00E1668E">
            <w:pPr>
              <w:pStyle w:val="Tabletext"/>
              <w:rPr>
                <w:rFonts w:cs="Tahoma"/>
                <w:szCs w:val="18"/>
              </w:rPr>
            </w:pPr>
            <w:r w:rsidRPr="00942593">
              <w:rPr>
                <w:rFonts w:cs="Tahoma"/>
                <w:szCs w:val="18"/>
              </w:rPr>
              <w:t>Secondary:</w:t>
            </w:r>
          </w:p>
          <w:p w:rsidR="001D0FDA" w:rsidRPr="00942593" w:rsidRDefault="001D0FDA" w:rsidP="00E1668E">
            <w:pPr>
              <w:pStyle w:val="Tabletext"/>
              <w:numPr>
                <w:ilvl w:val="0"/>
                <w:numId w:val="54"/>
              </w:numPr>
              <w:ind w:left="239" w:hanging="144"/>
              <w:rPr>
                <w:rFonts w:cs="Tahoma"/>
                <w:szCs w:val="18"/>
              </w:rPr>
            </w:pPr>
            <w:r w:rsidRPr="00942593">
              <w:rPr>
                <w:rFonts w:cs="Tahoma"/>
                <w:szCs w:val="18"/>
              </w:rPr>
              <w:t>Change in 6MWD at Week 16</w:t>
            </w:r>
            <w:r w:rsidRPr="00942593">
              <w:rPr>
                <w:rFonts w:cs="Tahoma"/>
                <w:szCs w:val="18"/>
                <w:vertAlign w:val="superscript"/>
              </w:rPr>
              <w:t>c</w:t>
            </w:r>
          </w:p>
          <w:p w:rsidR="001D0FDA" w:rsidRPr="00942593" w:rsidRDefault="001D0FDA" w:rsidP="00E1668E">
            <w:pPr>
              <w:pStyle w:val="Tabletext"/>
              <w:numPr>
                <w:ilvl w:val="0"/>
                <w:numId w:val="54"/>
              </w:numPr>
              <w:ind w:left="239" w:hanging="144"/>
              <w:rPr>
                <w:rFonts w:cs="Tahoma"/>
                <w:szCs w:val="18"/>
              </w:rPr>
            </w:pPr>
            <w:r w:rsidRPr="00942593">
              <w:rPr>
                <w:rFonts w:cs="Tahoma"/>
                <w:szCs w:val="18"/>
              </w:rPr>
              <w:t>Change in WHO FC at Week 16</w:t>
            </w:r>
            <w:r w:rsidRPr="00942593">
              <w:rPr>
                <w:rFonts w:cs="Tahoma"/>
                <w:szCs w:val="18"/>
                <w:vertAlign w:val="superscript"/>
              </w:rPr>
              <w:t>c</w:t>
            </w:r>
          </w:p>
          <w:p w:rsidR="001D0FDA" w:rsidRPr="00942593" w:rsidRDefault="001D0FDA" w:rsidP="00E1668E">
            <w:pPr>
              <w:pStyle w:val="Tabletext"/>
              <w:numPr>
                <w:ilvl w:val="0"/>
                <w:numId w:val="54"/>
              </w:numPr>
              <w:ind w:left="239" w:hanging="144"/>
              <w:rPr>
                <w:rFonts w:cs="Tahoma"/>
                <w:szCs w:val="18"/>
              </w:rPr>
            </w:pPr>
            <w:r w:rsidRPr="00942593">
              <w:rPr>
                <w:rFonts w:cs="Tahoma"/>
                <w:szCs w:val="18"/>
              </w:rPr>
              <w:t>Time to the first occurrence of death, hospitalisation for PAH or start of IV prostanoid therapy, atrial septostomy, or lung transplant</w:t>
            </w:r>
          </w:p>
          <w:p w:rsidR="001D0FDA" w:rsidRPr="00942593" w:rsidRDefault="001D0FDA" w:rsidP="00E1668E">
            <w:pPr>
              <w:pStyle w:val="Tabletext"/>
              <w:numPr>
                <w:ilvl w:val="0"/>
                <w:numId w:val="54"/>
              </w:numPr>
              <w:ind w:left="239" w:hanging="144"/>
              <w:rPr>
                <w:rFonts w:cs="Tahoma"/>
                <w:szCs w:val="18"/>
              </w:rPr>
            </w:pPr>
            <w:r w:rsidRPr="00942593">
              <w:rPr>
                <w:rFonts w:cs="Tahoma"/>
                <w:szCs w:val="18"/>
              </w:rPr>
              <w:t>All-cause morality</w:t>
            </w:r>
            <w:r w:rsidRPr="00942593">
              <w:rPr>
                <w:rFonts w:cs="Tahoma"/>
                <w:szCs w:val="18"/>
                <w:vertAlign w:val="superscript"/>
              </w:rPr>
              <w:t>c</w:t>
            </w:r>
          </w:p>
          <w:p w:rsidR="001D0FDA" w:rsidRPr="00942593" w:rsidRDefault="001D0FDA" w:rsidP="00E1668E">
            <w:pPr>
              <w:pStyle w:val="Tabletext"/>
              <w:rPr>
                <w:rFonts w:cs="Tahoma"/>
                <w:szCs w:val="18"/>
              </w:rPr>
            </w:pPr>
          </w:p>
          <w:p w:rsidR="001D0FDA" w:rsidRPr="00942593" w:rsidRDefault="001D0FDA" w:rsidP="00E1668E">
            <w:pPr>
              <w:pStyle w:val="Tabletext"/>
              <w:rPr>
                <w:rFonts w:cs="Tahoma"/>
                <w:szCs w:val="18"/>
              </w:rPr>
            </w:pPr>
            <w:r>
              <w:rPr>
                <w:rFonts w:cs="Tahoma"/>
                <w:i/>
                <w:szCs w:val="18"/>
              </w:rPr>
              <w:t>Safety</w:t>
            </w:r>
          </w:p>
          <w:p w:rsidR="001D0FDA" w:rsidRDefault="001D0FDA" w:rsidP="00E1668E">
            <w:pPr>
              <w:pStyle w:val="Tabletext"/>
              <w:numPr>
                <w:ilvl w:val="0"/>
                <w:numId w:val="54"/>
              </w:numPr>
              <w:ind w:left="239" w:hanging="144"/>
              <w:rPr>
                <w:rFonts w:cs="Tahoma"/>
                <w:i/>
                <w:szCs w:val="18"/>
              </w:rPr>
            </w:pPr>
            <w:r w:rsidRPr="00942593">
              <w:rPr>
                <w:rFonts w:cs="Tahoma"/>
                <w:szCs w:val="18"/>
              </w:rPr>
              <w:t>Adverse events</w:t>
            </w:r>
            <w:r w:rsidRPr="00942593">
              <w:rPr>
                <w:rFonts w:cs="Tahoma"/>
                <w:szCs w:val="18"/>
                <w:vertAlign w:val="superscript"/>
              </w:rPr>
              <w:t>c</w:t>
            </w:r>
          </w:p>
        </w:tc>
      </w:tr>
      <w:tr w:rsidR="001D0FDA" w:rsidRPr="00204000" w:rsidTr="00E1668E">
        <w:tc>
          <w:tcPr>
            <w:tcW w:w="531" w:type="pct"/>
          </w:tcPr>
          <w:p w:rsidR="001D0FDA" w:rsidRPr="00351FF5" w:rsidRDefault="001D0FDA" w:rsidP="00E1668E">
            <w:pPr>
              <w:pStyle w:val="Tabletext"/>
              <w:rPr>
                <w:rFonts w:cs="Tahoma"/>
                <w:szCs w:val="18"/>
              </w:rPr>
            </w:pPr>
            <w:r>
              <w:rPr>
                <w:rFonts w:cs="Tahoma"/>
                <w:szCs w:val="18"/>
              </w:rPr>
              <w:t>EARLY</w:t>
            </w:r>
            <w:r w:rsidR="001D34EE" w:rsidRPr="001D34EE">
              <w:rPr>
                <w:rFonts w:cs="Tahoma"/>
                <w:noProof/>
                <w:szCs w:val="18"/>
                <w:vertAlign w:val="superscript"/>
              </w:rPr>
              <w:t>9</w:t>
            </w:r>
          </w:p>
          <w:p w:rsidR="001D0FDA" w:rsidRPr="00351FF5" w:rsidRDefault="001D0FDA" w:rsidP="00E1668E">
            <w:pPr>
              <w:pStyle w:val="Tabletext"/>
              <w:rPr>
                <w:rFonts w:cs="Tahoma"/>
                <w:szCs w:val="18"/>
              </w:rPr>
            </w:pPr>
            <w:r w:rsidRPr="00351FF5">
              <w:rPr>
                <w:rFonts w:cs="Tahoma"/>
                <w:szCs w:val="18"/>
              </w:rPr>
              <w:t>2004-2006</w:t>
            </w:r>
          </w:p>
          <w:p w:rsidR="001D0FDA" w:rsidRPr="00351FF5" w:rsidRDefault="001D0FDA" w:rsidP="00E1668E">
            <w:pPr>
              <w:pStyle w:val="Tabletext"/>
              <w:rPr>
                <w:rFonts w:cs="Tahoma"/>
                <w:szCs w:val="18"/>
              </w:rPr>
            </w:pPr>
            <w:r w:rsidRPr="00351FF5">
              <w:rPr>
                <w:rFonts w:cs="Tahoma"/>
                <w:szCs w:val="18"/>
              </w:rPr>
              <w:t>US, Europe, Brazil</w:t>
            </w:r>
          </w:p>
        </w:tc>
        <w:tc>
          <w:tcPr>
            <w:tcW w:w="476" w:type="pct"/>
          </w:tcPr>
          <w:p w:rsidR="001D0FDA" w:rsidRPr="00351FF5" w:rsidRDefault="001D0FDA" w:rsidP="00E1668E">
            <w:pPr>
              <w:pStyle w:val="Tabletext"/>
              <w:rPr>
                <w:rFonts w:cs="Tahoma"/>
                <w:szCs w:val="18"/>
              </w:rPr>
            </w:pPr>
            <w:r w:rsidRPr="00351FF5">
              <w:rPr>
                <w:rFonts w:cs="Tahoma"/>
                <w:szCs w:val="18"/>
              </w:rPr>
              <w:t>RCT</w:t>
            </w:r>
          </w:p>
          <w:p w:rsidR="001D0FDA" w:rsidRPr="00351FF5" w:rsidRDefault="001D0FDA" w:rsidP="00E1668E">
            <w:pPr>
              <w:pStyle w:val="Tabletext"/>
              <w:rPr>
                <w:rFonts w:cs="Tahoma"/>
                <w:szCs w:val="18"/>
              </w:rPr>
            </w:pPr>
            <w:r w:rsidRPr="00351FF5">
              <w:rPr>
                <w:rFonts w:cs="Tahoma"/>
                <w:szCs w:val="18"/>
              </w:rPr>
              <w:t>Level II evidence</w:t>
            </w:r>
          </w:p>
          <w:p w:rsidR="001D0FDA" w:rsidRPr="00351FF5" w:rsidRDefault="001D0FDA" w:rsidP="00E1668E">
            <w:pPr>
              <w:pStyle w:val="Tabletext"/>
              <w:rPr>
                <w:rFonts w:cs="Tahoma"/>
                <w:szCs w:val="18"/>
              </w:rPr>
            </w:pPr>
            <w:r>
              <w:rPr>
                <w:rFonts w:cs="Tahoma"/>
                <w:szCs w:val="18"/>
              </w:rPr>
              <w:t xml:space="preserve">Follow-up: </w:t>
            </w:r>
            <w:r w:rsidRPr="00351FF5">
              <w:rPr>
                <w:rFonts w:cs="Tahoma"/>
                <w:szCs w:val="18"/>
              </w:rPr>
              <w:t>6 months</w:t>
            </w:r>
          </w:p>
          <w:p w:rsidR="001D0FDA" w:rsidRPr="00351FF5" w:rsidRDefault="001D0FDA" w:rsidP="00E1668E">
            <w:pPr>
              <w:pStyle w:val="Tabletext"/>
              <w:rPr>
                <w:rFonts w:cs="Tahoma"/>
                <w:szCs w:val="18"/>
              </w:rPr>
            </w:pPr>
            <w:r w:rsidRPr="00351FF5">
              <w:rPr>
                <w:rFonts w:cs="Tahoma"/>
                <w:szCs w:val="18"/>
              </w:rPr>
              <w:t>Risk of bias: low</w:t>
            </w:r>
          </w:p>
        </w:tc>
        <w:tc>
          <w:tcPr>
            <w:tcW w:w="772" w:type="pct"/>
          </w:tcPr>
          <w:p w:rsidR="001D0FDA" w:rsidRPr="00351FF5" w:rsidRDefault="001D0FDA" w:rsidP="00E1668E">
            <w:pPr>
              <w:pStyle w:val="Tabletext"/>
              <w:rPr>
                <w:rFonts w:cs="Tahoma"/>
                <w:i/>
                <w:szCs w:val="18"/>
              </w:rPr>
            </w:pPr>
            <w:r w:rsidRPr="00351FF5">
              <w:rPr>
                <w:rFonts w:cs="Tahoma"/>
                <w:i/>
                <w:szCs w:val="18"/>
              </w:rPr>
              <w:t>Inclusion criteria</w:t>
            </w:r>
          </w:p>
          <w:p w:rsidR="001D0FDA" w:rsidRPr="00351FF5" w:rsidRDefault="001D0FDA" w:rsidP="00E1668E">
            <w:pPr>
              <w:pStyle w:val="Tabletext"/>
              <w:numPr>
                <w:ilvl w:val="0"/>
                <w:numId w:val="54"/>
              </w:numPr>
              <w:ind w:left="239" w:hanging="144"/>
              <w:rPr>
                <w:rFonts w:cs="Tahoma"/>
                <w:szCs w:val="18"/>
              </w:rPr>
            </w:pPr>
            <w:r w:rsidRPr="00351FF5">
              <w:rPr>
                <w:rFonts w:cs="Tahoma"/>
                <w:szCs w:val="18"/>
              </w:rPr>
              <w:t xml:space="preserve">Age </w:t>
            </w:r>
            <w:r>
              <w:rPr>
                <w:rFonts w:cs="Tahoma"/>
                <w:szCs w:val="18"/>
              </w:rPr>
              <w:t xml:space="preserve">of </w:t>
            </w:r>
            <w:r w:rsidRPr="00351FF5">
              <w:rPr>
                <w:rFonts w:cs="Tahoma"/>
                <w:szCs w:val="18"/>
              </w:rPr>
              <w:t>≥12 y</w:t>
            </w:r>
            <w:r>
              <w:rPr>
                <w:rFonts w:cs="Tahoma"/>
                <w:szCs w:val="18"/>
              </w:rPr>
              <w:t>ears</w:t>
            </w:r>
          </w:p>
          <w:p w:rsidR="001D0FDA" w:rsidRPr="0001197E" w:rsidRDefault="001D0FDA" w:rsidP="00E1668E">
            <w:pPr>
              <w:pStyle w:val="Tabletext"/>
              <w:numPr>
                <w:ilvl w:val="0"/>
                <w:numId w:val="54"/>
              </w:numPr>
              <w:ind w:left="239" w:hanging="144"/>
              <w:rPr>
                <w:rFonts w:cs="Tahoma"/>
                <w:szCs w:val="18"/>
              </w:rPr>
            </w:pPr>
            <w:r w:rsidRPr="00351FF5">
              <w:rPr>
                <w:rFonts w:cs="Tahoma"/>
                <w:szCs w:val="18"/>
              </w:rPr>
              <w:t>Patients with WHO FC II IPAH, HPAH, PAH-CTD, PAH-CHD, PAH-HIV or anorexigen-associated PAH</w:t>
            </w:r>
          </w:p>
          <w:p w:rsidR="001D0FDA" w:rsidRDefault="001D0FDA" w:rsidP="00E1668E">
            <w:pPr>
              <w:pStyle w:val="Tabletext"/>
              <w:numPr>
                <w:ilvl w:val="0"/>
                <w:numId w:val="54"/>
              </w:numPr>
              <w:ind w:left="239" w:hanging="144"/>
              <w:rPr>
                <w:rFonts w:cs="Tahoma"/>
                <w:szCs w:val="18"/>
              </w:rPr>
            </w:pPr>
            <w:r w:rsidRPr="00351FF5">
              <w:rPr>
                <w:rFonts w:cs="Tahoma"/>
                <w:szCs w:val="18"/>
              </w:rPr>
              <w:t>6MWD &lt;80% of the</w:t>
            </w:r>
            <w:r w:rsidR="002449DC">
              <w:rPr>
                <w:rFonts w:cs="Tahoma"/>
                <w:szCs w:val="18"/>
              </w:rPr>
              <w:t xml:space="preserve"> </w:t>
            </w:r>
            <w:r w:rsidRPr="006A20FF">
              <w:rPr>
                <w:rFonts w:cs="Tahoma"/>
                <w:szCs w:val="18"/>
              </w:rPr>
              <w:t>normal predicted value</w:t>
            </w:r>
            <w:r w:rsidRPr="00351FF5">
              <w:rPr>
                <w:rFonts w:cs="Tahoma"/>
                <w:szCs w:val="18"/>
              </w:rPr>
              <w:t xml:space="preserve"> or &lt;500</w:t>
            </w:r>
            <w:r w:rsidR="00776155">
              <w:rPr>
                <w:rFonts w:cs="Tahoma"/>
                <w:szCs w:val="18"/>
              </w:rPr>
              <w:t> </w:t>
            </w:r>
            <w:r w:rsidRPr="00351FF5">
              <w:rPr>
                <w:rFonts w:cs="Tahoma"/>
                <w:szCs w:val="18"/>
              </w:rPr>
              <w:t>m</w:t>
            </w:r>
          </w:p>
          <w:p w:rsidR="001D0FDA" w:rsidRDefault="001D0FDA" w:rsidP="00E1668E">
            <w:pPr>
              <w:pStyle w:val="Tabletext"/>
              <w:numPr>
                <w:ilvl w:val="0"/>
                <w:numId w:val="54"/>
              </w:numPr>
              <w:ind w:left="239" w:hanging="144"/>
              <w:rPr>
                <w:rFonts w:cs="Tahoma"/>
                <w:szCs w:val="18"/>
              </w:rPr>
            </w:pPr>
            <w:r>
              <w:rPr>
                <w:rFonts w:cs="Tahoma"/>
                <w:szCs w:val="18"/>
              </w:rPr>
              <w:t>BDS</w:t>
            </w:r>
            <w:r w:rsidRPr="00351FF5">
              <w:rPr>
                <w:rFonts w:cs="Tahoma"/>
                <w:szCs w:val="18"/>
              </w:rPr>
              <w:t xml:space="preserve"> ≥2</w:t>
            </w:r>
          </w:p>
          <w:p w:rsidR="001D0FDA" w:rsidRPr="00351FF5" w:rsidRDefault="001D0FDA" w:rsidP="00E1668E">
            <w:pPr>
              <w:pStyle w:val="Tabletext"/>
              <w:numPr>
                <w:ilvl w:val="0"/>
                <w:numId w:val="54"/>
              </w:numPr>
              <w:ind w:left="239" w:hanging="144"/>
              <w:rPr>
                <w:rFonts w:cs="Tahoma"/>
                <w:szCs w:val="18"/>
              </w:rPr>
            </w:pPr>
            <w:r>
              <w:rPr>
                <w:rFonts w:cs="Tahoma"/>
                <w:szCs w:val="18"/>
              </w:rPr>
              <w:t>PVR≥320</w:t>
            </w:r>
            <w:r w:rsidR="00776155">
              <w:rPr>
                <w:rFonts w:cs="Tahoma"/>
                <w:szCs w:val="18"/>
              </w:rPr>
              <w:t> </w:t>
            </w:r>
            <w:r>
              <w:rPr>
                <w:rFonts w:cs="Tahoma"/>
                <w:szCs w:val="18"/>
              </w:rPr>
              <w:t>cyn/s*cm</w:t>
            </w:r>
            <w:r>
              <w:rPr>
                <w:rFonts w:cs="Tahoma"/>
                <w:szCs w:val="18"/>
                <w:vertAlign w:val="superscript"/>
              </w:rPr>
              <w:t>5</w:t>
            </w:r>
          </w:p>
          <w:p w:rsidR="001D0FDA" w:rsidRPr="00351FF5" w:rsidRDefault="001D0FDA" w:rsidP="00E1668E">
            <w:pPr>
              <w:pStyle w:val="Tabletext"/>
              <w:rPr>
                <w:rFonts w:cs="Tahoma"/>
                <w:szCs w:val="18"/>
                <w:u w:val="single"/>
              </w:rPr>
            </w:pPr>
          </w:p>
          <w:p w:rsidR="001D0FDA" w:rsidRPr="00351FF5" w:rsidRDefault="001D0FDA" w:rsidP="00E1668E">
            <w:pPr>
              <w:pStyle w:val="Tabletext"/>
              <w:rPr>
                <w:rFonts w:cs="Tahoma"/>
                <w:i/>
                <w:szCs w:val="18"/>
              </w:rPr>
            </w:pPr>
            <w:r w:rsidRPr="00351FF5">
              <w:rPr>
                <w:rFonts w:cs="Tahoma"/>
                <w:i/>
                <w:szCs w:val="18"/>
              </w:rPr>
              <w:t>Exclusion criteria</w:t>
            </w:r>
          </w:p>
          <w:p w:rsidR="001D0FDA" w:rsidRPr="00351FF5" w:rsidRDefault="001D0FDA" w:rsidP="00E1668E">
            <w:pPr>
              <w:pStyle w:val="Tabletext"/>
              <w:numPr>
                <w:ilvl w:val="0"/>
                <w:numId w:val="54"/>
              </w:numPr>
              <w:ind w:left="239" w:hanging="144"/>
              <w:rPr>
                <w:rFonts w:cs="Tahoma"/>
                <w:szCs w:val="18"/>
              </w:rPr>
            </w:pPr>
            <w:r>
              <w:rPr>
                <w:rFonts w:cs="Tahoma"/>
                <w:szCs w:val="18"/>
              </w:rPr>
              <w:t xml:space="preserve">Patients who had been treated </w:t>
            </w:r>
            <w:r w:rsidRPr="00351FF5">
              <w:rPr>
                <w:rFonts w:cs="Tahoma"/>
                <w:szCs w:val="18"/>
              </w:rPr>
              <w:t>for PAH within 4 weeks of randomisation</w:t>
            </w:r>
          </w:p>
        </w:tc>
        <w:tc>
          <w:tcPr>
            <w:tcW w:w="0" w:type="auto"/>
          </w:tcPr>
          <w:p w:rsidR="001D0FDA" w:rsidRPr="00351FF5" w:rsidRDefault="001D0FDA" w:rsidP="00E1668E">
            <w:pPr>
              <w:pStyle w:val="Tabletext"/>
              <w:rPr>
                <w:rFonts w:cs="Tahoma"/>
                <w:szCs w:val="18"/>
              </w:rPr>
            </w:pPr>
            <w:r w:rsidRPr="00351FF5">
              <w:rPr>
                <w:rFonts w:cs="Tahoma"/>
                <w:szCs w:val="18"/>
              </w:rPr>
              <w:t xml:space="preserve">N=185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EARLY"/>
            </w:tblPr>
            <w:tblGrid>
              <w:gridCol w:w="2101"/>
              <w:gridCol w:w="1003"/>
              <w:gridCol w:w="1134"/>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1D0FDA" w:rsidRPr="00351FF5" w:rsidRDefault="001D0FDA" w:rsidP="00570FC8">
                  <w:pPr>
                    <w:pStyle w:val="Tabletext"/>
                    <w:framePr w:hSpace="181" w:wrap="around" w:hAnchor="text" w:yAlign="bottom"/>
                    <w:spacing w:before="0" w:after="0"/>
                    <w:suppressOverlap/>
                    <w:rPr>
                      <w:rFonts w:cs="Tahoma"/>
                      <w:b/>
                      <w:szCs w:val="18"/>
                    </w:rPr>
                  </w:pPr>
                </w:p>
              </w:tc>
              <w:tc>
                <w:tcPr>
                  <w:tcW w:w="1001"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Bosentan</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(N=93)</w:t>
                  </w:r>
                </w:p>
              </w:tc>
              <w:tc>
                <w:tcPr>
                  <w:tcW w:w="1134"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Placebo</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(N=92)</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001" w:type="dxa"/>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45±17</w:t>
                  </w:r>
                </w:p>
              </w:tc>
              <w:tc>
                <w:tcPr>
                  <w:tcW w:w="1134" w:type="dxa"/>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44±17</w:t>
                  </w:r>
                </w:p>
              </w:tc>
            </w:tr>
            <w:tr w:rsidR="001D0FDA" w:rsidRPr="00351FF5" w:rsidTr="001D0FDA">
              <w:tc>
                <w:tcPr>
                  <w:tcW w:w="2101"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01"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71 (76%)</w:t>
                  </w:r>
                </w:p>
              </w:tc>
              <w:tc>
                <w:tcPr>
                  <w:tcW w:w="1134"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58 (63%)</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001"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IPAH</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54 (58%)</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58 (63%)</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PAH-CTD</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18 (19%)</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15 (16%)</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PAH-CHD</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16 (17%)</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16 (17%)</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PAH-HIV</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5 (5%)</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2 (2%)</w:t>
                  </w:r>
                </w:p>
              </w:tc>
            </w:tr>
            <w:tr w:rsidR="001D0FDA" w:rsidRPr="00351FF5" w:rsidTr="001D0FDA">
              <w:tc>
                <w:tcPr>
                  <w:tcW w:w="2101" w:type="dxa"/>
                  <w:tcBorders>
                    <w:top w:val="nil"/>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Other</w:t>
                  </w:r>
                </w:p>
              </w:tc>
              <w:tc>
                <w:tcPr>
                  <w:tcW w:w="1001" w:type="dxa"/>
                  <w:tcBorders>
                    <w:top w:val="nil"/>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0 (0%)</w:t>
                  </w:r>
                </w:p>
              </w:tc>
              <w:tc>
                <w:tcPr>
                  <w:tcW w:w="1134" w:type="dxa"/>
                  <w:tcBorders>
                    <w:top w:val="nil"/>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1 (1%)</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001"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II</w:t>
                  </w:r>
                </w:p>
              </w:tc>
              <w:tc>
                <w:tcPr>
                  <w:tcW w:w="1001" w:type="dxa"/>
                  <w:tcBorders>
                    <w:top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93 (100%)</w:t>
                  </w:r>
                </w:p>
              </w:tc>
              <w:tc>
                <w:tcPr>
                  <w:tcW w:w="1134" w:type="dxa"/>
                  <w:tcBorders>
                    <w:top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92 (100%)</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Time from diagnosis, mean±SD (yrs)</w:t>
                  </w:r>
                </w:p>
              </w:tc>
              <w:tc>
                <w:tcPr>
                  <w:tcW w:w="1001"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2.9±5.5</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3.7±6.5</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411013">
                    <w:rPr>
                      <w:rFonts w:cs="Tahoma"/>
                      <w:szCs w:val="18"/>
                    </w:rPr>
                    <w:t>Concomitant use of sildenafil</w:t>
                  </w:r>
                </w:p>
              </w:tc>
              <w:tc>
                <w:tcPr>
                  <w:tcW w:w="1001"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14 (15%)</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15 (16%)</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mPAP, mean±SD (mmHg)</w:t>
                  </w:r>
                </w:p>
              </w:tc>
              <w:tc>
                <w:tcPr>
                  <w:tcW w:w="1001"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52.5±18.5</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52.3±16.0</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PVR, mean±SD (</w:t>
                  </w:r>
                  <w:r>
                    <w:rPr>
                      <w:rFonts w:cs="Tahoma"/>
                      <w:szCs w:val="18"/>
                    </w:rPr>
                    <w:t>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01"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839±531</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805±369</w:t>
                  </w:r>
                </w:p>
              </w:tc>
            </w:tr>
          </w:tbl>
          <w:p w:rsidR="001D0FDA" w:rsidRPr="00351FF5" w:rsidRDefault="001D0FDA" w:rsidP="00E1668E">
            <w:pPr>
              <w:pStyle w:val="Tabletext"/>
              <w:rPr>
                <w:rFonts w:cs="Tahoma"/>
                <w:szCs w:val="18"/>
              </w:rPr>
            </w:pPr>
            <w:r w:rsidRPr="00351FF5">
              <w:rPr>
                <w:rFonts w:cs="Tahoma"/>
                <w:szCs w:val="18"/>
              </w:rPr>
              <w:t xml:space="preserve">Data on the patient characteristics for the no background therapy subgroup and with background therapy subgroup between the two treatment groups were not available. However, randomisation </w:t>
            </w:r>
            <w:proofErr w:type="gramStart"/>
            <w:r w:rsidRPr="00351FF5">
              <w:rPr>
                <w:rFonts w:cs="Tahoma"/>
                <w:szCs w:val="18"/>
              </w:rPr>
              <w:t>was stratified</w:t>
            </w:r>
            <w:proofErr w:type="gramEnd"/>
            <w:r w:rsidRPr="00351FF5">
              <w:rPr>
                <w:rFonts w:cs="Tahoma"/>
                <w:szCs w:val="18"/>
              </w:rPr>
              <w:t xml:space="preserve"> according to sildenafil use at enrolment. </w:t>
            </w:r>
          </w:p>
        </w:tc>
        <w:tc>
          <w:tcPr>
            <w:tcW w:w="811" w:type="pct"/>
          </w:tcPr>
          <w:p w:rsidR="001D0FDA" w:rsidRPr="00802B85" w:rsidRDefault="001D0FDA" w:rsidP="00E1668E">
            <w:pPr>
              <w:pStyle w:val="Tabletext"/>
              <w:rPr>
                <w:rFonts w:cs="Tahoma"/>
                <w:i/>
                <w:szCs w:val="18"/>
              </w:rPr>
            </w:pPr>
            <w:r>
              <w:rPr>
                <w:rFonts w:cs="Tahoma"/>
                <w:i/>
                <w:szCs w:val="18"/>
              </w:rPr>
              <w:t>Intervention</w:t>
            </w:r>
          </w:p>
          <w:p w:rsidR="001D0FDA" w:rsidRPr="00351FF5" w:rsidRDefault="001D0FDA" w:rsidP="00E1668E">
            <w:pPr>
              <w:pStyle w:val="Tabletext"/>
              <w:rPr>
                <w:rFonts w:cs="Tahoma"/>
                <w:szCs w:val="18"/>
              </w:rPr>
            </w:pPr>
            <w:r w:rsidRPr="00351FF5">
              <w:rPr>
                <w:rFonts w:cs="Tahoma"/>
                <w:szCs w:val="18"/>
              </w:rPr>
              <w:t>Bosentan: initial dose of 62.5</w:t>
            </w:r>
            <w:r w:rsidR="00776155">
              <w:rPr>
                <w:rFonts w:cs="Tahoma"/>
                <w:szCs w:val="18"/>
              </w:rPr>
              <w:t> </w:t>
            </w:r>
            <w:r w:rsidRPr="00351FF5">
              <w:rPr>
                <w:rFonts w:cs="Tahoma"/>
                <w:szCs w:val="18"/>
              </w:rPr>
              <w:t>mg bid, up-titrat</w:t>
            </w:r>
            <w:r>
              <w:rPr>
                <w:rFonts w:cs="Tahoma"/>
                <w:szCs w:val="18"/>
              </w:rPr>
              <w:t>ed</w:t>
            </w:r>
            <w:r w:rsidRPr="00351FF5">
              <w:rPr>
                <w:rFonts w:cs="Tahoma"/>
                <w:szCs w:val="18"/>
              </w:rPr>
              <w:t xml:space="preserve"> to 125</w:t>
            </w:r>
            <w:r w:rsidR="00776155">
              <w:rPr>
                <w:rFonts w:cs="Tahoma"/>
                <w:szCs w:val="18"/>
              </w:rPr>
              <w:t> </w:t>
            </w:r>
            <w:r w:rsidRPr="00351FF5">
              <w:rPr>
                <w:rFonts w:cs="Tahoma"/>
                <w:szCs w:val="18"/>
              </w:rPr>
              <w:t>mg bid after 4 weeks if body weight ≥40</w:t>
            </w:r>
            <w:r w:rsidR="00776155">
              <w:rPr>
                <w:rFonts w:cs="Tahoma"/>
                <w:szCs w:val="18"/>
              </w:rPr>
              <w:t> </w:t>
            </w:r>
            <w:r w:rsidRPr="00351FF5">
              <w:rPr>
                <w:rFonts w:cs="Tahoma"/>
                <w:szCs w:val="18"/>
              </w:rPr>
              <w:t>kg</w:t>
            </w:r>
          </w:p>
          <w:p w:rsidR="001D0FDA" w:rsidRPr="00351FF5" w:rsidRDefault="001D0FDA" w:rsidP="00E1668E">
            <w:pPr>
              <w:pStyle w:val="Tabletext"/>
              <w:rPr>
                <w:rFonts w:cs="Tahoma"/>
                <w:szCs w:val="18"/>
              </w:rPr>
            </w:pPr>
          </w:p>
          <w:p w:rsidR="001D0FDA" w:rsidRDefault="001D0FDA" w:rsidP="00E1668E">
            <w:pPr>
              <w:pStyle w:val="Tabletext"/>
              <w:rPr>
                <w:rFonts w:cs="Tahoma"/>
                <w:i/>
                <w:szCs w:val="18"/>
              </w:rPr>
            </w:pPr>
            <w:r>
              <w:rPr>
                <w:rFonts w:cs="Tahoma"/>
                <w:i/>
                <w:szCs w:val="18"/>
              </w:rPr>
              <w:t>Comparator</w:t>
            </w:r>
          </w:p>
          <w:p w:rsidR="001D0FDA" w:rsidRPr="00351FF5" w:rsidRDefault="001D0FDA" w:rsidP="00E1668E">
            <w:pPr>
              <w:pStyle w:val="Tabletext"/>
              <w:rPr>
                <w:rFonts w:cs="Tahoma"/>
                <w:szCs w:val="18"/>
              </w:rPr>
            </w:pPr>
            <w:r w:rsidRPr="00351FF5">
              <w:rPr>
                <w:rFonts w:cs="Tahoma"/>
                <w:szCs w:val="18"/>
              </w:rPr>
              <w:t xml:space="preserve">Placebo bid </w:t>
            </w:r>
          </w:p>
          <w:p w:rsidR="001D0FDA" w:rsidRPr="00351FF5" w:rsidRDefault="001D0FDA" w:rsidP="00E1668E">
            <w:pPr>
              <w:pStyle w:val="Tabletext"/>
              <w:rPr>
                <w:rFonts w:cs="Tahoma"/>
                <w:szCs w:val="18"/>
              </w:rPr>
            </w:pPr>
          </w:p>
          <w:p w:rsidR="001D0FDA" w:rsidRDefault="001D0FDA" w:rsidP="00E1668E">
            <w:pPr>
              <w:pStyle w:val="Tabletext"/>
              <w:rPr>
                <w:rFonts w:cs="Tahoma"/>
                <w:szCs w:val="18"/>
              </w:rPr>
            </w:pPr>
            <w:r w:rsidRPr="00802B85">
              <w:rPr>
                <w:rFonts w:cs="Tahoma"/>
                <w:i/>
                <w:szCs w:val="18"/>
              </w:rPr>
              <w:t>Background therapy</w:t>
            </w:r>
            <w:r w:rsidRPr="00351FF5">
              <w:rPr>
                <w:rFonts w:cs="Tahoma"/>
                <w:szCs w:val="18"/>
              </w:rPr>
              <w:t xml:space="preserve"> </w:t>
            </w:r>
          </w:p>
          <w:p w:rsidR="001D0FDA" w:rsidRPr="00351FF5" w:rsidRDefault="001D0FDA" w:rsidP="00E1668E">
            <w:pPr>
              <w:pStyle w:val="Tabletext"/>
              <w:rPr>
                <w:rFonts w:cs="Tahoma"/>
                <w:szCs w:val="18"/>
              </w:rPr>
            </w:pPr>
            <w:r>
              <w:rPr>
                <w:rFonts w:cs="Tahoma"/>
                <w:szCs w:val="18"/>
              </w:rPr>
              <w:t>S</w:t>
            </w:r>
            <w:r w:rsidRPr="00351FF5">
              <w:rPr>
                <w:rFonts w:cs="Tahoma"/>
                <w:szCs w:val="18"/>
              </w:rPr>
              <w:t>ildenafil: 15% in the bosentan arm vs 16% in the placebo arm</w:t>
            </w:r>
          </w:p>
        </w:tc>
        <w:tc>
          <w:tcPr>
            <w:tcW w:w="771" w:type="pct"/>
          </w:tcPr>
          <w:p w:rsidR="001D0FDA" w:rsidRPr="00351FF5" w:rsidRDefault="001D0FDA" w:rsidP="00E1668E">
            <w:pPr>
              <w:pStyle w:val="Tabletext"/>
              <w:rPr>
                <w:rFonts w:cs="Tahoma"/>
                <w:i/>
                <w:szCs w:val="18"/>
              </w:rPr>
            </w:pPr>
            <w:r w:rsidRPr="00351FF5">
              <w:rPr>
                <w:rFonts w:cs="Tahoma"/>
                <w:i/>
                <w:szCs w:val="18"/>
              </w:rPr>
              <w:t>Effectiveness:</w:t>
            </w:r>
          </w:p>
          <w:p w:rsidR="001D0FDA" w:rsidRPr="00351FF5" w:rsidRDefault="001D0FDA" w:rsidP="00E1668E">
            <w:pPr>
              <w:pStyle w:val="Tabletext"/>
              <w:rPr>
                <w:rFonts w:cs="Tahoma"/>
                <w:szCs w:val="18"/>
              </w:rPr>
            </w:pPr>
            <w:r w:rsidRPr="00351FF5">
              <w:rPr>
                <w:rFonts w:cs="Tahoma"/>
                <w:szCs w:val="18"/>
              </w:rPr>
              <w:t>Primary:</w:t>
            </w:r>
          </w:p>
          <w:p w:rsidR="001D0FDA" w:rsidRPr="00351FF5" w:rsidRDefault="001D0FDA" w:rsidP="00E1668E">
            <w:pPr>
              <w:pStyle w:val="Tabletext"/>
              <w:numPr>
                <w:ilvl w:val="0"/>
                <w:numId w:val="54"/>
              </w:numPr>
              <w:ind w:left="239" w:hanging="144"/>
              <w:rPr>
                <w:rFonts w:cs="Tahoma"/>
                <w:szCs w:val="18"/>
              </w:rPr>
            </w:pPr>
            <w:r w:rsidRPr="00351FF5">
              <w:rPr>
                <w:rFonts w:cs="Tahoma"/>
                <w:szCs w:val="18"/>
              </w:rPr>
              <w:t>PVR at Months 6</w:t>
            </w:r>
            <w:r w:rsidRPr="00351FF5">
              <w:rPr>
                <w:rFonts w:cs="Tahoma"/>
                <w:szCs w:val="18"/>
                <w:vertAlign w:val="superscript"/>
              </w:rPr>
              <w:t>c</w:t>
            </w:r>
          </w:p>
          <w:p w:rsidR="001D0FDA" w:rsidRPr="00351FF5" w:rsidRDefault="001D0FDA" w:rsidP="00E1668E">
            <w:pPr>
              <w:pStyle w:val="Tabletext"/>
              <w:numPr>
                <w:ilvl w:val="0"/>
                <w:numId w:val="54"/>
              </w:numPr>
              <w:ind w:left="239" w:hanging="144"/>
              <w:rPr>
                <w:rFonts w:cs="Tahoma"/>
                <w:szCs w:val="18"/>
              </w:rPr>
            </w:pPr>
            <w:r w:rsidRPr="00351FF5">
              <w:rPr>
                <w:rFonts w:cs="Tahoma"/>
                <w:szCs w:val="18"/>
              </w:rPr>
              <w:t>Change in 6MWD at Month 6</w:t>
            </w:r>
            <w:r w:rsidRPr="00351FF5">
              <w:rPr>
                <w:rFonts w:cs="Tahoma"/>
                <w:szCs w:val="18"/>
                <w:vertAlign w:val="superscript"/>
              </w:rPr>
              <w:t>c</w:t>
            </w:r>
            <w:r w:rsidRPr="00351FF5">
              <w:rPr>
                <w:rFonts w:cs="Tahoma"/>
                <w:szCs w:val="18"/>
              </w:rPr>
              <w:t xml:space="preserve"> </w:t>
            </w:r>
          </w:p>
          <w:p w:rsidR="001D0FDA" w:rsidRPr="00351FF5" w:rsidRDefault="001D0FDA" w:rsidP="00E1668E">
            <w:pPr>
              <w:pStyle w:val="Tabletext"/>
              <w:rPr>
                <w:rFonts w:cs="Tahoma"/>
                <w:szCs w:val="18"/>
              </w:rPr>
            </w:pPr>
            <w:r w:rsidRPr="00351FF5">
              <w:rPr>
                <w:rFonts w:cs="Tahoma"/>
                <w:szCs w:val="18"/>
              </w:rPr>
              <w:t>Secondary:</w:t>
            </w:r>
          </w:p>
          <w:p w:rsidR="001D0FDA" w:rsidRPr="00351FF5" w:rsidRDefault="001D0FDA" w:rsidP="00E1668E">
            <w:pPr>
              <w:pStyle w:val="Tabletext"/>
              <w:numPr>
                <w:ilvl w:val="0"/>
                <w:numId w:val="54"/>
              </w:numPr>
              <w:ind w:left="239" w:hanging="144"/>
              <w:rPr>
                <w:rFonts w:cs="Tahoma"/>
                <w:szCs w:val="18"/>
              </w:rPr>
            </w:pPr>
            <w:r w:rsidRPr="00351FF5">
              <w:rPr>
                <w:rFonts w:cs="Tahoma"/>
                <w:szCs w:val="18"/>
              </w:rPr>
              <w:t>Time to clinical worsening</w:t>
            </w:r>
            <w:r w:rsidRPr="00351FF5">
              <w:rPr>
                <w:rFonts w:cs="Tahoma"/>
                <w:szCs w:val="18"/>
                <w:vertAlign w:val="superscript"/>
              </w:rPr>
              <w:t>c</w:t>
            </w:r>
          </w:p>
          <w:p w:rsidR="001D0FDA" w:rsidRDefault="001D0FDA" w:rsidP="00E1668E">
            <w:pPr>
              <w:pStyle w:val="Tabletext"/>
              <w:numPr>
                <w:ilvl w:val="0"/>
                <w:numId w:val="54"/>
              </w:numPr>
              <w:ind w:left="239" w:hanging="144"/>
              <w:rPr>
                <w:rFonts w:cs="Tahoma"/>
                <w:szCs w:val="18"/>
              </w:rPr>
            </w:pPr>
            <w:r w:rsidRPr="00351FF5">
              <w:rPr>
                <w:rFonts w:cs="Tahoma"/>
                <w:szCs w:val="18"/>
              </w:rPr>
              <w:t>Change in WHO FC at Month 6</w:t>
            </w:r>
          </w:p>
          <w:p w:rsidR="001D0FDA" w:rsidRPr="00351FF5" w:rsidRDefault="001D0FDA" w:rsidP="00E1668E">
            <w:pPr>
              <w:pStyle w:val="Tabletext"/>
              <w:numPr>
                <w:ilvl w:val="0"/>
                <w:numId w:val="54"/>
              </w:numPr>
              <w:ind w:left="239" w:hanging="144"/>
              <w:rPr>
                <w:rFonts w:cs="Tahoma"/>
                <w:szCs w:val="18"/>
              </w:rPr>
            </w:pPr>
            <w:r w:rsidRPr="00351FF5">
              <w:rPr>
                <w:rFonts w:cs="Tahoma"/>
                <w:szCs w:val="18"/>
              </w:rPr>
              <w:t xml:space="preserve">Change in </w:t>
            </w:r>
            <w:r>
              <w:rPr>
                <w:rFonts w:cs="Tahoma"/>
                <w:szCs w:val="18"/>
              </w:rPr>
              <w:t>BDS</w:t>
            </w:r>
            <w:r w:rsidRPr="00351FF5">
              <w:rPr>
                <w:rFonts w:cs="Tahoma"/>
                <w:szCs w:val="18"/>
              </w:rPr>
              <w:t xml:space="preserve"> at Month 6</w:t>
            </w:r>
          </w:p>
          <w:p w:rsidR="001D0FDA" w:rsidRPr="00351FF5" w:rsidRDefault="001D0FDA" w:rsidP="00E1668E">
            <w:pPr>
              <w:pStyle w:val="Tabletext"/>
              <w:numPr>
                <w:ilvl w:val="0"/>
                <w:numId w:val="54"/>
              </w:numPr>
              <w:ind w:left="239" w:hanging="144"/>
              <w:rPr>
                <w:rFonts w:cs="Tahoma"/>
                <w:szCs w:val="18"/>
              </w:rPr>
            </w:pPr>
            <w:r w:rsidRPr="00351FF5">
              <w:rPr>
                <w:rFonts w:cs="Tahoma"/>
                <w:szCs w:val="18"/>
              </w:rPr>
              <w:t xml:space="preserve">Change </w:t>
            </w:r>
            <w:r>
              <w:rPr>
                <w:rFonts w:cs="Tahoma"/>
                <w:szCs w:val="18"/>
              </w:rPr>
              <w:t>in m</w:t>
            </w:r>
            <w:r w:rsidRPr="00351FF5">
              <w:rPr>
                <w:rFonts w:cs="Tahoma"/>
                <w:szCs w:val="18"/>
              </w:rPr>
              <w:t xml:space="preserve">RAP, </w:t>
            </w:r>
            <w:r>
              <w:rPr>
                <w:rFonts w:cs="Tahoma"/>
                <w:szCs w:val="18"/>
              </w:rPr>
              <w:t>mPAP and CI at Month 6</w:t>
            </w:r>
          </w:p>
          <w:p w:rsidR="001D0FDA" w:rsidRDefault="001D0FDA" w:rsidP="00E1668E">
            <w:pPr>
              <w:pStyle w:val="Tabletext"/>
              <w:rPr>
                <w:rFonts w:cs="Tahoma"/>
                <w:szCs w:val="18"/>
              </w:rPr>
            </w:pPr>
            <w:r>
              <w:rPr>
                <w:rFonts w:cs="Tahoma"/>
                <w:szCs w:val="18"/>
              </w:rPr>
              <w:t>Others:</w:t>
            </w:r>
          </w:p>
          <w:p w:rsidR="001D0FDA" w:rsidRPr="001D75C0" w:rsidRDefault="001D0FDA" w:rsidP="00E1668E">
            <w:pPr>
              <w:pStyle w:val="Tabletext"/>
              <w:numPr>
                <w:ilvl w:val="0"/>
                <w:numId w:val="54"/>
              </w:numPr>
              <w:ind w:left="239" w:hanging="144"/>
              <w:rPr>
                <w:rFonts w:cs="Tahoma"/>
                <w:szCs w:val="18"/>
              </w:rPr>
            </w:pPr>
            <w:r>
              <w:rPr>
                <w:rFonts w:cs="Tahoma"/>
                <w:szCs w:val="18"/>
              </w:rPr>
              <w:t>Mortality</w:t>
            </w:r>
            <w:r>
              <w:rPr>
                <w:rFonts w:cs="Tahoma"/>
                <w:szCs w:val="18"/>
                <w:vertAlign w:val="superscript"/>
              </w:rPr>
              <w:t>c</w:t>
            </w:r>
          </w:p>
          <w:p w:rsidR="001D0FDA" w:rsidRPr="00351FF5" w:rsidRDefault="001D0FDA" w:rsidP="00E1668E">
            <w:pPr>
              <w:pStyle w:val="Tabletext"/>
              <w:rPr>
                <w:rFonts w:cs="Tahoma"/>
                <w:szCs w:val="18"/>
              </w:rPr>
            </w:pPr>
          </w:p>
          <w:p w:rsidR="001D0FDA" w:rsidRPr="00351FF5" w:rsidRDefault="001D0FDA" w:rsidP="00E1668E">
            <w:pPr>
              <w:pStyle w:val="Tabletext"/>
              <w:rPr>
                <w:rFonts w:cs="Tahoma"/>
                <w:szCs w:val="18"/>
              </w:rPr>
            </w:pPr>
            <w:r w:rsidRPr="00351FF5">
              <w:rPr>
                <w:rFonts w:cs="Tahoma"/>
                <w:i/>
                <w:szCs w:val="18"/>
              </w:rPr>
              <w:t>Safety</w:t>
            </w:r>
            <w:r w:rsidRPr="00351FF5">
              <w:rPr>
                <w:rFonts w:cs="Tahoma"/>
                <w:szCs w:val="18"/>
              </w:rPr>
              <w:t xml:space="preserve">: </w:t>
            </w:r>
          </w:p>
          <w:p w:rsidR="001D0FDA" w:rsidRPr="00351FF5" w:rsidRDefault="001D0FDA" w:rsidP="00E1668E">
            <w:pPr>
              <w:pStyle w:val="Tabletext"/>
              <w:numPr>
                <w:ilvl w:val="0"/>
                <w:numId w:val="54"/>
              </w:numPr>
              <w:ind w:left="239" w:hanging="144"/>
              <w:rPr>
                <w:rFonts w:cs="Tahoma"/>
                <w:szCs w:val="18"/>
              </w:rPr>
            </w:pPr>
            <w:r>
              <w:rPr>
                <w:rFonts w:cs="Tahoma"/>
                <w:szCs w:val="18"/>
              </w:rPr>
              <w:t>A</w:t>
            </w:r>
            <w:r w:rsidRPr="00351FF5">
              <w:rPr>
                <w:rFonts w:cs="Tahoma"/>
                <w:szCs w:val="18"/>
              </w:rPr>
              <w:t>dverse events</w:t>
            </w:r>
            <w:r w:rsidRPr="00351FF5">
              <w:rPr>
                <w:rFonts w:cs="Tahoma"/>
                <w:szCs w:val="18"/>
                <w:vertAlign w:val="superscript"/>
              </w:rPr>
              <w:t>c</w:t>
            </w:r>
          </w:p>
        </w:tc>
      </w:tr>
      <w:tr w:rsidR="001D0FDA" w:rsidRPr="00204000" w:rsidTr="00E1668E">
        <w:tc>
          <w:tcPr>
            <w:tcW w:w="531" w:type="pct"/>
          </w:tcPr>
          <w:p w:rsidR="001D0FDA" w:rsidRPr="00D53F84" w:rsidRDefault="001D0FDA" w:rsidP="00E1668E">
            <w:pPr>
              <w:pStyle w:val="Tabletext"/>
              <w:ind w:right="-28"/>
              <w:rPr>
                <w:rFonts w:eastAsia="Times New Roman"/>
                <w:lang w:eastAsia="en-US"/>
              </w:rPr>
            </w:pPr>
            <w:r w:rsidRPr="00D53F84">
              <w:rPr>
                <w:rFonts w:eastAsia="Times New Roman"/>
                <w:lang w:eastAsia="en-US"/>
              </w:rPr>
              <w:t>Han 2017</w:t>
            </w:r>
            <w:r w:rsidR="001D34EE" w:rsidRPr="001A1C44">
              <w:rPr>
                <w:rFonts w:eastAsia="Times New Roman"/>
                <w:noProof/>
                <w:vertAlign w:val="superscript"/>
                <w:lang w:eastAsia="en-US"/>
              </w:rPr>
              <w:t>38</w:t>
            </w:r>
          </w:p>
          <w:p w:rsidR="001D0FDA" w:rsidRPr="00D53F84" w:rsidRDefault="001D0FDA" w:rsidP="00E1668E">
            <w:pPr>
              <w:pStyle w:val="Tabletext"/>
              <w:ind w:right="-28"/>
              <w:rPr>
                <w:rFonts w:eastAsia="Times New Roman"/>
                <w:lang w:eastAsia="en-US"/>
              </w:rPr>
            </w:pPr>
            <w:r w:rsidRPr="00D53F84">
              <w:rPr>
                <w:rFonts w:eastAsia="Times New Roman"/>
                <w:snapToGrid w:val="0"/>
                <w:lang w:eastAsia="en-US"/>
              </w:rPr>
              <w:t>2012-2015</w:t>
            </w:r>
          </w:p>
          <w:p w:rsidR="001D0FDA" w:rsidRDefault="001D0FDA" w:rsidP="00E1668E">
            <w:pPr>
              <w:pStyle w:val="Tabletext"/>
              <w:rPr>
                <w:rFonts w:cs="Tahoma"/>
                <w:szCs w:val="18"/>
              </w:rPr>
            </w:pPr>
            <w:r w:rsidRPr="00D53F84">
              <w:rPr>
                <w:rFonts w:eastAsia="Times New Roman"/>
                <w:snapToGrid w:val="0"/>
                <w:lang w:eastAsia="en-US"/>
              </w:rPr>
              <w:t>China</w:t>
            </w:r>
          </w:p>
        </w:tc>
        <w:tc>
          <w:tcPr>
            <w:tcW w:w="476" w:type="pct"/>
          </w:tcPr>
          <w:p w:rsidR="001D0FDA" w:rsidRPr="00351FF5" w:rsidRDefault="001D0FDA" w:rsidP="00E1668E">
            <w:pPr>
              <w:pStyle w:val="Tabletext"/>
              <w:rPr>
                <w:rFonts w:cs="Tahoma"/>
                <w:szCs w:val="18"/>
              </w:rPr>
            </w:pPr>
            <w:r w:rsidRPr="00D53F84">
              <w:rPr>
                <w:rFonts w:eastAsia="Times New Roman"/>
                <w:snapToGrid w:val="0"/>
                <w:lang w:eastAsia="en-US"/>
              </w:rPr>
              <w:t>RCT, OL</w:t>
            </w:r>
            <w:r w:rsidRPr="00351FF5">
              <w:rPr>
                <w:rFonts w:cs="Tahoma"/>
                <w:szCs w:val="18"/>
              </w:rPr>
              <w:t xml:space="preserve"> </w:t>
            </w:r>
          </w:p>
          <w:p w:rsidR="001D0FDA" w:rsidRPr="00351FF5" w:rsidRDefault="001D0FDA" w:rsidP="00E1668E">
            <w:pPr>
              <w:pStyle w:val="Tabletext"/>
              <w:rPr>
                <w:rFonts w:cs="Tahoma"/>
                <w:szCs w:val="18"/>
              </w:rPr>
            </w:pPr>
            <w:r w:rsidRPr="00351FF5">
              <w:rPr>
                <w:rFonts w:cs="Tahoma"/>
                <w:szCs w:val="18"/>
              </w:rPr>
              <w:t>Level II evidence</w:t>
            </w:r>
          </w:p>
          <w:p w:rsidR="001D0FDA" w:rsidRPr="00D53F84" w:rsidRDefault="001D0FDA" w:rsidP="00E1668E">
            <w:pPr>
              <w:pStyle w:val="Tabletext"/>
              <w:ind w:right="-28"/>
              <w:rPr>
                <w:rFonts w:eastAsia="Times New Roman"/>
                <w:snapToGrid w:val="0"/>
                <w:lang w:eastAsia="en-US"/>
              </w:rPr>
            </w:pPr>
            <w:r>
              <w:rPr>
                <w:rFonts w:cs="Tahoma"/>
                <w:szCs w:val="18"/>
              </w:rPr>
              <w:t xml:space="preserve">Follow-up: </w:t>
            </w:r>
            <w:r w:rsidRPr="00D53F84">
              <w:rPr>
                <w:rFonts w:eastAsia="Times New Roman"/>
                <w:snapToGrid w:val="0"/>
                <w:lang w:eastAsia="en-US"/>
              </w:rPr>
              <w:t>13 weeks</w:t>
            </w:r>
          </w:p>
          <w:p w:rsidR="001D0FDA" w:rsidRPr="00351FF5" w:rsidRDefault="001D0FDA" w:rsidP="00E1668E">
            <w:pPr>
              <w:pStyle w:val="Tabletext"/>
              <w:rPr>
                <w:rFonts w:cs="Tahoma"/>
                <w:szCs w:val="18"/>
              </w:rPr>
            </w:pPr>
            <w:r>
              <w:rPr>
                <w:rFonts w:eastAsia="Times New Roman"/>
                <w:snapToGrid w:val="0"/>
                <w:lang w:eastAsia="en-US"/>
              </w:rPr>
              <w:t>Risk of bias: h</w:t>
            </w:r>
            <w:r w:rsidRPr="00D53F84">
              <w:rPr>
                <w:rFonts w:eastAsia="Times New Roman"/>
                <w:snapToGrid w:val="0"/>
                <w:lang w:eastAsia="en-US"/>
              </w:rPr>
              <w:t>igh</w:t>
            </w:r>
          </w:p>
        </w:tc>
        <w:tc>
          <w:tcPr>
            <w:tcW w:w="772" w:type="pct"/>
          </w:tcPr>
          <w:p w:rsidR="001D0FDA" w:rsidRPr="00942593" w:rsidRDefault="001D0FDA" w:rsidP="00E1668E">
            <w:pPr>
              <w:pStyle w:val="Tabletext"/>
              <w:rPr>
                <w:rFonts w:cs="Tahoma"/>
                <w:i/>
                <w:szCs w:val="18"/>
              </w:rPr>
            </w:pPr>
            <w:r w:rsidRPr="00942593">
              <w:rPr>
                <w:rFonts w:cs="Tahoma"/>
                <w:i/>
                <w:szCs w:val="18"/>
              </w:rPr>
              <w:t>Inclusion criteria</w:t>
            </w:r>
          </w:p>
          <w:p w:rsidR="001D0FDA" w:rsidRPr="00942593" w:rsidRDefault="001D0FDA" w:rsidP="00E1668E">
            <w:pPr>
              <w:pStyle w:val="Tabletext"/>
              <w:numPr>
                <w:ilvl w:val="0"/>
                <w:numId w:val="54"/>
              </w:numPr>
              <w:ind w:left="239" w:hanging="144"/>
              <w:rPr>
                <w:rFonts w:cs="Tahoma"/>
                <w:szCs w:val="18"/>
              </w:rPr>
            </w:pPr>
            <w:r>
              <w:rPr>
                <w:rFonts w:cs="Tahoma"/>
                <w:szCs w:val="18"/>
              </w:rPr>
              <w:t>Age of</w:t>
            </w:r>
            <w:r w:rsidRPr="00942593">
              <w:rPr>
                <w:rFonts w:cs="Tahoma"/>
                <w:szCs w:val="18"/>
              </w:rPr>
              <w:t xml:space="preserve"> 15-80 years</w:t>
            </w:r>
          </w:p>
          <w:p w:rsidR="001D0FDA" w:rsidRPr="00942593" w:rsidRDefault="001D0FDA" w:rsidP="00E1668E">
            <w:pPr>
              <w:pStyle w:val="Tabletext"/>
              <w:numPr>
                <w:ilvl w:val="0"/>
                <w:numId w:val="54"/>
              </w:numPr>
              <w:ind w:left="239" w:hanging="144"/>
              <w:rPr>
                <w:rFonts w:cs="Tahoma"/>
                <w:szCs w:val="18"/>
              </w:rPr>
            </w:pPr>
            <w:r w:rsidRPr="00942593">
              <w:rPr>
                <w:rFonts w:cs="Tahoma"/>
                <w:szCs w:val="18"/>
              </w:rPr>
              <w:t>Patients with WHO FC III-IV IPAH or CTEPH</w:t>
            </w:r>
            <w:r>
              <w:rPr>
                <w:rFonts w:cs="Tahoma"/>
                <w:szCs w:val="18"/>
                <w:vertAlign w:val="superscript"/>
              </w:rPr>
              <w:t>e</w:t>
            </w:r>
          </w:p>
          <w:p w:rsidR="001D0FDA" w:rsidRDefault="001D0FDA" w:rsidP="00E1668E">
            <w:pPr>
              <w:pStyle w:val="Tabletext"/>
              <w:numPr>
                <w:ilvl w:val="0"/>
                <w:numId w:val="54"/>
              </w:numPr>
              <w:ind w:left="239" w:hanging="144"/>
              <w:rPr>
                <w:rFonts w:cs="Tahoma"/>
                <w:szCs w:val="18"/>
              </w:rPr>
            </w:pPr>
            <w:r w:rsidRPr="00942593">
              <w:rPr>
                <w:rFonts w:cs="Tahoma"/>
                <w:szCs w:val="18"/>
              </w:rPr>
              <w:t>Patients with no previous treatment with an approved therapy for PAH before enrolment</w:t>
            </w:r>
          </w:p>
          <w:p w:rsidR="001D0FDA" w:rsidRPr="00942593" w:rsidRDefault="001D0FDA" w:rsidP="00E1668E">
            <w:pPr>
              <w:pStyle w:val="Tabletext"/>
              <w:ind w:left="239"/>
              <w:rPr>
                <w:rFonts w:cs="Tahoma"/>
                <w:szCs w:val="18"/>
              </w:rPr>
            </w:pPr>
          </w:p>
          <w:p w:rsidR="001D0FDA" w:rsidRPr="00942593" w:rsidRDefault="001D0FDA" w:rsidP="00E1668E">
            <w:pPr>
              <w:pStyle w:val="Tabletext"/>
              <w:rPr>
                <w:rFonts w:cs="Tahoma"/>
                <w:i/>
                <w:szCs w:val="18"/>
              </w:rPr>
            </w:pPr>
            <w:r w:rsidRPr="00942593">
              <w:rPr>
                <w:rFonts w:cs="Tahoma"/>
                <w:i/>
                <w:szCs w:val="18"/>
              </w:rPr>
              <w:t>Exclusion criteria</w:t>
            </w:r>
          </w:p>
          <w:p w:rsidR="001D0FDA" w:rsidRPr="00351FF5" w:rsidRDefault="001D0FDA" w:rsidP="00E1668E">
            <w:pPr>
              <w:pStyle w:val="Tabletext"/>
              <w:numPr>
                <w:ilvl w:val="0"/>
                <w:numId w:val="54"/>
              </w:numPr>
              <w:ind w:left="239" w:hanging="144"/>
              <w:rPr>
                <w:rFonts w:cs="Tahoma"/>
                <w:i/>
                <w:szCs w:val="18"/>
              </w:rPr>
            </w:pPr>
            <w:r w:rsidRPr="00942593">
              <w:rPr>
                <w:rFonts w:cs="Tahoma"/>
                <w:szCs w:val="18"/>
              </w:rPr>
              <w:t>Patients with acute pulmonary thrombo</w:t>
            </w:r>
            <w:r>
              <w:rPr>
                <w:rFonts w:cs="Tahoma"/>
                <w:szCs w:val="18"/>
              </w:rPr>
              <w:t>-</w:t>
            </w:r>
            <w:r w:rsidRPr="00942593">
              <w:rPr>
                <w:rFonts w:cs="Tahoma"/>
                <w:szCs w:val="18"/>
              </w:rPr>
              <w:t xml:space="preserve">embolism, left-sided heart disease, </w:t>
            </w:r>
            <w:r>
              <w:rPr>
                <w:rFonts w:cs="Tahoma"/>
                <w:szCs w:val="18"/>
              </w:rPr>
              <w:t xml:space="preserve">severe </w:t>
            </w:r>
            <w:r w:rsidRPr="00942593">
              <w:rPr>
                <w:rFonts w:cs="Tahoma"/>
                <w:szCs w:val="18"/>
              </w:rPr>
              <w:t>pulmonary disease, or portal hypertension</w:t>
            </w:r>
          </w:p>
        </w:tc>
        <w:tc>
          <w:tcPr>
            <w:tcW w:w="0" w:type="auto"/>
          </w:tcPr>
          <w:p w:rsidR="001D0FDA" w:rsidRPr="00351FF5" w:rsidRDefault="001D0FDA" w:rsidP="00E1668E">
            <w:pPr>
              <w:pStyle w:val="Tabletext"/>
              <w:rPr>
                <w:rFonts w:cs="Tahoma"/>
                <w:szCs w:val="18"/>
              </w:rPr>
            </w:pPr>
            <w:r w:rsidRPr="00351FF5">
              <w:rPr>
                <w:rFonts w:cs="Tahoma"/>
                <w:szCs w:val="18"/>
              </w:rPr>
              <w:t>N=1</w:t>
            </w:r>
            <w:r>
              <w:rPr>
                <w:rFonts w:cs="Tahoma"/>
                <w:szCs w:val="18"/>
              </w:rPr>
              <w:t>4</w:t>
            </w:r>
            <w:r w:rsidRPr="008B3DFB">
              <w:rPr>
                <w:rFonts w:cs="Tahoma"/>
                <w:szCs w:val="18"/>
                <w:vertAlign w:val="superscript"/>
              </w:rPr>
              <w:t>e</w:t>
            </w:r>
            <w:r w:rsidRPr="00351FF5">
              <w:rPr>
                <w:rFonts w:cs="Tahoma"/>
                <w:szCs w:val="18"/>
              </w:rPr>
              <w:t xml:space="preserve"> </w:t>
            </w:r>
          </w:p>
          <w:tbl>
            <w:tblPr>
              <w:tblStyle w:val="TableGrid"/>
              <w:tblW w:w="42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Han 2017"/>
            </w:tblPr>
            <w:tblGrid>
              <w:gridCol w:w="2112"/>
              <w:gridCol w:w="1123"/>
              <w:gridCol w:w="1050"/>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2112" w:type="dxa"/>
                  <w:shd w:val="clear" w:color="auto" w:fill="FFFFFF" w:themeFill="background1"/>
                </w:tcPr>
                <w:p w:rsidR="001D0FDA" w:rsidRPr="00351FF5" w:rsidRDefault="001D0FDA" w:rsidP="00570FC8">
                  <w:pPr>
                    <w:pStyle w:val="Tabletext"/>
                    <w:framePr w:hSpace="181" w:wrap="around" w:hAnchor="text" w:yAlign="bottom"/>
                    <w:spacing w:before="0" w:after="0"/>
                    <w:suppressOverlap/>
                    <w:rPr>
                      <w:rFonts w:cs="Tahoma"/>
                      <w:b/>
                      <w:szCs w:val="18"/>
                    </w:rPr>
                  </w:pPr>
                </w:p>
              </w:tc>
              <w:tc>
                <w:tcPr>
                  <w:tcW w:w="1123"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Bosentan</w:t>
                  </w:r>
                  <w:r>
                    <w:rPr>
                      <w:rFonts w:cs="Tahoma"/>
                      <w:szCs w:val="18"/>
                    </w:rPr>
                    <w:t xml:space="preserve"> + iloprost</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8</w:t>
                  </w:r>
                  <w:r w:rsidRPr="00802B85">
                    <w:rPr>
                      <w:rFonts w:cs="Tahoma"/>
                      <w:szCs w:val="18"/>
                    </w:rPr>
                    <w:t>)</w:t>
                  </w:r>
                </w:p>
              </w:tc>
              <w:tc>
                <w:tcPr>
                  <w:tcW w:w="1050"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Pr>
                      <w:rFonts w:cs="Tahoma"/>
                      <w:szCs w:val="18"/>
                    </w:rPr>
                    <w:t>Iloprost</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6</w:t>
                  </w:r>
                  <w:r w:rsidRPr="00802B85">
                    <w:rPr>
                      <w:rFonts w:cs="Tahoma"/>
                      <w:szCs w:val="18"/>
                    </w:rPr>
                    <w:t>)</w:t>
                  </w:r>
                </w:p>
              </w:tc>
            </w:tr>
            <w:tr w:rsidR="001D0FDA" w:rsidRPr="00351FF5" w:rsidTr="001D0FDA">
              <w:tc>
                <w:tcPr>
                  <w:tcW w:w="2112"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123" w:type="dxa"/>
                </w:tcPr>
                <w:p w:rsidR="001D0FDA" w:rsidRPr="00351FF5" w:rsidRDefault="001D0FDA" w:rsidP="00570FC8">
                  <w:pPr>
                    <w:pStyle w:val="Tabletext"/>
                    <w:framePr w:hSpace="181" w:wrap="around" w:hAnchor="text" w:yAlign="bottom"/>
                    <w:spacing w:before="0"/>
                    <w:suppressOverlap/>
                    <w:jc w:val="center"/>
                    <w:rPr>
                      <w:rFonts w:cs="Tahoma"/>
                      <w:szCs w:val="18"/>
                    </w:rPr>
                  </w:pPr>
                  <w:r>
                    <w:rPr>
                      <w:rFonts w:cs="Tahoma"/>
                      <w:szCs w:val="18"/>
                    </w:rPr>
                    <w:t>30±7</w:t>
                  </w:r>
                </w:p>
              </w:tc>
              <w:tc>
                <w:tcPr>
                  <w:tcW w:w="1050" w:type="dxa"/>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8B3DFB">
                    <w:rPr>
                      <w:rFonts w:cs="Tahoma"/>
                      <w:szCs w:val="18"/>
                    </w:rPr>
                    <w:t>4</w:t>
                  </w:r>
                  <w:r>
                    <w:rPr>
                      <w:rFonts w:cs="Tahoma"/>
                      <w:szCs w:val="18"/>
                    </w:rPr>
                    <w:t>2</w:t>
                  </w:r>
                  <w:r w:rsidRPr="008B3DFB">
                    <w:rPr>
                      <w:rFonts w:cs="Tahoma"/>
                      <w:szCs w:val="18"/>
                    </w:rPr>
                    <w:t>±5</w:t>
                  </w:r>
                </w:p>
              </w:tc>
            </w:tr>
            <w:tr w:rsidR="001D0FDA" w:rsidRPr="00351FF5" w:rsidTr="001D0FDA">
              <w:tc>
                <w:tcPr>
                  <w:tcW w:w="2112"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123"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c>
                <w:tcPr>
                  <w:tcW w:w="1050"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12"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r>
                    <w:rPr>
                      <w:rFonts w:cs="Tahoma"/>
                      <w:szCs w:val="18"/>
                    </w:rPr>
                    <w:t>Pulmonary hypertension</w:t>
                  </w:r>
                  <w:r w:rsidRPr="00351FF5">
                    <w:rPr>
                      <w:rFonts w:cs="Tahoma"/>
                      <w:szCs w:val="18"/>
                    </w:rPr>
                    <w:t xml:space="preserve"> aetiology, n (%)</w:t>
                  </w:r>
                </w:p>
              </w:tc>
              <w:tc>
                <w:tcPr>
                  <w:tcW w:w="1123"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c>
                <w:tcPr>
                  <w:tcW w:w="1050"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12"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IPAH</w:t>
                  </w:r>
                </w:p>
              </w:tc>
              <w:tc>
                <w:tcPr>
                  <w:tcW w:w="1123" w:type="dxa"/>
                  <w:tcBorders>
                    <w:top w:val="nil"/>
                    <w:bottom w:val="nil"/>
                  </w:tcBorders>
                </w:tcPr>
                <w:p w:rsidR="001D0FDA" w:rsidRPr="00351FF5" w:rsidRDefault="001D0FDA" w:rsidP="00570FC8">
                  <w:pPr>
                    <w:pStyle w:val="Tabletext"/>
                    <w:framePr w:hSpace="181" w:wrap="around" w:hAnchor="text" w:yAlign="bottom"/>
                    <w:spacing w:before="0"/>
                    <w:suppressOverlap/>
                    <w:jc w:val="center"/>
                    <w:rPr>
                      <w:rFonts w:cs="Tahoma"/>
                      <w:szCs w:val="18"/>
                    </w:rPr>
                  </w:pPr>
                  <w:r>
                    <w:rPr>
                      <w:rFonts w:cs="Tahoma"/>
                      <w:szCs w:val="18"/>
                    </w:rPr>
                    <w:t>7 (88%)</w:t>
                  </w:r>
                </w:p>
              </w:tc>
              <w:tc>
                <w:tcPr>
                  <w:tcW w:w="1050"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8B3DFB">
                    <w:rPr>
                      <w:rFonts w:cs="Tahoma"/>
                      <w:szCs w:val="18"/>
                    </w:rPr>
                    <w:t>6 (100%)</w:t>
                  </w:r>
                </w:p>
              </w:tc>
            </w:tr>
            <w:tr w:rsidR="001D0FDA" w:rsidRPr="00351FF5" w:rsidTr="001D0FDA">
              <w:tc>
                <w:tcPr>
                  <w:tcW w:w="2112" w:type="dxa"/>
                  <w:tcBorders>
                    <w:top w:val="nil"/>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CTEPH</w:t>
                  </w:r>
                </w:p>
              </w:tc>
              <w:tc>
                <w:tcPr>
                  <w:tcW w:w="1123" w:type="dxa"/>
                  <w:tcBorders>
                    <w:top w:val="nil"/>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8B3DFB">
                    <w:rPr>
                      <w:rFonts w:cs="Tahoma"/>
                      <w:szCs w:val="18"/>
                    </w:rPr>
                    <w:t>1 (1</w:t>
                  </w:r>
                  <w:r>
                    <w:rPr>
                      <w:rFonts w:cs="Tahoma"/>
                      <w:szCs w:val="18"/>
                    </w:rPr>
                    <w:t>3</w:t>
                  </w:r>
                  <w:r w:rsidRPr="008B3DFB">
                    <w:rPr>
                      <w:rFonts w:cs="Tahoma"/>
                      <w:szCs w:val="18"/>
                    </w:rPr>
                    <w:t>%)</w:t>
                  </w:r>
                </w:p>
              </w:tc>
              <w:tc>
                <w:tcPr>
                  <w:tcW w:w="1050" w:type="dxa"/>
                  <w:tcBorders>
                    <w:top w:val="nil"/>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8B3DFB">
                    <w:rPr>
                      <w:rFonts w:cs="Tahoma"/>
                      <w:szCs w:val="18"/>
                    </w:rPr>
                    <w:t>0 (0%)</w:t>
                  </w:r>
                </w:p>
              </w:tc>
            </w:tr>
            <w:tr w:rsidR="001D0FDA" w:rsidRPr="00351FF5" w:rsidTr="001D0FDA">
              <w:tc>
                <w:tcPr>
                  <w:tcW w:w="2112"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123"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c>
                <w:tcPr>
                  <w:tcW w:w="1050"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12"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II</w:t>
                  </w:r>
                  <w:r>
                    <w:rPr>
                      <w:rFonts w:cs="Tahoma"/>
                      <w:szCs w:val="18"/>
                    </w:rPr>
                    <w:t>I</w:t>
                  </w:r>
                </w:p>
              </w:tc>
              <w:tc>
                <w:tcPr>
                  <w:tcW w:w="1123" w:type="dxa"/>
                  <w:tcBorders>
                    <w:top w:val="nil"/>
                    <w:bottom w:val="nil"/>
                  </w:tcBorders>
                </w:tcPr>
                <w:p w:rsidR="001D0FDA" w:rsidRPr="00351FF5" w:rsidRDefault="001D0FDA" w:rsidP="00570FC8">
                  <w:pPr>
                    <w:pStyle w:val="Tabletext"/>
                    <w:framePr w:hSpace="181" w:wrap="around" w:hAnchor="text" w:yAlign="bottom"/>
                    <w:spacing w:before="0"/>
                    <w:suppressOverlap/>
                    <w:jc w:val="center"/>
                    <w:rPr>
                      <w:rFonts w:cs="Tahoma"/>
                      <w:szCs w:val="18"/>
                    </w:rPr>
                  </w:pPr>
                  <w:r>
                    <w:rPr>
                      <w:rFonts w:cs="Tahoma"/>
                      <w:szCs w:val="18"/>
                    </w:rPr>
                    <w:t>5 (63%)</w:t>
                  </w:r>
                </w:p>
              </w:tc>
              <w:tc>
                <w:tcPr>
                  <w:tcW w:w="1050"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8B3DFB">
                    <w:rPr>
                      <w:rFonts w:cs="Tahoma"/>
                      <w:szCs w:val="18"/>
                    </w:rPr>
                    <w:t>5 (83%)</w:t>
                  </w:r>
                </w:p>
              </w:tc>
            </w:tr>
            <w:tr w:rsidR="001D0FDA" w:rsidRPr="00351FF5" w:rsidTr="001D0FDA">
              <w:tc>
                <w:tcPr>
                  <w:tcW w:w="2112" w:type="dxa"/>
                  <w:tcBorders>
                    <w:top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IV</w:t>
                  </w:r>
                </w:p>
              </w:tc>
              <w:tc>
                <w:tcPr>
                  <w:tcW w:w="1123" w:type="dxa"/>
                  <w:tcBorders>
                    <w:top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8B3DFB">
                    <w:rPr>
                      <w:rFonts w:cs="Tahoma"/>
                      <w:szCs w:val="18"/>
                    </w:rPr>
                    <w:t>3 (3</w:t>
                  </w:r>
                  <w:r>
                    <w:rPr>
                      <w:rFonts w:cs="Tahoma"/>
                      <w:szCs w:val="18"/>
                    </w:rPr>
                    <w:t>8</w:t>
                  </w:r>
                  <w:r w:rsidRPr="008B3DFB">
                    <w:rPr>
                      <w:rFonts w:cs="Tahoma"/>
                      <w:szCs w:val="18"/>
                    </w:rPr>
                    <w:t>%)</w:t>
                  </w:r>
                </w:p>
              </w:tc>
              <w:tc>
                <w:tcPr>
                  <w:tcW w:w="1050" w:type="dxa"/>
                  <w:tcBorders>
                    <w:top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 (1</w:t>
                  </w:r>
                  <w:r w:rsidRPr="008B3DFB">
                    <w:rPr>
                      <w:rFonts w:cs="Tahoma"/>
                      <w:szCs w:val="18"/>
                    </w:rPr>
                    <w:t>7%)</w:t>
                  </w:r>
                </w:p>
              </w:tc>
            </w:tr>
            <w:tr w:rsidR="001D0FDA" w:rsidRPr="00351FF5" w:rsidTr="001D0FDA">
              <w:tc>
                <w:tcPr>
                  <w:tcW w:w="2112"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mPAP, mean±SD (mmHg)</w:t>
                  </w:r>
                </w:p>
              </w:tc>
              <w:tc>
                <w:tcPr>
                  <w:tcW w:w="1123" w:type="dxa"/>
                  <w:vAlign w:val="center"/>
                </w:tcPr>
                <w:p w:rsidR="001D0FDA" w:rsidRPr="00351FF5" w:rsidRDefault="001D0FDA" w:rsidP="00570FC8">
                  <w:pPr>
                    <w:pStyle w:val="Tabletext"/>
                    <w:framePr w:hSpace="181" w:wrap="around" w:hAnchor="text" w:yAlign="bottom"/>
                    <w:spacing w:before="0"/>
                    <w:suppressOverlap/>
                    <w:jc w:val="center"/>
                    <w:rPr>
                      <w:rFonts w:cs="Tahoma"/>
                      <w:szCs w:val="18"/>
                    </w:rPr>
                  </w:pPr>
                  <w:r>
                    <w:rPr>
                      <w:rFonts w:cs="Tahoma"/>
                      <w:szCs w:val="18"/>
                    </w:rPr>
                    <w:t>65.5±5.5</w:t>
                  </w:r>
                </w:p>
              </w:tc>
              <w:tc>
                <w:tcPr>
                  <w:tcW w:w="1050"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BE12BA">
                    <w:rPr>
                      <w:rFonts w:cs="Tahoma"/>
                      <w:szCs w:val="18"/>
                    </w:rPr>
                    <w:t>55.7±1.7</w:t>
                  </w:r>
                </w:p>
              </w:tc>
            </w:tr>
            <w:tr w:rsidR="001D0FDA" w:rsidRPr="00351FF5" w:rsidTr="001D0FDA">
              <w:tc>
                <w:tcPr>
                  <w:tcW w:w="2112"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PVR, mean±SD (</w:t>
                  </w:r>
                  <w:r>
                    <w:rPr>
                      <w:rFonts w:cs="Tahoma"/>
                      <w:szCs w:val="18"/>
                    </w:rPr>
                    <w:t>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123" w:type="dxa"/>
                  <w:vAlign w:val="center"/>
                </w:tcPr>
                <w:p w:rsidR="001D0FDA" w:rsidRPr="00351FF5" w:rsidRDefault="001D0FDA" w:rsidP="00570FC8">
                  <w:pPr>
                    <w:pStyle w:val="Tabletext"/>
                    <w:framePr w:hSpace="181" w:wrap="around" w:hAnchor="text" w:yAlign="bottom"/>
                    <w:spacing w:before="0"/>
                    <w:suppressOverlap/>
                    <w:jc w:val="center"/>
                    <w:rPr>
                      <w:rFonts w:cs="Tahoma"/>
                      <w:szCs w:val="18"/>
                    </w:rPr>
                  </w:pPr>
                  <w:r>
                    <w:rPr>
                      <w:rFonts w:cs="Tahoma"/>
                      <w:szCs w:val="18"/>
                    </w:rPr>
                    <w:t>1038±176</w:t>
                  </w:r>
                </w:p>
              </w:tc>
              <w:tc>
                <w:tcPr>
                  <w:tcW w:w="1050"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1157±165</w:t>
                  </w:r>
                </w:p>
              </w:tc>
            </w:tr>
          </w:tbl>
          <w:p w:rsidR="001D0FDA" w:rsidRPr="00351FF5" w:rsidRDefault="001D0FDA" w:rsidP="00E1668E">
            <w:pPr>
              <w:pStyle w:val="Tabletext"/>
              <w:rPr>
                <w:rFonts w:cs="Tahoma"/>
                <w:szCs w:val="18"/>
              </w:rPr>
            </w:pPr>
          </w:p>
        </w:tc>
        <w:tc>
          <w:tcPr>
            <w:tcW w:w="811" w:type="pct"/>
          </w:tcPr>
          <w:p w:rsidR="001D0FDA" w:rsidRPr="00C5431E" w:rsidRDefault="001D0FDA" w:rsidP="00E1668E">
            <w:pPr>
              <w:pStyle w:val="Tabletext"/>
              <w:rPr>
                <w:i/>
              </w:rPr>
            </w:pPr>
            <w:r w:rsidRPr="00C5431E">
              <w:rPr>
                <w:i/>
              </w:rPr>
              <w:t>Intervention</w:t>
            </w:r>
          </w:p>
          <w:p w:rsidR="001D0FDA" w:rsidRPr="00223948" w:rsidRDefault="001D0FDA" w:rsidP="00E1668E">
            <w:pPr>
              <w:pStyle w:val="Tabletext"/>
              <w:rPr>
                <w:rFonts w:cs="Tahoma"/>
                <w:szCs w:val="18"/>
              </w:rPr>
            </w:pPr>
            <w:r w:rsidRPr="00223948">
              <w:rPr>
                <w:rFonts w:cs="Tahoma"/>
                <w:szCs w:val="18"/>
              </w:rPr>
              <w:t>Bosentan + iloprost</w:t>
            </w:r>
          </w:p>
          <w:p w:rsidR="001D0FDA" w:rsidRPr="00223948" w:rsidRDefault="001D0FDA" w:rsidP="00E1668E">
            <w:pPr>
              <w:pStyle w:val="Tabletext"/>
              <w:rPr>
                <w:rFonts w:cs="Tahoma"/>
                <w:szCs w:val="18"/>
              </w:rPr>
            </w:pPr>
            <w:r w:rsidRPr="00223948">
              <w:rPr>
                <w:rFonts w:cs="Tahoma"/>
                <w:szCs w:val="18"/>
              </w:rPr>
              <w:t>Bosentan: initial dose of 62.5</w:t>
            </w:r>
            <w:r w:rsidR="00DB2A13">
              <w:rPr>
                <w:rFonts w:cs="Tahoma"/>
                <w:szCs w:val="18"/>
              </w:rPr>
              <w:t> </w:t>
            </w:r>
            <w:r w:rsidRPr="00223948">
              <w:rPr>
                <w:rFonts w:cs="Tahoma"/>
                <w:szCs w:val="18"/>
              </w:rPr>
              <w:t>mg bid for 1 month, then 125</w:t>
            </w:r>
            <w:r w:rsidR="00DB2A13">
              <w:rPr>
                <w:rFonts w:cs="Tahoma"/>
                <w:szCs w:val="18"/>
              </w:rPr>
              <w:t> </w:t>
            </w:r>
            <w:r w:rsidRPr="00223948">
              <w:rPr>
                <w:rFonts w:cs="Tahoma"/>
                <w:szCs w:val="18"/>
              </w:rPr>
              <w:t>mg bid</w:t>
            </w:r>
          </w:p>
          <w:p w:rsidR="001D0FDA" w:rsidRDefault="001D0FDA" w:rsidP="00E1668E">
            <w:pPr>
              <w:pStyle w:val="Tabletext"/>
              <w:rPr>
                <w:rFonts w:cs="Tahoma"/>
                <w:szCs w:val="18"/>
              </w:rPr>
            </w:pPr>
            <w:r w:rsidRPr="00223948">
              <w:rPr>
                <w:rFonts w:cs="Tahoma"/>
                <w:szCs w:val="18"/>
              </w:rPr>
              <w:t>Iloprost: increasing dose to a target of 10</w:t>
            </w:r>
            <w:r w:rsidR="00DB2A13">
              <w:rPr>
                <w:rFonts w:cs="Tahoma"/>
                <w:szCs w:val="18"/>
              </w:rPr>
              <w:t> </w:t>
            </w:r>
            <w:r w:rsidRPr="00223948">
              <w:rPr>
                <w:rFonts w:cs="Tahoma"/>
                <w:szCs w:val="18"/>
              </w:rPr>
              <w:t>µg 4-6 times/day</w:t>
            </w:r>
          </w:p>
          <w:p w:rsidR="001D0FDA" w:rsidRPr="00223948" w:rsidRDefault="001D0FDA" w:rsidP="00E1668E">
            <w:pPr>
              <w:pStyle w:val="Tabletext"/>
              <w:rPr>
                <w:rFonts w:cs="Tahoma"/>
                <w:i/>
                <w:szCs w:val="18"/>
              </w:rPr>
            </w:pPr>
          </w:p>
          <w:p w:rsidR="001D0FDA" w:rsidRPr="00C5431E" w:rsidRDefault="001D0FDA" w:rsidP="00E1668E">
            <w:pPr>
              <w:pStyle w:val="Tabletext"/>
              <w:rPr>
                <w:i/>
              </w:rPr>
            </w:pPr>
            <w:r w:rsidRPr="00C5431E">
              <w:rPr>
                <w:i/>
              </w:rPr>
              <w:t>Comparator</w:t>
            </w:r>
          </w:p>
          <w:p w:rsidR="001D0FDA" w:rsidRPr="00223948" w:rsidRDefault="001D0FDA" w:rsidP="00E1668E">
            <w:pPr>
              <w:pStyle w:val="Tabletext"/>
              <w:rPr>
                <w:rFonts w:cs="Tahoma"/>
                <w:szCs w:val="18"/>
              </w:rPr>
            </w:pPr>
            <w:r w:rsidRPr="00223948">
              <w:rPr>
                <w:rFonts w:cs="Tahoma"/>
                <w:szCs w:val="18"/>
              </w:rPr>
              <w:t>Iloprost: increasing dose to a target of 10</w:t>
            </w:r>
            <w:r w:rsidR="00DB2A13">
              <w:rPr>
                <w:rFonts w:cs="Tahoma"/>
                <w:szCs w:val="18"/>
              </w:rPr>
              <w:t> </w:t>
            </w:r>
            <w:r w:rsidRPr="00223948">
              <w:rPr>
                <w:rFonts w:cs="Tahoma"/>
                <w:szCs w:val="18"/>
              </w:rPr>
              <w:t>µg 4-6 times/day</w:t>
            </w:r>
          </w:p>
        </w:tc>
        <w:tc>
          <w:tcPr>
            <w:tcW w:w="771" w:type="pct"/>
          </w:tcPr>
          <w:p w:rsidR="001D0FDA" w:rsidRPr="00223948" w:rsidRDefault="001D0FDA" w:rsidP="00E1668E">
            <w:pPr>
              <w:pStyle w:val="Tabletext"/>
              <w:rPr>
                <w:rFonts w:cs="Tahoma"/>
                <w:i/>
                <w:szCs w:val="18"/>
              </w:rPr>
            </w:pPr>
            <w:r>
              <w:rPr>
                <w:rFonts w:cs="Tahoma"/>
                <w:i/>
                <w:szCs w:val="18"/>
              </w:rPr>
              <w:t>Effectiveness</w:t>
            </w:r>
          </w:p>
          <w:p w:rsidR="001D0FDA" w:rsidRPr="00223948" w:rsidRDefault="001D0FDA" w:rsidP="00E1668E">
            <w:pPr>
              <w:pStyle w:val="Tabletext"/>
              <w:rPr>
                <w:rFonts w:cs="Tahoma"/>
                <w:szCs w:val="18"/>
              </w:rPr>
            </w:pPr>
            <w:r w:rsidRPr="00223948">
              <w:rPr>
                <w:rFonts w:cs="Tahoma"/>
                <w:szCs w:val="18"/>
              </w:rPr>
              <w:t>Primary</w:t>
            </w:r>
            <w:r>
              <w:rPr>
                <w:rFonts w:cs="Tahoma"/>
                <w:szCs w:val="18"/>
              </w:rPr>
              <w:t>:</w:t>
            </w:r>
            <w:r w:rsidRPr="00223948">
              <w:rPr>
                <w:rFonts w:cs="Tahoma"/>
                <w:szCs w:val="18"/>
              </w:rPr>
              <w:t xml:space="preserve"> </w:t>
            </w:r>
          </w:p>
          <w:p w:rsidR="001D0FDA" w:rsidRPr="00223948" w:rsidRDefault="001D0FDA" w:rsidP="00E1668E">
            <w:pPr>
              <w:pStyle w:val="Tabletext"/>
              <w:numPr>
                <w:ilvl w:val="0"/>
                <w:numId w:val="54"/>
              </w:numPr>
              <w:ind w:left="239" w:hanging="144"/>
              <w:rPr>
                <w:rFonts w:cs="Tahoma"/>
                <w:szCs w:val="18"/>
              </w:rPr>
            </w:pPr>
            <w:r w:rsidRPr="00223948">
              <w:rPr>
                <w:rFonts w:cs="Tahoma"/>
                <w:szCs w:val="18"/>
              </w:rPr>
              <w:t>Change in 6MWD at Week 6 and Month 3</w:t>
            </w:r>
            <w:r w:rsidRPr="003473CF">
              <w:rPr>
                <w:rFonts w:cs="Tahoma"/>
                <w:szCs w:val="18"/>
                <w:vertAlign w:val="superscript"/>
              </w:rPr>
              <w:t>c</w:t>
            </w:r>
          </w:p>
          <w:p w:rsidR="001D0FDA" w:rsidRPr="00223948" w:rsidRDefault="001D0FDA" w:rsidP="00E1668E">
            <w:pPr>
              <w:pStyle w:val="Tabletext"/>
              <w:rPr>
                <w:rFonts w:cs="Tahoma"/>
                <w:szCs w:val="18"/>
              </w:rPr>
            </w:pPr>
            <w:r w:rsidRPr="00223948">
              <w:rPr>
                <w:rFonts w:cs="Tahoma"/>
                <w:szCs w:val="18"/>
              </w:rPr>
              <w:t>Secondary</w:t>
            </w:r>
            <w:r>
              <w:rPr>
                <w:rFonts w:cs="Tahoma"/>
                <w:szCs w:val="18"/>
              </w:rPr>
              <w:t>:</w:t>
            </w:r>
          </w:p>
          <w:p w:rsidR="001D0FDA" w:rsidRPr="00223948" w:rsidRDefault="001D0FDA" w:rsidP="00E1668E">
            <w:pPr>
              <w:pStyle w:val="Tabletext"/>
              <w:numPr>
                <w:ilvl w:val="0"/>
                <w:numId w:val="54"/>
              </w:numPr>
              <w:ind w:left="239" w:hanging="144"/>
              <w:rPr>
                <w:rFonts w:cs="Tahoma"/>
                <w:szCs w:val="18"/>
              </w:rPr>
            </w:pPr>
            <w:r w:rsidRPr="00223948">
              <w:rPr>
                <w:rFonts w:cs="Tahoma"/>
                <w:szCs w:val="18"/>
              </w:rPr>
              <w:t>Change in WHO FC at Week 6 and Month 3</w:t>
            </w:r>
          </w:p>
          <w:p w:rsidR="001D0FDA" w:rsidRPr="00223948" w:rsidRDefault="001D0FDA" w:rsidP="00E1668E">
            <w:pPr>
              <w:pStyle w:val="Tabletext"/>
              <w:numPr>
                <w:ilvl w:val="0"/>
                <w:numId w:val="54"/>
              </w:numPr>
              <w:ind w:left="239" w:hanging="144"/>
              <w:rPr>
                <w:rFonts w:cs="Tahoma"/>
                <w:szCs w:val="18"/>
              </w:rPr>
            </w:pPr>
            <w:r w:rsidRPr="00223948">
              <w:rPr>
                <w:rFonts w:cs="Tahoma"/>
                <w:szCs w:val="18"/>
              </w:rPr>
              <w:t xml:space="preserve">Change in </w:t>
            </w:r>
            <w:r>
              <w:rPr>
                <w:rFonts w:cs="Tahoma"/>
                <w:szCs w:val="18"/>
              </w:rPr>
              <w:t>ML</w:t>
            </w:r>
            <w:r w:rsidR="001C295E">
              <w:rPr>
                <w:rFonts w:cs="Tahoma"/>
                <w:szCs w:val="18"/>
              </w:rPr>
              <w:t>HF questionnaire score</w:t>
            </w:r>
            <w:r>
              <w:rPr>
                <w:rFonts w:cs="Tahoma"/>
                <w:szCs w:val="18"/>
              </w:rPr>
              <w:t xml:space="preserve"> </w:t>
            </w:r>
            <w:r w:rsidRPr="00223948">
              <w:rPr>
                <w:rFonts w:cs="Tahoma"/>
                <w:szCs w:val="18"/>
              </w:rPr>
              <w:t>at Week 6 and Month 3</w:t>
            </w:r>
            <w:r w:rsidRPr="003473CF">
              <w:rPr>
                <w:rFonts w:cs="Tahoma"/>
                <w:szCs w:val="18"/>
                <w:vertAlign w:val="superscript"/>
              </w:rPr>
              <w:t>c</w:t>
            </w:r>
          </w:p>
          <w:p w:rsidR="001D0FDA" w:rsidRDefault="001D0FDA" w:rsidP="00E1668E">
            <w:pPr>
              <w:pStyle w:val="Tabletext"/>
              <w:numPr>
                <w:ilvl w:val="0"/>
                <w:numId w:val="54"/>
              </w:numPr>
              <w:ind w:left="239" w:hanging="144"/>
              <w:rPr>
                <w:rFonts w:cs="Tahoma"/>
                <w:szCs w:val="18"/>
              </w:rPr>
            </w:pPr>
            <w:r w:rsidRPr="00223948">
              <w:rPr>
                <w:rFonts w:cs="Tahoma"/>
                <w:szCs w:val="18"/>
              </w:rPr>
              <w:t xml:space="preserve">Change in </w:t>
            </w:r>
            <w:r>
              <w:rPr>
                <w:rFonts w:cs="Tahoma"/>
                <w:szCs w:val="18"/>
              </w:rPr>
              <w:t>CI, mPAP and PVR</w:t>
            </w:r>
            <w:r w:rsidRPr="00223948">
              <w:rPr>
                <w:rFonts w:cs="Tahoma"/>
                <w:szCs w:val="18"/>
              </w:rPr>
              <w:t xml:space="preserve"> at Month 3</w:t>
            </w:r>
            <w:r w:rsidRPr="00223948">
              <w:rPr>
                <w:rFonts w:cs="Tahoma"/>
                <w:szCs w:val="18"/>
                <w:vertAlign w:val="superscript"/>
              </w:rPr>
              <w:t>c</w:t>
            </w:r>
          </w:p>
          <w:p w:rsidR="001D0FDA" w:rsidRDefault="001D0FDA" w:rsidP="00E1668E">
            <w:pPr>
              <w:pStyle w:val="Tabletext"/>
              <w:rPr>
                <w:rFonts w:cs="Tahoma"/>
                <w:szCs w:val="18"/>
              </w:rPr>
            </w:pPr>
          </w:p>
          <w:p w:rsidR="001D0FDA" w:rsidRPr="00351FF5" w:rsidRDefault="001D0FDA" w:rsidP="00E1668E">
            <w:pPr>
              <w:pStyle w:val="Tabletext"/>
              <w:rPr>
                <w:rFonts w:cs="Tahoma"/>
                <w:szCs w:val="18"/>
              </w:rPr>
            </w:pPr>
            <w:r w:rsidRPr="00351FF5">
              <w:rPr>
                <w:rFonts w:cs="Tahoma"/>
                <w:i/>
                <w:szCs w:val="18"/>
              </w:rPr>
              <w:t>Safety</w:t>
            </w:r>
            <w:r w:rsidRPr="00351FF5">
              <w:rPr>
                <w:rFonts w:cs="Tahoma"/>
                <w:szCs w:val="18"/>
              </w:rPr>
              <w:t xml:space="preserve">: </w:t>
            </w:r>
          </w:p>
          <w:p w:rsidR="001D0FDA" w:rsidRPr="00223948" w:rsidRDefault="001D0FDA" w:rsidP="00E1668E">
            <w:pPr>
              <w:pStyle w:val="Tabletext"/>
              <w:numPr>
                <w:ilvl w:val="0"/>
                <w:numId w:val="54"/>
              </w:numPr>
              <w:ind w:left="239" w:hanging="144"/>
              <w:rPr>
                <w:rFonts w:cs="Tahoma"/>
                <w:szCs w:val="18"/>
              </w:rPr>
            </w:pPr>
            <w:r>
              <w:rPr>
                <w:rFonts w:cs="Tahoma"/>
                <w:szCs w:val="18"/>
              </w:rPr>
              <w:t>A</w:t>
            </w:r>
            <w:r w:rsidRPr="00351FF5">
              <w:rPr>
                <w:rFonts w:cs="Tahoma"/>
                <w:szCs w:val="18"/>
              </w:rPr>
              <w:t>dverse events</w:t>
            </w:r>
            <w:r w:rsidRPr="00223948">
              <w:rPr>
                <w:rFonts w:cs="Tahoma"/>
                <w:szCs w:val="18"/>
                <w:vertAlign w:val="superscript"/>
              </w:rPr>
              <w:t>c</w:t>
            </w:r>
          </w:p>
        </w:tc>
      </w:tr>
      <w:tr w:rsidR="001D0FDA" w:rsidRPr="00204000" w:rsidTr="00E1668E">
        <w:tc>
          <w:tcPr>
            <w:tcW w:w="531" w:type="pct"/>
          </w:tcPr>
          <w:p w:rsidR="001D0FDA" w:rsidRPr="00D53F84" w:rsidRDefault="001D0FDA" w:rsidP="00E1668E">
            <w:pPr>
              <w:pStyle w:val="Tabletext"/>
              <w:ind w:right="-28"/>
              <w:rPr>
                <w:rFonts w:eastAsia="Times New Roman"/>
                <w:lang w:eastAsia="en-US"/>
              </w:rPr>
            </w:pPr>
            <w:r w:rsidRPr="00D53F84">
              <w:rPr>
                <w:rFonts w:eastAsia="Times New Roman"/>
                <w:lang w:eastAsia="en-US"/>
              </w:rPr>
              <w:t>Mainguy 2013</w:t>
            </w:r>
            <w:r w:rsidR="001D34EE" w:rsidRPr="001A1C44">
              <w:rPr>
                <w:rFonts w:eastAsia="Times New Roman"/>
                <w:noProof/>
                <w:vertAlign w:val="superscript"/>
                <w:lang w:eastAsia="en-US"/>
              </w:rPr>
              <w:t>39</w:t>
            </w:r>
          </w:p>
          <w:p w:rsidR="001D0FDA" w:rsidRPr="00D53F84" w:rsidRDefault="001D0FDA" w:rsidP="00E1668E">
            <w:pPr>
              <w:pStyle w:val="Tabletext"/>
              <w:ind w:right="-28"/>
              <w:rPr>
                <w:rFonts w:eastAsia="Times New Roman"/>
                <w:lang w:eastAsia="en-US"/>
              </w:rPr>
            </w:pPr>
            <w:r w:rsidRPr="00D53F84">
              <w:rPr>
                <w:rFonts w:eastAsia="Times New Roman"/>
                <w:snapToGrid w:val="0"/>
                <w:lang w:eastAsia="en-US"/>
              </w:rPr>
              <w:t>2009-2011</w:t>
            </w:r>
          </w:p>
          <w:p w:rsidR="001D0FDA" w:rsidRPr="00D53F84" w:rsidRDefault="001D0FDA" w:rsidP="00E1668E">
            <w:pPr>
              <w:pStyle w:val="Tabletext"/>
              <w:ind w:right="-28"/>
              <w:rPr>
                <w:rFonts w:eastAsia="Times New Roman"/>
                <w:lang w:eastAsia="en-US"/>
              </w:rPr>
            </w:pPr>
            <w:r w:rsidRPr="00D53F84">
              <w:rPr>
                <w:rFonts w:eastAsia="Times New Roman"/>
                <w:snapToGrid w:val="0"/>
                <w:lang w:eastAsia="en-US"/>
              </w:rPr>
              <w:t>Canada</w:t>
            </w:r>
          </w:p>
        </w:tc>
        <w:tc>
          <w:tcPr>
            <w:tcW w:w="476" w:type="pct"/>
          </w:tcPr>
          <w:p w:rsidR="001D0FDA" w:rsidRPr="00351FF5" w:rsidRDefault="001D0FDA" w:rsidP="00E1668E">
            <w:pPr>
              <w:pStyle w:val="Tabletext"/>
              <w:rPr>
                <w:rFonts w:cs="Tahoma"/>
                <w:szCs w:val="18"/>
              </w:rPr>
            </w:pPr>
            <w:r w:rsidRPr="00D53F84">
              <w:rPr>
                <w:rFonts w:eastAsia="Times New Roman"/>
                <w:snapToGrid w:val="0"/>
                <w:lang w:eastAsia="en-US"/>
              </w:rPr>
              <w:t>RCT, DB, cross-over</w:t>
            </w:r>
            <w:r w:rsidRPr="00351FF5">
              <w:rPr>
                <w:rFonts w:cs="Tahoma"/>
                <w:szCs w:val="18"/>
              </w:rPr>
              <w:t xml:space="preserve"> </w:t>
            </w:r>
          </w:p>
          <w:p w:rsidR="001D0FDA" w:rsidRPr="00351FF5" w:rsidRDefault="001D0FDA" w:rsidP="00E1668E">
            <w:pPr>
              <w:pStyle w:val="Tabletext"/>
              <w:rPr>
                <w:rFonts w:cs="Tahoma"/>
                <w:szCs w:val="18"/>
              </w:rPr>
            </w:pPr>
            <w:r w:rsidRPr="00351FF5">
              <w:rPr>
                <w:rFonts w:cs="Tahoma"/>
                <w:szCs w:val="18"/>
              </w:rPr>
              <w:t>Level II evidence</w:t>
            </w:r>
          </w:p>
          <w:p w:rsidR="001D0FDA" w:rsidRPr="00D53F84" w:rsidRDefault="001D0FDA" w:rsidP="00E1668E">
            <w:pPr>
              <w:pStyle w:val="Tabletext"/>
              <w:ind w:right="-28"/>
              <w:rPr>
                <w:rFonts w:eastAsia="Times New Roman"/>
                <w:snapToGrid w:val="0"/>
                <w:lang w:eastAsia="en-US"/>
              </w:rPr>
            </w:pPr>
            <w:r>
              <w:rPr>
                <w:rFonts w:cs="Tahoma"/>
                <w:szCs w:val="18"/>
              </w:rPr>
              <w:t xml:space="preserve">Follow-up: </w:t>
            </w:r>
            <w:r w:rsidRPr="00D53F84">
              <w:rPr>
                <w:rFonts w:eastAsia="Times New Roman"/>
                <w:snapToGrid w:val="0"/>
                <w:lang w:eastAsia="en-US"/>
              </w:rPr>
              <w:t>4 weeks</w:t>
            </w:r>
          </w:p>
          <w:p w:rsidR="001D0FDA" w:rsidRPr="00D53F84" w:rsidRDefault="001D0FDA" w:rsidP="00E1668E">
            <w:pPr>
              <w:pStyle w:val="Tabletext"/>
              <w:rPr>
                <w:rFonts w:eastAsia="Times New Roman"/>
                <w:snapToGrid w:val="0"/>
                <w:lang w:eastAsia="en-US"/>
              </w:rPr>
            </w:pPr>
            <w:r>
              <w:rPr>
                <w:rFonts w:eastAsia="Times New Roman"/>
                <w:snapToGrid w:val="0"/>
                <w:lang w:eastAsia="en-US"/>
              </w:rPr>
              <w:t>Risk of bias: l</w:t>
            </w:r>
            <w:r w:rsidRPr="00D53F84">
              <w:rPr>
                <w:rFonts w:eastAsia="Times New Roman"/>
                <w:snapToGrid w:val="0"/>
                <w:lang w:eastAsia="en-US"/>
              </w:rPr>
              <w:t>ow-to-moderate</w:t>
            </w:r>
          </w:p>
        </w:tc>
        <w:tc>
          <w:tcPr>
            <w:tcW w:w="772" w:type="pct"/>
          </w:tcPr>
          <w:p w:rsidR="001D0FDA" w:rsidRDefault="001D0FDA" w:rsidP="00E1668E">
            <w:pPr>
              <w:pStyle w:val="Tabletext"/>
              <w:rPr>
                <w:rFonts w:cs="Tahoma"/>
                <w:i/>
                <w:szCs w:val="18"/>
              </w:rPr>
            </w:pPr>
            <w:r w:rsidRPr="006C3C96">
              <w:rPr>
                <w:rFonts w:cs="Tahoma"/>
                <w:i/>
                <w:szCs w:val="18"/>
              </w:rPr>
              <w:t>Inclusion criteria</w:t>
            </w:r>
          </w:p>
          <w:p w:rsidR="001D0FDA" w:rsidRPr="006C3C96" w:rsidRDefault="001D0FDA" w:rsidP="00E1668E">
            <w:pPr>
              <w:pStyle w:val="Tabletext"/>
              <w:numPr>
                <w:ilvl w:val="0"/>
                <w:numId w:val="54"/>
              </w:numPr>
              <w:ind w:left="239" w:hanging="144"/>
              <w:rPr>
                <w:rFonts w:cs="Tahoma"/>
                <w:szCs w:val="18"/>
              </w:rPr>
            </w:pPr>
            <w:r w:rsidRPr="006C3C96">
              <w:rPr>
                <w:rFonts w:cs="Tahoma"/>
                <w:szCs w:val="18"/>
              </w:rPr>
              <w:t xml:space="preserve">PAH patients with stable clinical condition who were on monotherapy over the last 4 months but </w:t>
            </w:r>
            <w:r>
              <w:rPr>
                <w:rFonts w:cs="Tahoma"/>
                <w:szCs w:val="18"/>
              </w:rPr>
              <w:t>naïve</w:t>
            </w:r>
            <w:r w:rsidRPr="006C3C96">
              <w:rPr>
                <w:rFonts w:cs="Tahoma"/>
                <w:szCs w:val="18"/>
              </w:rPr>
              <w:t xml:space="preserve"> to </w:t>
            </w:r>
            <w:r>
              <w:rPr>
                <w:rFonts w:cs="Tahoma"/>
                <w:szCs w:val="18"/>
              </w:rPr>
              <w:t>PDE-5i</w:t>
            </w:r>
          </w:p>
          <w:p w:rsidR="001D0FDA" w:rsidRPr="006C3C96" w:rsidRDefault="001D0FDA" w:rsidP="00E1668E">
            <w:pPr>
              <w:pStyle w:val="Tabletext"/>
              <w:rPr>
                <w:rFonts w:cs="Tahoma"/>
                <w:i/>
                <w:szCs w:val="18"/>
              </w:rPr>
            </w:pPr>
          </w:p>
          <w:p w:rsidR="001D0FDA" w:rsidRDefault="001D0FDA" w:rsidP="00E1668E">
            <w:pPr>
              <w:pStyle w:val="Tabletext"/>
              <w:rPr>
                <w:rFonts w:cs="Tahoma"/>
                <w:i/>
                <w:szCs w:val="18"/>
              </w:rPr>
            </w:pPr>
            <w:r w:rsidRPr="006C3C96">
              <w:rPr>
                <w:rFonts w:cs="Tahoma"/>
                <w:i/>
                <w:szCs w:val="18"/>
              </w:rPr>
              <w:t>Exclusion criteria</w:t>
            </w:r>
          </w:p>
          <w:p w:rsidR="001D0FDA" w:rsidRPr="00F5467F" w:rsidRDefault="001D0FDA" w:rsidP="00E1668E">
            <w:pPr>
              <w:pStyle w:val="Tabletext"/>
              <w:numPr>
                <w:ilvl w:val="0"/>
                <w:numId w:val="54"/>
              </w:numPr>
              <w:ind w:left="239" w:hanging="144"/>
              <w:rPr>
                <w:rFonts w:cs="Tahoma"/>
                <w:i/>
                <w:szCs w:val="18"/>
              </w:rPr>
            </w:pPr>
            <w:r w:rsidRPr="006C3C96">
              <w:rPr>
                <w:rFonts w:cs="Tahoma"/>
                <w:szCs w:val="18"/>
              </w:rPr>
              <w:t xml:space="preserve">Unstable PAH </w:t>
            </w:r>
            <w:r>
              <w:rPr>
                <w:rFonts w:cs="Tahoma"/>
                <w:szCs w:val="18"/>
              </w:rPr>
              <w:t>(</w:t>
            </w:r>
            <w:r w:rsidRPr="006C3C96">
              <w:rPr>
                <w:rFonts w:cs="Tahoma"/>
                <w:szCs w:val="18"/>
              </w:rPr>
              <w:t>defined as recent syncope</w:t>
            </w:r>
            <w:r>
              <w:rPr>
                <w:rFonts w:cs="Tahoma"/>
                <w:szCs w:val="18"/>
              </w:rPr>
              <w:t>)</w:t>
            </w:r>
            <w:r w:rsidRPr="006C3C96">
              <w:rPr>
                <w:rFonts w:cs="Tahoma"/>
                <w:szCs w:val="18"/>
              </w:rPr>
              <w:t xml:space="preserve"> or WHO FC IV</w:t>
            </w:r>
          </w:p>
          <w:p w:rsidR="001D0FDA" w:rsidRPr="00F5467F" w:rsidRDefault="001D0FDA" w:rsidP="00E1668E">
            <w:pPr>
              <w:pStyle w:val="Tabletext"/>
              <w:numPr>
                <w:ilvl w:val="0"/>
                <w:numId w:val="54"/>
              </w:numPr>
              <w:ind w:left="239" w:hanging="144"/>
              <w:rPr>
                <w:rFonts w:cs="Tahoma"/>
                <w:i/>
                <w:szCs w:val="18"/>
              </w:rPr>
            </w:pPr>
            <w:r>
              <w:rPr>
                <w:rFonts w:cs="Tahoma"/>
                <w:szCs w:val="18"/>
              </w:rPr>
              <w:t xml:space="preserve">LVEF </w:t>
            </w:r>
            <w:r w:rsidRPr="006C3C96">
              <w:rPr>
                <w:rFonts w:cs="Tahoma"/>
                <w:szCs w:val="18"/>
              </w:rPr>
              <w:t>&lt;40%</w:t>
            </w:r>
          </w:p>
          <w:p w:rsidR="001D0FDA" w:rsidRPr="00F5467F" w:rsidRDefault="001D0FDA" w:rsidP="00E1668E">
            <w:pPr>
              <w:pStyle w:val="Tabletext"/>
              <w:numPr>
                <w:ilvl w:val="0"/>
                <w:numId w:val="54"/>
              </w:numPr>
              <w:ind w:left="239" w:hanging="144"/>
              <w:rPr>
                <w:rFonts w:cs="Tahoma"/>
                <w:i/>
                <w:szCs w:val="18"/>
              </w:rPr>
            </w:pPr>
            <w:r>
              <w:rPr>
                <w:rFonts w:cs="Tahoma"/>
                <w:szCs w:val="18"/>
              </w:rPr>
              <w:t>S</w:t>
            </w:r>
            <w:r w:rsidRPr="006C3C96">
              <w:rPr>
                <w:rFonts w:cs="Tahoma"/>
                <w:szCs w:val="18"/>
              </w:rPr>
              <w:t>ignificant restrictive or obstructive</w:t>
            </w:r>
            <w:r w:rsidR="002449DC">
              <w:rPr>
                <w:rFonts w:cs="Tahoma"/>
                <w:szCs w:val="18"/>
              </w:rPr>
              <w:t xml:space="preserve"> </w:t>
            </w:r>
            <w:r w:rsidRPr="006C3C96">
              <w:rPr>
                <w:rFonts w:cs="Tahoma"/>
                <w:szCs w:val="18"/>
              </w:rPr>
              <w:t>lung disease</w:t>
            </w:r>
          </w:p>
          <w:p w:rsidR="001D0FDA" w:rsidRPr="00942593" w:rsidRDefault="001D0FDA" w:rsidP="00E1668E">
            <w:pPr>
              <w:pStyle w:val="Tabletext"/>
              <w:numPr>
                <w:ilvl w:val="0"/>
                <w:numId w:val="54"/>
              </w:numPr>
              <w:ind w:left="239" w:hanging="144"/>
              <w:rPr>
                <w:rFonts w:cs="Tahoma"/>
                <w:i/>
                <w:szCs w:val="18"/>
              </w:rPr>
            </w:pPr>
            <w:r>
              <w:rPr>
                <w:rFonts w:cs="Tahoma"/>
                <w:szCs w:val="18"/>
              </w:rPr>
              <w:t>SBP &lt;100/60</w:t>
            </w:r>
            <w:r w:rsidR="00DB2A13">
              <w:rPr>
                <w:rFonts w:cs="Tahoma"/>
                <w:szCs w:val="18"/>
              </w:rPr>
              <w:t> </w:t>
            </w:r>
            <w:r w:rsidRPr="006C3C96">
              <w:rPr>
                <w:rFonts w:cs="Tahoma"/>
                <w:szCs w:val="18"/>
              </w:rPr>
              <w:t>mmHg</w:t>
            </w:r>
          </w:p>
        </w:tc>
        <w:tc>
          <w:tcPr>
            <w:tcW w:w="0" w:type="auto"/>
          </w:tcPr>
          <w:p w:rsidR="001D0FDA" w:rsidRDefault="001D0FDA" w:rsidP="00E1668E">
            <w:pPr>
              <w:pStyle w:val="Tabletext"/>
              <w:rPr>
                <w:rFonts w:cs="Tahoma"/>
                <w:szCs w:val="18"/>
              </w:rPr>
            </w:pPr>
            <w:r>
              <w:rPr>
                <w:rFonts w:cs="Tahoma"/>
                <w:szCs w:val="18"/>
              </w:rPr>
              <w:t xml:space="preserve">N=20 </w:t>
            </w:r>
          </w:p>
          <w:p w:rsidR="001D0FDA" w:rsidRDefault="001D0FDA" w:rsidP="00E1668E">
            <w:pPr>
              <w:pStyle w:val="Tabletext"/>
              <w:rPr>
                <w:rFonts w:cs="Tahoma"/>
                <w:szCs w:val="18"/>
              </w:rPr>
            </w:pPr>
            <w:r>
              <w:rPr>
                <w:rFonts w:cs="Tahoma"/>
                <w:szCs w:val="18"/>
              </w:rPr>
              <w:t>Age</w:t>
            </w:r>
            <w:r w:rsidRPr="00351FF5">
              <w:rPr>
                <w:rFonts w:cs="Tahoma"/>
                <w:szCs w:val="18"/>
              </w:rPr>
              <w:t>, mean±SD (yrs)</w:t>
            </w:r>
            <w:r>
              <w:rPr>
                <w:rFonts w:cs="Tahoma"/>
                <w:szCs w:val="18"/>
              </w:rPr>
              <w:t>: 29±12</w:t>
            </w:r>
          </w:p>
          <w:p w:rsidR="001D0FDA" w:rsidRDefault="001D0FDA" w:rsidP="00E1668E">
            <w:pPr>
              <w:pStyle w:val="Tabletext"/>
              <w:rPr>
                <w:rFonts w:cs="Tahoma"/>
                <w:szCs w:val="18"/>
              </w:rPr>
            </w:pPr>
            <w:r w:rsidRPr="00351FF5">
              <w:rPr>
                <w:rFonts w:cs="Tahoma"/>
                <w:szCs w:val="18"/>
              </w:rPr>
              <w:t>Gender, femal</w:t>
            </w:r>
            <w:r>
              <w:rPr>
                <w:rFonts w:cs="Tahoma"/>
                <w:szCs w:val="18"/>
              </w:rPr>
              <w:t>e</w:t>
            </w:r>
            <w:r w:rsidRPr="00351FF5">
              <w:rPr>
                <w:rFonts w:cs="Tahoma"/>
                <w:szCs w:val="18"/>
              </w:rPr>
              <w:t>, n (%)</w:t>
            </w:r>
            <w:r>
              <w:rPr>
                <w:rFonts w:cs="Tahoma"/>
                <w:szCs w:val="18"/>
              </w:rPr>
              <w:t>: 15 (54%)</w:t>
            </w:r>
          </w:p>
          <w:p w:rsidR="001D0FDA" w:rsidRPr="00846938" w:rsidRDefault="001D0FDA" w:rsidP="00E1668E">
            <w:pPr>
              <w:pStyle w:val="Tabletext"/>
              <w:rPr>
                <w:rFonts w:cs="Tahoma"/>
                <w:szCs w:val="18"/>
              </w:rPr>
            </w:pPr>
            <w:r w:rsidRPr="00846938">
              <w:rPr>
                <w:rFonts w:cs="Tahoma"/>
                <w:szCs w:val="18"/>
              </w:rPr>
              <w:t>P</w:t>
            </w:r>
            <w:r>
              <w:rPr>
                <w:rFonts w:cs="Tahoma"/>
                <w:szCs w:val="18"/>
              </w:rPr>
              <w:t>A</w:t>
            </w:r>
            <w:r w:rsidRPr="00846938">
              <w:rPr>
                <w:rFonts w:cs="Tahoma"/>
                <w:szCs w:val="18"/>
              </w:rPr>
              <w:t>H aetiology, n (%)</w:t>
            </w:r>
          </w:p>
          <w:p w:rsidR="001D0FDA" w:rsidRDefault="001D0FDA" w:rsidP="00E1668E">
            <w:pPr>
              <w:pStyle w:val="Tabletext"/>
              <w:ind w:left="263"/>
              <w:rPr>
                <w:rFonts w:cs="Tahoma"/>
                <w:szCs w:val="18"/>
              </w:rPr>
            </w:pPr>
            <w:r w:rsidRPr="00846938">
              <w:rPr>
                <w:rFonts w:cs="Tahoma"/>
                <w:szCs w:val="18"/>
              </w:rPr>
              <w:t>IPAH</w:t>
            </w:r>
            <w:r>
              <w:rPr>
                <w:rFonts w:cs="Tahoma"/>
                <w:szCs w:val="18"/>
              </w:rPr>
              <w:t>: 9 (45%)</w:t>
            </w:r>
          </w:p>
          <w:p w:rsidR="001D0FDA" w:rsidRDefault="001D0FDA" w:rsidP="00E1668E">
            <w:pPr>
              <w:pStyle w:val="Tabletext"/>
              <w:ind w:left="263"/>
              <w:rPr>
                <w:rFonts w:cs="Tahoma"/>
                <w:szCs w:val="18"/>
              </w:rPr>
            </w:pPr>
            <w:r>
              <w:rPr>
                <w:rFonts w:cs="Tahoma"/>
                <w:szCs w:val="18"/>
              </w:rPr>
              <w:t>PAH-CTD: 8 (40%)</w:t>
            </w:r>
          </w:p>
          <w:p w:rsidR="001D0FDA" w:rsidRPr="00846938" w:rsidRDefault="001D0FDA" w:rsidP="00E1668E">
            <w:pPr>
              <w:pStyle w:val="Tabletext"/>
              <w:ind w:left="263"/>
              <w:rPr>
                <w:rFonts w:cs="Tahoma"/>
                <w:szCs w:val="18"/>
              </w:rPr>
            </w:pPr>
            <w:r>
              <w:rPr>
                <w:rFonts w:cs="Tahoma"/>
                <w:szCs w:val="18"/>
              </w:rPr>
              <w:t>PAH-CHD: 2 (10%)</w:t>
            </w:r>
          </w:p>
          <w:p w:rsidR="001D0FDA" w:rsidRDefault="001D0FDA" w:rsidP="00E1668E">
            <w:pPr>
              <w:pStyle w:val="Tabletext"/>
              <w:ind w:left="263"/>
              <w:rPr>
                <w:rFonts w:cs="Tahoma"/>
                <w:szCs w:val="18"/>
              </w:rPr>
            </w:pPr>
            <w:r>
              <w:rPr>
                <w:rFonts w:cs="Tahoma"/>
                <w:szCs w:val="18"/>
              </w:rPr>
              <w:t>HPAH: 1 (5%)</w:t>
            </w:r>
          </w:p>
          <w:p w:rsidR="001D0FDA" w:rsidRPr="00846938" w:rsidRDefault="001D0FDA" w:rsidP="00E1668E">
            <w:pPr>
              <w:pStyle w:val="Tabletext"/>
              <w:rPr>
                <w:rFonts w:cs="Tahoma"/>
                <w:szCs w:val="18"/>
              </w:rPr>
            </w:pPr>
            <w:proofErr w:type="gramStart"/>
            <w:r w:rsidRPr="00846938">
              <w:rPr>
                <w:rFonts w:cs="Tahoma"/>
                <w:szCs w:val="18"/>
              </w:rPr>
              <w:t>WHO</w:t>
            </w:r>
            <w:proofErr w:type="gramEnd"/>
            <w:r w:rsidRPr="00846938">
              <w:rPr>
                <w:rFonts w:cs="Tahoma"/>
                <w:szCs w:val="18"/>
              </w:rPr>
              <w:t xml:space="preserve"> FC, n (%)</w:t>
            </w:r>
          </w:p>
          <w:p w:rsidR="001D0FDA" w:rsidRPr="00846938" w:rsidRDefault="001D0FDA" w:rsidP="00E1668E">
            <w:pPr>
              <w:pStyle w:val="Tabletext"/>
              <w:ind w:left="263"/>
              <w:rPr>
                <w:rFonts w:cs="Tahoma"/>
                <w:szCs w:val="18"/>
              </w:rPr>
            </w:pPr>
            <w:r>
              <w:rPr>
                <w:rFonts w:cs="Tahoma"/>
                <w:szCs w:val="18"/>
              </w:rPr>
              <w:t>II: 15 (75%)</w:t>
            </w:r>
          </w:p>
          <w:p w:rsidR="001D0FDA" w:rsidRDefault="001D0FDA" w:rsidP="00E1668E">
            <w:pPr>
              <w:pStyle w:val="Tabletext"/>
              <w:ind w:left="263"/>
              <w:rPr>
                <w:rFonts w:cs="Tahoma"/>
                <w:szCs w:val="18"/>
              </w:rPr>
            </w:pPr>
            <w:r>
              <w:rPr>
                <w:rFonts w:cs="Tahoma"/>
                <w:szCs w:val="18"/>
              </w:rPr>
              <w:t>III: 5 (25%)</w:t>
            </w:r>
          </w:p>
          <w:p w:rsidR="001D0FDA" w:rsidRDefault="001D0FDA" w:rsidP="00E1668E">
            <w:pPr>
              <w:pStyle w:val="Tabletext"/>
              <w:rPr>
                <w:rFonts w:cs="Tahoma"/>
                <w:szCs w:val="18"/>
              </w:rPr>
            </w:pPr>
            <w:r w:rsidRPr="00846938">
              <w:rPr>
                <w:rFonts w:cs="Tahoma"/>
                <w:szCs w:val="18"/>
              </w:rPr>
              <w:t>mPAP</w:t>
            </w:r>
            <w:r w:rsidRPr="00351FF5">
              <w:rPr>
                <w:rFonts w:cs="Tahoma"/>
                <w:szCs w:val="18"/>
              </w:rPr>
              <w:t xml:space="preserve">, mean±SD </w:t>
            </w:r>
            <w:r w:rsidRPr="00846938">
              <w:rPr>
                <w:rFonts w:cs="Tahoma"/>
                <w:szCs w:val="18"/>
              </w:rPr>
              <w:t>(mmHg)</w:t>
            </w:r>
            <w:r>
              <w:rPr>
                <w:rFonts w:cs="Tahoma"/>
                <w:szCs w:val="18"/>
              </w:rPr>
              <w:t>: 44</w:t>
            </w:r>
            <w:r w:rsidRPr="00BE12BA">
              <w:rPr>
                <w:rFonts w:cs="Tahoma"/>
                <w:szCs w:val="18"/>
              </w:rPr>
              <w:t>±</w:t>
            </w:r>
            <w:r>
              <w:rPr>
                <w:rFonts w:cs="Tahoma"/>
                <w:szCs w:val="18"/>
              </w:rPr>
              <w:t>16</w:t>
            </w:r>
          </w:p>
          <w:p w:rsidR="001D0FDA" w:rsidRDefault="001D0FDA" w:rsidP="00E1668E">
            <w:pPr>
              <w:pStyle w:val="Tabletext"/>
              <w:rPr>
                <w:rFonts w:cs="Tahoma"/>
                <w:szCs w:val="18"/>
              </w:rPr>
            </w:pPr>
            <w:r>
              <w:rPr>
                <w:rFonts w:cs="Tahoma"/>
                <w:szCs w:val="18"/>
              </w:rPr>
              <w:t>PVR index</w:t>
            </w:r>
            <w:r w:rsidRPr="00351FF5">
              <w:rPr>
                <w:rFonts w:cs="Tahoma"/>
                <w:szCs w:val="18"/>
              </w:rPr>
              <w:t>, mean±SD (</w:t>
            </w:r>
            <w:r>
              <w:rPr>
                <w:rFonts w:cs="Tahoma"/>
                <w:szCs w:val="18"/>
              </w:rPr>
              <w:t>Wood units/m</w:t>
            </w:r>
            <w:r w:rsidRPr="00BD3D61">
              <w:rPr>
                <w:rFonts w:cs="Tahoma"/>
                <w:szCs w:val="18"/>
                <w:vertAlign w:val="superscript"/>
              </w:rPr>
              <w:t>2</w:t>
            </w:r>
            <w:r w:rsidRPr="00351FF5">
              <w:rPr>
                <w:rFonts w:cs="Tahoma"/>
                <w:szCs w:val="18"/>
              </w:rPr>
              <w:t>)</w:t>
            </w:r>
            <w:r>
              <w:rPr>
                <w:rFonts w:cs="Tahoma"/>
                <w:szCs w:val="18"/>
              </w:rPr>
              <w:t>: 6.6</w:t>
            </w:r>
            <w:r w:rsidRPr="00BE12BA">
              <w:rPr>
                <w:rFonts w:cs="Tahoma"/>
                <w:szCs w:val="18"/>
              </w:rPr>
              <w:t>±</w:t>
            </w:r>
            <w:r>
              <w:rPr>
                <w:rFonts w:cs="Tahoma"/>
                <w:szCs w:val="18"/>
              </w:rPr>
              <w:t>3.1</w:t>
            </w:r>
          </w:p>
          <w:p w:rsidR="001D0FDA" w:rsidRPr="00351FF5" w:rsidRDefault="001D0FDA" w:rsidP="00E1668E">
            <w:pPr>
              <w:pStyle w:val="Tabletext"/>
              <w:rPr>
                <w:rFonts w:cs="Tahoma"/>
                <w:szCs w:val="18"/>
              </w:rPr>
            </w:pPr>
            <w:r w:rsidRPr="00B36D2B">
              <w:rPr>
                <w:rFonts w:cs="Tahoma"/>
                <w:szCs w:val="18"/>
              </w:rPr>
              <w:t xml:space="preserve">Data on the patient characteristics for </w:t>
            </w:r>
            <w:r>
              <w:rPr>
                <w:rFonts w:cs="Tahoma"/>
                <w:szCs w:val="18"/>
              </w:rPr>
              <w:t xml:space="preserve">the two treatment arms </w:t>
            </w:r>
            <w:r w:rsidRPr="00B36D2B">
              <w:rPr>
                <w:rFonts w:cs="Tahoma"/>
                <w:szCs w:val="18"/>
              </w:rPr>
              <w:t>were not available.</w:t>
            </w:r>
          </w:p>
        </w:tc>
        <w:tc>
          <w:tcPr>
            <w:tcW w:w="811" w:type="pct"/>
          </w:tcPr>
          <w:p w:rsidR="001D0FDA" w:rsidRDefault="001D0FDA" w:rsidP="00E1668E">
            <w:pPr>
              <w:pStyle w:val="Tabletext"/>
              <w:rPr>
                <w:i/>
              </w:rPr>
            </w:pPr>
            <w:r>
              <w:rPr>
                <w:i/>
              </w:rPr>
              <w:t>Intervention:</w:t>
            </w:r>
          </w:p>
          <w:p w:rsidR="001D0FDA" w:rsidRDefault="001D0FDA" w:rsidP="00E1668E">
            <w:pPr>
              <w:pStyle w:val="Tabletext"/>
            </w:pPr>
            <w:r w:rsidRPr="00CA1531">
              <w:t>Sildenafil</w:t>
            </w:r>
            <w:r>
              <w:t>: 20</w:t>
            </w:r>
            <w:r w:rsidR="00DB2A13">
              <w:t> </w:t>
            </w:r>
            <w:r w:rsidRPr="00CA1531">
              <w:t xml:space="preserve">mg </w:t>
            </w:r>
            <w:r>
              <w:t>tid</w:t>
            </w:r>
          </w:p>
          <w:p w:rsidR="001D0FDA" w:rsidRDefault="001D0FDA" w:rsidP="00E1668E">
            <w:pPr>
              <w:pStyle w:val="Tabletext"/>
            </w:pPr>
          </w:p>
          <w:p w:rsidR="001D0FDA" w:rsidRPr="00CA1531" w:rsidRDefault="001D0FDA" w:rsidP="00E1668E">
            <w:pPr>
              <w:pStyle w:val="Tabletext"/>
              <w:rPr>
                <w:i/>
              </w:rPr>
            </w:pPr>
            <w:r>
              <w:rPr>
                <w:i/>
              </w:rPr>
              <w:t>Comparator</w:t>
            </w:r>
          </w:p>
          <w:p w:rsidR="001D0FDA" w:rsidRPr="00CA1531" w:rsidRDefault="001D0FDA" w:rsidP="00E1668E">
            <w:pPr>
              <w:pStyle w:val="Tabletext"/>
            </w:pPr>
            <w:r w:rsidRPr="00CA1531">
              <w:t xml:space="preserve">Placebo </w:t>
            </w:r>
          </w:p>
          <w:p w:rsidR="001D0FDA" w:rsidRDefault="001D0FDA" w:rsidP="00E1668E">
            <w:pPr>
              <w:pStyle w:val="Tabletext"/>
            </w:pPr>
          </w:p>
          <w:p w:rsidR="001D0FDA" w:rsidRDefault="001D0FDA" w:rsidP="00E1668E">
            <w:pPr>
              <w:pStyle w:val="Tabletext"/>
              <w:rPr>
                <w:i/>
              </w:rPr>
            </w:pPr>
            <w:r>
              <w:rPr>
                <w:i/>
              </w:rPr>
              <w:t>Background therapy</w:t>
            </w:r>
          </w:p>
          <w:p w:rsidR="001D0FDA" w:rsidRPr="00B36D2B" w:rsidRDefault="001D0FDA" w:rsidP="00E1668E">
            <w:pPr>
              <w:pStyle w:val="Tabletext"/>
            </w:pPr>
            <w:r w:rsidRPr="00B36D2B">
              <w:t>ERA (90%)</w:t>
            </w:r>
          </w:p>
          <w:p w:rsidR="001D0FDA" w:rsidRPr="00C5431E" w:rsidRDefault="001D0FDA" w:rsidP="00E1668E">
            <w:pPr>
              <w:pStyle w:val="Tabletext"/>
              <w:rPr>
                <w:i/>
              </w:rPr>
            </w:pPr>
            <w:r w:rsidRPr="00B36D2B">
              <w:t>EPO (10%)</w:t>
            </w:r>
          </w:p>
        </w:tc>
        <w:tc>
          <w:tcPr>
            <w:tcW w:w="771" w:type="pct"/>
          </w:tcPr>
          <w:p w:rsidR="001D0FDA" w:rsidRDefault="001D0FDA" w:rsidP="00E1668E">
            <w:pPr>
              <w:pStyle w:val="Tabletext"/>
              <w:rPr>
                <w:rFonts w:cs="Tahoma"/>
                <w:i/>
                <w:szCs w:val="18"/>
              </w:rPr>
            </w:pPr>
            <w:r>
              <w:rPr>
                <w:rFonts w:cs="Tahoma"/>
                <w:i/>
                <w:szCs w:val="18"/>
              </w:rPr>
              <w:t>Effectiveness</w:t>
            </w:r>
          </w:p>
          <w:p w:rsidR="001D0FDA" w:rsidRDefault="001D0FDA" w:rsidP="00E1668E">
            <w:pPr>
              <w:pStyle w:val="Tabletext"/>
              <w:rPr>
                <w:rFonts w:cs="Tahoma"/>
                <w:szCs w:val="18"/>
              </w:rPr>
            </w:pPr>
            <w:r>
              <w:rPr>
                <w:rFonts w:cs="Tahoma"/>
                <w:szCs w:val="18"/>
              </w:rPr>
              <w:t xml:space="preserve">Primary: </w:t>
            </w:r>
          </w:p>
          <w:p w:rsidR="001D0FDA" w:rsidRDefault="001D0FDA" w:rsidP="00E1668E">
            <w:pPr>
              <w:pStyle w:val="Tabletext"/>
              <w:numPr>
                <w:ilvl w:val="0"/>
                <w:numId w:val="54"/>
              </w:numPr>
              <w:ind w:left="239" w:hanging="144"/>
              <w:rPr>
                <w:rFonts w:cs="Tahoma"/>
                <w:szCs w:val="18"/>
              </w:rPr>
            </w:pPr>
            <w:r>
              <w:rPr>
                <w:rFonts w:cs="Tahoma"/>
                <w:szCs w:val="18"/>
              </w:rPr>
              <w:t>Change in 6MWD</w:t>
            </w:r>
            <w:r w:rsidRPr="00EA1FCD">
              <w:rPr>
                <w:rFonts w:cs="Tahoma"/>
                <w:szCs w:val="18"/>
                <w:vertAlign w:val="superscript"/>
              </w:rPr>
              <w:t>c</w:t>
            </w:r>
            <w:r w:rsidRPr="00994A70">
              <w:rPr>
                <w:rFonts w:cs="Tahoma"/>
                <w:szCs w:val="18"/>
              </w:rPr>
              <w:t xml:space="preserve"> </w:t>
            </w:r>
          </w:p>
          <w:p w:rsidR="001D0FDA" w:rsidRDefault="001D0FDA" w:rsidP="00E1668E">
            <w:pPr>
              <w:pStyle w:val="Tabletext"/>
              <w:numPr>
                <w:ilvl w:val="0"/>
                <w:numId w:val="54"/>
              </w:numPr>
              <w:ind w:left="239" w:hanging="144"/>
              <w:rPr>
                <w:rFonts w:cs="Tahoma"/>
                <w:szCs w:val="18"/>
              </w:rPr>
            </w:pPr>
            <w:r>
              <w:rPr>
                <w:rFonts w:cs="Tahoma"/>
                <w:szCs w:val="18"/>
              </w:rPr>
              <w:t xml:space="preserve">Change in </w:t>
            </w:r>
            <w:r w:rsidRPr="001E08EB">
              <w:rPr>
                <w:rFonts w:cs="Tahoma"/>
                <w:szCs w:val="18"/>
              </w:rPr>
              <w:t>the endurance shuttle walk test</w:t>
            </w:r>
          </w:p>
          <w:p w:rsidR="001D0FDA" w:rsidRPr="001E08EB" w:rsidRDefault="001D0FDA" w:rsidP="00E1668E">
            <w:pPr>
              <w:pStyle w:val="Tabletext"/>
              <w:numPr>
                <w:ilvl w:val="0"/>
                <w:numId w:val="54"/>
              </w:numPr>
              <w:ind w:left="239" w:hanging="144"/>
              <w:rPr>
                <w:rFonts w:cs="Tahoma"/>
                <w:szCs w:val="18"/>
              </w:rPr>
            </w:pPr>
            <w:r>
              <w:rPr>
                <w:rFonts w:cs="Tahoma"/>
                <w:szCs w:val="18"/>
              </w:rPr>
              <w:t>Change in the cycle endurance test</w:t>
            </w:r>
          </w:p>
        </w:tc>
      </w:tr>
      <w:tr w:rsidR="001D0FDA" w:rsidRPr="00204000" w:rsidTr="00E1668E">
        <w:tc>
          <w:tcPr>
            <w:tcW w:w="531" w:type="pct"/>
          </w:tcPr>
          <w:p w:rsidR="001D0FDA" w:rsidRPr="00D53F84" w:rsidRDefault="001D0FDA" w:rsidP="00E1668E">
            <w:pPr>
              <w:pStyle w:val="Tabletext"/>
              <w:ind w:right="-111"/>
              <w:rPr>
                <w:rFonts w:eastAsia="Times New Roman"/>
              </w:rPr>
            </w:pPr>
            <w:r w:rsidRPr="00D53F84">
              <w:rPr>
                <w:rFonts w:eastAsia="Times New Roman"/>
              </w:rPr>
              <w:t>Mukhopadhyay 2011</w:t>
            </w:r>
            <w:r w:rsidR="001D34EE" w:rsidRPr="001A1C44">
              <w:rPr>
                <w:rFonts w:eastAsia="Times New Roman"/>
                <w:noProof/>
                <w:vertAlign w:val="superscript"/>
              </w:rPr>
              <w:t>40</w:t>
            </w:r>
          </w:p>
          <w:p w:rsidR="001D0FDA" w:rsidRPr="00D53F84" w:rsidRDefault="001D0FDA" w:rsidP="00E1668E">
            <w:pPr>
              <w:pStyle w:val="Tabletext"/>
              <w:ind w:right="-28"/>
              <w:rPr>
                <w:rFonts w:eastAsia="Times New Roman"/>
              </w:rPr>
            </w:pPr>
            <w:r w:rsidRPr="00D53F84">
              <w:rPr>
                <w:rFonts w:eastAsia="Times New Roman"/>
                <w:lang w:eastAsia="en-US"/>
              </w:rPr>
              <w:t>No later than 2011</w:t>
            </w:r>
            <w:r>
              <w:rPr>
                <w:rFonts w:eastAsia="Times New Roman"/>
                <w:vertAlign w:val="superscript"/>
                <w:lang w:eastAsia="en-US"/>
              </w:rPr>
              <w:t>d</w:t>
            </w:r>
          </w:p>
          <w:p w:rsidR="001D0FDA" w:rsidRDefault="001D0FDA" w:rsidP="00E1668E">
            <w:pPr>
              <w:pStyle w:val="Tabletext"/>
              <w:rPr>
                <w:rFonts w:cs="Tahoma"/>
                <w:szCs w:val="18"/>
              </w:rPr>
            </w:pPr>
            <w:r w:rsidRPr="00D53F84">
              <w:rPr>
                <w:rFonts w:eastAsia="Times New Roman"/>
                <w:lang w:eastAsia="en-US"/>
              </w:rPr>
              <w:t>India</w:t>
            </w:r>
          </w:p>
        </w:tc>
        <w:tc>
          <w:tcPr>
            <w:tcW w:w="476" w:type="pct"/>
          </w:tcPr>
          <w:p w:rsidR="001D0FDA" w:rsidRPr="00351FF5" w:rsidRDefault="001D0FDA" w:rsidP="00E1668E">
            <w:pPr>
              <w:pStyle w:val="Tabletext"/>
              <w:rPr>
                <w:rFonts w:cs="Tahoma"/>
                <w:szCs w:val="18"/>
              </w:rPr>
            </w:pPr>
            <w:r w:rsidRPr="00D53F84">
              <w:rPr>
                <w:rFonts w:eastAsia="Times New Roman"/>
                <w:lang w:eastAsia="en-US"/>
              </w:rPr>
              <w:t>RCT, DB, cross-over</w:t>
            </w:r>
            <w:r w:rsidRPr="00351FF5">
              <w:rPr>
                <w:rFonts w:cs="Tahoma"/>
                <w:szCs w:val="18"/>
              </w:rPr>
              <w:t xml:space="preserve"> </w:t>
            </w:r>
          </w:p>
          <w:p w:rsidR="001D0FDA" w:rsidRPr="00351FF5" w:rsidRDefault="001D0FDA" w:rsidP="00E1668E">
            <w:pPr>
              <w:pStyle w:val="Tabletext"/>
              <w:rPr>
                <w:rFonts w:cs="Tahoma"/>
                <w:szCs w:val="18"/>
              </w:rPr>
            </w:pPr>
            <w:r w:rsidRPr="00351FF5">
              <w:rPr>
                <w:rFonts w:cs="Tahoma"/>
                <w:szCs w:val="18"/>
              </w:rPr>
              <w:t>Level II evidence</w:t>
            </w:r>
          </w:p>
          <w:p w:rsidR="001D0FDA" w:rsidRPr="00D53F84" w:rsidRDefault="001D0FDA" w:rsidP="00E1668E">
            <w:pPr>
              <w:pStyle w:val="Tabletext"/>
              <w:ind w:right="-28"/>
              <w:rPr>
                <w:rFonts w:eastAsia="Times New Roman"/>
                <w:lang w:eastAsia="en-US"/>
              </w:rPr>
            </w:pPr>
            <w:r>
              <w:rPr>
                <w:rFonts w:cs="Tahoma"/>
                <w:szCs w:val="18"/>
              </w:rPr>
              <w:t xml:space="preserve">Follow-up: </w:t>
            </w:r>
            <w:r w:rsidRPr="00D53F84">
              <w:rPr>
                <w:rFonts w:eastAsia="Times New Roman"/>
                <w:lang w:eastAsia="en-US"/>
              </w:rPr>
              <w:t>6 weeks</w:t>
            </w:r>
          </w:p>
          <w:p w:rsidR="001D0FDA" w:rsidRPr="00D53F84" w:rsidRDefault="001D0FDA" w:rsidP="00E1668E">
            <w:pPr>
              <w:pStyle w:val="Tabletext"/>
              <w:ind w:right="-28"/>
              <w:rPr>
                <w:rFonts w:eastAsia="Times New Roman"/>
                <w:lang w:eastAsia="en-US"/>
              </w:rPr>
            </w:pPr>
            <w:r>
              <w:rPr>
                <w:rFonts w:eastAsia="Times New Roman"/>
                <w:lang w:eastAsia="en-US"/>
              </w:rPr>
              <w:t>Risk of bias: l</w:t>
            </w:r>
            <w:r w:rsidRPr="00D53F84">
              <w:rPr>
                <w:rFonts w:eastAsia="Times New Roman"/>
                <w:lang w:eastAsia="en-US"/>
              </w:rPr>
              <w:t>ow-to-moderate</w:t>
            </w:r>
          </w:p>
        </w:tc>
        <w:tc>
          <w:tcPr>
            <w:tcW w:w="772" w:type="pct"/>
          </w:tcPr>
          <w:p w:rsidR="001D0FDA" w:rsidRDefault="001D0FDA" w:rsidP="00E1668E">
            <w:pPr>
              <w:pStyle w:val="Tabletext"/>
              <w:rPr>
                <w:rFonts w:cs="Tahoma"/>
                <w:i/>
                <w:szCs w:val="18"/>
              </w:rPr>
            </w:pPr>
            <w:r w:rsidRPr="00026AAB">
              <w:rPr>
                <w:rFonts w:cs="Tahoma"/>
                <w:i/>
                <w:szCs w:val="18"/>
              </w:rPr>
              <w:t>Inclusion criteria</w:t>
            </w:r>
          </w:p>
          <w:p w:rsidR="001D0FDA" w:rsidRDefault="001D0FDA" w:rsidP="00E1668E">
            <w:pPr>
              <w:pStyle w:val="Tabletext"/>
              <w:numPr>
                <w:ilvl w:val="0"/>
                <w:numId w:val="54"/>
              </w:numPr>
              <w:ind w:left="239" w:hanging="144"/>
              <w:rPr>
                <w:rFonts w:cs="Tahoma"/>
                <w:szCs w:val="18"/>
              </w:rPr>
            </w:pPr>
            <w:r>
              <w:rPr>
                <w:rFonts w:cs="Tahoma"/>
                <w:szCs w:val="18"/>
              </w:rPr>
              <w:t>Age of ≥18 years</w:t>
            </w:r>
          </w:p>
          <w:p w:rsidR="001D0FDA" w:rsidRDefault="001D0FDA" w:rsidP="00E1668E">
            <w:pPr>
              <w:pStyle w:val="Tabletext"/>
              <w:numPr>
                <w:ilvl w:val="0"/>
                <w:numId w:val="54"/>
              </w:numPr>
              <w:ind w:left="239" w:hanging="144"/>
              <w:rPr>
                <w:rFonts w:cs="Tahoma"/>
                <w:szCs w:val="18"/>
              </w:rPr>
            </w:pPr>
            <w:r>
              <w:rPr>
                <w:rFonts w:cs="Tahoma"/>
                <w:szCs w:val="18"/>
              </w:rPr>
              <w:t>Patients with WHO FC II-III PAH-CHD (Eisenmenger syndrome)</w:t>
            </w:r>
          </w:p>
          <w:p w:rsidR="001D0FDA" w:rsidRDefault="001D0FDA" w:rsidP="00E1668E">
            <w:pPr>
              <w:pStyle w:val="Tabletext"/>
              <w:numPr>
                <w:ilvl w:val="0"/>
                <w:numId w:val="54"/>
              </w:numPr>
              <w:ind w:left="239" w:hanging="144"/>
              <w:rPr>
                <w:rFonts w:cs="Tahoma"/>
                <w:szCs w:val="18"/>
              </w:rPr>
            </w:pPr>
            <w:r w:rsidRPr="00026AAB">
              <w:rPr>
                <w:rFonts w:cs="Tahoma"/>
                <w:szCs w:val="18"/>
              </w:rPr>
              <w:t>Stable medical therapy and clinical condition for 3</w:t>
            </w:r>
            <w:r>
              <w:rPr>
                <w:rFonts w:cs="Tahoma"/>
                <w:szCs w:val="18"/>
              </w:rPr>
              <w:t xml:space="preserve"> </w:t>
            </w:r>
            <w:r w:rsidRPr="00026AAB">
              <w:rPr>
                <w:rFonts w:cs="Tahoma"/>
                <w:szCs w:val="18"/>
              </w:rPr>
              <w:t xml:space="preserve">months prior to screening. </w:t>
            </w:r>
          </w:p>
          <w:p w:rsidR="001D0FDA" w:rsidRPr="00026AAB" w:rsidRDefault="001D0FDA" w:rsidP="00E1668E">
            <w:pPr>
              <w:pStyle w:val="Tabletext"/>
              <w:numPr>
                <w:ilvl w:val="0"/>
                <w:numId w:val="54"/>
              </w:numPr>
              <w:ind w:left="239" w:hanging="144"/>
              <w:rPr>
                <w:rFonts w:cs="Tahoma"/>
                <w:szCs w:val="18"/>
              </w:rPr>
            </w:pPr>
            <w:r w:rsidRPr="003936E5">
              <w:rPr>
                <w:rFonts w:cs="Tahoma"/>
                <w:szCs w:val="18"/>
              </w:rPr>
              <w:t>6 MWD of 150-450</w:t>
            </w:r>
            <w:r w:rsidR="00DB2A13">
              <w:rPr>
                <w:rFonts w:cs="Tahoma"/>
                <w:szCs w:val="18"/>
              </w:rPr>
              <w:t> </w:t>
            </w:r>
            <w:r w:rsidRPr="003936E5">
              <w:rPr>
                <w:rFonts w:cs="Tahoma"/>
                <w:szCs w:val="18"/>
              </w:rPr>
              <w:t>m</w:t>
            </w:r>
          </w:p>
          <w:p w:rsidR="001D0FDA" w:rsidRPr="003936E5" w:rsidRDefault="001D0FDA" w:rsidP="00E1668E">
            <w:pPr>
              <w:pStyle w:val="Tabletext"/>
              <w:numPr>
                <w:ilvl w:val="0"/>
                <w:numId w:val="54"/>
              </w:numPr>
              <w:ind w:left="239" w:hanging="144"/>
              <w:rPr>
                <w:rFonts w:cs="Tahoma"/>
                <w:szCs w:val="18"/>
              </w:rPr>
            </w:pPr>
            <w:r w:rsidRPr="003936E5">
              <w:rPr>
                <w:rFonts w:cs="Tahoma"/>
                <w:szCs w:val="18"/>
              </w:rPr>
              <w:t>A systemic pulse oximetry of</w:t>
            </w:r>
            <w:r w:rsidR="002449DC">
              <w:rPr>
                <w:rFonts w:cs="Tahoma"/>
                <w:szCs w:val="18"/>
              </w:rPr>
              <w:t xml:space="preserve"> </w:t>
            </w:r>
            <w:r w:rsidRPr="003936E5">
              <w:rPr>
                <w:rFonts w:cs="Tahoma"/>
                <w:szCs w:val="18"/>
              </w:rPr>
              <w:t xml:space="preserve">70%-90% at rest in room air </w:t>
            </w:r>
          </w:p>
          <w:p w:rsidR="001D0FDA" w:rsidRDefault="001D0FDA" w:rsidP="00E1668E">
            <w:pPr>
              <w:pStyle w:val="Tabletext"/>
              <w:rPr>
                <w:rFonts w:cs="Tahoma"/>
                <w:szCs w:val="18"/>
              </w:rPr>
            </w:pPr>
          </w:p>
          <w:p w:rsidR="001D0FDA" w:rsidRDefault="001D0FDA" w:rsidP="00E1668E">
            <w:pPr>
              <w:pStyle w:val="Tabletext"/>
              <w:rPr>
                <w:rFonts w:cs="Tahoma"/>
                <w:i/>
                <w:szCs w:val="18"/>
              </w:rPr>
            </w:pPr>
            <w:r>
              <w:rPr>
                <w:rFonts w:cs="Tahoma"/>
                <w:i/>
                <w:szCs w:val="18"/>
              </w:rPr>
              <w:t>Exclusion criteria</w:t>
            </w:r>
          </w:p>
          <w:p w:rsidR="001D0FDA" w:rsidRPr="003936E5" w:rsidRDefault="001D0FDA" w:rsidP="00E1668E">
            <w:pPr>
              <w:pStyle w:val="Tabletext"/>
              <w:numPr>
                <w:ilvl w:val="0"/>
                <w:numId w:val="54"/>
              </w:numPr>
              <w:ind w:left="239" w:hanging="144"/>
              <w:rPr>
                <w:rFonts w:cs="Tahoma"/>
                <w:i/>
                <w:szCs w:val="18"/>
              </w:rPr>
            </w:pPr>
            <w:r w:rsidRPr="00026AAB">
              <w:rPr>
                <w:rFonts w:cs="Tahoma"/>
                <w:szCs w:val="18"/>
              </w:rPr>
              <w:t>Patients on treatment with p</w:t>
            </w:r>
            <w:r>
              <w:rPr>
                <w:rFonts w:cs="Tahoma"/>
                <w:szCs w:val="18"/>
              </w:rPr>
              <w:t>rostanoid, ERA, PDE-5i</w:t>
            </w:r>
            <w:r w:rsidRPr="00026AAB">
              <w:rPr>
                <w:rFonts w:cs="Tahoma"/>
                <w:szCs w:val="18"/>
              </w:rPr>
              <w:t>, or any</w:t>
            </w:r>
            <w:r>
              <w:rPr>
                <w:rFonts w:cs="Tahoma"/>
                <w:szCs w:val="18"/>
              </w:rPr>
              <w:t xml:space="preserve"> </w:t>
            </w:r>
            <w:r w:rsidRPr="00026AAB">
              <w:rPr>
                <w:rFonts w:cs="Tahoma"/>
                <w:szCs w:val="18"/>
              </w:rPr>
              <w:t>other vasodilator within 1 month prior to screening</w:t>
            </w:r>
          </w:p>
          <w:p w:rsidR="001D0FDA" w:rsidRDefault="001D0FDA" w:rsidP="00E1668E">
            <w:pPr>
              <w:pStyle w:val="Tabletext"/>
              <w:numPr>
                <w:ilvl w:val="0"/>
                <w:numId w:val="54"/>
              </w:numPr>
              <w:ind w:left="239" w:hanging="144"/>
              <w:rPr>
                <w:rFonts w:cs="Tahoma"/>
                <w:szCs w:val="18"/>
              </w:rPr>
            </w:pPr>
            <w:r w:rsidRPr="003936E5">
              <w:rPr>
                <w:rFonts w:cs="Tahoma"/>
                <w:szCs w:val="18"/>
              </w:rPr>
              <w:t>Congestive heart failure or with PCWP</w:t>
            </w:r>
            <w:r>
              <w:rPr>
                <w:rFonts w:cs="Tahoma"/>
                <w:szCs w:val="18"/>
              </w:rPr>
              <w:t xml:space="preserve"> &gt;15</w:t>
            </w:r>
            <w:r w:rsidR="00DB2A13">
              <w:rPr>
                <w:rFonts w:cs="Tahoma"/>
                <w:szCs w:val="18"/>
              </w:rPr>
              <w:t> </w:t>
            </w:r>
            <w:r>
              <w:rPr>
                <w:rFonts w:cs="Tahoma"/>
                <w:szCs w:val="18"/>
              </w:rPr>
              <w:t xml:space="preserve">mmHg </w:t>
            </w:r>
          </w:p>
          <w:p w:rsidR="001D0FDA" w:rsidRDefault="001D0FDA" w:rsidP="00E1668E">
            <w:pPr>
              <w:pStyle w:val="Tabletext"/>
              <w:numPr>
                <w:ilvl w:val="0"/>
                <w:numId w:val="54"/>
              </w:numPr>
              <w:ind w:left="239" w:hanging="144"/>
              <w:rPr>
                <w:rFonts w:cs="Tahoma"/>
                <w:szCs w:val="18"/>
              </w:rPr>
            </w:pPr>
            <w:r>
              <w:rPr>
                <w:rFonts w:cs="Tahoma"/>
                <w:szCs w:val="18"/>
              </w:rPr>
              <w:t>Atrial fibrillation</w:t>
            </w:r>
          </w:p>
          <w:p w:rsidR="001D0FDA" w:rsidRPr="003936E5" w:rsidRDefault="001D0FDA" w:rsidP="00E1668E">
            <w:pPr>
              <w:pStyle w:val="Tabletext"/>
              <w:numPr>
                <w:ilvl w:val="0"/>
                <w:numId w:val="54"/>
              </w:numPr>
              <w:ind w:left="239" w:hanging="144"/>
              <w:rPr>
                <w:rFonts w:cs="Tahoma"/>
                <w:szCs w:val="18"/>
              </w:rPr>
            </w:pPr>
            <w:r>
              <w:rPr>
                <w:rFonts w:cs="Tahoma"/>
                <w:szCs w:val="18"/>
              </w:rPr>
              <w:t>P</w:t>
            </w:r>
            <w:r w:rsidRPr="003936E5">
              <w:rPr>
                <w:rFonts w:cs="Tahoma"/>
                <w:szCs w:val="18"/>
              </w:rPr>
              <w:t>atent ductus arteriosus</w:t>
            </w:r>
          </w:p>
          <w:p w:rsidR="001D0FDA" w:rsidRDefault="001D0FDA" w:rsidP="00E1668E">
            <w:pPr>
              <w:pStyle w:val="Tabletext"/>
              <w:numPr>
                <w:ilvl w:val="0"/>
                <w:numId w:val="54"/>
              </w:numPr>
              <w:ind w:left="239" w:hanging="144"/>
              <w:rPr>
                <w:rFonts w:cs="Tahoma"/>
                <w:szCs w:val="18"/>
              </w:rPr>
            </w:pPr>
            <w:r>
              <w:rPr>
                <w:rFonts w:cs="Tahoma"/>
                <w:szCs w:val="18"/>
              </w:rPr>
              <w:t>C</w:t>
            </w:r>
            <w:r w:rsidRPr="003936E5">
              <w:rPr>
                <w:rFonts w:cs="Tahoma"/>
                <w:szCs w:val="18"/>
              </w:rPr>
              <w:t>om</w:t>
            </w:r>
            <w:r>
              <w:rPr>
                <w:rFonts w:cs="Tahoma"/>
                <w:szCs w:val="18"/>
              </w:rPr>
              <w:t>plex congenital heart defects</w:t>
            </w:r>
          </w:p>
          <w:p w:rsidR="001D0FDA" w:rsidRDefault="001D0FDA" w:rsidP="00E1668E">
            <w:pPr>
              <w:pStyle w:val="Tabletext"/>
              <w:numPr>
                <w:ilvl w:val="0"/>
                <w:numId w:val="54"/>
              </w:numPr>
              <w:ind w:left="239" w:hanging="144"/>
              <w:rPr>
                <w:rFonts w:cs="Tahoma"/>
                <w:szCs w:val="18"/>
              </w:rPr>
            </w:pPr>
            <w:r w:rsidRPr="003936E5">
              <w:rPr>
                <w:rFonts w:cs="Tahoma"/>
                <w:szCs w:val="18"/>
              </w:rPr>
              <w:t>LVEF &lt;40%</w:t>
            </w:r>
            <w:r>
              <w:rPr>
                <w:rFonts w:cs="Tahoma"/>
                <w:szCs w:val="18"/>
              </w:rPr>
              <w:t xml:space="preserve"> </w:t>
            </w:r>
          </w:p>
          <w:p w:rsidR="001D0FDA" w:rsidRPr="003936E5" w:rsidRDefault="001D0FDA" w:rsidP="00E1668E">
            <w:pPr>
              <w:pStyle w:val="Tabletext"/>
              <w:numPr>
                <w:ilvl w:val="0"/>
                <w:numId w:val="54"/>
              </w:numPr>
              <w:ind w:left="239" w:hanging="144"/>
              <w:rPr>
                <w:rFonts w:cs="Tahoma"/>
                <w:szCs w:val="18"/>
              </w:rPr>
            </w:pPr>
            <w:r>
              <w:rPr>
                <w:rFonts w:cs="Tahoma"/>
                <w:szCs w:val="18"/>
              </w:rPr>
              <w:t>R</w:t>
            </w:r>
            <w:r w:rsidRPr="003936E5">
              <w:rPr>
                <w:rFonts w:cs="Tahoma"/>
                <w:szCs w:val="18"/>
              </w:rPr>
              <w:t xml:space="preserve">estrictive </w:t>
            </w:r>
            <w:r>
              <w:rPr>
                <w:rFonts w:cs="Tahoma"/>
                <w:szCs w:val="18"/>
              </w:rPr>
              <w:t xml:space="preserve">or obstructive </w:t>
            </w:r>
            <w:r w:rsidRPr="003936E5">
              <w:rPr>
                <w:rFonts w:cs="Tahoma"/>
                <w:szCs w:val="18"/>
              </w:rPr>
              <w:t>lung</w:t>
            </w:r>
            <w:r>
              <w:rPr>
                <w:rFonts w:cs="Tahoma"/>
                <w:szCs w:val="18"/>
              </w:rPr>
              <w:t xml:space="preserve"> </w:t>
            </w:r>
            <w:r w:rsidRPr="003936E5">
              <w:rPr>
                <w:rFonts w:cs="Tahoma"/>
                <w:szCs w:val="18"/>
              </w:rPr>
              <w:t>disease</w:t>
            </w:r>
          </w:p>
        </w:tc>
        <w:tc>
          <w:tcPr>
            <w:tcW w:w="0" w:type="auto"/>
          </w:tcPr>
          <w:p w:rsidR="001D0FDA" w:rsidRDefault="001D0FDA" w:rsidP="00E1668E">
            <w:pPr>
              <w:pStyle w:val="Tabletext"/>
              <w:rPr>
                <w:rFonts w:cs="Tahoma"/>
                <w:szCs w:val="18"/>
              </w:rPr>
            </w:pPr>
            <w:r>
              <w:rPr>
                <w:rFonts w:cs="Tahoma"/>
                <w:szCs w:val="18"/>
              </w:rPr>
              <w:t xml:space="preserve">N=28 </w:t>
            </w:r>
          </w:p>
          <w:p w:rsidR="001D0FDA" w:rsidRDefault="001D0FDA" w:rsidP="00E1668E">
            <w:pPr>
              <w:pStyle w:val="Tabletext"/>
              <w:rPr>
                <w:rFonts w:cs="Tahoma"/>
                <w:szCs w:val="18"/>
              </w:rPr>
            </w:pPr>
            <w:r>
              <w:rPr>
                <w:rFonts w:cs="Tahoma"/>
                <w:szCs w:val="18"/>
              </w:rPr>
              <w:t>Age</w:t>
            </w:r>
            <w:r w:rsidRPr="00351FF5">
              <w:rPr>
                <w:rFonts w:cs="Tahoma"/>
                <w:szCs w:val="18"/>
              </w:rPr>
              <w:t>, mean±SD (yrs)</w:t>
            </w:r>
            <w:r>
              <w:rPr>
                <w:rFonts w:cs="Tahoma"/>
                <w:szCs w:val="18"/>
              </w:rPr>
              <w:t>: 53±15</w:t>
            </w:r>
          </w:p>
          <w:p w:rsidR="001D0FDA" w:rsidRDefault="001D0FDA" w:rsidP="00E1668E">
            <w:pPr>
              <w:pStyle w:val="Tabletext"/>
              <w:rPr>
                <w:rFonts w:cs="Tahoma"/>
                <w:szCs w:val="18"/>
              </w:rPr>
            </w:pPr>
            <w:r w:rsidRPr="00351FF5">
              <w:rPr>
                <w:rFonts w:cs="Tahoma"/>
                <w:szCs w:val="18"/>
              </w:rPr>
              <w:t>Gender, femal</w:t>
            </w:r>
            <w:r>
              <w:rPr>
                <w:rFonts w:cs="Tahoma"/>
                <w:szCs w:val="18"/>
              </w:rPr>
              <w:t>e</w:t>
            </w:r>
            <w:r w:rsidRPr="00351FF5">
              <w:rPr>
                <w:rFonts w:cs="Tahoma"/>
                <w:szCs w:val="18"/>
              </w:rPr>
              <w:t>, n (%)</w:t>
            </w:r>
            <w:r>
              <w:rPr>
                <w:rFonts w:cs="Tahoma"/>
                <w:szCs w:val="18"/>
              </w:rPr>
              <w:t>: 16 (80%)</w:t>
            </w:r>
          </w:p>
          <w:p w:rsidR="001D0FDA" w:rsidRPr="00846938" w:rsidRDefault="001D0FDA" w:rsidP="00E1668E">
            <w:pPr>
              <w:pStyle w:val="Tabletext"/>
              <w:rPr>
                <w:rFonts w:cs="Tahoma"/>
                <w:szCs w:val="18"/>
              </w:rPr>
            </w:pPr>
            <w:r w:rsidRPr="00846938">
              <w:rPr>
                <w:rFonts w:cs="Tahoma"/>
                <w:szCs w:val="18"/>
              </w:rPr>
              <w:t>P</w:t>
            </w:r>
            <w:r>
              <w:rPr>
                <w:rFonts w:cs="Tahoma"/>
                <w:szCs w:val="18"/>
              </w:rPr>
              <w:t>A</w:t>
            </w:r>
            <w:r w:rsidRPr="00846938">
              <w:rPr>
                <w:rFonts w:cs="Tahoma"/>
                <w:szCs w:val="18"/>
              </w:rPr>
              <w:t>H aetiology, n (%)</w:t>
            </w:r>
          </w:p>
          <w:p w:rsidR="001D0FDA" w:rsidRDefault="001D0FDA" w:rsidP="00E1668E">
            <w:pPr>
              <w:pStyle w:val="Tabletext"/>
              <w:ind w:left="263"/>
              <w:rPr>
                <w:rFonts w:cs="Tahoma"/>
                <w:szCs w:val="18"/>
              </w:rPr>
            </w:pPr>
            <w:r>
              <w:rPr>
                <w:rFonts w:cs="Tahoma"/>
                <w:szCs w:val="18"/>
              </w:rPr>
              <w:t>PAH-CHD: 28 (100%)</w:t>
            </w:r>
          </w:p>
          <w:p w:rsidR="001D0FDA" w:rsidRPr="00846938" w:rsidRDefault="001D0FDA" w:rsidP="00E1668E">
            <w:pPr>
              <w:pStyle w:val="Tabletext"/>
              <w:rPr>
                <w:rFonts w:cs="Tahoma"/>
                <w:szCs w:val="18"/>
              </w:rPr>
            </w:pPr>
            <w:proofErr w:type="gramStart"/>
            <w:r w:rsidRPr="00846938">
              <w:rPr>
                <w:rFonts w:cs="Tahoma"/>
                <w:szCs w:val="18"/>
              </w:rPr>
              <w:t>WHO</w:t>
            </w:r>
            <w:proofErr w:type="gramEnd"/>
            <w:r w:rsidRPr="00846938">
              <w:rPr>
                <w:rFonts w:cs="Tahoma"/>
                <w:szCs w:val="18"/>
              </w:rPr>
              <w:t xml:space="preserve"> FC, n (%)</w:t>
            </w:r>
          </w:p>
          <w:p w:rsidR="001D0FDA" w:rsidRPr="00846938" w:rsidRDefault="001D0FDA" w:rsidP="00E1668E">
            <w:pPr>
              <w:pStyle w:val="Tabletext"/>
              <w:ind w:left="263"/>
              <w:rPr>
                <w:rFonts w:cs="Tahoma"/>
                <w:szCs w:val="18"/>
              </w:rPr>
            </w:pPr>
            <w:r>
              <w:rPr>
                <w:rFonts w:cs="Tahoma"/>
                <w:szCs w:val="18"/>
              </w:rPr>
              <w:t>II: 22 (79%)</w:t>
            </w:r>
          </w:p>
          <w:p w:rsidR="001D0FDA" w:rsidRDefault="001D0FDA" w:rsidP="00E1668E">
            <w:pPr>
              <w:pStyle w:val="Tabletext"/>
              <w:ind w:left="263"/>
              <w:rPr>
                <w:rFonts w:cs="Tahoma"/>
                <w:szCs w:val="18"/>
              </w:rPr>
            </w:pPr>
            <w:r>
              <w:rPr>
                <w:rFonts w:cs="Tahoma"/>
                <w:szCs w:val="18"/>
              </w:rPr>
              <w:t>III: 6 (21%)</w:t>
            </w:r>
          </w:p>
          <w:p w:rsidR="001D0FDA" w:rsidRDefault="001D0FDA" w:rsidP="00E1668E">
            <w:pPr>
              <w:pStyle w:val="Tabletext"/>
              <w:rPr>
                <w:rFonts w:cs="Tahoma"/>
                <w:szCs w:val="18"/>
              </w:rPr>
            </w:pPr>
            <w:r w:rsidRPr="00846938">
              <w:rPr>
                <w:rFonts w:cs="Tahoma"/>
                <w:szCs w:val="18"/>
              </w:rPr>
              <w:t>mPAP</w:t>
            </w:r>
            <w:r w:rsidRPr="00351FF5">
              <w:rPr>
                <w:rFonts w:cs="Tahoma"/>
                <w:szCs w:val="18"/>
              </w:rPr>
              <w:t xml:space="preserve">, mean±SD </w:t>
            </w:r>
            <w:r w:rsidRPr="00846938">
              <w:rPr>
                <w:rFonts w:cs="Tahoma"/>
                <w:szCs w:val="18"/>
              </w:rPr>
              <w:t>(mmHg)</w:t>
            </w:r>
            <w:r>
              <w:rPr>
                <w:rFonts w:cs="Tahoma"/>
                <w:szCs w:val="18"/>
              </w:rPr>
              <w:t>: 75</w:t>
            </w:r>
            <w:r w:rsidRPr="00BE12BA">
              <w:rPr>
                <w:rFonts w:cs="Tahoma"/>
                <w:szCs w:val="18"/>
              </w:rPr>
              <w:t>±</w:t>
            </w:r>
            <w:r>
              <w:rPr>
                <w:rFonts w:cs="Tahoma"/>
                <w:szCs w:val="18"/>
              </w:rPr>
              <w:t>17</w:t>
            </w:r>
          </w:p>
          <w:p w:rsidR="001D0FDA" w:rsidRDefault="001D0FDA" w:rsidP="00E1668E">
            <w:pPr>
              <w:pStyle w:val="Tabletext"/>
              <w:rPr>
                <w:rFonts w:cs="Tahoma"/>
                <w:szCs w:val="18"/>
              </w:rPr>
            </w:pPr>
            <w:r>
              <w:rPr>
                <w:rFonts w:cs="Tahoma"/>
                <w:szCs w:val="18"/>
              </w:rPr>
              <w:t>PVR</w:t>
            </w:r>
            <w:r w:rsidRPr="00351FF5">
              <w:rPr>
                <w:rFonts w:cs="Tahoma"/>
                <w:szCs w:val="18"/>
              </w:rPr>
              <w:t>, mean±SD (</w:t>
            </w:r>
            <w:r>
              <w:rPr>
                <w:rFonts w:cs="Tahoma"/>
                <w:szCs w:val="18"/>
              </w:rPr>
              <w:t>Wood units</w:t>
            </w:r>
            <w:r w:rsidRPr="00351FF5">
              <w:rPr>
                <w:rFonts w:cs="Tahoma"/>
                <w:szCs w:val="18"/>
              </w:rPr>
              <w:t>)</w:t>
            </w:r>
            <w:r>
              <w:rPr>
                <w:rFonts w:cs="Tahoma"/>
                <w:szCs w:val="18"/>
              </w:rPr>
              <w:t>: 33.8</w:t>
            </w:r>
            <w:r w:rsidRPr="00BE12BA">
              <w:rPr>
                <w:rFonts w:cs="Tahoma"/>
                <w:szCs w:val="18"/>
              </w:rPr>
              <w:t>±</w:t>
            </w:r>
            <w:r>
              <w:rPr>
                <w:rFonts w:cs="Tahoma"/>
                <w:szCs w:val="18"/>
              </w:rPr>
              <w:t>12.2</w:t>
            </w:r>
          </w:p>
          <w:p w:rsidR="001D0FDA" w:rsidRDefault="001D0FDA" w:rsidP="00E1668E">
            <w:pPr>
              <w:pStyle w:val="Tabletext"/>
              <w:rPr>
                <w:szCs w:val="18"/>
              </w:rPr>
            </w:pPr>
            <w:r w:rsidRPr="00B36D2B">
              <w:rPr>
                <w:rFonts w:cs="Tahoma"/>
                <w:szCs w:val="18"/>
              </w:rPr>
              <w:t xml:space="preserve">Data on the patient characteristics for </w:t>
            </w:r>
            <w:r>
              <w:rPr>
                <w:rFonts w:cs="Tahoma"/>
                <w:szCs w:val="18"/>
              </w:rPr>
              <w:t xml:space="preserve">the two treatment arms </w:t>
            </w:r>
            <w:r w:rsidRPr="00B36D2B">
              <w:rPr>
                <w:rFonts w:cs="Tahoma"/>
                <w:szCs w:val="18"/>
              </w:rPr>
              <w:t>were not available.</w:t>
            </w:r>
          </w:p>
        </w:tc>
        <w:tc>
          <w:tcPr>
            <w:tcW w:w="811" w:type="pct"/>
          </w:tcPr>
          <w:p w:rsidR="001D0FDA" w:rsidRPr="00B14F10" w:rsidRDefault="001D0FDA" w:rsidP="00E1668E">
            <w:pPr>
              <w:pStyle w:val="Tabletext"/>
              <w:rPr>
                <w:i/>
              </w:rPr>
            </w:pPr>
            <w:r w:rsidRPr="00B14F10">
              <w:rPr>
                <w:i/>
              </w:rPr>
              <w:t>Intervention</w:t>
            </w:r>
          </w:p>
          <w:p w:rsidR="001D0FDA" w:rsidRPr="00B14F10" w:rsidRDefault="001D0FDA" w:rsidP="00E1668E">
            <w:pPr>
              <w:pStyle w:val="Tabletext"/>
            </w:pPr>
            <w:r>
              <w:t>Tadalafil 40</w:t>
            </w:r>
            <w:r w:rsidR="00DB2A13">
              <w:t> </w:t>
            </w:r>
            <w:r w:rsidRPr="00B14F10">
              <w:t>mg for 6 weeks followed by crossover to placebo after a washout period of 2 weeks</w:t>
            </w:r>
          </w:p>
          <w:p w:rsidR="001D0FDA" w:rsidRDefault="001D0FDA" w:rsidP="00E1668E">
            <w:pPr>
              <w:pStyle w:val="Tabletext"/>
              <w:rPr>
                <w:i/>
              </w:rPr>
            </w:pPr>
          </w:p>
          <w:p w:rsidR="001D0FDA" w:rsidRPr="00B14F10" w:rsidRDefault="001D0FDA" w:rsidP="00E1668E">
            <w:pPr>
              <w:pStyle w:val="Tabletext"/>
              <w:rPr>
                <w:i/>
              </w:rPr>
            </w:pPr>
            <w:r w:rsidRPr="00B14F10">
              <w:rPr>
                <w:i/>
              </w:rPr>
              <w:t>Comparator</w:t>
            </w:r>
          </w:p>
          <w:p w:rsidR="001D0FDA" w:rsidRPr="00B14F10" w:rsidRDefault="001D0FDA" w:rsidP="00E1668E">
            <w:pPr>
              <w:pStyle w:val="Tabletext"/>
            </w:pPr>
            <w:r>
              <w:t>P</w:t>
            </w:r>
            <w:r w:rsidRPr="00B14F10">
              <w:t xml:space="preserve">lacebo for 6 weeks followed by crossover to </w:t>
            </w:r>
            <w:r>
              <w:t>tadalafil 40</w:t>
            </w:r>
            <w:r w:rsidR="00DB2A13">
              <w:t> </w:t>
            </w:r>
            <w:r w:rsidRPr="00B14F10">
              <w:t>mg after a washout period of 2 weeks</w:t>
            </w:r>
          </w:p>
        </w:tc>
        <w:tc>
          <w:tcPr>
            <w:tcW w:w="771" w:type="pct"/>
          </w:tcPr>
          <w:p w:rsidR="001D0FDA" w:rsidRDefault="001D0FDA" w:rsidP="00E1668E">
            <w:pPr>
              <w:pStyle w:val="Tabletext"/>
              <w:rPr>
                <w:rFonts w:cs="Tahoma"/>
                <w:i/>
                <w:szCs w:val="18"/>
              </w:rPr>
            </w:pPr>
            <w:r>
              <w:rPr>
                <w:rFonts w:cs="Tahoma"/>
                <w:i/>
                <w:szCs w:val="18"/>
              </w:rPr>
              <w:t>Effectiveness</w:t>
            </w:r>
          </w:p>
          <w:p w:rsidR="001D0FDA" w:rsidRDefault="001D0FDA" w:rsidP="00E1668E">
            <w:pPr>
              <w:pStyle w:val="Tabletext"/>
              <w:rPr>
                <w:rFonts w:cs="Tahoma"/>
                <w:szCs w:val="18"/>
              </w:rPr>
            </w:pPr>
            <w:r>
              <w:rPr>
                <w:rFonts w:cs="Tahoma"/>
                <w:szCs w:val="18"/>
              </w:rPr>
              <w:t xml:space="preserve">Primary: </w:t>
            </w:r>
          </w:p>
          <w:p w:rsidR="001D0FDA" w:rsidRDefault="001D0FDA" w:rsidP="00E1668E">
            <w:pPr>
              <w:pStyle w:val="Tabletext"/>
              <w:numPr>
                <w:ilvl w:val="0"/>
                <w:numId w:val="54"/>
              </w:numPr>
              <w:ind w:left="239" w:hanging="144"/>
              <w:rPr>
                <w:rFonts w:cs="Tahoma"/>
                <w:szCs w:val="18"/>
              </w:rPr>
            </w:pPr>
            <w:r>
              <w:rPr>
                <w:rFonts w:cs="Tahoma"/>
                <w:szCs w:val="18"/>
              </w:rPr>
              <w:t>Change in 6MWD 6 weeks after treatment</w:t>
            </w:r>
          </w:p>
          <w:p w:rsidR="001D0FDA" w:rsidRDefault="001D0FDA" w:rsidP="00E1668E">
            <w:pPr>
              <w:pStyle w:val="Tabletext"/>
              <w:rPr>
                <w:rFonts w:cs="Tahoma"/>
                <w:szCs w:val="18"/>
              </w:rPr>
            </w:pPr>
            <w:r>
              <w:rPr>
                <w:rFonts w:cs="Tahoma"/>
                <w:szCs w:val="18"/>
              </w:rPr>
              <w:t>Secondary:</w:t>
            </w:r>
          </w:p>
          <w:p w:rsidR="001D0FDA" w:rsidRDefault="001D0FDA" w:rsidP="00E1668E">
            <w:pPr>
              <w:pStyle w:val="Tabletext"/>
              <w:numPr>
                <w:ilvl w:val="0"/>
                <w:numId w:val="54"/>
              </w:numPr>
              <w:ind w:left="239" w:hanging="144"/>
              <w:rPr>
                <w:rFonts w:cs="Tahoma"/>
                <w:szCs w:val="18"/>
              </w:rPr>
            </w:pPr>
            <w:r>
              <w:rPr>
                <w:rFonts w:cs="Tahoma"/>
                <w:szCs w:val="18"/>
              </w:rPr>
              <w:t>Change in WHO FC</w:t>
            </w:r>
            <w:r w:rsidRPr="00B14F10">
              <w:rPr>
                <w:rFonts w:cs="Tahoma"/>
                <w:szCs w:val="18"/>
                <w:vertAlign w:val="superscript"/>
              </w:rPr>
              <w:t>c</w:t>
            </w:r>
          </w:p>
          <w:p w:rsidR="001D0FDA" w:rsidRPr="00B14F10" w:rsidRDefault="001D0FDA" w:rsidP="00E1668E">
            <w:pPr>
              <w:pStyle w:val="Tabletext"/>
              <w:numPr>
                <w:ilvl w:val="0"/>
                <w:numId w:val="54"/>
              </w:numPr>
              <w:ind w:left="239" w:hanging="144"/>
              <w:rPr>
                <w:rFonts w:cs="Tahoma"/>
                <w:i/>
                <w:szCs w:val="18"/>
              </w:rPr>
            </w:pPr>
            <w:r>
              <w:rPr>
                <w:rFonts w:cs="Tahoma"/>
                <w:szCs w:val="18"/>
              </w:rPr>
              <w:t xml:space="preserve">Change in </w:t>
            </w:r>
            <w:r w:rsidRPr="00B14F10">
              <w:rPr>
                <w:rFonts w:cs="Tahoma"/>
                <w:szCs w:val="18"/>
              </w:rPr>
              <w:t>PVR</w:t>
            </w:r>
          </w:p>
          <w:p w:rsidR="001D0FDA" w:rsidRDefault="001D0FDA" w:rsidP="00E1668E">
            <w:pPr>
              <w:pStyle w:val="Tabletext"/>
              <w:rPr>
                <w:rFonts w:cs="Tahoma"/>
                <w:szCs w:val="18"/>
              </w:rPr>
            </w:pPr>
          </w:p>
          <w:p w:rsidR="001D0FDA" w:rsidRPr="00351FF5" w:rsidRDefault="001D0FDA" w:rsidP="00E1668E">
            <w:pPr>
              <w:pStyle w:val="Tabletext"/>
              <w:rPr>
                <w:rFonts w:cs="Tahoma"/>
                <w:szCs w:val="18"/>
              </w:rPr>
            </w:pPr>
            <w:r w:rsidRPr="00351FF5">
              <w:rPr>
                <w:rFonts w:cs="Tahoma"/>
                <w:i/>
                <w:szCs w:val="18"/>
              </w:rPr>
              <w:t>Safety</w:t>
            </w:r>
            <w:r w:rsidRPr="00351FF5">
              <w:rPr>
                <w:rFonts w:cs="Tahoma"/>
                <w:szCs w:val="18"/>
              </w:rPr>
              <w:t xml:space="preserve">: </w:t>
            </w:r>
          </w:p>
          <w:p w:rsidR="001D0FDA" w:rsidRDefault="001D0FDA" w:rsidP="00E1668E">
            <w:pPr>
              <w:pStyle w:val="Tabletext"/>
              <w:numPr>
                <w:ilvl w:val="0"/>
                <w:numId w:val="54"/>
              </w:numPr>
              <w:ind w:left="239" w:hanging="144"/>
              <w:rPr>
                <w:rFonts w:cs="Tahoma"/>
                <w:i/>
                <w:szCs w:val="18"/>
              </w:rPr>
            </w:pPr>
            <w:r>
              <w:rPr>
                <w:rFonts w:cs="Tahoma"/>
                <w:szCs w:val="18"/>
              </w:rPr>
              <w:t>A</w:t>
            </w:r>
            <w:r w:rsidRPr="00351FF5">
              <w:rPr>
                <w:rFonts w:cs="Tahoma"/>
                <w:szCs w:val="18"/>
              </w:rPr>
              <w:t>dverse events</w:t>
            </w:r>
            <w:r w:rsidRPr="00B14F10">
              <w:rPr>
                <w:rFonts w:cs="Tahoma"/>
                <w:szCs w:val="18"/>
                <w:vertAlign w:val="superscript"/>
              </w:rPr>
              <w:t>c</w:t>
            </w:r>
          </w:p>
        </w:tc>
      </w:tr>
      <w:tr w:rsidR="001D0FDA" w:rsidRPr="00204000" w:rsidTr="00E1668E">
        <w:tc>
          <w:tcPr>
            <w:tcW w:w="531" w:type="pct"/>
          </w:tcPr>
          <w:p w:rsidR="001D0FDA" w:rsidRPr="00D53F84" w:rsidRDefault="001D0FDA" w:rsidP="00E1668E">
            <w:pPr>
              <w:pStyle w:val="Tabletext"/>
              <w:ind w:right="-28"/>
              <w:rPr>
                <w:rFonts w:eastAsia="Times New Roman"/>
                <w:lang w:eastAsia="en-US"/>
              </w:rPr>
            </w:pPr>
            <w:r w:rsidRPr="00D53F84">
              <w:rPr>
                <w:rFonts w:eastAsia="Times New Roman"/>
                <w:lang w:eastAsia="en-US"/>
              </w:rPr>
              <w:t>PACES-1</w:t>
            </w:r>
            <w:r w:rsidR="001D34EE" w:rsidRPr="001A1C44">
              <w:rPr>
                <w:rFonts w:eastAsia="Times New Roman"/>
                <w:noProof/>
                <w:vertAlign w:val="superscript"/>
                <w:lang w:eastAsia="en-US"/>
              </w:rPr>
              <w:t>41</w:t>
            </w:r>
          </w:p>
          <w:p w:rsidR="001D0FDA" w:rsidRPr="00D53F84" w:rsidRDefault="001D0FDA" w:rsidP="00E1668E">
            <w:pPr>
              <w:pStyle w:val="Tabletext"/>
              <w:ind w:right="-28"/>
              <w:rPr>
                <w:rFonts w:eastAsia="Times New Roman"/>
                <w:lang w:eastAsia="en-US"/>
              </w:rPr>
            </w:pPr>
            <w:r w:rsidRPr="00D53F84">
              <w:rPr>
                <w:rFonts w:eastAsia="Times New Roman"/>
                <w:snapToGrid w:val="0"/>
                <w:lang w:eastAsia="en-US"/>
              </w:rPr>
              <w:t>2003-2006</w:t>
            </w:r>
          </w:p>
          <w:p w:rsidR="001D0FDA" w:rsidRDefault="001D0FDA" w:rsidP="00E1668E">
            <w:pPr>
              <w:pStyle w:val="Tabletext"/>
              <w:rPr>
                <w:rFonts w:cs="Tahoma"/>
                <w:szCs w:val="18"/>
              </w:rPr>
            </w:pPr>
            <w:r w:rsidRPr="00D53F84">
              <w:rPr>
                <w:rFonts w:eastAsia="Times New Roman"/>
                <w:snapToGrid w:val="0"/>
                <w:lang w:eastAsia="en-US"/>
              </w:rPr>
              <w:t>US, Canada, Europe, Israel</w:t>
            </w:r>
          </w:p>
        </w:tc>
        <w:tc>
          <w:tcPr>
            <w:tcW w:w="476" w:type="pct"/>
          </w:tcPr>
          <w:p w:rsidR="001D0FDA" w:rsidRPr="00D53F84" w:rsidRDefault="001D0FDA" w:rsidP="00E1668E">
            <w:pPr>
              <w:pStyle w:val="Tabletext"/>
              <w:ind w:right="-28"/>
              <w:rPr>
                <w:rFonts w:eastAsia="Times New Roman"/>
                <w:snapToGrid w:val="0"/>
                <w:lang w:eastAsia="en-US"/>
              </w:rPr>
            </w:pPr>
            <w:r w:rsidRPr="00D53F84">
              <w:rPr>
                <w:rFonts w:eastAsia="Times New Roman"/>
                <w:snapToGrid w:val="0"/>
                <w:lang w:eastAsia="en-US"/>
              </w:rPr>
              <w:t>RCT, DB</w:t>
            </w:r>
          </w:p>
          <w:p w:rsidR="001D0FDA" w:rsidRPr="00351FF5" w:rsidRDefault="001D0FDA" w:rsidP="00E1668E">
            <w:pPr>
              <w:pStyle w:val="Tabletext"/>
              <w:rPr>
                <w:rFonts w:cs="Tahoma"/>
                <w:szCs w:val="18"/>
              </w:rPr>
            </w:pPr>
            <w:r w:rsidRPr="00351FF5">
              <w:rPr>
                <w:rFonts w:cs="Tahoma"/>
                <w:szCs w:val="18"/>
              </w:rPr>
              <w:t>Level II evidence</w:t>
            </w:r>
          </w:p>
          <w:p w:rsidR="001D0FDA" w:rsidRPr="00D53F84" w:rsidRDefault="001D0FDA" w:rsidP="00E1668E">
            <w:pPr>
              <w:pStyle w:val="Tabletext"/>
              <w:ind w:right="-28"/>
              <w:rPr>
                <w:rFonts w:eastAsia="Times New Roman"/>
                <w:snapToGrid w:val="0"/>
                <w:lang w:eastAsia="en-US"/>
              </w:rPr>
            </w:pPr>
            <w:r>
              <w:rPr>
                <w:rFonts w:cs="Tahoma"/>
                <w:szCs w:val="18"/>
              </w:rPr>
              <w:t xml:space="preserve">Follow-up: </w:t>
            </w:r>
            <w:r w:rsidRPr="00D53F84">
              <w:rPr>
                <w:rFonts w:eastAsia="Times New Roman"/>
                <w:snapToGrid w:val="0"/>
                <w:lang w:eastAsia="en-US"/>
              </w:rPr>
              <w:t>16 weeks</w:t>
            </w:r>
          </w:p>
          <w:p w:rsidR="001D0FDA" w:rsidRPr="00D53F84" w:rsidRDefault="001D0FDA" w:rsidP="00E1668E">
            <w:pPr>
              <w:pStyle w:val="Tabletext"/>
              <w:ind w:right="-28"/>
              <w:rPr>
                <w:rFonts w:eastAsia="Times New Roman"/>
                <w:lang w:eastAsia="en-US"/>
              </w:rPr>
            </w:pPr>
            <w:r>
              <w:rPr>
                <w:rFonts w:eastAsia="Times New Roman"/>
                <w:snapToGrid w:val="0"/>
                <w:lang w:eastAsia="en-US"/>
              </w:rPr>
              <w:t>Risk of bias: l</w:t>
            </w:r>
            <w:r w:rsidRPr="00D53F84">
              <w:rPr>
                <w:rFonts w:eastAsia="Times New Roman"/>
                <w:snapToGrid w:val="0"/>
                <w:lang w:eastAsia="en-US"/>
              </w:rPr>
              <w:t>ow</w:t>
            </w:r>
          </w:p>
        </w:tc>
        <w:tc>
          <w:tcPr>
            <w:tcW w:w="772" w:type="pct"/>
          </w:tcPr>
          <w:p w:rsidR="001D0FDA" w:rsidRDefault="001D0FDA" w:rsidP="00E1668E">
            <w:pPr>
              <w:pStyle w:val="Tabletext"/>
              <w:rPr>
                <w:rFonts w:cs="Tahoma"/>
                <w:i/>
                <w:szCs w:val="18"/>
              </w:rPr>
            </w:pPr>
            <w:r w:rsidRPr="00B14F10">
              <w:rPr>
                <w:rFonts w:cs="Tahoma"/>
                <w:i/>
                <w:szCs w:val="18"/>
              </w:rPr>
              <w:t>Inclusion criteria</w:t>
            </w:r>
          </w:p>
          <w:p w:rsidR="001D0FDA" w:rsidRDefault="001D0FDA" w:rsidP="00E1668E">
            <w:pPr>
              <w:pStyle w:val="Tabletext"/>
              <w:numPr>
                <w:ilvl w:val="0"/>
                <w:numId w:val="54"/>
              </w:numPr>
              <w:ind w:left="239" w:hanging="144"/>
              <w:rPr>
                <w:rFonts w:cs="Tahoma"/>
                <w:szCs w:val="18"/>
              </w:rPr>
            </w:pPr>
            <w:r>
              <w:rPr>
                <w:rFonts w:cs="Tahoma"/>
                <w:szCs w:val="18"/>
              </w:rPr>
              <w:t>Age of ≥</w:t>
            </w:r>
            <w:r w:rsidRPr="00B14F10">
              <w:rPr>
                <w:rFonts w:cs="Tahoma"/>
                <w:szCs w:val="18"/>
              </w:rPr>
              <w:t xml:space="preserve">16 years </w:t>
            </w:r>
          </w:p>
          <w:p w:rsidR="001D0FDA" w:rsidRDefault="001D0FDA" w:rsidP="00E1668E">
            <w:pPr>
              <w:pStyle w:val="Tabletext"/>
              <w:numPr>
                <w:ilvl w:val="0"/>
                <w:numId w:val="54"/>
              </w:numPr>
              <w:ind w:left="239" w:hanging="144"/>
              <w:rPr>
                <w:rFonts w:cs="Tahoma"/>
                <w:szCs w:val="18"/>
              </w:rPr>
            </w:pPr>
            <w:r>
              <w:rPr>
                <w:rFonts w:cs="Tahoma"/>
                <w:szCs w:val="18"/>
              </w:rPr>
              <w:t>Patients with IPAH, PAH-DT</w:t>
            </w:r>
            <w:r w:rsidRPr="00B14F10">
              <w:rPr>
                <w:rFonts w:cs="Tahoma"/>
                <w:szCs w:val="18"/>
              </w:rPr>
              <w:t xml:space="preserve">, PAH-CTD or PAH-CHD </w:t>
            </w:r>
          </w:p>
          <w:p w:rsidR="001D0FDA" w:rsidRPr="00B14F10" w:rsidRDefault="001D0FDA" w:rsidP="00E1668E">
            <w:pPr>
              <w:pStyle w:val="Tabletext"/>
              <w:numPr>
                <w:ilvl w:val="0"/>
                <w:numId w:val="54"/>
              </w:numPr>
              <w:ind w:left="239" w:hanging="144"/>
              <w:rPr>
                <w:rFonts w:cs="Tahoma"/>
                <w:szCs w:val="18"/>
              </w:rPr>
            </w:pPr>
            <w:r w:rsidRPr="00B14F10">
              <w:rPr>
                <w:rFonts w:cs="Tahoma"/>
                <w:szCs w:val="18"/>
              </w:rPr>
              <w:t xml:space="preserve">Patients </w:t>
            </w:r>
            <w:r>
              <w:rPr>
                <w:rFonts w:cs="Tahoma"/>
                <w:szCs w:val="18"/>
              </w:rPr>
              <w:t>who had</w:t>
            </w:r>
            <w:r w:rsidRPr="00B14F10">
              <w:rPr>
                <w:rFonts w:cs="Tahoma"/>
                <w:szCs w:val="18"/>
              </w:rPr>
              <w:t xml:space="preserve"> received epoprostenol for </w:t>
            </w:r>
            <w:r>
              <w:rPr>
                <w:rFonts w:cs="Tahoma"/>
                <w:szCs w:val="18"/>
              </w:rPr>
              <w:t>≥</w:t>
            </w:r>
            <w:r w:rsidRPr="00B14F10">
              <w:rPr>
                <w:rFonts w:cs="Tahoma"/>
                <w:szCs w:val="18"/>
              </w:rPr>
              <w:t xml:space="preserve">3 months, received the “optimal” dose with no change for </w:t>
            </w:r>
            <w:r>
              <w:rPr>
                <w:rFonts w:cs="Tahoma"/>
                <w:szCs w:val="18"/>
              </w:rPr>
              <w:t>≥</w:t>
            </w:r>
            <w:r w:rsidRPr="00B14F10">
              <w:rPr>
                <w:rFonts w:cs="Tahoma"/>
                <w:szCs w:val="18"/>
              </w:rPr>
              <w:t>4 weeks, and been stable for right heart catheteri</w:t>
            </w:r>
            <w:r>
              <w:rPr>
                <w:rFonts w:cs="Tahoma"/>
                <w:szCs w:val="18"/>
              </w:rPr>
              <w:t>sation</w:t>
            </w:r>
          </w:p>
          <w:p w:rsidR="001D0FDA" w:rsidRDefault="001D0FDA" w:rsidP="00E1668E">
            <w:pPr>
              <w:pStyle w:val="Tabletext"/>
              <w:rPr>
                <w:rFonts w:cs="Tahoma"/>
                <w:i/>
                <w:szCs w:val="18"/>
              </w:rPr>
            </w:pPr>
            <w:r>
              <w:rPr>
                <w:rFonts w:cs="Tahoma"/>
                <w:i/>
                <w:szCs w:val="18"/>
              </w:rPr>
              <w:t>Exclusion criteria</w:t>
            </w:r>
          </w:p>
          <w:p w:rsidR="001D0FDA" w:rsidRDefault="001D0FDA" w:rsidP="00E1668E">
            <w:pPr>
              <w:pStyle w:val="Tabletext"/>
              <w:numPr>
                <w:ilvl w:val="0"/>
                <w:numId w:val="54"/>
              </w:numPr>
              <w:ind w:left="239" w:hanging="144"/>
              <w:rPr>
                <w:rFonts w:cs="Tahoma"/>
                <w:szCs w:val="18"/>
              </w:rPr>
            </w:pPr>
            <w:r w:rsidRPr="00B14F10">
              <w:rPr>
                <w:rFonts w:cs="Tahoma"/>
                <w:szCs w:val="18"/>
              </w:rPr>
              <w:t>Patients who had a change in epoprostenol dose within 4 weeks before receiving the randomly assigned drug</w:t>
            </w:r>
          </w:p>
          <w:p w:rsidR="001D0FDA" w:rsidRDefault="001D0FDA" w:rsidP="00E1668E">
            <w:pPr>
              <w:pStyle w:val="Tabletext"/>
              <w:numPr>
                <w:ilvl w:val="0"/>
                <w:numId w:val="54"/>
              </w:numPr>
              <w:ind w:left="239" w:hanging="144"/>
              <w:rPr>
                <w:rFonts w:cs="Tahoma"/>
                <w:szCs w:val="18"/>
              </w:rPr>
            </w:pPr>
            <w:r>
              <w:rPr>
                <w:rFonts w:cs="Tahoma"/>
                <w:szCs w:val="18"/>
              </w:rPr>
              <w:t xml:space="preserve">Patients who were </w:t>
            </w:r>
            <w:r w:rsidRPr="00B14F10">
              <w:rPr>
                <w:rFonts w:cs="Tahoma"/>
                <w:szCs w:val="18"/>
              </w:rPr>
              <w:t>receiving bosentan, nitrates, or nitric oxide donor drugs</w:t>
            </w:r>
          </w:p>
          <w:p w:rsidR="002D2E0E" w:rsidRPr="00E1668E" w:rsidRDefault="001D0FDA" w:rsidP="00E1668E">
            <w:pPr>
              <w:pStyle w:val="Tabletext"/>
              <w:numPr>
                <w:ilvl w:val="0"/>
                <w:numId w:val="54"/>
              </w:numPr>
              <w:ind w:left="239" w:hanging="144"/>
              <w:rPr>
                <w:rFonts w:cs="Tahoma"/>
                <w:i/>
                <w:szCs w:val="18"/>
              </w:rPr>
            </w:pPr>
            <w:r>
              <w:rPr>
                <w:rFonts w:cs="Tahoma"/>
                <w:szCs w:val="18"/>
              </w:rPr>
              <w:t>P</w:t>
            </w:r>
            <w:r w:rsidRPr="00B14F10">
              <w:rPr>
                <w:rFonts w:cs="Tahoma"/>
                <w:szCs w:val="18"/>
              </w:rPr>
              <w:t>atients with cardiovascular disease, retinopathy or chroni</w:t>
            </w:r>
            <w:r>
              <w:rPr>
                <w:rFonts w:cs="Tahoma"/>
                <w:szCs w:val="18"/>
              </w:rPr>
              <w:t xml:space="preserve">c </w:t>
            </w:r>
            <w:r w:rsidRPr="00B203E1">
              <w:rPr>
                <w:rFonts w:cs="Tahoma"/>
                <w:szCs w:val="18"/>
              </w:rPr>
              <w:t>obstructive pulmonary disease</w:t>
            </w:r>
          </w:p>
          <w:p w:rsidR="00E1668E" w:rsidRPr="002D2E0E" w:rsidRDefault="00E1668E" w:rsidP="00E1668E">
            <w:pPr>
              <w:pStyle w:val="Tabletext"/>
              <w:rPr>
                <w:rFonts w:cs="Tahoma"/>
                <w:i/>
                <w:szCs w:val="18"/>
              </w:rPr>
            </w:pPr>
          </w:p>
        </w:tc>
        <w:tc>
          <w:tcPr>
            <w:tcW w:w="0" w:type="auto"/>
          </w:tcPr>
          <w:p w:rsidR="001D0FDA" w:rsidRDefault="001D0FDA" w:rsidP="00E1668E">
            <w:pPr>
              <w:pStyle w:val="Tabletext"/>
              <w:rPr>
                <w:rFonts w:cs="Tahoma"/>
                <w:szCs w:val="18"/>
              </w:rPr>
            </w:pPr>
            <w:r>
              <w:rPr>
                <w:rFonts w:cs="Tahoma"/>
                <w:szCs w:val="18"/>
              </w:rPr>
              <w:t>N=267</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PACES-1"/>
            </w:tblPr>
            <w:tblGrid>
              <w:gridCol w:w="2101"/>
              <w:gridCol w:w="1001"/>
              <w:gridCol w:w="1134"/>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1D0FDA" w:rsidRPr="00351FF5" w:rsidRDefault="001D0FDA" w:rsidP="00570FC8">
                  <w:pPr>
                    <w:pStyle w:val="Tabletext"/>
                    <w:framePr w:hSpace="181" w:wrap="around" w:hAnchor="text" w:yAlign="bottom"/>
                    <w:spacing w:before="0" w:after="0"/>
                    <w:suppressOverlap/>
                    <w:rPr>
                      <w:rFonts w:cs="Tahoma"/>
                      <w:b/>
                      <w:szCs w:val="18"/>
                    </w:rPr>
                  </w:pPr>
                </w:p>
              </w:tc>
              <w:tc>
                <w:tcPr>
                  <w:tcW w:w="1001"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Pr>
                      <w:rFonts w:cs="Tahoma"/>
                      <w:szCs w:val="18"/>
                    </w:rPr>
                    <w:t>Sildenafil</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134</w:t>
                  </w:r>
                  <w:r w:rsidRPr="00802B85">
                    <w:rPr>
                      <w:rFonts w:cs="Tahoma"/>
                      <w:szCs w:val="18"/>
                    </w:rPr>
                    <w:t>)</w:t>
                  </w:r>
                </w:p>
              </w:tc>
              <w:tc>
                <w:tcPr>
                  <w:tcW w:w="1134" w:type="dxa"/>
                  <w:shd w:val="clear" w:color="auto" w:fill="FFFFFF" w:themeFill="background1"/>
                </w:tcPr>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Placebo</w:t>
                  </w:r>
                </w:p>
                <w:p w:rsidR="001D0FDA" w:rsidRPr="00802B85" w:rsidRDefault="001D0FDA"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133</w:t>
                  </w:r>
                  <w:r w:rsidRPr="00802B85">
                    <w:rPr>
                      <w:rFonts w:cs="Tahoma"/>
                      <w:szCs w:val="18"/>
                    </w:rPr>
                    <w:t>)</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001" w:type="dxa"/>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48±13</w:t>
                  </w:r>
                </w:p>
              </w:tc>
              <w:tc>
                <w:tcPr>
                  <w:tcW w:w="1134" w:type="dxa"/>
                </w:tcPr>
                <w:p w:rsidR="001D0FDA" w:rsidRPr="00351FF5" w:rsidRDefault="001D0FDA" w:rsidP="00570FC8">
                  <w:pPr>
                    <w:pStyle w:val="Tabletext"/>
                    <w:framePr w:hSpace="181" w:wrap="around" w:hAnchor="text" w:yAlign="bottom"/>
                    <w:spacing w:before="0" w:after="0"/>
                    <w:suppressOverlap/>
                    <w:jc w:val="center"/>
                    <w:rPr>
                      <w:rFonts w:cs="Tahoma"/>
                      <w:szCs w:val="18"/>
                    </w:rPr>
                  </w:pPr>
                  <w:r w:rsidRPr="00351FF5">
                    <w:rPr>
                      <w:rFonts w:cs="Tahoma"/>
                      <w:szCs w:val="18"/>
                    </w:rPr>
                    <w:t>4</w:t>
                  </w:r>
                  <w:r>
                    <w:rPr>
                      <w:rFonts w:cs="Tahoma"/>
                      <w:szCs w:val="18"/>
                    </w:rPr>
                    <w:t>8±13</w:t>
                  </w:r>
                </w:p>
              </w:tc>
            </w:tr>
            <w:tr w:rsidR="001D0FDA" w:rsidRPr="00351FF5" w:rsidTr="001D0FDA">
              <w:tc>
                <w:tcPr>
                  <w:tcW w:w="2101"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01"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110 (82%)</w:t>
                  </w:r>
                </w:p>
              </w:tc>
              <w:tc>
                <w:tcPr>
                  <w:tcW w:w="1134" w:type="dxa"/>
                  <w:tcBorders>
                    <w:bottom w:val="single" w:sz="4" w:space="0" w:color="BFBFBF" w:themeColor="background1" w:themeShade="BF"/>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103 (77%)</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001"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IPAH</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107 (80%)</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105 (79%)</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PAH-CTD</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27 (20%)</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28 (21%)</w:t>
                  </w:r>
                </w:p>
              </w:tc>
            </w:tr>
            <w:tr w:rsidR="001D0FDA" w:rsidRPr="00351FF5" w:rsidTr="001D0FDA">
              <w:tc>
                <w:tcPr>
                  <w:tcW w:w="2101" w:type="dxa"/>
                  <w:tcBorders>
                    <w:bottom w:val="nil"/>
                  </w:tcBorders>
                </w:tcPr>
                <w:p w:rsidR="001D0FDA" w:rsidRPr="00351FF5" w:rsidRDefault="001D0FDA"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001"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 (1%)</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2 (2%)</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sidRPr="00351FF5">
                    <w:rPr>
                      <w:rFonts w:cs="Tahoma"/>
                      <w:szCs w:val="18"/>
                    </w:rPr>
                    <w:t>II</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34 (25%)</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34 (26%)</w:t>
                  </w:r>
                </w:p>
              </w:tc>
            </w:tr>
            <w:tr w:rsidR="001D0FDA" w:rsidRPr="00351FF5" w:rsidTr="001D0FDA">
              <w:tc>
                <w:tcPr>
                  <w:tcW w:w="2101" w:type="dxa"/>
                  <w:tcBorders>
                    <w:top w:val="nil"/>
                    <w:bottom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III</w:t>
                  </w:r>
                </w:p>
              </w:tc>
              <w:tc>
                <w:tcPr>
                  <w:tcW w:w="1001"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88 (66%)</w:t>
                  </w:r>
                </w:p>
              </w:tc>
              <w:tc>
                <w:tcPr>
                  <w:tcW w:w="1134" w:type="dxa"/>
                  <w:tcBorders>
                    <w:top w:val="nil"/>
                    <w:bottom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87 (65%)</w:t>
                  </w:r>
                </w:p>
              </w:tc>
            </w:tr>
            <w:tr w:rsidR="001D0FDA" w:rsidRPr="00351FF5" w:rsidTr="001D0FDA">
              <w:tc>
                <w:tcPr>
                  <w:tcW w:w="2101" w:type="dxa"/>
                  <w:tcBorders>
                    <w:top w:val="nil"/>
                    <w:bottom w:val="nil"/>
                  </w:tcBorders>
                </w:tcPr>
                <w:p w:rsidR="001D0FDA" w:rsidRDefault="001D0FDA" w:rsidP="00570FC8">
                  <w:pPr>
                    <w:pStyle w:val="Tabletext"/>
                    <w:framePr w:hSpace="181" w:wrap="around" w:hAnchor="text" w:yAlign="bottom"/>
                    <w:spacing w:before="0" w:after="0"/>
                    <w:ind w:left="196"/>
                    <w:suppressOverlap/>
                    <w:rPr>
                      <w:rFonts w:cs="Tahoma"/>
                      <w:szCs w:val="18"/>
                    </w:rPr>
                  </w:pPr>
                  <w:r>
                    <w:rPr>
                      <w:rFonts w:cs="Tahoma"/>
                      <w:szCs w:val="18"/>
                    </w:rPr>
                    <w:t>IV</w:t>
                  </w:r>
                </w:p>
              </w:tc>
              <w:tc>
                <w:tcPr>
                  <w:tcW w:w="1001" w:type="dxa"/>
                  <w:tcBorders>
                    <w:top w:val="nil"/>
                    <w:bottom w:val="nil"/>
                  </w:tcBorders>
                </w:tcPr>
                <w:p w:rsidR="001D0FDA" w:rsidRDefault="001D0FDA" w:rsidP="00570FC8">
                  <w:pPr>
                    <w:pStyle w:val="Tabletext"/>
                    <w:framePr w:hSpace="181" w:wrap="around" w:hAnchor="text" w:yAlign="bottom"/>
                    <w:spacing w:before="0" w:after="0"/>
                    <w:suppressOverlap/>
                    <w:jc w:val="center"/>
                    <w:rPr>
                      <w:rFonts w:cs="Tahoma"/>
                      <w:szCs w:val="18"/>
                    </w:rPr>
                  </w:pPr>
                  <w:r>
                    <w:rPr>
                      <w:rFonts w:cs="Tahoma"/>
                      <w:szCs w:val="18"/>
                    </w:rPr>
                    <w:t>10 (7%)</w:t>
                  </w:r>
                </w:p>
              </w:tc>
              <w:tc>
                <w:tcPr>
                  <w:tcW w:w="1134" w:type="dxa"/>
                  <w:tcBorders>
                    <w:top w:val="nil"/>
                    <w:bottom w:val="nil"/>
                  </w:tcBorders>
                </w:tcPr>
                <w:p w:rsidR="001D0FDA" w:rsidRDefault="001D0FDA" w:rsidP="00570FC8">
                  <w:pPr>
                    <w:pStyle w:val="Tabletext"/>
                    <w:framePr w:hSpace="181" w:wrap="around" w:hAnchor="text" w:yAlign="bottom"/>
                    <w:spacing w:before="0" w:after="0"/>
                    <w:suppressOverlap/>
                    <w:jc w:val="center"/>
                    <w:rPr>
                      <w:rFonts w:cs="Tahoma"/>
                      <w:szCs w:val="18"/>
                    </w:rPr>
                  </w:pPr>
                  <w:r>
                    <w:rPr>
                      <w:rFonts w:cs="Tahoma"/>
                      <w:szCs w:val="18"/>
                    </w:rPr>
                    <w:t>6 (5%)</w:t>
                  </w:r>
                </w:p>
              </w:tc>
            </w:tr>
            <w:tr w:rsidR="001D0FDA" w:rsidRPr="00351FF5" w:rsidTr="001D0FDA">
              <w:tc>
                <w:tcPr>
                  <w:tcW w:w="2101" w:type="dxa"/>
                  <w:tcBorders>
                    <w:top w:val="nil"/>
                  </w:tcBorders>
                </w:tcPr>
                <w:p w:rsidR="001D0FDA" w:rsidRPr="00351FF5" w:rsidRDefault="001D0FDA" w:rsidP="00570FC8">
                  <w:pPr>
                    <w:pStyle w:val="Tabletext"/>
                    <w:framePr w:hSpace="181" w:wrap="around" w:hAnchor="text" w:yAlign="bottom"/>
                    <w:spacing w:before="0" w:after="0"/>
                    <w:ind w:left="196"/>
                    <w:suppressOverlap/>
                    <w:rPr>
                      <w:rFonts w:cs="Tahoma"/>
                      <w:szCs w:val="18"/>
                    </w:rPr>
                  </w:pPr>
                  <w:r>
                    <w:rPr>
                      <w:rFonts w:cs="Tahoma"/>
                      <w:szCs w:val="18"/>
                    </w:rPr>
                    <w:t>Missing</w:t>
                  </w:r>
                </w:p>
              </w:tc>
              <w:tc>
                <w:tcPr>
                  <w:tcW w:w="1001" w:type="dxa"/>
                  <w:tcBorders>
                    <w:top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1 (1%)</w:t>
                  </w:r>
                </w:p>
              </w:tc>
              <w:tc>
                <w:tcPr>
                  <w:tcW w:w="1134" w:type="dxa"/>
                  <w:tcBorders>
                    <w:top w:val="nil"/>
                  </w:tcBorders>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4 (3%)</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sidRPr="00351FF5">
                    <w:rPr>
                      <w:rFonts w:cs="Tahoma"/>
                      <w:szCs w:val="18"/>
                    </w:rPr>
                    <w:t>mPAP, mean±SD (mmHg)</w:t>
                  </w:r>
                </w:p>
              </w:tc>
              <w:tc>
                <w:tcPr>
                  <w:tcW w:w="1001"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52±11</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51±13</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Pr>
                      <w:rFonts w:cs="Tahoma"/>
                      <w:szCs w:val="18"/>
                    </w:rPr>
                    <w:t>PVR, mean±SD (dyn*s*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01"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857±363</w:t>
                  </w:r>
                </w:p>
              </w:tc>
              <w:tc>
                <w:tcPr>
                  <w:tcW w:w="1134" w:type="dxa"/>
                  <w:vAlign w:val="center"/>
                </w:tcPr>
                <w:p w:rsidR="001D0FDA" w:rsidRPr="00351FF5" w:rsidRDefault="001D0FDA" w:rsidP="00570FC8">
                  <w:pPr>
                    <w:pStyle w:val="Tabletext"/>
                    <w:framePr w:hSpace="181" w:wrap="around" w:hAnchor="text" w:yAlign="bottom"/>
                    <w:spacing w:before="0" w:after="0"/>
                    <w:suppressOverlap/>
                    <w:jc w:val="center"/>
                    <w:rPr>
                      <w:rFonts w:cs="Tahoma"/>
                      <w:szCs w:val="18"/>
                    </w:rPr>
                  </w:pPr>
                  <w:r>
                    <w:rPr>
                      <w:rFonts w:cs="Tahoma"/>
                      <w:szCs w:val="18"/>
                    </w:rPr>
                    <w:t>755±368</w:t>
                  </w:r>
                </w:p>
              </w:tc>
            </w:tr>
            <w:tr w:rsidR="001D0FDA" w:rsidRPr="00351FF5" w:rsidTr="001D0FDA">
              <w:tc>
                <w:tcPr>
                  <w:tcW w:w="2101" w:type="dxa"/>
                </w:tcPr>
                <w:p w:rsidR="001D0FDA" w:rsidRPr="00351FF5" w:rsidRDefault="001D0FDA" w:rsidP="00570FC8">
                  <w:pPr>
                    <w:pStyle w:val="Tabletext"/>
                    <w:framePr w:hSpace="181" w:wrap="around" w:hAnchor="text" w:yAlign="bottom"/>
                    <w:spacing w:before="0" w:after="0"/>
                    <w:suppressOverlap/>
                    <w:rPr>
                      <w:rFonts w:cs="Tahoma"/>
                      <w:szCs w:val="18"/>
                    </w:rPr>
                  </w:pPr>
                  <w:r>
                    <w:rPr>
                      <w:rFonts w:cs="Tahoma"/>
                      <w:szCs w:val="18"/>
                    </w:rPr>
                    <w:t>Epoprostenol dose, median (range) (ng/kg/min)</w:t>
                  </w:r>
                </w:p>
              </w:tc>
              <w:tc>
                <w:tcPr>
                  <w:tcW w:w="1001" w:type="dxa"/>
                  <w:vAlign w:val="center"/>
                </w:tcPr>
                <w:p w:rsidR="001D0FDA" w:rsidRDefault="001D0FDA" w:rsidP="00570FC8">
                  <w:pPr>
                    <w:pStyle w:val="Tabletext"/>
                    <w:framePr w:hSpace="181" w:wrap="around" w:hAnchor="text" w:yAlign="bottom"/>
                    <w:spacing w:before="0" w:after="0"/>
                    <w:suppressOverlap/>
                    <w:jc w:val="center"/>
                    <w:rPr>
                      <w:rFonts w:cs="Tahoma"/>
                      <w:szCs w:val="18"/>
                    </w:rPr>
                  </w:pPr>
                  <w:r>
                    <w:rPr>
                      <w:rFonts w:cs="Tahoma"/>
                      <w:szCs w:val="18"/>
                    </w:rPr>
                    <w:t>28 (3-179)</w:t>
                  </w:r>
                </w:p>
              </w:tc>
              <w:tc>
                <w:tcPr>
                  <w:tcW w:w="1134" w:type="dxa"/>
                  <w:vAlign w:val="center"/>
                </w:tcPr>
                <w:p w:rsidR="001D0FDA" w:rsidRDefault="001D0FDA" w:rsidP="00570FC8">
                  <w:pPr>
                    <w:pStyle w:val="Tabletext"/>
                    <w:framePr w:hSpace="181" w:wrap="around" w:hAnchor="text" w:yAlign="bottom"/>
                    <w:spacing w:before="0" w:after="0"/>
                    <w:suppressOverlap/>
                    <w:jc w:val="center"/>
                    <w:rPr>
                      <w:rFonts w:cs="Tahoma"/>
                      <w:szCs w:val="18"/>
                    </w:rPr>
                  </w:pPr>
                  <w:r>
                    <w:rPr>
                      <w:rFonts w:cs="Tahoma"/>
                      <w:szCs w:val="18"/>
                    </w:rPr>
                    <w:t>29 (4-181)</w:t>
                  </w:r>
                </w:p>
              </w:tc>
            </w:tr>
          </w:tbl>
          <w:p w:rsidR="001D0FDA" w:rsidRDefault="001D0FDA" w:rsidP="00E1668E">
            <w:pPr>
              <w:pStyle w:val="Tabletext"/>
              <w:rPr>
                <w:szCs w:val="18"/>
              </w:rPr>
            </w:pPr>
          </w:p>
        </w:tc>
        <w:tc>
          <w:tcPr>
            <w:tcW w:w="811" w:type="pct"/>
          </w:tcPr>
          <w:p w:rsidR="001D0FDA" w:rsidRDefault="001D0FDA" w:rsidP="00E1668E">
            <w:pPr>
              <w:pStyle w:val="Tabletext"/>
              <w:rPr>
                <w:i/>
              </w:rPr>
            </w:pPr>
            <w:r>
              <w:rPr>
                <w:i/>
              </w:rPr>
              <w:t>Intervention</w:t>
            </w:r>
          </w:p>
          <w:p w:rsidR="001D0FDA" w:rsidRPr="00C80EBF" w:rsidRDefault="001D0FDA" w:rsidP="00E1668E">
            <w:pPr>
              <w:pStyle w:val="Tabletext"/>
            </w:pPr>
            <w:r w:rsidRPr="00C80EBF">
              <w:t>Sildenafil</w:t>
            </w:r>
            <w:r>
              <w:t>: 20</w:t>
            </w:r>
            <w:r w:rsidR="00DB2A13">
              <w:t> </w:t>
            </w:r>
            <w:r w:rsidRPr="00C80EBF">
              <w:t xml:space="preserve">mg </w:t>
            </w:r>
            <w:r>
              <w:t xml:space="preserve">tid for </w:t>
            </w:r>
            <w:r w:rsidRPr="00C80EBF">
              <w:t>4 weeks</w:t>
            </w:r>
            <w:r>
              <w:t>,</w:t>
            </w:r>
            <w:r w:rsidRPr="00C80EBF">
              <w:t xml:space="preserve"> then up-titrat</w:t>
            </w:r>
            <w:r>
              <w:t>ed</w:t>
            </w:r>
            <w:r w:rsidRPr="00C80EBF">
              <w:t xml:space="preserve"> to </w:t>
            </w:r>
            <w:r>
              <w:t>40</w:t>
            </w:r>
            <w:r w:rsidR="00DB2A13">
              <w:t> </w:t>
            </w:r>
            <w:r w:rsidRPr="00C80EBF">
              <w:t xml:space="preserve">mg </w:t>
            </w:r>
            <w:r>
              <w:t>tid</w:t>
            </w:r>
            <w:r w:rsidRPr="00C80EBF">
              <w:t xml:space="preserve"> for a further 4 weeks</w:t>
            </w:r>
            <w:r>
              <w:t>, then</w:t>
            </w:r>
            <w:r w:rsidRPr="00C80EBF">
              <w:t xml:space="preserve"> up-titrat</w:t>
            </w:r>
            <w:r>
              <w:t>ed to 80</w:t>
            </w:r>
            <w:r w:rsidR="00DB2A13">
              <w:t> </w:t>
            </w:r>
            <w:r w:rsidRPr="00C80EBF">
              <w:t>mg</w:t>
            </w:r>
            <w:r>
              <w:t xml:space="preserve"> tid for </w:t>
            </w:r>
            <w:r w:rsidRPr="00C80EBF">
              <w:t>the last 8 weeks.</w:t>
            </w:r>
          </w:p>
          <w:p w:rsidR="001D0FDA" w:rsidRDefault="001D0FDA" w:rsidP="00E1668E">
            <w:pPr>
              <w:pStyle w:val="Tabletext"/>
              <w:rPr>
                <w:i/>
              </w:rPr>
            </w:pPr>
          </w:p>
          <w:p w:rsidR="001D0FDA" w:rsidRDefault="001D0FDA" w:rsidP="00E1668E">
            <w:pPr>
              <w:pStyle w:val="Tabletext"/>
              <w:rPr>
                <w:i/>
              </w:rPr>
            </w:pPr>
            <w:r>
              <w:rPr>
                <w:i/>
              </w:rPr>
              <w:t>Comparator</w:t>
            </w:r>
          </w:p>
          <w:p w:rsidR="001D0FDA" w:rsidRDefault="001D0FDA" w:rsidP="00E1668E">
            <w:pPr>
              <w:pStyle w:val="Tabletext"/>
            </w:pPr>
            <w:r>
              <w:t xml:space="preserve">Placebo </w:t>
            </w:r>
          </w:p>
          <w:p w:rsidR="001D0FDA" w:rsidRPr="00C80EBF" w:rsidRDefault="001D0FDA" w:rsidP="00E1668E">
            <w:pPr>
              <w:pStyle w:val="Tabletext"/>
            </w:pPr>
          </w:p>
          <w:p w:rsidR="001D0FDA" w:rsidRDefault="001D0FDA" w:rsidP="00E1668E">
            <w:pPr>
              <w:pStyle w:val="Tabletext"/>
              <w:rPr>
                <w:i/>
              </w:rPr>
            </w:pPr>
            <w:r>
              <w:rPr>
                <w:i/>
              </w:rPr>
              <w:t>B</w:t>
            </w:r>
            <w:r w:rsidRPr="00C80EBF">
              <w:rPr>
                <w:i/>
              </w:rPr>
              <w:t xml:space="preserve">ackground </w:t>
            </w:r>
            <w:r>
              <w:rPr>
                <w:i/>
              </w:rPr>
              <w:t>therapy</w:t>
            </w:r>
          </w:p>
          <w:p w:rsidR="001D0FDA" w:rsidRPr="00C5431E" w:rsidRDefault="001D0FDA" w:rsidP="00E1668E">
            <w:pPr>
              <w:pStyle w:val="Tabletext"/>
              <w:rPr>
                <w:i/>
              </w:rPr>
            </w:pPr>
            <w:r w:rsidRPr="00C80EBF">
              <w:t>Epoprostenol</w:t>
            </w:r>
            <w:r>
              <w:t xml:space="preserve"> (100%): 3-181</w:t>
            </w:r>
            <w:r w:rsidR="00DB2A13">
              <w:t> </w:t>
            </w:r>
            <w:r>
              <w:t>ng/</w:t>
            </w:r>
            <w:r w:rsidRPr="00C80EBF">
              <w:t>kg</w:t>
            </w:r>
            <w:r>
              <w:t>/min</w:t>
            </w:r>
          </w:p>
        </w:tc>
        <w:tc>
          <w:tcPr>
            <w:tcW w:w="771" w:type="pct"/>
          </w:tcPr>
          <w:p w:rsidR="001D0FDA" w:rsidRDefault="001D0FDA" w:rsidP="00E1668E">
            <w:pPr>
              <w:pStyle w:val="Tabletext"/>
              <w:rPr>
                <w:rFonts w:cs="Tahoma"/>
                <w:i/>
                <w:szCs w:val="18"/>
              </w:rPr>
            </w:pPr>
            <w:r>
              <w:rPr>
                <w:rFonts w:cs="Tahoma"/>
                <w:i/>
                <w:szCs w:val="18"/>
              </w:rPr>
              <w:t>Effectiveness</w:t>
            </w:r>
          </w:p>
          <w:p w:rsidR="001D0FDA" w:rsidRDefault="001D0FDA" w:rsidP="00E1668E">
            <w:pPr>
              <w:pStyle w:val="Tabletext"/>
              <w:rPr>
                <w:rFonts w:cs="Tahoma"/>
                <w:szCs w:val="18"/>
              </w:rPr>
            </w:pPr>
            <w:r>
              <w:rPr>
                <w:rFonts w:cs="Tahoma"/>
                <w:szCs w:val="18"/>
              </w:rPr>
              <w:t>Primary:</w:t>
            </w:r>
          </w:p>
          <w:p w:rsidR="001D0FDA" w:rsidRDefault="001D0FDA" w:rsidP="00E1668E">
            <w:pPr>
              <w:pStyle w:val="Tabletext"/>
              <w:numPr>
                <w:ilvl w:val="0"/>
                <w:numId w:val="54"/>
              </w:numPr>
              <w:ind w:left="239" w:hanging="144"/>
              <w:rPr>
                <w:rFonts w:cs="Tahoma"/>
                <w:szCs w:val="18"/>
              </w:rPr>
            </w:pPr>
            <w:r w:rsidRPr="00CE4EB9">
              <w:rPr>
                <w:rFonts w:cs="Tahoma"/>
                <w:szCs w:val="18"/>
              </w:rPr>
              <w:t>Change in 6MWD</w:t>
            </w:r>
            <w:r>
              <w:rPr>
                <w:rFonts w:cs="Tahoma"/>
                <w:szCs w:val="18"/>
              </w:rPr>
              <w:t xml:space="preserve"> at Week 16</w:t>
            </w:r>
            <w:r>
              <w:rPr>
                <w:rFonts w:cs="Tahoma"/>
                <w:szCs w:val="18"/>
                <w:vertAlign w:val="superscript"/>
              </w:rPr>
              <w:t>c</w:t>
            </w:r>
            <w:r w:rsidRPr="00CE4EB9">
              <w:rPr>
                <w:rFonts w:cs="Tahoma"/>
                <w:szCs w:val="18"/>
              </w:rPr>
              <w:t xml:space="preserve"> </w:t>
            </w:r>
          </w:p>
          <w:p w:rsidR="001D0FDA" w:rsidRPr="00CE4EB9" w:rsidRDefault="001D0FDA" w:rsidP="00E1668E">
            <w:pPr>
              <w:pStyle w:val="Tabletext"/>
              <w:rPr>
                <w:rFonts w:cs="Tahoma"/>
                <w:szCs w:val="18"/>
              </w:rPr>
            </w:pPr>
            <w:r>
              <w:rPr>
                <w:rFonts w:cs="Tahoma"/>
                <w:szCs w:val="18"/>
              </w:rPr>
              <w:t>Secondary:</w:t>
            </w:r>
          </w:p>
          <w:p w:rsidR="001D0FDA" w:rsidRDefault="001D0FDA" w:rsidP="00E1668E">
            <w:pPr>
              <w:pStyle w:val="Tabletext"/>
              <w:numPr>
                <w:ilvl w:val="0"/>
                <w:numId w:val="54"/>
              </w:numPr>
              <w:ind w:left="239" w:hanging="144"/>
              <w:rPr>
                <w:rFonts w:cs="Tahoma"/>
                <w:szCs w:val="18"/>
              </w:rPr>
            </w:pPr>
            <w:r>
              <w:rPr>
                <w:rFonts w:cs="Tahoma"/>
                <w:szCs w:val="18"/>
              </w:rPr>
              <w:t xml:space="preserve">Change in </w:t>
            </w:r>
            <w:r w:rsidRPr="001E2F2E">
              <w:rPr>
                <w:rFonts w:cs="Tahoma"/>
                <w:szCs w:val="18"/>
              </w:rPr>
              <w:t>PVR, mPAP and mRAP</w:t>
            </w:r>
            <w:r w:rsidRPr="00EA1FCD">
              <w:rPr>
                <w:rFonts w:cs="Tahoma"/>
                <w:szCs w:val="18"/>
                <w:vertAlign w:val="superscript"/>
              </w:rPr>
              <w:t>c</w:t>
            </w:r>
          </w:p>
          <w:p w:rsidR="001D0FDA" w:rsidRPr="00CE4EB9" w:rsidRDefault="001D0FDA" w:rsidP="00E1668E">
            <w:pPr>
              <w:pStyle w:val="Tabletext"/>
              <w:numPr>
                <w:ilvl w:val="0"/>
                <w:numId w:val="54"/>
              </w:numPr>
              <w:ind w:left="239" w:hanging="144"/>
              <w:rPr>
                <w:rFonts w:cs="Tahoma"/>
                <w:szCs w:val="18"/>
              </w:rPr>
            </w:pPr>
            <w:r>
              <w:rPr>
                <w:rFonts w:cs="Tahoma"/>
                <w:szCs w:val="18"/>
              </w:rPr>
              <w:t>Time to clinical worsening</w:t>
            </w:r>
            <w:r>
              <w:rPr>
                <w:rFonts w:cs="Tahoma"/>
                <w:szCs w:val="18"/>
                <w:vertAlign w:val="superscript"/>
              </w:rPr>
              <w:t>c</w:t>
            </w:r>
          </w:p>
          <w:p w:rsidR="001D0FDA" w:rsidRPr="00CE4EB9" w:rsidRDefault="001D0FDA" w:rsidP="00E1668E">
            <w:pPr>
              <w:pStyle w:val="Tabletext"/>
              <w:numPr>
                <w:ilvl w:val="0"/>
                <w:numId w:val="54"/>
              </w:numPr>
              <w:ind w:left="239" w:hanging="144"/>
              <w:rPr>
                <w:rFonts w:cs="Tahoma"/>
                <w:szCs w:val="18"/>
              </w:rPr>
            </w:pPr>
            <w:r>
              <w:rPr>
                <w:rFonts w:cs="Tahoma"/>
                <w:szCs w:val="18"/>
              </w:rPr>
              <w:t>Change in BDS</w:t>
            </w:r>
            <w:r>
              <w:rPr>
                <w:rFonts w:cs="Tahoma"/>
                <w:szCs w:val="18"/>
                <w:vertAlign w:val="superscript"/>
              </w:rPr>
              <w:t>c</w:t>
            </w:r>
          </w:p>
          <w:p w:rsidR="001D0FDA" w:rsidRPr="001E2F2E" w:rsidRDefault="001D0FDA" w:rsidP="00E1668E">
            <w:pPr>
              <w:pStyle w:val="Tabletext"/>
              <w:numPr>
                <w:ilvl w:val="0"/>
                <w:numId w:val="54"/>
              </w:numPr>
              <w:ind w:left="239" w:hanging="144"/>
              <w:rPr>
                <w:rFonts w:cs="Tahoma"/>
                <w:i/>
                <w:szCs w:val="18"/>
              </w:rPr>
            </w:pPr>
            <w:r>
              <w:rPr>
                <w:rFonts w:cs="Tahoma"/>
                <w:szCs w:val="18"/>
              </w:rPr>
              <w:t xml:space="preserve">Change in </w:t>
            </w:r>
            <w:r w:rsidRPr="00CE4EB9">
              <w:rPr>
                <w:rFonts w:cs="Tahoma"/>
                <w:szCs w:val="18"/>
              </w:rPr>
              <w:t>SF-36</w:t>
            </w:r>
            <w:r>
              <w:rPr>
                <w:rFonts w:cs="Tahoma"/>
                <w:szCs w:val="18"/>
              </w:rPr>
              <w:t xml:space="preserve"> score</w:t>
            </w:r>
          </w:p>
          <w:p w:rsidR="001D0FDA" w:rsidRDefault="001D0FDA" w:rsidP="00E1668E">
            <w:pPr>
              <w:pStyle w:val="Tabletext"/>
              <w:rPr>
                <w:rFonts w:cs="Tahoma"/>
                <w:szCs w:val="18"/>
              </w:rPr>
            </w:pPr>
            <w:r>
              <w:rPr>
                <w:rFonts w:cs="Tahoma"/>
                <w:szCs w:val="18"/>
              </w:rPr>
              <w:t>Other:</w:t>
            </w:r>
          </w:p>
          <w:p w:rsidR="001D0FDA" w:rsidRDefault="001D0FDA" w:rsidP="00E1668E">
            <w:pPr>
              <w:pStyle w:val="Tabletext"/>
              <w:numPr>
                <w:ilvl w:val="0"/>
                <w:numId w:val="54"/>
              </w:numPr>
              <w:ind w:left="239" w:hanging="144"/>
              <w:rPr>
                <w:rFonts w:cs="Tahoma"/>
                <w:szCs w:val="18"/>
              </w:rPr>
            </w:pPr>
            <w:r>
              <w:rPr>
                <w:rFonts w:cs="Tahoma"/>
                <w:szCs w:val="18"/>
              </w:rPr>
              <w:t>Mortality</w:t>
            </w:r>
            <w:r w:rsidRPr="00EA1FCD">
              <w:rPr>
                <w:rFonts w:cs="Tahoma"/>
                <w:szCs w:val="18"/>
                <w:vertAlign w:val="superscript"/>
              </w:rPr>
              <w:t>c</w:t>
            </w:r>
          </w:p>
          <w:p w:rsidR="001D0FDA" w:rsidRPr="00EA1FCD" w:rsidRDefault="001D0FDA" w:rsidP="00E1668E">
            <w:pPr>
              <w:pStyle w:val="Tabletext"/>
              <w:numPr>
                <w:ilvl w:val="0"/>
                <w:numId w:val="54"/>
              </w:numPr>
              <w:ind w:left="239" w:hanging="144"/>
              <w:rPr>
                <w:rFonts w:cs="Tahoma"/>
                <w:szCs w:val="18"/>
              </w:rPr>
            </w:pPr>
            <w:r>
              <w:rPr>
                <w:rFonts w:cs="Tahoma"/>
                <w:szCs w:val="18"/>
              </w:rPr>
              <w:t>Hospitalisation</w:t>
            </w:r>
            <w:r w:rsidR="00444DBE">
              <w:rPr>
                <w:rFonts w:cs="Tahoma"/>
                <w:szCs w:val="18"/>
              </w:rPr>
              <w:t xml:space="preserve"> due to PAH</w:t>
            </w:r>
            <w:r w:rsidRPr="00EA1FCD">
              <w:rPr>
                <w:rFonts w:cs="Tahoma"/>
                <w:szCs w:val="18"/>
                <w:vertAlign w:val="superscript"/>
              </w:rPr>
              <w:t>c</w:t>
            </w:r>
          </w:p>
          <w:p w:rsidR="001D0FDA" w:rsidRDefault="001D0FDA" w:rsidP="00E1668E">
            <w:pPr>
              <w:pStyle w:val="Tabletext"/>
              <w:rPr>
                <w:rFonts w:cs="Tahoma"/>
                <w:szCs w:val="18"/>
              </w:rPr>
            </w:pPr>
          </w:p>
          <w:p w:rsidR="001D0FDA" w:rsidRPr="00351FF5" w:rsidRDefault="001D0FDA" w:rsidP="00E1668E">
            <w:pPr>
              <w:pStyle w:val="Tabletext"/>
              <w:rPr>
                <w:rFonts w:cs="Tahoma"/>
                <w:szCs w:val="18"/>
              </w:rPr>
            </w:pPr>
            <w:r w:rsidRPr="00351FF5">
              <w:rPr>
                <w:rFonts w:cs="Tahoma"/>
                <w:i/>
                <w:szCs w:val="18"/>
              </w:rPr>
              <w:t>Safety</w:t>
            </w:r>
            <w:r w:rsidRPr="00351FF5">
              <w:rPr>
                <w:rFonts w:cs="Tahoma"/>
                <w:szCs w:val="18"/>
              </w:rPr>
              <w:t xml:space="preserve">: </w:t>
            </w:r>
          </w:p>
          <w:p w:rsidR="001D0FDA" w:rsidRDefault="001D0FDA" w:rsidP="00E1668E">
            <w:pPr>
              <w:pStyle w:val="Tabletext"/>
              <w:numPr>
                <w:ilvl w:val="0"/>
                <w:numId w:val="54"/>
              </w:numPr>
              <w:ind w:left="239" w:hanging="144"/>
              <w:rPr>
                <w:rFonts w:cs="Tahoma"/>
                <w:i/>
                <w:szCs w:val="18"/>
              </w:rPr>
            </w:pPr>
            <w:r>
              <w:rPr>
                <w:rFonts w:cs="Tahoma"/>
                <w:szCs w:val="18"/>
              </w:rPr>
              <w:t>A</w:t>
            </w:r>
            <w:r w:rsidRPr="00351FF5">
              <w:rPr>
                <w:rFonts w:cs="Tahoma"/>
                <w:szCs w:val="18"/>
              </w:rPr>
              <w:t>dverse events</w:t>
            </w:r>
            <w:r w:rsidRPr="001E2F2E">
              <w:rPr>
                <w:rFonts w:cs="Tahoma"/>
                <w:szCs w:val="18"/>
                <w:vertAlign w:val="superscript"/>
              </w:rPr>
              <w:t>c</w:t>
            </w:r>
          </w:p>
        </w:tc>
      </w:tr>
      <w:tr w:rsidR="001D0FDA" w:rsidRPr="00204000" w:rsidTr="00E1668E">
        <w:tc>
          <w:tcPr>
            <w:tcW w:w="531" w:type="pct"/>
          </w:tcPr>
          <w:p w:rsidR="001D0FDA" w:rsidRPr="00CB1953" w:rsidRDefault="001D0FDA" w:rsidP="00E1668E">
            <w:pPr>
              <w:pStyle w:val="Tabletext"/>
              <w:rPr>
                <w:rFonts w:cs="Tahoma"/>
                <w:szCs w:val="18"/>
              </w:rPr>
            </w:pPr>
            <w:r>
              <w:rPr>
                <w:rFonts w:cs="Tahoma"/>
                <w:szCs w:val="18"/>
              </w:rPr>
              <w:t>PATENT-1</w:t>
            </w:r>
            <w:r w:rsidR="001D34EE" w:rsidRPr="001D34EE">
              <w:rPr>
                <w:rFonts w:cs="Tahoma"/>
                <w:noProof/>
                <w:szCs w:val="18"/>
                <w:vertAlign w:val="superscript"/>
              </w:rPr>
              <w:t>23, 42, 43</w:t>
            </w:r>
          </w:p>
          <w:p w:rsidR="001D0FDA" w:rsidRPr="00CB1953" w:rsidRDefault="001D0FDA" w:rsidP="00E1668E">
            <w:pPr>
              <w:pStyle w:val="Tabletext"/>
              <w:rPr>
                <w:rFonts w:cs="Tahoma"/>
                <w:szCs w:val="18"/>
              </w:rPr>
            </w:pPr>
            <w:r w:rsidRPr="00CB1953">
              <w:rPr>
                <w:rFonts w:cs="Tahoma"/>
                <w:szCs w:val="18"/>
              </w:rPr>
              <w:t>2008-2012</w:t>
            </w:r>
          </w:p>
          <w:p w:rsidR="001D0FDA" w:rsidRPr="00351FF5" w:rsidRDefault="001D0FDA" w:rsidP="00E1668E">
            <w:pPr>
              <w:pStyle w:val="Tabletext"/>
              <w:rPr>
                <w:rFonts w:cs="Tahoma"/>
                <w:szCs w:val="18"/>
              </w:rPr>
            </w:pPr>
            <w:r w:rsidRPr="00CB1953">
              <w:rPr>
                <w:rFonts w:cs="Tahoma"/>
                <w:szCs w:val="18"/>
              </w:rPr>
              <w:t>US, Canada, Mexico, Asia, Europe, South America, Australia</w:t>
            </w:r>
          </w:p>
        </w:tc>
        <w:tc>
          <w:tcPr>
            <w:tcW w:w="476" w:type="pct"/>
          </w:tcPr>
          <w:p w:rsidR="001D0FDA" w:rsidRPr="00D53F84" w:rsidRDefault="001D0FDA" w:rsidP="00E1668E">
            <w:pPr>
              <w:pStyle w:val="Tabletext"/>
              <w:ind w:right="-28"/>
              <w:rPr>
                <w:rFonts w:eastAsia="Times New Roman"/>
                <w:lang w:eastAsia="en-US"/>
              </w:rPr>
            </w:pPr>
            <w:r w:rsidRPr="00D53F84">
              <w:rPr>
                <w:rFonts w:eastAsia="Times New Roman"/>
                <w:lang w:eastAsia="en-US"/>
              </w:rPr>
              <w:t>RCT, DB</w:t>
            </w:r>
          </w:p>
          <w:p w:rsidR="001D0FDA" w:rsidRPr="00351FF5" w:rsidRDefault="001D0FDA" w:rsidP="00E1668E">
            <w:pPr>
              <w:pStyle w:val="Tabletext"/>
              <w:rPr>
                <w:rFonts w:cs="Tahoma"/>
                <w:szCs w:val="18"/>
              </w:rPr>
            </w:pPr>
            <w:r w:rsidRPr="00351FF5">
              <w:rPr>
                <w:rFonts w:cs="Tahoma"/>
                <w:szCs w:val="18"/>
              </w:rPr>
              <w:t>Level II evidence</w:t>
            </w:r>
          </w:p>
          <w:p w:rsidR="001D0FDA" w:rsidRPr="00D53F84" w:rsidRDefault="001D0FDA" w:rsidP="00E1668E">
            <w:pPr>
              <w:pStyle w:val="Tabletext"/>
              <w:ind w:right="-28"/>
              <w:rPr>
                <w:rFonts w:eastAsia="Times New Roman"/>
                <w:lang w:eastAsia="en-US"/>
              </w:rPr>
            </w:pPr>
            <w:r>
              <w:rPr>
                <w:rFonts w:eastAsia="Times New Roman"/>
                <w:lang w:eastAsia="en-US"/>
              </w:rPr>
              <w:t xml:space="preserve">Follow-up: </w:t>
            </w:r>
            <w:r w:rsidRPr="00D53F84">
              <w:rPr>
                <w:rFonts w:eastAsia="Times New Roman"/>
                <w:lang w:eastAsia="en-US"/>
              </w:rPr>
              <w:t>12 weeks</w:t>
            </w:r>
          </w:p>
          <w:p w:rsidR="001D0FDA" w:rsidRPr="00351FF5" w:rsidRDefault="001D0FDA" w:rsidP="00E1668E">
            <w:pPr>
              <w:pStyle w:val="Tabletext"/>
              <w:rPr>
                <w:rFonts w:cs="Tahoma"/>
                <w:szCs w:val="18"/>
              </w:rPr>
            </w:pPr>
            <w:r w:rsidRPr="00351FF5">
              <w:rPr>
                <w:rFonts w:cs="Tahoma"/>
                <w:szCs w:val="18"/>
              </w:rPr>
              <w:t xml:space="preserve">Risk of bias: </w:t>
            </w:r>
            <w:r>
              <w:rPr>
                <w:rFonts w:eastAsia="Times New Roman"/>
                <w:lang w:eastAsia="en-US"/>
              </w:rPr>
              <w:t>l</w:t>
            </w:r>
            <w:r w:rsidRPr="00D53F84">
              <w:rPr>
                <w:rFonts w:eastAsia="Times New Roman"/>
                <w:lang w:eastAsia="en-US"/>
              </w:rPr>
              <w:t>ow-to-moderate</w:t>
            </w:r>
          </w:p>
        </w:tc>
        <w:tc>
          <w:tcPr>
            <w:tcW w:w="772" w:type="pct"/>
          </w:tcPr>
          <w:p w:rsidR="001D0FDA" w:rsidRPr="00CB1953" w:rsidRDefault="001D0FDA" w:rsidP="00E1668E">
            <w:pPr>
              <w:pStyle w:val="Tabletext"/>
              <w:rPr>
                <w:rFonts w:cs="Tahoma"/>
                <w:i/>
                <w:szCs w:val="18"/>
              </w:rPr>
            </w:pPr>
            <w:r>
              <w:rPr>
                <w:rFonts w:cs="Tahoma"/>
                <w:i/>
                <w:szCs w:val="18"/>
              </w:rPr>
              <w:t>Inclusion criteria</w:t>
            </w:r>
          </w:p>
          <w:p w:rsidR="001D0FDA" w:rsidRDefault="001D0FDA" w:rsidP="00E1668E">
            <w:pPr>
              <w:pStyle w:val="Tabletext"/>
              <w:numPr>
                <w:ilvl w:val="0"/>
                <w:numId w:val="54"/>
              </w:numPr>
              <w:ind w:left="239" w:hanging="144"/>
              <w:rPr>
                <w:rFonts w:cs="Tahoma"/>
                <w:szCs w:val="18"/>
              </w:rPr>
            </w:pPr>
            <w:r w:rsidRPr="00CB1953">
              <w:rPr>
                <w:rFonts w:cs="Tahoma"/>
                <w:szCs w:val="18"/>
              </w:rPr>
              <w:t>Patients with symptomatic IPAH, HPAH, PAH-CTD, PAH-CHD, PAH-PH or PAH-DT</w:t>
            </w:r>
          </w:p>
          <w:p w:rsidR="001D0FDA" w:rsidRDefault="001D0FDA" w:rsidP="00E1668E">
            <w:pPr>
              <w:pStyle w:val="Tabletext"/>
              <w:numPr>
                <w:ilvl w:val="0"/>
                <w:numId w:val="54"/>
              </w:numPr>
              <w:ind w:left="239" w:hanging="144"/>
              <w:rPr>
                <w:rFonts w:cs="Tahoma"/>
                <w:szCs w:val="18"/>
              </w:rPr>
            </w:pPr>
            <w:r>
              <w:rPr>
                <w:rFonts w:cs="Tahoma"/>
                <w:szCs w:val="18"/>
              </w:rPr>
              <w:t>m</w:t>
            </w:r>
            <w:r w:rsidRPr="0001197E">
              <w:rPr>
                <w:rFonts w:cs="Tahoma"/>
                <w:szCs w:val="18"/>
              </w:rPr>
              <w:t>PAP of ≥25 mmHg</w:t>
            </w:r>
          </w:p>
          <w:p w:rsidR="001D0FDA" w:rsidRPr="00CB1953" w:rsidRDefault="001D0FDA" w:rsidP="00E1668E">
            <w:pPr>
              <w:pStyle w:val="Tabletext"/>
              <w:numPr>
                <w:ilvl w:val="0"/>
                <w:numId w:val="54"/>
              </w:numPr>
              <w:ind w:left="239" w:hanging="144"/>
              <w:rPr>
                <w:rFonts w:cs="Tahoma"/>
                <w:szCs w:val="18"/>
              </w:rPr>
            </w:pPr>
            <w:r w:rsidRPr="00CB1953">
              <w:rPr>
                <w:rFonts w:cs="Tahoma"/>
                <w:szCs w:val="18"/>
              </w:rPr>
              <w:t>PVR &gt; 300 dyn</w:t>
            </w:r>
            <w:r w:rsidR="00747709">
              <w:rPr>
                <w:rFonts w:cs="Tahoma"/>
                <w:szCs w:val="18"/>
              </w:rPr>
              <w:t>*</w:t>
            </w:r>
            <w:r w:rsidRPr="00CB1953">
              <w:rPr>
                <w:rFonts w:cs="Tahoma"/>
                <w:szCs w:val="18"/>
              </w:rPr>
              <w:t>sec*cm</w:t>
            </w:r>
            <w:r w:rsidR="00747709" w:rsidRPr="00747709">
              <w:rPr>
                <w:rFonts w:cs="Tahoma"/>
                <w:szCs w:val="18"/>
                <w:vertAlign w:val="superscript"/>
              </w:rPr>
              <w:t>-</w:t>
            </w:r>
            <w:r w:rsidRPr="00CB1953">
              <w:rPr>
                <w:rFonts w:cs="Tahoma"/>
                <w:szCs w:val="18"/>
                <w:vertAlign w:val="superscript"/>
              </w:rPr>
              <w:t>5</w:t>
            </w:r>
          </w:p>
          <w:p w:rsidR="001D0FDA" w:rsidRPr="00CB1953" w:rsidRDefault="001D0FDA" w:rsidP="00E1668E">
            <w:pPr>
              <w:pStyle w:val="Tabletext"/>
              <w:numPr>
                <w:ilvl w:val="0"/>
                <w:numId w:val="54"/>
              </w:numPr>
              <w:ind w:left="239" w:hanging="144"/>
              <w:rPr>
                <w:rFonts w:cs="Tahoma"/>
                <w:szCs w:val="18"/>
              </w:rPr>
            </w:pPr>
            <w:r w:rsidRPr="00CB1953">
              <w:rPr>
                <w:rFonts w:cs="Tahoma"/>
                <w:szCs w:val="18"/>
              </w:rPr>
              <w:t>6MWD of 150-450</w:t>
            </w:r>
            <w:r w:rsidR="00DB2A13">
              <w:rPr>
                <w:rFonts w:cs="Tahoma"/>
                <w:szCs w:val="18"/>
              </w:rPr>
              <w:t> </w:t>
            </w:r>
            <w:r>
              <w:rPr>
                <w:rFonts w:cs="Tahoma"/>
                <w:szCs w:val="18"/>
              </w:rPr>
              <w:t>m</w:t>
            </w:r>
          </w:p>
          <w:p w:rsidR="001D0FDA" w:rsidRPr="00CB1953" w:rsidRDefault="001D0FDA" w:rsidP="00E1668E">
            <w:pPr>
              <w:pStyle w:val="Tabletext"/>
              <w:numPr>
                <w:ilvl w:val="0"/>
                <w:numId w:val="54"/>
              </w:numPr>
              <w:ind w:left="239" w:hanging="144"/>
              <w:rPr>
                <w:rFonts w:cs="Tahoma"/>
                <w:szCs w:val="18"/>
              </w:rPr>
            </w:pPr>
            <w:r>
              <w:rPr>
                <w:rFonts w:cs="Tahoma"/>
                <w:szCs w:val="18"/>
              </w:rPr>
              <w:t>Patients who were rec</w:t>
            </w:r>
            <w:r w:rsidRPr="00CB1953">
              <w:rPr>
                <w:rFonts w:cs="Tahoma"/>
                <w:szCs w:val="18"/>
              </w:rPr>
              <w:t>eiving</w:t>
            </w:r>
            <w:r>
              <w:rPr>
                <w:rFonts w:cs="Tahoma"/>
                <w:szCs w:val="18"/>
              </w:rPr>
              <w:t xml:space="preserve"> no other treatment for PAH or</w:t>
            </w:r>
            <w:r w:rsidRPr="00CB1953">
              <w:rPr>
                <w:rFonts w:cs="Tahoma"/>
                <w:szCs w:val="18"/>
              </w:rPr>
              <w:t xml:space="preserve"> </w:t>
            </w:r>
            <w:r>
              <w:rPr>
                <w:rFonts w:cs="Tahoma"/>
                <w:szCs w:val="18"/>
              </w:rPr>
              <w:t xml:space="preserve">were </w:t>
            </w:r>
            <w:r w:rsidRPr="00CB1953">
              <w:rPr>
                <w:rFonts w:cs="Tahoma"/>
                <w:szCs w:val="18"/>
              </w:rPr>
              <w:t xml:space="preserve">receiving treatment with ERA or prostanoid (excluding </w:t>
            </w:r>
            <w:r>
              <w:rPr>
                <w:rFonts w:cs="Tahoma"/>
                <w:szCs w:val="18"/>
              </w:rPr>
              <w:t>IV</w:t>
            </w:r>
            <w:r w:rsidRPr="00CB1953">
              <w:rPr>
                <w:rFonts w:cs="Tahoma"/>
                <w:szCs w:val="18"/>
              </w:rPr>
              <w:t xml:space="preserve"> prostanoids) at doses that had been stable for </w:t>
            </w:r>
            <w:r>
              <w:rPr>
                <w:rFonts w:cs="Tahoma"/>
                <w:szCs w:val="18"/>
              </w:rPr>
              <w:t>≥3 months</w:t>
            </w:r>
            <w:r w:rsidRPr="00CB1953">
              <w:rPr>
                <w:rFonts w:cs="Tahoma"/>
                <w:szCs w:val="18"/>
              </w:rPr>
              <w:t xml:space="preserve"> </w:t>
            </w:r>
          </w:p>
          <w:p w:rsidR="001D0FDA" w:rsidRPr="00CB1953" w:rsidRDefault="001D0FDA" w:rsidP="00E1668E">
            <w:pPr>
              <w:pStyle w:val="Tabletext"/>
              <w:rPr>
                <w:rFonts w:cs="Tahoma"/>
                <w:i/>
                <w:szCs w:val="18"/>
              </w:rPr>
            </w:pPr>
          </w:p>
          <w:p w:rsidR="001D0FDA" w:rsidRPr="00CB1953" w:rsidRDefault="001D0FDA" w:rsidP="00E1668E">
            <w:pPr>
              <w:pStyle w:val="Tabletext"/>
              <w:rPr>
                <w:rFonts w:cs="Tahoma"/>
                <w:i/>
                <w:szCs w:val="18"/>
              </w:rPr>
            </w:pPr>
            <w:r>
              <w:rPr>
                <w:rFonts w:cs="Tahoma"/>
                <w:i/>
                <w:szCs w:val="18"/>
              </w:rPr>
              <w:t>Exclusion criteria</w:t>
            </w:r>
          </w:p>
          <w:p w:rsidR="001D0FDA" w:rsidRPr="00351FF5" w:rsidRDefault="001D0FDA" w:rsidP="00E1668E">
            <w:pPr>
              <w:pStyle w:val="Tabletext"/>
              <w:numPr>
                <w:ilvl w:val="0"/>
                <w:numId w:val="54"/>
              </w:numPr>
              <w:ind w:left="239" w:hanging="144"/>
              <w:rPr>
                <w:rFonts w:cs="Tahoma"/>
                <w:i/>
                <w:szCs w:val="18"/>
              </w:rPr>
            </w:pPr>
            <w:r w:rsidRPr="00CB1953">
              <w:rPr>
                <w:rFonts w:cs="Tahoma"/>
                <w:szCs w:val="18"/>
              </w:rPr>
              <w:t>Patients</w:t>
            </w:r>
            <w:r>
              <w:rPr>
                <w:rFonts w:cs="Tahoma"/>
                <w:szCs w:val="18"/>
              </w:rPr>
              <w:t xml:space="preserve"> who were</w:t>
            </w:r>
            <w:r w:rsidRPr="00CB1953">
              <w:rPr>
                <w:rFonts w:cs="Tahoma"/>
                <w:szCs w:val="18"/>
              </w:rPr>
              <w:t xml:space="preserve"> receiving PDE-5i</w:t>
            </w:r>
            <w:r>
              <w:rPr>
                <w:rFonts w:cs="Tahoma"/>
                <w:szCs w:val="18"/>
              </w:rPr>
              <w:t xml:space="preserve"> at enrolment </w:t>
            </w:r>
          </w:p>
        </w:tc>
        <w:tc>
          <w:tcPr>
            <w:tcW w:w="0" w:type="auto"/>
          </w:tcPr>
          <w:p w:rsidR="00E1668E" w:rsidRDefault="00E1668E" w:rsidP="00E1668E">
            <w:pPr>
              <w:pStyle w:val="Tabletext"/>
              <w:rPr>
                <w:szCs w:val="18"/>
              </w:rPr>
            </w:pPr>
            <w:r>
              <w:rPr>
                <w:szCs w:val="18"/>
              </w:rPr>
              <w:t>N=380</w:t>
            </w:r>
          </w:p>
          <w:p w:rsidR="00E1668E" w:rsidRDefault="00E1668E" w:rsidP="00E1668E">
            <w:pPr>
              <w:pStyle w:val="Tabletext"/>
              <w:rPr>
                <w:i/>
                <w:szCs w:val="18"/>
              </w:rPr>
            </w:pPr>
            <w:r w:rsidRPr="00802B85">
              <w:rPr>
                <w:i/>
                <w:szCs w:val="18"/>
              </w:rPr>
              <w:t>Treatment-naïve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PATENT-1"/>
            </w:tblPr>
            <w:tblGrid>
              <w:gridCol w:w="2101"/>
              <w:gridCol w:w="1142"/>
              <w:gridCol w:w="1134"/>
            </w:tblGrid>
            <w:tr w:rsidR="00E1668E" w:rsidRPr="00351FF5" w:rsidTr="00E1668E">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E1668E" w:rsidRPr="00351FF5" w:rsidRDefault="00E1668E" w:rsidP="00570FC8">
                  <w:pPr>
                    <w:pStyle w:val="Tabletext"/>
                    <w:framePr w:hSpace="181" w:wrap="around" w:hAnchor="text" w:yAlign="bottom"/>
                    <w:spacing w:before="0" w:after="0"/>
                    <w:suppressOverlap/>
                    <w:rPr>
                      <w:rFonts w:cs="Tahoma"/>
                      <w:b/>
                      <w:szCs w:val="18"/>
                    </w:rPr>
                  </w:pPr>
                </w:p>
              </w:tc>
              <w:tc>
                <w:tcPr>
                  <w:tcW w:w="1142" w:type="dxa"/>
                  <w:shd w:val="clear" w:color="auto" w:fill="FFFFFF" w:themeFill="background1"/>
                </w:tcPr>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Riociguat 2.5</w:t>
                  </w:r>
                  <w:r w:rsidR="00570FC8">
                    <w:rPr>
                      <w:rFonts w:cs="Tahoma"/>
                      <w:szCs w:val="18"/>
                    </w:rPr>
                    <w:t> mg</w:t>
                  </w:r>
                </w:p>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(N=123)</w:t>
                  </w:r>
                </w:p>
              </w:tc>
              <w:tc>
                <w:tcPr>
                  <w:tcW w:w="1134" w:type="dxa"/>
                  <w:shd w:val="clear" w:color="auto" w:fill="FFFFFF" w:themeFill="background1"/>
                </w:tcPr>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Placebo</w:t>
                  </w:r>
                </w:p>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(N=66)</w:t>
                  </w:r>
                </w:p>
              </w:tc>
            </w:tr>
            <w:tr w:rsidR="00E1668E" w:rsidRPr="00351FF5" w:rsidTr="00E1668E">
              <w:tc>
                <w:tcPr>
                  <w:tcW w:w="2101" w:type="dxa"/>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142" w:type="dxa"/>
                </w:tcPr>
                <w:p w:rsidR="00E1668E" w:rsidRPr="00351FF5" w:rsidRDefault="00E1668E" w:rsidP="00570FC8">
                  <w:pPr>
                    <w:pStyle w:val="Tabletext"/>
                    <w:framePr w:hSpace="181" w:wrap="around" w:hAnchor="text" w:yAlign="bottom"/>
                    <w:spacing w:before="0" w:after="0"/>
                    <w:suppressOverlap/>
                    <w:jc w:val="center"/>
                    <w:rPr>
                      <w:rFonts w:cs="Tahoma"/>
                      <w:szCs w:val="18"/>
                    </w:rPr>
                  </w:pPr>
                  <w:r>
                    <w:rPr>
                      <w:szCs w:val="18"/>
                    </w:rPr>
                    <w:t>48±</w:t>
                  </w:r>
                  <w:r w:rsidRPr="00802B85">
                    <w:rPr>
                      <w:szCs w:val="18"/>
                    </w:rPr>
                    <w:t>17</w:t>
                  </w:r>
                </w:p>
              </w:tc>
              <w:tc>
                <w:tcPr>
                  <w:tcW w:w="1134" w:type="dxa"/>
                </w:tcPr>
                <w:p w:rsidR="00E1668E" w:rsidRPr="00351FF5" w:rsidRDefault="00E1668E" w:rsidP="00570FC8">
                  <w:pPr>
                    <w:pStyle w:val="Tabletext"/>
                    <w:framePr w:hSpace="181" w:wrap="around" w:hAnchor="text" w:yAlign="bottom"/>
                    <w:spacing w:before="0" w:after="0"/>
                    <w:suppressOverlap/>
                    <w:jc w:val="center"/>
                    <w:rPr>
                      <w:rFonts w:cs="Tahoma"/>
                      <w:szCs w:val="18"/>
                    </w:rPr>
                  </w:pPr>
                  <w:r>
                    <w:rPr>
                      <w:szCs w:val="18"/>
                    </w:rPr>
                    <w:t>48±</w:t>
                  </w:r>
                  <w:r w:rsidRPr="00802B85">
                    <w:rPr>
                      <w:szCs w:val="18"/>
                    </w:rPr>
                    <w:t>18</w:t>
                  </w:r>
                </w:p>
              </w:tc>
            </w:tr>
            <w:tr w:rsidR="00E1668E" w:rsidRPr="00351FF5" w:rsidTr="00E1668E">
              <w:tc>
                <w:tcPr>
                  <w:tcW w:w="210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142"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94 (76%)</w:t>
                  </w:r>
                </w:p>
              </w:tc>
              <w:tc>
                <w:tcPr>
                  <w:tcW w:w="1134"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52 (79%)</w:t>
                  </w:r>
                </w:p>
              </w:tc>
            </w:tr>
            <w:tr w:rsidR="00E1668E" w:rsidRPr="00351FF5" w:rsidTr="00E1668E">
              <w:tc>
                <w:tcPr>
                  <w:tcW w:w="2101" w:type="dxa"/>
                  <w:tcBorders>
                    <w:bottom w:val="nil"/>
                  </w:tcBorders>
                </w:tcPr>
                <w:p w:rsidR="00E1668E" w:rsidRPr="00351FF5" w:rsidRDefault="00E1668E"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142"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r>
            <w:tr w:rsidR="00E1668E" w:rsidRPr="00351FF5" w:rsidTr="00E1668E">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w:t>
                  </w:r>
                </w:p>
              </w:tc>
              <w:tc>
                <w:tcPr>
                  <w:tcW w:w="1142"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3 (2%)</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4 (6%)</w:t>
                  </w:r>
                </w:p>
              </w:tc>
            </w:tr>
            <w:tr w:rsidR="00E1668E" w:rsidRPr="00351FF5" w:rsidTr="00E1668E">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II</w:t>
                  </w:r>
                </w:p>
              </w:tc>
              <w:tc>
                <w:tcPr>
                  <w:tcW w:w="1142"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65 (53%)</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35 (53%)</w:t>
                  </w:r>
                </w:p>
              </w:tc>
            </w:tr>
            <w:tr w:rsidR="00E1668E" w:rsidRPr="00351FF5" w:rsidTr="00E1668E">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III</w:t>
                  </w:r>
                </w:p>
              </w:tc>
              <w:tc>
                <w:tcPr>
                  <w:tcW w:w="1142"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55 (45%)</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25 (38%)</w:t>
                  </w:r>
                </w:p>
              </w:tc>
            </w:tr>
            <w:tr w:rsidR="00E1668E" w:rsidRPr="00351FF5" w:rsidTr="00E1668E">
              <w:tc>
                <w:tcPr>
                  <w:tcW w:w="2101" w:type="dxa"/>
                  <w:tcBorders>
                    <w:top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IV</w:t>
                  </w:r>
                </w:p>
              </w:tc>
              <w:tc>
                <w:tcPr>
                  <w:tcW w:w="1142" w:type="dxa"/>
                  <w:tcBorders>
                    <w:top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0 (0%)</w:t>
                  </w:r>
                </w:p>
              </w:tc>
              <w:tc>
                <w:tcPr>
                  <w:tcW w:w="1134" w:type="dxa"/>
                  <w:tcBorders>
                    <w:top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2 (3%)</w:t>
                  </w:r>
                </w:p>
              </w:tc>
            </w:tr>
            <w:tr w:rsidR="00E1668E" w:rsidRPr="00351FF5" w:rsidTr="00E1668E">
              <w:tc>
                <w:tcPr>
                  <w:tcW w:w="2101" w:type="dxa"/>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mPAP, mean±SD (mmHg)</w:t>
                  </w:r>
                </w:p>
              </w:tc>
              <w:tc>
                <w:tcPr>
                  <w:tcW w:w="1142" w:type="dxa"/>
                  <w:vAlign w:val="center"/>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49.3±15</w:t>
                  </w:r>
                </w:p>
              </w:tc>
              <w:tc>
                <w:tcPr>
                  <w:tcW w:w="1134" w:type="dxa"/>
                  <w:vAlign w:val="center"/>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szCs w:val="18"/>
                    </w:rPr>
                    <w:t>48.9±16</w:t>
                  </w:r>
                </w:p>
              </w:tc>
            </w:tr>
            <w:tr w:rsidR="00E1668E" w:rsidRPr="00351FF5" w:rsidTr="00E1668E">
              <w:tc>
                <w:tcPr>
                  <w:tcW w:w="2101" w:type="dxa"/>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PVR, mean±SD (</w:t>
                  </w:r>
                  <w:r>
                    <w:rPr>
                      <w:rFonts w:cs="Tahoma"/>
                      <w:szCs w:val="18"/>
                    </w:rPr>
                    <w:t>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142" w:type="dxa"/>
                  <w:vAlign w:val="center"/>
                </w:tcPr>
                <w:p w:rsidR="00E1668E" w:rsidRPr="00351FF5" w:rsidRDefault="00E1668E" w:rsidP="00570FC8">
                  <w:pPr>
                    <w:pStyle w:val="Tabletext"/>
                    <w:framePr w:hSpace="181" w:wrap="around" w:hAnchor="text" w:yAlign="bottom"/>
                    <w:spacing w:before="0"/>
                    <w:suppressOverlap/>
                    <w:jc w:val="center"/>
                    <w:rPr>
                      <w:rFonts w:cs="Tahoma"/>
                      <w:szCs w:val="18"/>
                    </w:rPr>
                  </w:pPr>
                  <w:r>
                    <w:rPr>
                      <w:rFonts w:cs="Tahoma"/>
                      <w:szCs w:val="18"/>
                    </w:rPr>
                    <w:t>888±505</w:t>
                  </w:r>
                </w:p>
              </w:tc>
              <w:tc>
                <w:tcPr>
                  <w:tcW w:w="1134" w:type="dxa"/>
                  <w:vAlign w:val="center"/>
                </w:tcPr>
                <w:p w:rsidR="00E1668E" w:rsidRPr="00351FF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855±477</w:t>
                  </w:r>
                </w:p>
              </w:tc>
            </w:tr>
          </w:tbl>
          <w:p w:rsidR="001D0FDA" w:rsidRPr="009F1E35" w:rsidRDefault="00E1668E" w:rsidP="00E1668E">
            <w:pPr>
              <w:pStyle w:val="Tabletext"/>
              <w:rPr>
                <w:rFonts w:cs="Tahoma"/>
                <w:szCs w:val="18"/>
              </w:rPr>
            </w:pPr>
            <w:r w:rsidRPr="00351FF5">
              <w:rPr>
                <w:rFonts w:cs="Tahoma"/>
                <w:szCs w:val="18"/>
              </w:rPr>
              <w:t xml:space="preserve">Data on the patient characteristics for the </w:t>
            </w:r>
            <w:r>
              <w:rPr>
                <w:rFonts w:cs="Tahoma"/>
                <w:szCs w:val="18"/>
              </w:rPr>
              <w:t>WHO FC I-II, treatment-naïve subgroup and WHO FC III-IV, treatment-naïve subgroup</w:t>
            </w:r>
            <w:r w:rsidRPr="00351FF5">
              <w:rPr>
                <w:rFonts w:cs="Tahoma"/>
                <w:szCs w:val="18"/>
              </w:rPr>
              <w:t xml:space="preserve"> between the two treatment groups were not available. </w:t>
            </w:r>
            <w:r>
              <w:rPr>
                <w:rFonts w:cs="Tahoma"/>
                <w:szCs w:val="18"/>
              </w:rPr>
              <w:t>R</w:t>
            </w:r>
            <w:r w:rsidRPr="00351FF5">
              <w:rPr>
                <w:rFonts w:cs="Tahoma"/>
                <w:szCs w:val="18"/>
              </w:rPr>
              <w:t xml:space="preserve">andomisation </w:t>
            </w:r>
            <w:proofErr w:type="gramStart"/>
            <w:r w:rsidRPr="00351FF5">
              <w:rPr>
                <w:rFonts w:cs="Tahoma"/>
                <w:szCs w:val="18"/>
              </w:rPr>
              <w:t>was</w:t>
            </w:r>
            <w:r>
              <w:rPr>
                <w:rFonts w:cs="Tahoma"/>
                <w:szCs w:val="18"/>
              </w:rPr>
              <w:t xml:space="preserve"> not</w:t>
            </w:r>
            <w:r w:rsidRPr="00351FF5">
              <w:rPr>
                <w:rFonts w:cs="Tahoma"/>
                <w:szCs w:val="18"/>
              </w:rPr>
              <w:t xml:space="preserve"> stratified</w:t>
            </w:r>
            <w:proofErr w:type="gramEnd"/>
            <w:r w:rsidRPr="00351FF5">
              <w:rPr>
                <w:rFonts w:cs="Tahoma"/>
                <w:szCs w:val="18"/>
              </w:rPr>
              <w:t xml:space="preserve"> according to </w:t>
            </w:r>
            <w:r>
              <w:rPr>
                <w:rFonts w:cs="Tahoma"/>
                <w:szCs w:val="18"/>
              </w:rPr>
              <w:t>WHO FC</w:t>
            </w:r>
            <w:r w:rsidRPr="00351FF5">
              <w:rPr>
                <w:rFonts w:cs="Tahoma"/>
                <w:szCs w:val="18"/>
              </w:rPr>
              <w:t>.</w:t>
            </w:r>
          </w:p>
        </w:tc>
        <w:tc>
          <w:tcPr>
            <w:tcW w:w="811" w:type="pct"/>
          </w:tcPr>
          <w:p w:rsidR="001D0FDA" w:rsidRPr="00C5431E" w:rsidRDefault="001D0FDA" w:rsidP="00E1668E">
            <w:pPr>
              <w:pStyle w:val="Tabletext"/>
              <w:rPr>
                <w:i/>
              </w:rPr>
            </w:pPr>
            <w:r w:rsidRPr="00C5431E">
              <w:rPr>
                <w:i/>
              </w:rPr>
              <w:t>Intervention</w:t>
            </w:r>
          </w:p>
          <w:p w:rsidR="001D0FDA" w:rsidRDefault="001D0FDA" w:rsidP="00E1668E">
            <w:pPr>
              <w:pStyle w:val="Tabletext"/>
            </w:pPr>
            <w:r>
              <w:t>Riociguat: dose ad</w:t>
            </w:r>
            <w:r w:rsidRPr="00E621C7">
              <w:t>justed up to 2.5 mg</w:t>
            </w:r>
            <w:r>
              <w:t xml:space="preserve"> tid </w:t>
            </w:r>
          </w:p>
          <w:p w:rsidR="001D0FDA" w:rsidRDefault="001D0FDA" w:rsidP="00E1668E">
            <w:pPr>
              <w:pStyle w:val="Tabletext"/>
            </w:pPr>
          </w:p>
          <w:p w:rsidR="001D0FDA" w:rsidRPr="00C5431E" w:rsidRDefault="001D0FDA" w:rsidP="00E1668E">
            <w:pPr>
              <w:pStyle w:val="Tabletext"/>
              <w:rPr>
                <w:i/>
              </w:rPr>
            </w:pPr>
            <w:r w:rsidRPr="00C5431E">
              <w:rPr>
                <w:i/>
              </w:rPr>
              <w:t>Comparator</w:t>
            </w:r>
          </w:p>
          <w:p w:rsidR="001D0FDA" w:rsidRDefault="001D0FDA" w:rsidP="00E1668E">
            <w:pPr>
              <w:pStyle w:val="Tabletext"/>
            </w:pPr>
            <w:r w:rsidRPr="00322E07">
              <w:t>Placebo</w:t>
            </w:r>
            <w:r>
              <w:t xml:space="preserve"> </w:t>
            </w:r>
          </w:p>
          <w:p w:rsidR="001D0FDA" w:rsidRDefault="001D0FDA" w:rsidP="00E1668E">
            <w:pPr>
              <w:pStyle w:val="Tabletext"/>
            </w:pPr>
          </w:p>
          <w:p w:rsidR="001D0FDA" w:rsidRDefault="001D0FDA" w:rsidP="00E1668E">
            <w:pPr>
              <w:pStyle w:val="Tabletext"/>
              <w:rPr>
                <w:i/>
              </w:rPr>
            </w:pPr>
            <w:r>
              <w:rPr>
                <w:i/>
              </w:rPr>
              <w:t xml:space="preserve">Background therapy: </w:t>
            </w:r>
          </w:p>
          <w:p w:rsidR="001D0FDA" w:rsidRDefault="001D0FDA" w:rsidP="00E1668E">
            <w:pPr>
              <w:pStyle w:val="Tabletext"/>
              <w:rPr>
                <w:szCs w:val="18"/>
              </w:rPr>
            </w:pPr>
            <w:r>
              <w:rPr>
                <w:szCs w:val="18"/>
              </w:rPr>
              <w:t>ERA</w:t>
            </w:r>
            <w:r w:rsidRPr="00994A70">
              <w:rPr>
                <w:szCs w:val="18"/>
              </w:rPr>
              <w:t xml:space="preserve">: </w:t>
            </w:r>
            <w:r>
              <w:rPr>
                <w:szCs w:val="18"/>
              </w:rPr>
              <w:t>44% in the riociguat arm vs 43</w:t>
            </w:r>
            <w:r w:rsidRPr="00994A70">
              <w:rPr>
                <w:szCs w:val="18"/>
              </w:rPr>
              <w:t>% in the placebo arm</w:t>
            </w:r>
            <w:r>
              <w:rPr>
                <w:szCs w:val="18"/>
              </w:rPr>
              <w:t xml:space="preserve"> </w:t>
            </w:r>
          </w:p>
          <w:p w:rsidR="001D0FDA" w:rsidRPr="00994A70" w:rsidRDefault="001D0FDA" w:rsidP="00E1668E">
            <w:pPr>
              <w:pStyle w:val="Tabletext"/>
              <w:rPr>
                <w:szCs w:val="18"/>
              </w:rPr>
            </w:pPr>
            <w:r>
              <w:rPr>
                <w:szCs w:val="18"/>
              </w:rPr>
              <w:t>Prostanoid (8% in the riociguat arm vs 6</w:t>
            </w:r>
            <w:r w:rsidRPr="00994A70">
              <w:rPr>
                <w:szCs w:val="18"/>
              </w:rPr>
              <w:t>% in the placebo arm</w:t>
            </w:r>
            <w:r>
              <w:rPr>
                <w:szCs w:val="18"/>
              </w:rPr>
              <w:t>)</w:t>
            </w:r>
          </w:p>
        </w:tc>
        <w:tc>
          <w:tcPr>
            <w:tcW w:w="771" w:type="pct"/>
          </w:tcPr>
          <w:p w:rsidR="001D0FDA" w:rsidRDefault="001D0FDA" w:rsidP="00E1668E">
            <w:pPr>
              <w:pStyle w:val="Tabletext"/>
              <w:rPr>
                <w:rFonts w:cs="Tahoma"/>
                <w:i/>
                <w:szCs w:val="18"/>
              </w:rPr>
            </w:pPr>
            <w:r>
              <w:rPr>
                <w:rFonts w:cs="Tahoma"/>
                <w:i/>
                <w:szCs w:val="18"/>
              </w:rPr>
              <w:t>Effectiveness</w:t>
            </w:r>
          </w:p>
          <w:p w:rsidR="001D0FDA" w:rsidRDefault="001D0FDA" w:rsidP="00E1668E">
            <w:pPr>
              <w:pStyle w:val="Tabletext"/>
              <w:rPr>
                <w:rFonts w:cs="Tahoma"/>
                <w:szCs w:val="18"/>
              </w:rPr>
            </w:pPr>
            <w:r>
              <w:rPr>
                <w:rFonts w:cs="Tahoma"/>
                <w:szCs w:val="18"/>
              </w:rPr>
              <w:t xml:space="preserve">Primary: </w:t>
            </w:r>
          </w:p>
          <w:p w:rsidR="001D0FDA" w:rsidRPr="00994A70" w:rsidRDefault="001D0FDA" w:rsidP="00E1668E">
            <w:pPr>
              <w:pStyle w:val="Tabletext"/>
              <w:numPr>
                <w:ilvl w:val="0"/>
                <w:numId w:val="54"/>
              </w:numPr>
              <w:ind w:left="239" w:hanging="144"/>
              <w:rPr>
                <w:rFonts w:cs="Tahoma"/>
                <w:szCs w:val="18"/>
              </w:rPr>
            </w:pPr>
            <w:r w:rsidRPr="00994A70">
              <w:rPr>
                <w:rFonts w:cs="Tahoma"/>
                <w:szCs w:val="18"/>
              </w:rPr>
              <w:t>Change in 6MWD at Week 16</w:t>
            </w:r>
            <w:r w:rsidRPr="00EA1FCD">
              <w:rPr>
                <w:rFonts w:cs="Tahoma"/>
                <w:szCs w:val="18"/>
                <w:vertAlign w:val="superscript"/>
              </w:rPr>
              <w:t>c</w:t>
            </w:r>
            <w:r w:rsidRPr="00994A70">
              <w:rPr>
                <w:rFonts w:cs="Tahoma"/>
                <w:szCs w:val="18"/>
              </w:rPr>
              <w:t xml:space="preserve"> </w:t>
            </w:r>
          </w:p>
          <w:p w:rsidR="001D0FDA" w:rsidRPr="00994A70" w:rsidRDefault="001D0FDA" w:rsidP="00E1668E">
            <w:pPr>
              <w:pStyle w:val="Tabletext"/>
              <w:rPr>
                <w:rFonts w:cs="Tahoma"/>
                <w:szCs w:val="18"/>
              </w:rPr>
            </w:pPr>
            <w:r>
              <w:rPr>
                <w:rFonts w:cs="Tahoma"/>
                <w:szCs w:val="18"/>
              </w:rPr>
              <w:t>Secondary:</w:t>
            </w:r>
          </w:p>
          <w:p w:rsidR="001D0FDA" w:rsidRDefault="001D0FDA" w:rsidP="00E1668E">
            <w:pPr>
              <w:pStyle w:val="Tabletext"/>
              <w:numPr>
                <w:ilvl w:val="0"/>
                <w:numId w:val="54"/>
              </w:numPr>
              <w:ind w:left="239" w:hanging="144"/>
              <w:rPr>
                <w:rFonts w:cs="Tahoma"/>
                <w:szCs w:val="18"/>
              </w:rPr>
            </w:pPr>
            <w:r>
              <w:rPr>
                <w:rFonts w:cs="Tahoma"/>
                <w:szCs w:val="18"/>
              </w:rPr>
              <w:t xml:space="preserve">Change in </w:t>
            </w:r>
            <w:r w:rsidRPr="00994A70">
              <w:rPr>
                <w:rFonts w:cs="Tahoma"/>
                <w:szCs w:val="18"/>
              </w:rPr>
              <w:t>WHO FC at Week 16</w:t>
            </w:r>
            <w:r w:rsidRPr="00EA1FCD">
              <w:rPr>
                <w:rFonts w:cs="Tahoma"/>
                <w:szCs w:val="18"/>
                <w:vertAlign w:val="superscript"/>
              </w:rPr>
              <w:t>c</w:t>
            </w:r>
          </w:p>
          <w:p w:rsidR="001D0FDA" w:rsidRDefault="001D0FDA" w:rsidP="00E1668E">
            <w:pPr>
              <w:pStyle w:val="Tabletext"/>
              <w:numPr>
                <w:ilvl w:val="0"/>
                <w:numId w:val="54"/>
              </w:numPr>
              <w:ind w:left="239" w:hanging="144"/>
              <w:rPr>
                <w:rFonts w:cs="Tahoma"/>
                <w:szCs w:val="18"/>
              </w:rPr>
            </w:pPr>
            <w:r w:rsidRPr="00994A70">
              <w:rPr>
                <w:rFonts w:cs="Tahoma"/>
                <w:szCs w:val="18"/>
              </w:rPr>
              <w:t>Time to clinical worsening</w:t>
            </w:r>
            <w:r w:rsidRPr="00EA1FCD">
              <w:rPr>
                <w:rFonts w:cs="Tahoma"/>
                <w:szCs w:val="18"/>
                <w:vertAlign w:val="superscript"/>
              </w:rPr>
              <w:t>c</w:t>
            </w:r>
          </w:p>
          <w:p w:rsidR="001D0FDA" w:rsidRDefault="001D0FDA" w:rsidP="00E1668E">
            <w:pPr>
              <w:pStyle w:val="Tabletext"/>
              <w:numPr>
                <w:ilvl w:val="0"/>
                <w:numId w:val="54"/>
              </w:numPr>
              <w:ind w:left="239" w:hanging="144"/>
              <w:rPr>
                <w:rFonts w:cs="Tahoma"/>
                <w:szCs w:val="18"/>
              </w:rPr>
            </w:pPr>
            <w:r>
              <w:rPr>
                <w:rFonts w:cs="Tahoma"/>
                <w:szCs w:val="18"/>
              </w:rPr>
              <w:t xml:space="preserve">Change in </w:t>
            </w:r>
            <w:r w:rsidRPr="00EA1FCD">
              <w:rPr>
                <w:rFonts w:cs="Tahoma"/>
                <w:szCs w:val="18"/>
              </w:rPr>
              <w:t xml:space="preserve">EQ-5D </w:t>
            </w:r>
            <w:r>
              <w:rPr>
                <w:rFonts w:cs="Tahoma"/>
                <w:szCs w:val="18"/>
              </w:rPr>
              <w:t>score</w:t>
            </w:r>
            <w:r w:rsidRPr="00EA1FCD">
              <w:rPr>
                <w:rFonts w:cs="Tahoma"/>
                <w:szCs w:val="18"/>
                <w:vertAlign w:val="superscript"/>
              </w:rPr>
              <w:t>c</w:t>
            </w:r>
            <w:r w:rsidRPr="00EA1FCD">
              <w:rPr>
                <w:rFonts w:cs="Tahoma"/>
                <w:szCs w:val="18"/>
              </w:rPr>
              <w:t xml:space="preserve"> </w:t>
            </w:r>
          </w:p>
          <w:p w:rsidR="001D0FDA" w:rsidRPr="00C9445D" w:rsidRDefault="001D0FDA" w:rsidP="00E1668E">
            <w:pPr>
              <w:pStyle w:val="Tabletext"/>
              <w:numPr>
                <w:ilvl w:val="0"/>
                <w:numId w:val="54"/>
              </w:numPr>
              <w:ind w:left="239" w:hanging="144"/>
              <w:rPr>
                <w:rFonts w:cs="Tahoma"/>
                <w:szCs w:val="18"/>
              </w:rPr>
            </w:pPr>
            <w:r w:rsidRPr="00C9445D">
              <w:rPr>
                <w:rFonts w:cs="Tahoma"/>
                <w:szCs w:val="18"/>
              </w:rPr>
              <w:t xml:space="preserve">Change in </w:t>
            </w:r>
            <w:r w:rsidR="001C295E">
              <w:rPr>
                <w:rFonts w:cs="Tahoma"/>
                <w:szCs w:val="18"/>
              </w:rPr>
              <w:t>LPH</w:t>
            </w:r>
            <w:r w:rsidRPr="00C9445D">
              <w:rPr>
                <w:rFonts w:cs="Tahoma"/>
                <w:szCs w:val="18"/>
              </w:rPr>
              <w:t xml:space="preserve"> questionnaire score</w:t>
            </w:r>
            <w:r w:rsidRPr="00C9445D">
              <w:rPr>
                <w:rFonts w:cs="Tahoma"/>
                <w:szCs w:val="18"/>
                <w:vertAlign w:val="superscript"/>
              </w:rPr>
              <w:t>c</w:t>
            </w:r>
          </w:p>
          <w:p w:rsidR="001D0FDA" w:rsidRPr="00A80005" w:rsidRDefault="001D0FDA" w:rsidP="00E1668E">
            <w:pPr>
              <w:pStyle w:val="Tabletext"/>
              <w:numPr>
                <w:ilvl w:val="0"/>
                <w:numId w:val="54"/>
              </w:numPr>
              <w:ind w:left="239" w:hanging="144"/>
              <w:rPr>
                <w:rFonts w:cs="Tahoma"/>
                <w:szCs w:val="18"/>
              </w:rPr>
            </w:pPr>
            <w:r>
              <w:rPr>
                <w:rFonts w:cs="Tahoma"/>
                <w:szCs w:val="18"/>
              </w:rPr>
              <w:t>Change in PVR</w:t>
            </w:r>
            <w:r w:rsidRPr="00EA1FCD">
              <w:rPr>
                <w:rFonts w:cs="Tahoma"/>
                <w:szCs w:val="18"/>
                <w:vertAlign w:val="superscript"/>
              </w:rPr>
              <w:t>c</w:t>
            </w:r>
          </w:p>
          <w:p w:rsidR="001D0FDA" w:rsidRDefault="001D0FDA" w:rsidP="00E1668E">
            <w:pPr>
              <w:pStyle w:val="Tabletext"/>
              <w:rPr>
                <w:rFonts w:cs="Tahoma"/>
                <w:szCs w:val="18"/>
              </w:rPr>
            </w:pPr>
            <w:r>
              <w:rPr>
                <w:rFonts w:cs="Tahoma"/>
                <w:szCs w:val="18"/>
              </w:rPr>
              <w:t>Others</w:t>
            </w:r>
          </w:p>
          <w:p w:rsidR="001D0FDA" w:rsidRDefault="001D0FDA" w:rsidP="00E1668E">
            <w:pPr>
              <w:pStyle w:val="Tabletext"/>
              <w:numPr>
                <w:ilvl w:val="0"/>
                <w:numId w:val="54"/>
              </w:numPr>
              <w:ind w:left="239" w:hanging="144"/>
              <w:rPr>
                <w:rFonts w:cs="Tahoma"/>
                <w:szCs w:val="18"/>
              </w:rPr>
            </w:pPr>
            <w:r>
              <w:rPr>
                <w:rFonts w:cs="Tahoma"/>
                <w:szCs w:val="18"/>
              </w:rPr>
              <w:t>Mortality</w:t>
            </w:r>
            <w:r w:rsidRPr="00EA1FCD">
              <w:rPr>
                <w:rFonts w:cs="Tahoma"/>
                <w:szCs w:val="18"/>
                <w:vertAlign w:val="superscript"/>
              </w:rPr>
              <w:t>c</w:t>
            </w:r>
          </w:p>
          <w:p w:rsidR="001D0FDA" w:rsidRPr="00EA1FCD" w:rsidRDefault="001D0FDA" w:rsidP="00E1668E">
            <w:pPr>
              <w:pStyle w:val="Tabletext"/>
              <w:numPr>
                <w:ilvl w:val="0"/>
                <w:numId w:val="54"/>
              </w:numPr>
              <w:ind w:left="239" w:hanging="144"/>
              <w:rPr>
                <w:rFonts w:cs="Tahoma"/>
                <w:szCs w:val="18"/>
              </w:rPr>
            </w:pPr>
            <w:r>
              <w:rPr>
                <w:rFonts w:cs="Tahoma"/>
                <w:szCs w:val="18"/>
              </w:rPr>
              <w:t>Hospitalisation</w:t>
            </w:r>
            <w:r w:rsidR="00444DBE">
              <w:rPr>
                <w:rFonts w:cs="Tahoma"/>
                <w:szCs w:val="18"/>
              </w:rPr>
              <w:t xml:space="preserve"> due to PAH</w:t>
            </w:r>
            <w:r w:rsidRPr="00EA1FCD">
              <w:rPr>
                <w:rFonts w:cs="Tahoma"/>
                <w:szCs w:val="18"/>
                <w:vertAlign w:val="superscript"/>
              </w:rPr>
              <w:t>c</w:t>
            </w:r>
          </w:p>
          <w:p w:rsidR="001D0FDA" w:rsidRPr="00A80005" w:rsidRDefault="001D0FDA" w:rsidP="00E1668E">
            <w:pPr>
              <w:pStyle w:val="Tabletext"/>
              <w:rPr>
                <w:rFonts w:cs="Tahoma"/>
                <w:szCs w:val="18"/>
              </w:rPr>
            </w:pPr>
          </w:p>
          <w:p w:rsidR="001D0FDA" w:rsidRDefault="001D0FDA" w:rsidP="00E1668E">
            <w:pPr>
              <w:pStyle w:val="Tabletext"/>
              <w:rPr>
                <w:rFonts w:cs="Tahoma"/>
                <w:i/>
                <w:szCs w:val="18"/>
              </w:rPr>
            </w:pPr>
            <w:r w:rsidRPr="00802B85">
              <w:rPr>
                <w:rFonts w:cs="Tahoma"/>
                <w:i/>
                <w:szCs w:val="18"/>
              </w:rPr>
              <w:t>S</w:t>
            </w:r>
            <w:r>
              <w:rPr>
                <w:rFonts w:cs="Tahoma"/>
                <w:i/>
                <w:szCs w:val="18"/>
              </w:rPr>
              <w:t>afety</w:t>
            </w:r>
          </w:p>
          <w:p w:rsidR="001D0FDA" w:rsidRPr="00351FF5" w:rsidRDefault="001D0FDA" w:rsidP="00E1668E">
            <w:pPr>
              <w:pStyle w:val="Tabletext"/>
              <w:numPr>
                <w:ilvl w:val="0"/>
                <w:numId w:val="54"/>
              </w:numPr>
              <w:ind w:left="239" w:hanging="144"/>
              <w:rPr>
                <w:rFonts w:cs="Tahoma"/>
                <w:i/>
                <w:szCs w:val="18"/>
              </w:rPr>
            </w:pPr>
            <w:r>
              <w:rPr>
                <w:rFonts w:cs="Tahoma"/>
                <w:szCs w:val="18"/>
              </w:rPr>
              <w:t>A</w:t>
            </w:r>
            <w:r w:rsidRPr="00351FF5">
              <w:rPr>
                <w:rFonts w:cs="Tahoma"/>
                <w:szCs w:val="18"/>
              </w:rPr>
              <w:t>dverse events</w:t>
            </w:r>
            <w:r w:rsidRPr="00351FF5">
              <w:rPr>
                <w:rFonts w:cs="Tahoma"/>
                <w:szCs w:val="18"/>
                <w:vertAlign w:val="superscript"/>
              </w:rPr>
              <w:t>c</w:t>
            </w:r>
          </w:p>
        </w:tc>
      </w:tr>
      <w:tr w:rsidR="00E1668E" w:rsidRPr="00204000" w:rsidTr="00E1668E">
        <w:tc>
          <w:tcPr>
            <w:tcW w:w="531" w:type="pct"/>
          </w:tcPr>
          <w:p w:rsidR="00E1668E" w:rsidRPr="00CB1953" w:rsidRDefault="00E1668E" w:rsidP="00E1668E">
            <w:pPr>
              <w:pStyle w:val="Tabletext"/>
              <w:rPr>
                <w:rFonts w:cs="Tahoma"/>
                <w:szCs w:val="18"/>
              </w:rPr>
            </w:pPr>
            <w:r>
              <w:rPr>
                <w:rFonts w:cs="Tahoma"/>
                <w:szCs w:val="18"/>
              </w:rPr>
              <w:t>PATENT-1</w:t>
            </w:r>
            <w:r w:rsidRPr="001D34EE">
              <w:rPr>
                <w:rFonts w:cs="Tahoma"/>
                <w:noProof/>
                <w:szCs w:val="18"/>
                <w:vertAlign w:val="superscript"/>
              </w:rPr>
              <w:t>23, 42, 43</w:t>
            </w:r>
          </w:p>
          <w:p w:rsidR="00E1668E" w:rsidRPr="00CB1953" w:rsidRDefault="00E1668E" w:rsidP="00E1668E">
            <w:pPr>
              <w:pStyle w:val="Tabletext"/>
              <w:rPr>
                <w:rFonts w:cs="Tahoma"/>
                <w:szCs w:val="18"/>
              </w:rPr>
            </w:pPr>
            <w:r w:rsidRPr="00CB1953">
              <w:rPr>
                <w:rFonts w:cs="Tahoma"/>
                <w:szCs w:val="18"/>
              </w:rPr>
              <w:t>2008-2012</w:t>
            </w:r>
          </w:p>
          <w:p w:rsidR="00E1668E" w:rsidRDefault="00E1668E" w:rsidP="00E1668E">
            <w:pPr>
              <w:pStyle w:val="Tabletext"/>
              <w:ind w:right="-28"/>
              <w:rPr>
                <w:rFonts w:cs="Tahoma"/>
                <w:szCs w:val="18"/>
              </w:rPr>
            </w:pPr>
            <w:r w:rsidRPr="00CB1953">
              <w:rPr>
                <w:rFonts w:cs="Tahoma"/>
                <w:szCs w:val="18"/>
              </w:rPr>
              <w:t>US, Canada, Mexico, Asia, Europe, South America, Australia</w:t>
            </w:r>
          </w:p>
          <w:p w:rsidR="00E1668E" w:rsidRDefault="00E1668E" w:rsidP="00E1668E">
            <w:pPr>
              <w:pStyle w:val="Tabletext"/>
              <w:ind w:right="-28"/>
              <w:rPr>
                <w:rFonts w:cs="Tahoma"/>
                <w:szCs w:val="18"/>
              </w:rPr>
            </w:pPr>
          </w:p>
          <w:p w:rsidR="00E1668E" w:rsidRPr="00D53F84" w:rsidRDefault="00E1668E" w:rsidP="00E1668E">
            <w:pPr>
              <w:pStyle w:val="Tabletext"/>
              <w:ind w:right="-28"/>
              <w:rPr>
                <w:rFonts w:eastAsia="Times New Roman"/>
                <w:lang w:eastAsia="en-US"/>
              </w:rPr>
            </w:pPr>
            <w:r>
              <w:rPr>
                <w:rFonts w:cs="Tahoma"/>
                <w:szCs w:val="18"/>
              </w:rPr>
              <w:t>Continued</w:t>
            </w:r>
          </w:p>
        </w:tc>
        <w:tc>
          <w:tcPr>
            <w:tcW w:w="476" w:type="pct"/>
          </w:tcPr>
          <w:p w:rsidR="00E1668E" w:rsidRPr="00D53F84" w:rsidRDefault="00E1668E" w:rsidP="00E1668E">
            <w:pPr>
              <w:pStyle w:val="Tabletext"/>
              <w:ind w:right="-28"/>
              <w:rPr>
                <w:rFonts w:eastAsia="Times New Roman"/>
                <w:snapToGrid w:val="0"/>
                <w:lang w:eastAsia="en-US"/>
              </w:rPr>
            </w:pPr>
          </w:p>
        </w:tc>
        <w:tc>
          <w:tcPr>
            <w:tcW w:w="772" w:type="pct"/>
          </w:tcPr>
          <w:p w:rsidR="00E1668E" w:rsidRPr="003775EB" w:rsidRDefault="00E1668E" w:rsidP="00E1668E">
            <w:pPr>
              <w:pStyle w:val="Tabletext"/>
              <w:rPr>
                <w:rFonts w:cs="Tahoma"/>
                <w:i/>
                <w:szCs w:val="18"/>
              </w:rPr>
            </w:pPr>
          </w:p>
        </w:tc>
        <w:tc>
          <w:tcPr>
            <w:tcW w:w="0" w:type="auto"/>
          </w:tcPr>
          <w:p w:rsidR="00E1668E" w:rsidRPr="00E1668E" w:rsidRDefault="00E1668E" w:rsidP="00E1668E">
            <w:pPr>
              <w:pStyle w:val="Tabletext"/>
              <w:rPr>
                <w:sz w:val="16"/>
                <w:szCs w:val="16"/>
              </w:rPr>
            </w:pPr>
          </w:p>
          <w:p w:rsidR="00E1668E" w:rsidRPr="00C5431E" w:rsidRDefault="00E1668E" w:rsidP="00E1668E">
            <w:pPr>
              <w:pStyle w:val="Tabletext"/>
              <w:rPr>
                <w:i/>
                <w:szCs w:val="18"/>
              </w:rPr>
            </w:pPr>
            <w:r w:rsidRPr="00C5431E">
              <w:rPr>
                <w:i/>
                <w:szCs w:val="18"/>
              </w:rPr>
              <w:t>Pre-treated with ERA</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PATENT-1"/>
            </w:tblPr>
            <w:tblGrid>
              <w:gridCol w:w="2101"/>
              <w:gridCol w:w="1142"/>
              <w:gridCol w:w="1134"/>
            </w:tblGrid>
            <w:tr w:rsidR="00E1668E" w:rsidRPr="00E1668E" w:rsidTr="00E1668E">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E1668E" w:rsidRPr="00E1668E" w:rsidRDefault="00E1668E" w:rsidP="00570FC8">
                  <w:pPr>
                    <w:pStyle w:val="Tabletext"/>
                    <w:framePr w:hSpace="181" w:wrap="around" w:hAnchor="text" w:yAlign="bottom"/>
                    <w:spacing w:before="0" w:after="0"/>
                    <w:suppressOverlap/>
                    <w:rPr>
                      <w:rFonts w:cs="Tahoma"/>
                      <w:b/>
                    </w:rPr>
                  </w:pPr>
                </w:p>
              </w:tc>
              <w:tc>
                <w:tcPr>
                  <w:tcW w:w="1142" w:type="dxa"/>
                  <w:shd w:val="clear" w:color="auto" w:fill="FFFFFF" w:themeFill="background1"/>
                </w:tcPr>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Riociguat 2.5</w:t>
                  </w:r>
                  <w:r w:rsidR="00570FC8">
                    <w:rPr>
                      <w:rFonts w:cs="Tahoma"/>
                    </w:rPr>
                    <w:t> mg</w:t>
                  </w:r>
                </w:p>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(N=113)</w:t>
                  </w:r>
                </w:p>
              </w:tc>
              <w:tc>
                <w:tcPr>
                  <w:tcW w:w="1134" w:type="dxa"/>
                  <w:shd w:val="clear" w:color="auto" w:fill="FFFFFF" w:themeFill="background1"/>
                </w:tcPr>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Placebo</w:t>
                  </w:r>
                </w:p>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(N=54)</w:t>
                  </w:r>
                </w:p>
              </w:tc>
            </w:tr>
            <w:tr w:rsidR="00E1668E" w:rsidRPr="00E1668E" w:rsidTr="00E1668E">
              <w:tc>
                <w:tcPr>
                  <w:tcW w:w="2101" w:type="dxa"/>
                </w:tcPr>
                <w:p w:rsidR="00E1668E" w:rsidRPr="00E1668E" w:rsidRDefault="00E1668E" w:rsidP="00570FC8">
                  <w:pPr>
                    <w:pStyle w:val="Tabletext"/>
                    <w:framePr w:hSpace="181" w:wrap="around" w:hAnchor="text" w:yAlign="bottom"/>
                    <w:spacing w:before="0" w:after="0"/>
                    <w:suppressOverlap/>
                    <w:rPr>
                      <w:rFonts w:cs="Tahoma"/>
                    </w:rPr>
                  </w:pPr>
                  <w:r w:rsidRPr="00E1668E">
                    <w:rPr>
                      <w:rFonts w:cs="Tahoma"/>
                    </w:rPr>
                    <w:t xml:space="preserve">Age, mean±SD (yrs) </w:t>
                  </w:r>
                </w:p>
              </w:tc>
              <w:tc>
                <w:tcPr>
                  <w:tcW w:w="1142" w:type="dxa"/>
                </w:tcPr>
                <w:p w:rsidR="00E1668E" w:rsidRPr="00E1668E" w:rsidRDefault="00E1668E" w:rsidP="00570FC8">
                  <w:pPr>
                    <w:pStyle w:val="Tabletext"/>
                    <w:framePr w:hSpace="181" w:wrap="around" w:hAnchor="text" w:yAlign="bottom"/>
                    <w:spacing w:before="0" w:after="0"/>
                    <w:suppressOverlap/>
                    <w:jc w:val="center"/>
                    <w:rPr>
                      <w:rFonts w:cs="Tahoma"/>
                    </w:rPr>
                  </w:pPr>
                  <w:r w:rsidRPr="00E1668E">
                    <w:t>55±15</w:t>
                  </w:r>
                </w:p>
              </w:tc>
              <w:tc>
                <w:tcPr>
                  <w:tcW w:w="1134" w:type="dxa"/>
                </w:tcPr>
                <w:p w:rsidR="00E1668E" w:rsidRPr="00E1668E" w:rsidRDefault="00E1668E" w:rsidP="00570FC8">
                  <w:pPr>
                    <w:pStyle w:val="Tabletext"/>
                    <w:framePr w:hSpace="181" w:wrap="around" w:hAnchor="text" w:yAlign="bottom"/>
                    <w:spacing w:before="0" w:after="0"/>
                    <w:suppressOverlap/>
                    <w:jc w:val="center"/>
                    <w:rPr>
                      <w:rFonts w:cs="Tahoma"/>
                    </w:rPr>
                  </w:pPr>
                  <w:r w:rsidRPr="00E1668E">
                    <w:t>53±15</w:t>
                  </w:r>
                </w:p>
              </w:tc>
            </w:tr>
            <w:tr w:rsidR="00E1668E" w:rsidRPr="00E1668E" w:rsidTr="00E1668E">
              <w:tc>
                <w:tcPr>
                  <w:tcW w:w="2101" w:type="dxa"/>
                  <w:tcBorders>
                    <w:bottom w:val="single" w:sz="4" w:space="0" w:color="BFBFBF" w:themeColor="background1" w:themeShade="BF"/>
                  </w:tcBorders>
                </w:tcPr>
                <w:p w:rsidR="00E1668E" w:rsidRPr="00E1668E" w:rsidRDefault="00E1668E" w:rsidP="00570FC8">
                  <w:pPr>
                    <w:pStyle w:val="Tabletext"/>
                    <w:framePr w:hSpace="181" w:wrap="around" w:hAnchor="text" w:yAlign="bottom"/>
                    <w:spacing w:before="0" w:after="0"/>
                    <w:suppressOverlap/>
                    <w:rPr>
                      <w:rFonts w:cs="Tahoma"/>
                    </w:rPr>
                  </w:pPr>
                  <w:r w:rsidRPr="00E1668E">
                    <w:rPr>
                      <w:rFonts w:cs="Tahoma"/>
                    </w:rPr>
                    <w:t>Gender, female, n (%)</w:t>
                  </w:r>
                </w:p>
              </w:tc>
              <w:tc>
                <w:tcPr>
                  <w:tcW w:w="1142" w:type="dxa"/>
                  <w:tcBorders>
                    <w:bottom w:val="single" w:sz="4" w:space="0" w:color="BFBFBF" w:themeColor="background1" w:themeShade="BF"/>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96 (85%)</w:t>
                  </w:r>
                </w:p>
              </w:tc>
              <w:tc>
                <w:tcPr>
                  <w:tcW w:w="1134" w:type="dxa"/>
                  <w:tcBorders>
                    <w:bottom w:val="single" w:sz="4" w:space="0" w:color="BFBFBF" w:themeColor="background1" w:themeShade="BF"/>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42 (78%)</w:t>
                  </w:r>
                </w:p>
              </w:tc>
            </w:tr>
            <w:tr w:rsidR="00E1668E" w:rsidRPr="00E1668E" w:rsidTr="00E1668E">
              <w:tc>
                <w:tcPr>
                  <w:tcW w:w="2101" w:type="dxa"/>
                  <w:tcBorders>
                    <w:bottom w:val="nil"/>
                  </w:tcBorders>
                </w:tcPr>
                <w:p w:rsidR="00E1668E" w:rsidRPr="00E1668E" w:rsidRDefault="00E1668E" w:rsidP="00570FC8">
                  <w:pPr>
                    <w:pStyle w:val="Tabletext"/>
                    <w:framePr w:hSpace="181" w:wrap="around" w:hAnchor="text" w:yAlign="bottom"/>
                    <w:spacing w:before="0" w:after="0"/>
                    <w:suppressOverlap/>
                    <w:rPr>
                      <w:rFonts w:cs="Tahoma"/>
                    </w:rPr>
                  </w:pPr>
                  <w:proofErr w:type="gramStart"/>
                  <w:r w:rsidRPr="00E1668E">
                    <w:rPr>
                      <w:rFonts w:cs="Tahoma"/>
                    </w:rPr>
                    <w:t>WHO</w:t>
                  </w:r>
                  <w:proofErr w:type="gramEnd"/>
                  <w:r w:rsidRPr="00E1668E">
                    <w:rPr>
                      <w:rFonts w:cs="Tahoma"/>
                    </w:rPr>
                    <w:t xml:space="preserve"> FC, n (%)</w:t>
                  </w:r>
                </w:p>
              </w:tc>
              <w:tc>
                <w:tcPr>
                  <w:tcW w:w="1142" w:type="dxa"/>
                  <w:tcBorders>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p>
              </w:tc>
              <w:tc>
                <w:tcPr>
                  <w:tcW w:w="1134" w:type="dxa"/>
                  <w:tcBorders>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p>
              </w:tc>
            </w:tr>
            <w:tr w:rsidR="00E1668E" w:rsidRPr="00E1668E" w:rsidTr="00E1668E">
              <w:tc>
                <w:tcPr>
                  <w:tcW w:w="2101" w:type="dxa"/>
                  <w:tcBorders>
                    <w:top w:val="nil"/>
                    <w:bottom w:val="nil"/>
                  </w:tcBorders>
                </w:tcPr>
                <w:p w:rsidR="00E1668E" w:rsidRPr="00E1668E" w:rsidRDefault="00E1668E" w:rsidP="00570FC8">
                  <w:pPr>
                    <w:pStyle w:val="Tabletext"/>
                    <w:framePr w:hSpace="181" w:wrap="around" w:hAnchor="text" w:yAlign="bottom"/>
                    <w:spacing w:before="0" w:after="0"/>
                    <w:suppressOverlap/>
                    <w:rPr>
                      <w:rFonts w:cs="Tahoma"/>
                    </w:rPr>
                  </w:pPr>
                  <w:r w:rsidRPr="00E1668E">
                    <w:rPr>
                      <w:rFonts w:cs="Tahoma"/>
                    </w:rPr>
                    <w:t>I</w:t>
                  </w:r>
                </w:p>
              </w:tc>
              <w:tc>
                <w:tcPr>
                  <w:tcW w:w="1142"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1 (1%)</w:t>
                  </w:r>
                </w:p>
              </w:tc>
              <w:tc>
                <w:tcPr>
                  <w:tcW w:w="1134"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0 (0%)</w:t>
                  </w:r>
                </w:p>
              </w:tc>
            </w:tr>
            <w:tr w:rsidR="00E1668E" w:rsidRPr="00E1668E" w:rsidTr="00E1668E">
              <w:tc>
                <w:tcPr>
                  <w:tcW w:w="2101" w:type="dxa"/>
                  <w:tcBorders>
                    <w:top w:val="nil"/>
                    <w:bottom w:val="nil"/>
                  </w:tcBorders>
                </w:tcPr>
                <w:p w:rsidR="00E1668E" w:rsidRPr="00E1668E" w:rsidRDefault="00E1668E" w:rsidP="00570FC8">
                  <w:pPr>
                    <w:pStyle w:val="Tabletext"/>
                    <w:framePr w:hSpace="181" w:wrap="around" w:hAnchor="text" w:yAlign="bottom"/>
                    <w:spacing w:before="0" w:after="0"/>
                    <w:suppressOverlap/>
                    <w:rPr>
                      <w:rFonts w:cs="Tahoma"/>
                    </w:rPr>
                  </w:pPr>
                  <w:r w:rsidRPr="00E1668E">
                    <w:rPr>
                      <w:rFonts w:cs="Tahoma"/>
                    </w:rPr>
                    <w:t>II</w:t>
                  </w:r>
                </w:p>
              </w:tc>
              <w:tc>
                <w:tcPr>
                  <w:tcW w:w="1142"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37 (33%)</w:t>
                  </w:r>
                </w:p>
              </w:tc>
              <w:tc>
                <w:tcPr>
                  <w:tcW w:w="1134"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23 (43%)</w:t>
                  </w:r>
                </w:p>
              </w:tc>
            </w:tr>
            <w:tr w:rsidR="00E1668E" w:rsidRPr="00E1668E" w:rsidTr="00E1668E">
              <w:tc>
                <w:tcPr>
                  <w:tcW w:w="2101" w:type="dxa"/>
                  <w:tcBorders>
                    <w:top w:val="nil"/>
                    <w:bottom w:val="nil"/>
                  </w:tcBorders>
                </w:tcPr>
                <w:p w:rsidR="00E1668E" w:rsidRPr="00E1668E" w:rsidRDefault="00E1668E" w:rsidP="00570FC8">
                  <w:pPr>
                    <w:pStyle w:val="Tabletext"/>
                    <w:framePr w:hSpace="181" w:wrap="around" w:hAnchor="text" w:yAlign="bottom"/>
                    <w:spacing w:before="0" w:after="0"/>
                    <w:suppressOverlap/>
                    <w:rPr>
                      <w:rFonts w:cs="Tahoma"/>
                    </w:rPr>
                  </w:pPr>
                  <w:r w:rsidRPr="00E1668E">
                    <w:rPr>
                      <w:rFonts w:cs="Tahoma"/>
                    </w:rPr>
                    <w:t>III</w:t>
                  </w:r>
                </w:p>
              </w:tc>
              <w:tc>
                <w:tcPr>
                  <w:tcW w:w="1142"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74 (65%)</w:t>
                  </w:r>
                </w:p>
              </w:tc>
              <w:tc>
                <w:tcPr>
                  <w:tcW w:w="1134"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29 (55%)</w:t>
                  </w:r>
                </w:p>
              </w:tc>
            </w:tr>
            <w:tr w:rsidR="00E1668E" w:rsidRPr="00E1668E" w:rsidTr="00E1668E">
              <w:tc>
                <w:tcPr>
                  <w:tcW w:w="2101" w:type="dxa"/>
                  <w:tcBorders>
                    <w:top w:val="nil"/>
                  </w:tcBorders>
                </w:tcPr>
                <w:p w:rsidR="00E1668E" w:rsidRPr="00E1668E" w:rsidRDefault="00E1668E" w:rsidP="00570FC8">
                  <w:pPr>
                    <w:pStyle w:val="Tabletext"/>
                    <w:framePr w:hSpace="181" w:wrap="around" w:hAnchor="text" w:yAlign="bottom"/>
                    <w:spacing w:before="0" w:after="0"/>
                    <w:suppressOverlap/>
                    <w:rPr>
                      <w:rFonts w:cs="Tahoma"/>
                    </w:rPr>
                  </w:pPr>
                  <w:r w:rsidRPr="00E1668E">
                    <w:rPr>
                      <w:rFonts w:cs="Tahoma"/>
                    </w:rPr>
                    <w:t>IV</w:t>
                  </w:r>
                </w:p>
              </w:tc>
              <w:tc>
                <w:tcPr>
                  <w:tcW w:w="1142" w:type="dxa"/>
                  <w:tcBorders>
                    <w:top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1 (1%)</w:t>
                  </w:r>
                </w:p>
              </w:tc>
              <w:tc>
                <w:tcPr>
                  <w:tcW w:w="1134" w:type="dxa"/>
                  <w:tcBorders>
                    <w:top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1 (2%)</w:t>
                  </w:r>
                </w:p>
              </w:tc>
            </w:tr>
          </w:tbl>
          <w:p w:rsidR="00E1668E" w:rsidRPr="00E1668E" w:rsidRDefault="00E1668E" w:rsidP="00E1668E">
            <w:pPr>
              <w:pStyle w:val="Tabletext"/>
            </w:pPr>
          </w:p>
          <w:p w:rsidR="00E1668E" w:rsidRPr="00E1668E" w:rsidRDefault="00E1668E" w:rsidP="00E1668E">
            <w:pPr>
              <w:pStyle w:val="Tabletext"/>
              <w:rPr>
                <w:i/>
              </w:rPr>
            </w:pPr>
            <w:r w:rsidRPr="00E1668E">
              <w:rPr>
                <w:i/>
              </w:rPr>
              <w:t>Pre-treated with prostanoid</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PATENT-1"/>
            </w:tblPr>
            <w:tblGrid>
              <w:gridCol w:w="2101"/>
              <w:gridCol w:w="1142"/>
              <w:gridCol w:w="1134"/>
            </w:tblGrid>
            <w:tr w:rsidR="00E1668E" w:rsidRPr="00E1668E" w:rsidTr="00E1668E">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E1668E" w:rsidRPr="00E1668E" w:rsidRDefault="00E1668E" w:rsidP="00570FC8">
                  <w:pPr>
                    <w:pStyle w:val="Tabletext"/>
                    <w:framePr w:hSpace="181" w:wrap="around" w:hAnchor="text" w:yAlign="bottom"/>
                    <w:spacing w:before="0" w:after="0"/>
                    <w:suppressOverlap/>
                    <w:rPr>
                      <w:rFonts w:cs="Tahoma"/>
                      <w:b/>
                    </w:rPr>
                  </w:pPr>
                </w:p>
              </w:tc>
              <w:tc>
                <w:tcPr>
                  <w:tcW w:w="1142" w:type="dxa"/>
                  <w:shd w:val="clear" w:color="auto" w:fill="FFFFFF" w:themeFill="background1"/>
                </w:tcPr>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Riociguat 2.5</w:t>
                  </w:r>
                  <w:r w:rsidR="00570FC8">
                    <w:rPr>
                      <w:rFonts w:cs="Tahoma"/>
                    </w:rPr>
                    <w:t> mg</w:t>
                  </w:r>
                </w:p>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(N=20)</w:t>
                  </w:r>
                </w:p>
              </w:tc>
              <w:tc>
                <w:tcPr>
                  <w:tcW w:w="1134" w:type="dxa"/>
                  <w:shd w:val="clear" w:color="auto" w:fill="FFFFFF" w:themeFill="background1"/>
                </w:tcPr>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Placebo</w:t>
                  </w:r>
                </w:p>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(N=7)</w:t>
                  </w:r>
                </w:p>
              </w:tc>
            </w:tr>
            <w:tr w:rsidR="00E1668E" w:rsidRPr="00E1668E" w:rsidTr="00E1668E">
              <w:tc>
                <w:tcPr>
                  <w:tcW w:w="2101" w:type="dxa"/>
                </w:tcPr>
                <w:p w:rsidR="00E1668E" w:rsidRPr="00E1668E" w:rsidRDefault="00E1668E" w:rsidP="00570FC8">
                  <w:pPr>
                    <w:pStyle w:val="Tabletext"/>
                    <w:framePr w:hSpace="181" w:wrap="around" w:hAnchor="text" w:yAlign="bottom"/>
                    <w:spacing w:before="0" w:after="0"/>
                    <w:suppressOverlap/>
                    <w:rPr>
                      <w:rFonts w:cs="Tahoma"/>
                    </w:rPr>
                  </w:pPr>
                  <w:r w:rsidRPr="00E1668E">
                    <w:rPr>
                      <w:rFonts w:cs="Tahoma"/>
                    </w:rPr>
                    <w:t xml:space="preserve">Age, mean±SD (yrs) </w:t>
                  </w:r>
                </w:p>
              </w:tc>
              <w:tc>
                <w:tcPr>
                  <w:tcW w:w="1142" w:type="dxa"/>
                </w:tcPr>
                <w:p w:rsidR="00E1668E" w:rsidRPr="00E1668E" w:rsidRDefault="00E1668E" w:rsidP="00570FC8">
                  <w:pPr>
                    <w:pStyle w:val="Tabletext"/>
                    <w:framePr w:hSpace="181" w:wrap="around" w:hAnchor="text" w:yAlign="bottom"/>
                    <w:spacing w:before="0"/>
                    <w:suppressOverlap/>
                    <w:jc w:val="center"/>
                    <w:rPr>
                      <w:rFonts w:cs="Tahoma"/>
                    </w:rPr>
                  </w:pPr>
                  <w:r w:rsidRPr="00E1668E">
                    <w:rPr>
                      <w:rFonts w:cs="Tahoma"/>
                    </w:rPr>
                    <w:t>50±17</w:t>
                  </w:r>
                </w:p>
              </w:tc>
              <w:tc>
                <w:tcPr>
                  <w:tcW w:w="1134" w:type="dxa"/>
                </w:tcPr>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52±17</w:t>
                  </w:r>
                </w:p>
              </w:tc>
            </w:tr>
            <w:tr w:rsidR="00E1668E" w:rsidRPr="00E1668E" w:rsidTr="00E1668E">
              <w:tc>
                <w:tcPr>
                  <w:tcW w:w="2101" w:type="dxa"/>
                  <w:tcBorders>
                    <w:bottom w:val="single" w:sz="4" w:space="0" w:color="BFBFBF" w:themeColor="background1" w:themeShade="BF"/>
                  </w:tcBorders>
                </w:tcPr>
                <w:p w:rsidR="00E1668E" w:rsidRPr="00E1668E" w:rsidRDefault="00E1668E" w:rsidP="00570FC8">
                  <w:pPr>
                    <w:pStyle w:val="Tabletext"/>
                    <w:framePr w:hSpace="181" w:wrap="around" w:hAnchor="text" w:yAlign="bottom"/>
                    <w:spacing w:before="0" w:after="0"/>
                    <w:suppressOverlap/>
                    <w:rPr>
                      <w:rFonts w:cs="Tahoma"/>
                    </w:rPr>
                  </w:pPr>
                  <w:r w:rsidRPr="00E1668E">
                    <w:rPr>
                      <w:rFonts w:cs="Tahoma"/>
                    </w:rPr>
                    <w:t>Gender, female, n (%)</w:t>
                  </w:r>
                </w:p>
              </w:tc>
              <w:tc>
                <w:tcPr>
                  <w:tcW w:w="1142" w:type="dxa"/>
                  <w:tcBorders>
                    <w:bottom w:val="single" w:sz="4" w:space="0" w:color="BFBFBF" w:themeColor="background1" w:themeShade="BF"/>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15 (75%)</w:t>
                  </w:r>
                </w:p>
              </w:tc>
              <w:tc>
                <w:tcPr>
                  <w:tcW w:w="1134" w:type="dxa"/>
                  <w:tcBorders>
                    <w:bottom w:val="single" w:sz="4" w:space="0" w:color="BFBFBF" w:themeColor="background1" w:themeShade="BF"/>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rPr>
                      <w:rFonts w:cs="Tahoma"/>
                    </w:rPr>
                    <w:t>4 (57%)</w:t>
                  </w:r>
                </w:p>
              </w:tc>
            </w:tr>
            <w:tr w:rsidR="00E1668E" w:rsidRPr="00E1668E" w:rsidTr="00E1668E">
              <w:tc>
                <w:tcPr>
                  <w:tcW w:w="2101" w:type="dxa"/>
                  <w:tcBorders>
                    <w:bottom w:val="nil"/>
                  </w:tcBorders>
                </w:tcPr>
                <w:p w:rsidR="00E1668E" w:rsidRPr="00E1668E" w:rsidRDefault="00E1668E" w:rsidP="00570FC8">
                  <w:pPr>
                    <w:pStyle w:val="Tabletext"/>
                    <w:framePr w:hSpace="181" w:wrap="around" w:hAnchor="text" w:yAlign="bottom"/>
                    <w:spacing w:before="0" w:after="0"/>
                    <w:suppressOverlap/>
                    <w:rPr>
                      <w:rFonts w:cs="Tahoma"/>
                    </w:rPr>
                  </w:pPr>
                  <w:proofErr w:type="gramStart"/>
                  <w:r w:rsidRPr="00E1668E">
                    <w:rPr>
                      <w:rFonts w:cs="Tahoma"/>
                    </w:rPr>
                    <w:t>WHO</w:t>
                  </w:r>
                  <w:proofErr w:type="gramEnd"/>
                  <w:r w:rsidRPr="00E1668E">
                    <w:rPr>
                      <w:rFonts w:cs="Tahoma"/>
                    </w:rPr>
                    <w:t xml:space="preserve"> FC, n (%)</w:t>
                  </w:r>
                </w:p>
              </w:tc>
              <w:tc>
                <w:tcPr>
                  <w:tcW w:w="1142" w:type="dxa"/>
                  <w:tcBorders>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p>
              </w:tc>
              <w:tc>
                <w:tcPr>
                  <w:tcW w:w="1134" w:type="dxa"/>
                  <w:tcBorders>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p>
              </w:tc>
            </w:tr>
            <w:tr w:rsidR="00E1668E" w:rsidRPr="00E1668E" w:rsidTr="00E1668E">
              <w:tc>
                <w:tcPr>
                  <w:tcW w:w="2101" w:type="dxa"/>
                  <w:tcBorders>
                    <w:top w:val="nil"/>
                    <w:bottom w:val="nil"/>
                  </w:tcBorders>
                </w:tcPr>
                <w:p w:rsidR="00E1668E" w:rsidRPr="00E1668E" w:rsidRDefault="00E1668E" w:rsidP="00570FC8">
                  <w:pPr>
                    <w:pStyle w:val="Tabletext"/>
                    <w:framePr w:hSpace="181" w:wrap="around" w:hAnchor="text" w:yAlign="bottom"/>
                    <w:spacing w:before="0" w:after="0"/>
                    <w:ind w:left="196"/>
                    <w:suppressOverlap/>
                    <w:rPr>
                      <w:rFonts w:cs="Tahoma"/>
                    </w:rPr>
                  </w:pPr>
                  <w:r w:rsidRPr="00E1668E">
                    <w:rPr>
                      <w:rFonts w:cs="Tahoma"/>
                    </w:rPr>
                    <w:t>I</w:t>
                  </w:r>
                </w:p>
              </w:tc>
              <w:tc>
                <w:tcPr>
                  <w:tcW w:w="1142"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2 (10%)</w:t>
                  </w:r>
                </w:p>
              </w:tc>
              <w:tc>
                <w:tcPr>
                  <w:tcW w:w="1134"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0 (0%)</w:t>
                  </w:r>
                </w:p>
              </w:tc>
            </w:tr>
            <w:tr w:rsidR="00E1668E" w:rsidRPr="00E1668E" w:rsidTr="00E1668E">
              <w:tc>
                <w:tcPr>
                  <w:tcW w:w="2101" w:type="dxa"/>
                  <w:tcBorders>
                    <w:top w:val="nil"/>
                    <w:bottom w:val="nil"/>
                  </w:tcBorders>
                </w:tcPr>
                <w:p w:rsidR="00E1668E" w:rsidRPr="00E1668E" w:rsidRDefault="00E1668E" w:rsidP="00570FC8">
                  <w:pPr>
                    <w:pStyle w:val="Tabletext"/>
                    <w:framePr w:hSpace="181" w:wrap="around" w:hAnchor="text" w:yAlign="bottom"/>
                    <w:spacing w:before="0" w:after="0"/>
                    <w:ind w:left="196"/>
                    <w:suppressOverlap/>
                    <w:rPr>
                      <w:rFonts w:cs="Tahoma"/>
                    </w:rPr>
                  </w:pPr>
                  <w:r w:rsidRPr="00E1668E">
                    <w:rPr>
                      <w:rFonts w:cs="Tahoma"/>
                    </w:rPr>
                    <w:t>II</w:t>
                  </w:r>
                </w:p>
              </w:tc>
              <w:tc>
                <w:tcPr>
                  <w:tcW w:w="1142"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6 (30%)</w:t>
                  </w:r>
                </w:p>
              </w:tc>
              <w:tc>
                <w:tcPr>
                  <w:tcW w:w="1134"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2 (29%)</w:t>
                  </w:r>
                </w:p>
              </w:tc>
            </w:tr>
            <w:tr w:rsidR="00E1668E" w:rsidRPr="00E1668E" w:rsidTr="00E1668E">
              <w:tc>
                <w:tcPr>
                  <w:tcW w:w="2101" w:type="dxa"/>
                  <w:tcBorders>
                    <w:top w:val="nil"/>
                    <w:bottom w:val="nil"/>
                  </w:tcBorders>
                </w:tcPr>
                <w:p w:rsidR="00E1668E" w:rsidRPr="00E1668E" w:rsidRDefault="00E1668E" w:rsidP="00570FC8">
                  <w:pPr>
                    <w:pStyle w:val="Tabletext"/>
                    <w:framePr w:hSpace="181" w:wrap="around" w:hAnchor="text" w:yAlign="bottom"/>
                    <w:spacing w:before="0" w:after="0"/>
                    <w:ind w:left="196"/>
                    <w:suppressOverlap/>
                    <w:rPr>
                      <w:rFonts w:cs="Tahoma"/>
                    </w:rPr>
                  </w:pPr>
                  <w:r w:rsidRPr="00E1668E">
                    <w:rPr>
                      <w:rFonts w:cs="Tahoma"/>
                    </w:rPr>
                    <w:t>III</w:t>
                  </w:r>
                </w:p>
              </w:tc>
              <w:tc>
                <w:tcPr>
                  <w:tcW w:w="1142"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12 (60%)</w:t>
                  </w:r>
                </w:p>
              </w:tc>
              <w:tc>
                <w:tcPr>
                  <w:tcW w:w="1134"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5 (71%)</w:t>
                  </w:r>
                </w:p>
              </w:tc>
            </w:tr>
            <w:tr w:rsidR="00E1668E" w:rsidRPr="00E1668E" w:rsidTr="009F1E35">
              <w:tc>
                <w:tcPr>
                  <w:tcW w:w="2101" w:type="dxa"/>
                  <w:tcBorders>
                    <w:top w:val="nil"/>
                    <w:bottom w:val="nil"/>
                  </w:tcBorders>
                </w:tcPr>
                <w:p w:rsidR="00E1668E" w:rsidRPr="00E1668E" w:rsidRDefault="00E1668E" w:rsidP="00570FC8">
                  <w:pPr>
                    <w:pStyle w:val="Tabletext"/>
                    <w:framePr w:hSpace="181" w:wrap="around" w:hAnchor="text" w:yAlign="bottom"/>
                    <w:spacing w:before="0" w:after="0"/>
                    <w:ind w:left="196"/>
                    <w:suppressOverlap/>
                    <w:rPr>
                      <w:rFonts w:cs="Tahoma"/>
                    </w:rPr>
                  </w:pPr>
                  <w:r w:rsidRPr="00E1668E">
                    <w:rPr>
                      <w:rFonts w:cs="Tahoma"/>
                    </w:rPr>
                    <w:t>IV</w:t>
                  </w:r>
                </w:p>
              </w:tc>
              <w:tc>
                <w:tcPr>
                  <w:tcW w:w="1142"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0 (0%)</w:t>
                  </w:r>
                </w:p>
              </w:tc>
              <w:tc>
                <w:tcPr>
                  <w:tcW w:w="1134" w:type="dxa"/>
                  <w:tcBorders>
                    <w:top w:val="nil"/>
                    <w:bottom w:val="nil"/>
                  </w:tcBorders>
                </w:tcPr>
                <w:p w:rsidR="00E1668E" w:rsidRPr="00E1668E" w:rsidRDefault="00E1668E" w:rsidP="00570FC8">
                  <w:pPr>
                    <w:pStyle w:val="Tabletext"/>
                    <w:framePr w:hSpace="181" w:wrap="around" w:hAnchor="text" w:yAlign="bottom"/>
                    <w:spacing w:before="0" w:after="0"/>
                    <w:suppressOverlap/>
                    <w:jc w:val="center"/>
                    <w:rPr>
                      <w:rFonts w:cs="Tahoma"/>
                    </w:rPr>
                  </w:pPr>
                  <w:r w:rsidRPr="00E1668E">
                    <w:t>0 (0%)</w:t>
                  </w:r>
                </w:p>
              </w:tc>
            </w:tr>
            <w:tr w:rsidR="009F1E35" w:rsidRPr="00E1668E" w:rsidTr="00E1668E">
              <w:tc>
                <w:tcPr>
                  <w:tcW w:w="2101" w:type="dxa"/>
                  <w:tcBorders>
                    <w:top w:val="nil"/>
                  </w:tcBorders>
                </w:tcPr>
                <w:p w:rsidR="009F1E35" w:rsidRDefault="009F1E35" w:rsidP="00570FC8">
                  <w:pPr>
                    <w:pStyle w:val="Tabletext"/>
                    <w:framePr w:hSpace="181" w:wrap="around" w:hAnchor="text" w:yAlign="bottom"/>
                    <w:spacing w:before="0" w:after="0"/>
                    <w:ind w:left="196"/>
                    <w:suppressOverlap/>
                    <w:rPr>
                      <w:rFonts w:cs="Tahoma"/>
                    </w:rPr>
                  </w:pPr>
                </w:p>
                <w:p w:rsidR="009F1E35" w:rsidRPr="00E1668E" w:rsidRDefault="009F1E35" w:rsidP="00570FC8">
                  <w:pPr>
                    <w:pStyle w:val="Tabletext"/>
                    <w:framePr w:hSpace="181" w:wrap="around" w:hAnchor="text" w:yAlign="bottom"/>
                    <w:spacing w:before="0" w:after="0"/>
                    <w:ind w:left="196"/>
                    <w:suppressOverlap/>
                    <w:rPr>
                      <w:rFonts w:cs="Tahoma"/>
                    </w:rPr>
                  </w:pPr>
                </w:p>
              </w:tc>
              <w:tc>
                <w:tcPr>
                  <w:tcW w:w="1142" w:type="dxa"/>
                  <w:tcBorders>
                    <w:top w:val="nil"/>
                  </w:tcBorders>
                </w:tcPr>
                <w:p w:rsidR="009F1E35" w:rsidRPr="00E1668E" w:rsidRDefault="009F1E35" w:rsidP="00570FC8">
                  <w:pPr>
                    <w:pStyle w:val="Tabletext"/>
                    <w:framePr w:hSpace="181" w:wrap="around" w:hAnchor="text" w:yAlign="bottom"/>
                    <w:spacing w:before="0" w:after="0"/>
                    <w:suppressOverlap/>
                    <w:jc w:val="center"/>
                  </w:pPr>
                </w:p>
              </w:tc>
              <w:tc>
                <w:tcPr>
                  <w:tcW w:w="1134" w:type="dxa"/>
                  <w:tcBorders>
                    <w:top w:val="nil"/>
                  </w:tcBorders>
                </w:tcPr>
                <w:p w:rsidR="009F1E35" w:rsidRPr="00E1668E" w:rsidRDefault="009F1E35" w:rsidP="00570FC8">
                  <w:pPr>
                    <w:pStyle w:val="Tabletext"/>
                    <w:framePr w:hSpace="181" w:wrap="around" w:hAnchor="text" w:yAlign="bottom"/>
                    <w:spacing w:before="0" w:after="0"/>
                    <w:suppressOverlap/>
                    <w:jc w:val="center"/>
                  </w:pPr>
                </w:p>
              </w:tc>
            </w:tr>
          </w:tbl>
          <w:p w:rsidR="00E1668E" w:rsidRDefault="00E1668E" w:rsidP="00E1668E">
            <w:pPr>
              <w:pStyle w:val="Tabletext"/>
              <w:rPr>
                <w:rFonts w:cs="Tahoma"/>
                <w:szCs w:val="18"/>
              </w:rPr>
            </w:pPr>
          </w:p>
        </w:tc>
        <w:tc>
          <w:tcPr>
            <w:tcW w:w="811" w:type="pct"/>
          </w:tcPr>
          <w:p w:rsidR="00E1668E" w:rsidRPr="00134485" w:rsidRDefault="00E1668E" w:rsidP="00E1668E">
            <w:pPr>
              <w:pStyle w:val="Tabletext"/>
              <w:rPr>
                <w:i/>
              </w:rPr>
            </w:pPr>
          </w:p>
        </w:tc>
        <w:tc>
          <w:tcPr>
            <w:tcW w:w="771" w:type="pct"/>
          </w:tcPr>
          <w:p w:rsidR="00E1668E" w:rsidRDefault="00E1668E" w:rsidP="00E1668E">
            <w:pPr>
              <w:pStyle w:val="Tabletext"/>
              <w:rPr>
                <w:rFonts w:cs="Tahoma"/>
                <w:i/>
                <w:szCs w:val="18"/>
              </w:rPr>
            </w:pPr>
          </w:p>
        </w:tc>
      </w:tr>
      <w:tr w:rsidR="00E1668E" w:rsidRPr="00204000" w:rsidTr="00E1668E">
        <w:tc>
          <w:tcPr>
            <w:tcW w:w="531" w:type="pct"/>
          </w:tcPr>
          <w:p w:rsidR="00E1668E" w:rsidRPr="00D53F84" w:rsidRDefault="00E1668E" w:rsidP="00E1668E">
            <w:pPr>
              <w:pStyle w:val="Tabletext"/>
              <w:ind w:right="-28"/>
              <w:rPr>
                <w:rFonts w:eastAsia="Times New Roman"/>
                <w:lang w:eastAsia="en-US"/>
              </w:rPr>
            </w:pPr>
            <w:r w:rsidRPr="00D53F84">
              <w:rPr>
                <w:rFonts w:eastAsia="Times New Roman"/>
                <w:lang w:eastAsia="en-US"/>
              </w:rPr>
              <w:t>PATENT-PLUS</w:t>
            </w:r>
            <w:r w:rsidRPr="001A1C44">
              <w:rPr>
                <w:rFonts w:eastAsia="Times New Roman"/>
                <w:noProof/>
                <w:vertAlign w:val="superscript"/>
                <w:lang w:eastAsia="en-US"/>
              </w:rPr>
              <w:t>44</w:t>
            </w:r>
          </w:p>
          <w:p w:rsidR="00E1668E" w:rsidRPr="00D53F84" w:rsidRDefault="00E1668E" w:rsidP="00E1668E">
            <w:pPr>
              <w:pStyle w:val="Tabletext"/>
              <w:ind w:right="-28"/>
              <w:rPr>
                <w:rFonts w:eastAsia="Times New Roman"/>
                <w:lang w:eastAsia="en-US"/>
              </w:rPr>
            </w:pPr>
            <w:r w:rsidRPr="00D53F84">
              <w:rPr>
                <w:rFonts w:eastAsia="Times New Roman"/>
                <w:snapToGrid w:val="0"/>
                <w:lang w:eastAsia="en-US"/>
              </w:rPr>
              <w:t>2010-2013</w:t>
            </w:r>
          </w:p>
          <w:p w:rsidR="00E1668E" w:rsidRDefault="00E1668E" w:rsidP="00E1668E">
            <w:pPr>
              <w:pStyle w:val="Tabletext"/>
              <w:rPr>
                <w:rFonts w:cs="Tahoma"/>
                <w:szCs w:val="18"/>
              </w:rPr>
            </w:pPr>
            <w:r w:rsidRPr="00D53F84">
              <w:rPr>
                <w:rFonts w:eastAsia="Times New Roman"/>
                <w:snapToGrid w:val="0"/>
                <w:lang w:eastAsia="en-US"/>
              </w:rPr>
              <w:t>Europe</w:t>
            </w:r>
          </w:p>
        </w:tc>
        <w:tc>
          <w:tcPr>
            <w:tcW w:w="476" w:type="pct"/>
          </w:tcPr>
          <w:p w:rsidR="00E1668E" w:rsidRDefault="00E1668E" w:rsidP="00E1668E">
            <w:pPr>
              <w:pStyle w:val="Tabletext"/>
              <w:ind w:right="-28"/>
              <w:rPr>
                <w:rFonts w:eastAsia="Times New Roman"/>
                <w:snapToGrid w:val="0"/>
                <w:lang w:eastAsia="en-US"/>
              </w:rPr>
            </w:pPr>
            <w:r w:rsidRPr="00D53F84">
              <w:rPr>
                <w:rFonts w:eastAsia="Times New Roman"/>
                <w:snapToGrid w:val="0"/>
                <w:lang w:eastAsia="en-US"/>
              </w:rPr>
              <w:t>RCT, DB</w:t>
            </w:r>
          </w:p>
          <w:p w:rsidR="00E1668E" w:rsidRDefault="00E1668E" w:rsidP="00E1668E">
            <w:pPr>
              <w:pStyle w:val="Tabletext"/>
              <w:ind w:right="-28"/>
              <w:rPr>
                <w:rFonts w:eastAsia="Times New Roman"/>
                <w:snapToGrid w:val="0"/>
                <w:lang w:eastAsia="en-US"/>
              </w:rPr>
            </w:pPr>
            <w:r>
              <w:rPr>
                <w:rFonts w:eastAsia="Times New Roman"/>
                <w:snapToGrid w:val="0"/>
                <w:lang w:eastAsia="en-US"/>
              </w:rPr>
              <w:t>Level II evidence</w:t>
            </w:r>
          </w:p>
          <w:p w:rsidR="00E1668E" w:rsidRPr="00D53F84" w:rsidRDefault="00E1668E" w:rsidP="00E1668E">
            <w:pPr>
              <w:pStyle w:val="Tabletext"/>
              <w:ind w:right="-28"/>
              <w:rPr>
                <w:rFonts w:eastAsia="Times New Roman"/>
                <w:snapToGrid w:val="0"/>
                <w:lang w:eastAsia="en-US"/>
              </w:rPr>
            </w:pPr>
            <w:r>
              <w:rPr>
                <w:rFonts w:eastAsia="Times New Roman"/>
                <w:snapToGrid w:val="0"/>
                <w:lang w:eastAsia="en-US"/>
              </w:rPr>
              <w:t xml:space="preserve">Follow-up: </w:t>
            </w:r>
            <w:r w:rsidRPr="00D53F84">
              <w:rPr>
                <w:rFonts w:eastAsia="Times New Roman"/>
                <w:snapToGrid w:val="0"/>
                <w:lang w:eastAsia="en-US"/>
              </w:rPr>
              <w:t>12 weeks</w:t>
            </w:r>
          </w:p>
          <w:p w:rsidR="00E1668E" w:rsidRPr="00D53F84" w:rsidRDefault="00E1668E" w:rsidP="00E1668E">
            <w:pPr>
              <w:pStyle w:val="Tabletext"/>
              <w:ind w:right="-28"/>
              <w:rPr>
                <w:rFonts w:eastAsia="Times New Roman"/>
                <w:lang w:eastAsia="en-US"/>
              </w:rPr>
            </w:pPr>
            <w:r>
              <w:rPr>
                <w:rFonts w:eastAsia="Times New Roman"/>
                <w:snapToGrid w:val="0"/>
                <w:lang w:eastAsia="en-US"/>
              </w:rPr>
              <w:t>Risk of bias: l</w:t>
            </w:r>
            <w:r w:rsidRPr="00D53F84">
              <w:rPr>
                <w:rFonts w:eastAsia="Times New Roman"/>
                <w:snapToGrid w:val="0"/>
                <w:lang w:eastAsia="en-US"/>
              </w:rPr>
              <w:t>ow</w:t>
            </w:r>
          </w:p>
        </w:tc>
        <w:tc>
          <w:tcPr>
            <w:tcW w:w="772" w:type="pct"/>
          </w:tcPr>
          <w:p w:rsidR="00E1668E" w:rsidRDefault="00E1668E" w:rsidP="00E1668E">
            <w:pPr>
              <w:pStyle w:val="Tabletext"/>
              <w:rPr>
                <w:rFonts w:cs="Tahoma"/>
                <w:i/>
                <w:szCs w:val="18"/>
              </w:rPr>
            </w:pPr>
            <w:r w:rsidRPr="003775EB">
              <w:rPr>
                <w:rFonts w:cs="Tahoma"/>
                <w:i/>
                <w:szCs w:val="18"/>
              </w:rPr>
              <w:t>Inclusion criteria</w:t>
            </w:r>
          </w:p>
          <w:p w:rsidR="00E1668E" w:rsidRDefault="00E1668E" w:rsidP="00E1668E">
            <w:pPr>
              <w:pStyle w:val="Tabletext"/>
              <w:numPr>
                <w:ilvl w:val="0"/>
                <w:numId w:val="54"/>
              </w:numPr>
              <w:ind w:left="239" w:hanging="144"/>
              <w:rPr>
                <w:rFonts w:cs="Tahoma"/>
                <w:szCs w:val="18"/>
              </w:rPr>
            </w:pPr>
            <w:r>
              <w:rPr>
                <w:rFonts w:cs="Tahoma"/>
                <w:szCs w:val="18"/>
              </w:rPr>
              <w:t>A</w:t>
            </w:r>
            <w:r w:rsidRPr="003775EB">
              <w:rPr>
                <w:rFonts w:cs="Tahoma"/>
                <w:szCs w:val="18"/>
              </w:rPr>
              <w:t xml:space="preserve">ge </w:t>
            </w:r>
            <w:r>
              <w:rPr>
                <w:rFonts w:cs="Tahoma"/>
                <w:szCs w:val="18"/>
              </w:rPr>
              <w:t>of 18-75 years</w:t>
            </w:r>
          </w:p>
          <w:p w:rsidR="00E1668E" w:rsidRPr="003775EB" w:rsidRDefault="00E1668E" w:rsidP="00E1668E">
            <w:pPr>
              <w:pStyle w:val="Tabletext"/>
              <w:numPr>
                <w:ilvl w:val="0"/>
                <w:numId w:val="54"/>
              </w:numPr>
              <w:ind w:left="239" w:hanging="144"/>
              <w:rPr>
                <w:rFonts w:cs="Tahoma"/>
                <w:szCs w:val="18"/>
              </w:rPr>
            </w:pPr>
            <w:r w:rsidRPr="003775EB">
              <w:rPr>
                <w:rFonts w:cs="Tahoma"/>
                <w:szCs w:val="18"/>
              </w:rPr>
              <w:t>Patients with symptomatic PAH receiving stable ≥3 months) sildenafil therapy (approved dose: 20</w:t>
            </w:r>
            <w:r w:rsidR="00FD158F">
              <w:rPr>
                <w:rFonts w:cs="Tahoma"/>
                <w:szCs w:val="18"/>
              </w:rPr>
              <w:t> </w:t>
            </w:r>
            <w:r w:rsidRPr="003775EB">
              <w:rPr>
                <w:rFonts w:cs="Tahoma"/>
                <w:szCs w:val="18"/>
              </w:rPr>
              <w:t>mg tid</w:t>
            </w:r>
          </w:p>
          <w:p w:rsidR="00E1668E" w:rsidRDefault="00E1668E" w:rsidP="00E1668E">
            <w:pPr>
              <w:pStyle w:val="Tabletext"/>
              <w:numPr>
                <w:ilvl w:val="0"/>
                <w:numId w:val="54"/>
              </w:numPr>
              <w:ind w:left="239" w:hanging="144"/>
              <w:rPr>
                <w:rFonts w:cs="Tahoma"/>
                <w:szCs w:val="18"/>
              </w:rPr>
            </w:pPr>
            <w:r>
              <w:rPr>
                <w:rFonts w:cs="Tahoma"/>
                <w:szCs w:val="18"/>
              </w:rPr>
              <w:t>6MWD &gt;150</w:t>
            </w:r>
            <w:r w:rsidR="00FD158F">
              <w:rPr>
                <w:rFonts w:cs="Tahoma"/>
                <w:szCs w:val="18"/>
              </w:rPr>
              <w:t> </w:t>
            </w:r>
            <w:r w:rsidRPr="003775EB">
              <w:rPr>
                <w:rFonts w:cs="Tahoma"/>
                <w:szCs w:val="18"/>
              </w:rPr>
              <w:t>m</w:t>
            </w:r>
          </w:p>
          <w:p w:rsidR="00E1668E" w:rsidRDefault="00E1668E" w:rsidP="00E1668E">
            <w:pPr>
              <w:pStyle w:val="Tabletext"/>
              <w:numPr>
                <w:ilvl w:val="0"/>
                <w:numId w:val="54"/>
              </w:numPr>
              <w:ind w:left="239" w:hanging="144"/>
              <w:rPr>
                <w:rFonts w:cs="Tahoma"/>
                <w:szCs w:val="18"/>
              </w:rPr>
            </w:pPr>
            <w:r w:rsidRPr="00134485">
              <w:rPr>
                <w:rFonts w:cs="Tahoma"/>
                <w:szCs w:val="18"/>
              </w:rPr>
              <w:t>PVR &gt;300 dyn*s*cm</w:t>
            </w:r>
            <w:r w:rsidRPr="00134485">
              <w:rPr>
                <w:rFonts w:cs="Tahoma"/>
                <w:szCs w:val="18"/>
                <w:vertAlign w:val="superscript"/>
              </w:rPr>
              <w:t>-5</w:t>
            </w:r>
            <w:r w:rsidRPr="00134485">
              <w:rPr>
                <w:rFonts w:cs="Tahoma"/>
                <w:szCs w:val="18"/>
              </w:rPr>
              <w:t>, mPAP≥25</w:t>
            </w:r>
            <w:r w:rsidR="00FD158F">
              <w:rPr>
                <w:rFonts w:cs="Tahoma"/>
                <w:szCs w:val="18"/>
              </w:rPr>
              <w:t> </w:t>
            </w:r>
            <w:r w:rsidRPr="00134485">
              <w:rPr>
                <w:rFonts w:cs="Tahoma"/>
                <w:szCs w:val="18"/>
              </w:rPr>
              <w:t xml:space="preserve">mgHg, SBP ≥95 mmHg and heart rate ≤105 beats/min in the first 2 </w:t>
            </w:r>
            <w:r>
              <w:rPr>
                <w:rFonts w:cs="Tahoma"/>
                <w:szCs w:val="18"/>
              </w:rPr>
              <w:t>hours after taking sildenafil</w:t>
            </w:r>
          </w:p>
          <w:p w:rsidR="00E1668E" w:rsidRPr="00134485" w:rsidRDefault="00E1668E" w:rsidP="00E1668E">
            <w:pPr>
              <w:pStyle w:val="Tabletext"/>
              <w:ind w:left="95"/>
              <w:rPr>
                <w:rFonts w:cs="Tahoma"/>
                <w:szCs w:val="18"/>
              </w:rPr>
            </w:pPr>
          </w:p>
          <w:p w:rsidR="00E1668E" w:rsidRDefault="00E1668E" w:rsidP="00E1668E">
            <w:pPr>
              <w:pStyle w:val="Tabletext"/>
              <w:rPr>
                <w:rFonts w:cs="Tahoma"/>
                <w:i/>
                <w:szCs w:val="18"/>
              </w:rPr>
            </w:pPr>
            <w:r w:rsidRPr="003775EB">
              <w:rPr>
                <w:rFonts w:cs="Tahoma"/>
                <w:i/>
                <w:szCs w:val="18"/>
              </w:rPr>
              <w:t>Exclusion criteria</w:t>
            </w:r>
          </w:p>
          <w:p w:rsidR="00E1668E" w:rsidRDefault="00E1668E" w:rsidP="00E1668E">
            <w:pPr>
              <w:pStyle w:val="Tabletext"/>
              <w:numPr>
                <w:ilvl w:val="0"/>
                <w:numId w:val="54"/>
              </w:numPr>
              <w:ind w:left="239" w:hanging="144"/>
              <w:rPr>
                <w:rFonts w:cs="Tahoma"/>
                <w:i/>
                <w:szCs w:val="18"/>
              </w:rPr>
            </w:pPr>
            <w:r w:rsidRPr="003775EB">
              <w:rPr>
                <w:rFonts w:cs="Tahoma"/>
                <w:szCs w:val="18"/>
              </w:rPr>
              <w:t>Patients receiving treat</w:t>
            </w:r>
            <w:r>
              <w:rPr>
                <w:rFonts w:cs="Tahoma"/>
                <w:szCs w:val="18"/>
              </w:rPr>
              <w:t>ment with other PDE-5is</w:t>
            </w:r>
            <w:r w:rsidRPr="003775EB">
              <w:rPr>
                <w:rFonts w:cs="Tahoma"/>
                <w:szCs w:val="18"/>
              </w:rPr>
              <w:t xml:space="preserve">, unspecific PDE inhibitors, ERAs, prostanoids or </w:t>
            </w:r>
            <w:r>
              <w:rPr>
                <w:rFonts w:cs="Tahoma"/>
                <w:szCs w:val="18"/>
              </w:rPr>
              <w:t>nitric oxide</w:t>
            </w:r>
            <w:r w:rsidRPr="003775EB">
              <w:rPr>
                <w:rFonts w:cs="Tahoma"/>
                <w:szCs w:val="18"/>
              </w:rPr>
              <w:t xml:space="preserve"> donors</w:t>
            </w:r>
          </w:p>
        </w:tc>
        <w:tc>
          <w:tcPr>
            <w:tcW w:w="0" w:type="auto"/>
          </w:tcPr>
          <w:p w:rsidR="00E1668E" w:rsidRDefault="00E1668E" w:rsidP="00E1668E">
            <w:pPr>
              <w:pStyle w:val="Tabletext"/>
              <w:rPr>
                <w:rFonts w:cs="Tahoma"/>
                <w:szCs w:val="18"/>
              </w:rPr>
            </w:pPr>
            <w:r>
              <w:rPr>
                <w:rFonts w:cs="Tahoma"/>
                <w:szCs w:val="18"/>
              </w:rPr>
              <w:t>N=18</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PATENT-PLUS"/>
            </w:tblPr>
            <w:tblGrid>
              <w:gridCol w:w="2101"/>
              <w:gridCol w:w="1001"/>
              <w:gridCol w:w="1134"/>
            </w:tblGrid>
            <w:tr w:rsidR="00E1668E" w:rsidRPr="00351FF5" w:rsidTr="001D0FDA">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E1668E" w:rsidRPr="00351FF5" w:rsidRDefault="00E1668E" w:rsidP="00570FC8">
                  <w:pPr>
                    <w:pStyle w:val="Tabletext"/>
                    <w:framePr w:hSpace="181" w:wrap="around" w:hAnchor="text" w:yAlign="bottom"/>
                    <w:spacing w:before="0" w:after="0"/>
                    <w:suppressOverlap/>
                    <w:rPr>
                      <w:rFonts w:cs="Tahoma"/>
                      <w:b/>
                      <w:szCs w:val="18"/>
                    </w:rPr>
                  </w:pPr>
                </w:p>
              </w:tc>
              <w:tc>
                <w:tcPr>
                  <w:tcW w:w="1001" w:type="dxa"/>
                  <w:shd w:val="clear" w:color="auto" w:fill="FFFFFF" w:themeFill="background1"/>
                </w:tcPr>
                <w:p w:rsidR="00E1668E" w:rsidRPr="00802B85" w:rsidRDefault="00E1668E" w:rsidP="00570FC8">
                  <w:pPr>
                    <w:pStyle w:val="Tabletext"/>
                    <w:framePr w:hSpace="181" w:wrap="around" w:hAnchor="text" w:yAlign="bottom"/>
                    <w:spacing w:before="0" w:after="0"/>
                    <w:suppressOverlap/>
                    <w:jc w:val="center"/>
                    <w:rPr>
                      <w:rFonts w:cs="Tahoma"/>
                      <w:szCs w:val="18"/>
                    </w:rPr>
                  </w:pPr>
                  <w:r>
                    <w:rPr>
                      <w:rFonts w:cs="Tahoma"/>
                      <w:szCs w:val="18"/>
                    </w:rPr>
                    <w:t>Riociguat</w:t>
                  </w:r>
                </w:p>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12</w:t>
                  </w:r>
                  <w:r w:rsidRPr="00802B85">
                    <w:rPr>
                      <w:rFonts w:cs="Tahoma"/>
                      <w:szCs w:val="18"/>
                    </w:rPr>
                    <w:t>)</w:t>
                  </w:r>
                </w:p>
              </w:tc>
              <w:tc>
                <w:tcPr>
                  <w:tcW w:w="1134" w:type="dxa"/>
                  <w:shd w:val="clear" w:color="auto" w:fill="FFFFFF" w:themeFill="background1"/>
                </w:tcPr>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Placebo</w:t>
                  </w:r>
                </w:p>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6</w:t>
                  </w:r>
                  <w:r w:rsidRPr="00802B85">
                    <w:rPr>
                      <w:rFonts w:cs="Tahoma"/>
                      <w:szCs w:val="18"/>
                    </w:rPr>
                    <w:t>)</w:t>
                  </w:r>
                </w:p>
              </w:tc>
            </w:tr>
            <w:tr w:rsidR="00E1668E" w:rsidRPr="00351FF5" w:rsidTr="001D0FDA">
              <w:tc>
                <w:tcPr>
                  <w:tcW w:w="2101" w:type="dxa"/>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001" w:type="dxa"/>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58±11</w:t>
                  </w:r>
                </w:p>
              </w:tc>
              <w:tc>
                <w:tcPr>
                  <w:tcW w:w="1134" w:type="dxa"/>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61±10</w:t>
                  </w:r>
                </w:p>
              </w:tc>
            </w:tr>
            <w:tr w:rsidR="00E1668E" w:rsidRPr="00351FF5" w:rsidTr="001D0FDA">
              <w:tc>
                <w:tcPr>
                  <w:tcW w:w="210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0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8 (67%)</w:t>
                  </w:r>
                </w:p>
              </w:tc>
              <w:tc>
                <w:tcPr>
                  <w:tcW w:w="1134"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4 (67%)</w:t>
                  </w:r>
                </w:p>
              </w:tc>
            </w:tr>
            <w:tr w:rsidR="00E1668E" w:rsidRPr="00351FF5" w:rsidTr="001D0FDA">
              <w:tc>
                <w:tcPr>
                  <w:tcW w:w="2101" w:type="dxa"/>
                  <w:tcBorders>
                    <w:bottom w:val="nil"/>
                  </w:tcBorders>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001"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sidRPr="00351FF5">
                    <w:rPr>
                      <w:rFonts w:cs="Tahoma"/>
                      <w:szCs w:val="18"/>
                    </w:rPr>
                    <w:t>IPAH</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 (42%)</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4 (67%)</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sidRPr="00351FF5">
                    <w:rPr>
                      <w:rFonts w:cs="Tahoma"/>
                      <w:szCs w:val="18"/>
                    </w:rPr>
                    <w:t>PAH-CTD</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 (42%)</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1 (17%)</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PAH-CHD</w:t>
                  </w:r>
                </w:p>
              </w:tc>
              <w:tc>
                <w:tcPr>
                  <w:tcW w:w="1001" w:type="dxa"/>
                  <w:tcBorders>
                    <w:top w:val="nil"/>
                    <w:bottom w:val="nil"/>
                  </w:tcBorders>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1 (8%)</w:t>
                  </w:r>
                </w:p>
              </w:tc>
              <w:tc>
                <w:tcPr>
                  <w:tcW w:w="1134" w:type="dxa"/>
                  <w:tcBorders>
                    <w:top w:val="nil"/>
                    <w:bottom w:val="nil"/>
                  </w:tcBorders>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0 (0%)</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PAH-PH</w:t>
                  </w:r>
                </w:p>
              </w:tc>
              <w:tc>
                <w:tcPr>
                  <w:tcW w:w="1001" w:type="dxa"/>
                  <w:tcBorders>
                    <w:top w:val="nil"/>
                    <w:bottom w:val="nil"/>
                  </w:tcBorders>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1 (8%)</w:t>
                  </w:r>
                </w:p>
              </w:tc>
              <w:tc>
                <w:tcPr>
                  <w:tcW w:w="1134" w:type="dxa"/>
                  <w:tcBorders>
                    <w:top w:val="nil"/>
                    <w:bottom w:val="nil"/>
                  </w:tcBorders>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1 (17%)</w:t>
                  </w:r>
                </w:p>
              </w:tc>
            </w:tr>
            <w:tr w:rsidR="00E1668E" w:rsidRPr="00351FF5" w:rsidTr="001D0FDA">
              <w:tc>
                <w:tcPr>
                  <w:tcW w:w="2101" w:type="dxa"/>
                  <w:tcBorders>
                    <w:bottom w:val="nil"/>
                  </w:tcBorders>
                </w:tcPr>
                <w:p w:rsidR="00E1668E" w:rsidRPr="00351FF5" w:rsidRDefault="00E1668E"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001"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1 (8%)</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0 (0%)</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sidRPr="00351FF5">
                    <w:rPr>
                      <w:rFonts w:cs="Tahoma"/>
                      <w:szCs w:val="18"/>
                    </w:rPr>
                    <w:t>II</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6 (50%)</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4 (67%)</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III</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4 (33%)</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2 (33%)</w:t>
                  </w:r>
                </w:p>
              </w:tc>
            </w:tr>
            <w:tr w:rsidR="00E1668E" w:rsidRPr="00351FF5" w:rsidTr="001D0FDA">
              <w:tc>
                <w:tcPr>
                  <w:tcW w:w="2101" w:type="dxa"/>
                  <w:tcBorders>
                    <w:top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IV</w:t>
                  </w:r>
                </w:p>
              </w:tc>
              <w:tc>
                <w:tcPr>
                  <w:tcW w:w="1001" w:type="dxa"/>
                  <w:tcBorders>
                    <w:top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1 (8%)</w:t>
                  </w:r>
                </w:p>
              </w:tc>
              <w:tc>
                <w:tcPr>
                  <w:tcW w:w="1134" w:type="dxa"/>
                  <w:tcBorders>
                    <w:top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0 (0%)</w:t>
                  </w:r>
                </w:p>
              </w:tc>
            </w:tr>
            <w:tr w:rsidR="00E1668E" w:rsidRPr="00351FF5" w:rsidTr="001D0FDA">
              <w:tc>
                <w:tcPr>
                  <w:tcW w:w="2101" w:type="dxa"/>
                </w:tcPr>
                <w:p w:rsidR="00E1668E" w:rsidRPr="00351FF5" w:rsidRDefault="00E1668E" w:rsidP="00570FC8">
                  <w:pPr>
                    <w:pStyle w:val="Tabletext"/>
                    <w:framePr w:hSpace="181" w:wrap="around" w:hAnchor="text" w:yAlign="bottom"/>
                    <w:spacing w:before="0" w:after="0"/>
                    <w:suppressOverlap/>
                    <w:rPr>
                      <w:rFonts w:cs="Tahoma"/>
                      <w:szCs w:val="18"/>
                    </w:rPr>
                  </w:pPr>
                  <w:r>
                    <w:rPr>
                      <w:rFonts w:cs="Tahoma"/>
                      <w:szCs w:val="18"/>
                    </w:rPr>
                    <w:t>PVR, mean±SD (dyn*s*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01" w:type="dxa"/>
                  <w:vAlign w:val="center"/>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573±241</w:t>
                  </w:r>
                </w:p>
              </w:tc>
              <w:tc>
                <w:tcPr>
                  <w:tcW w:w="1134" w:type="dxa"/>
                  <w:vAlign w:val="center"/>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683±195</w:t>
                  </w:r>
                </w:p>
              </w:tc>
            </w:tr>
          </w:tbl>
          <w:p w:rsidR="00E1668E" w:rsidRDefault="00E1668E" w:rsidP="00E1668E">
            <w:pPr>
              <w:pStyle w:val="Tabletext"/>
              <w:rPr>
                <w:szCs w:val="18"/>
              </w:rPr>
            </w:pPr>
          </w:p>
        </w:tc>
        <w:tc>
          <w:tcPr>
            <w:tcW w:w="811" w:type="pct"/>
          </w:tcPr>
          <w:p w:rsidR="00E1668E" w:rsidRPr="00134485" w:rsidRDefault="00E1668E" w:rsidP="00E1668E">
            <w:pPr>
              <w:pStyle w:val="Tabletext"/>
              <w:rPr>
                <w:i/>
              </w:rPr>
            </w:pPr>
            <w:r w:rsidRPr="00134485">
              <w:rPr>
                <w:i/>
              </w:rPr>
              <w:t>Intervention</w:t>
            </w:r>
          </w:p>
          <w:p w:rsidR="00E1668E" w:rsidRDefault="00E1668E" w:rsidP="00E1668E">
            <w:pPr>
              <w:pStyle w:val="Tabletext"/>
            </w:pPr>
            <w:r>
              <w:t>R</w:t>
            </w:r>
            <w:r w:rsidRPr="00134485">
              <w:t>iociguat</w:t>
            </w:r>
            <w:r>
              <w:t>: up to 2.5</w:t>
            </w:r>
            <w:r w:rsidR="00FD158F">
              <w:t> </w:t>
            </w:r>
            <w:r w:rsidRPr="00134485">
              <w:t xml:space="preserve">mg </w:t>
            </w:r>
            <w:r>
              <w:t>tid</w:t>
            </w:r>
          </w:p>
          <w:p w:rsidR="00E1668E" w:rsidRPr="00134485" w:rsidRDefault="00E1668E" w:rsidP="00E1668E">
            <w:pPr>
              <w:pStyle w:val="Tabletext"/>
            </w:pPr>
          </w:p>
          <w:p w:rsidR="00E1668E" w:rsidRPr="00134485" w:rsidRDefault="00E1668E" w:rsidP="00E1668E">
            <w:pPr>
              <w:pStyle w:val="Tabletext"/>
              <w:rPr>
                <w:i/>
              </w:rPr>
            </w:pPr>
            <w:r w:rsidRPr="00134485">
              <w:rPr>
                <w:i/>
              </w:rPr>
              <w:t>Comparator</w:t>
            </w:r>
          </w:p>
          <w:p w:rsidR="00E1668E" w:rsidRPr="00134485" w:rsidRDefault="00E1668E" w:rsidP="00E1668E">
            <w:pPr>
              <w:pStyle w:val="Tabletext"/>
            </w:pPr>
            <w:r w:rsidRPr="00134485">
              <w:t xml:space="preserve">Placebo </w:t>
            </w:r>
          </w:p>
          <w:p w:rsidR="00E1668E" w:rsidRDefault="00E1668E" w:rsidP="00E1668E">
            <w:pPr>
              <w:pStyle w:val="Tabletext"/>
            </w:pPr>
          </w:p>
          <w:p w:rsidR="00E1668E" w:rsidRDefault="00E1668E" w:rsidP="00E1668E">
            <w:pPr>
              <w:pStyle w:val="Tabletext"/>
              <w:rPr>
                <w:i/>
              </w:rPr>
            </w:pPr>
            <w:r>
              <w:rPr>
                <w:i/>
              </w:rPr>
              <w:t>Background therapy</w:t>
            </w:r>
          </w:p>
          <w:p w:rsidR="00E1668E" w:rsidRPr="00C5431E" w:rsidRDefault="00E1668E" w:rsidP="00E1668E">
            <w:pPr>
              <w:pStyle w:val="Tabletext"/>
              <w:rPr>
                <w:i/>
              </w:rPr>
            </w:pPr>
            <w:r>
              <w:t>Sildenafil (100%): 20</w:t>
            </w:r>
            <w:r w:rsidR="00FD158F">
              <w:t> </w:t>
            </w:r>
            <w:r>
              <w:t>mg tid</w:t>
            </w:r>
          </w:p>
        </w:tc>
        <w:tc>
          <w:tcPr>
            <w:tcW w:w="771" w:type="pct"/>
          </w:tcPr>
          <w:p w:rsidR="00E1668E" w:rsidRDefault="00E1668E" w:rsidP="00E1668E">
            <w:pPr>
              <w:pStyle w:val="Tabletext"/>
              <w:rPr>
                <w:rFonts w:cs="Tahoma"/>
                <w:i/>
                <w:szCs w:val="18"/>
              </w:rPr>
            </w:pPr>
            <w:r>
              <w:rPr>
                <w:rFonts w:cs="Tahoma"/>
                <w:i/>
                <w:szCs w:val="18"/>
              </w:rPr>
              <w:t>Effectiveness</w:t>
            </w:r>
          </w:p>
          <w:p w:rsidR="00E1668E" w:rsidRDefault="00E1668E" w:rsidP="00E1668E">
            <w:pPr>
              <w:pStyle w:val="Tabletext"/>
              <w:rPr>
                <w:rFonts w:cs="Tahoma"/>
                <w:szCs w:val="18"/>
              </w:rPr>
            </w:pPr>
            <w:r w:rsidRPr="00FC35EB">
              <w:rPr>
                <w:rFonts w:cs="Tahoma"/>
                <w:szCs w:val="18"/>
              </w:rPr>
              <w:t xml:space="preserve">Primary </w:t>
            </w:r>
          </w:p>
          <w:p w:rsidR="00E1668E" w:rsidRPr="00FC35EB" w:rsidRDefault="00E1668E" w:rsidP="00E1668E">
            <w:pPr>
              <w:pStyle w:val="Tabletext"/>
              <w:numPr>
                <w:ilvl w:val="0"/>
                <w:numId w:val="54"/>
              </w:numPr>
              <w:ind w:left="239" w:hanging="144"/>
              <w:rPr>
                <w:rFonts w:cs="Tahoma"/>
                <w:szCs w:val="18"/>
              </w:rPr>
            </w:pPr>
            <w:r w:rsidRPr="00FC35EB">
              <w:rPr>
                <w:rFonts w:cs="Tahoma"/>
                <w:szCs w:val="18"/>
              </w:rPr>
              <w:t xml:space="preserve">Maximum change in supine SBP from baseline within 4 </w:t>
            </w:r>
            <w:r>
              <w:rPr>
                <w:rFonts w:cs="Tahoma"/>
                <w:szCs w:val="18"/>
              </w:rPr>
              <w:t>hours</w:t>
            </w:r>
            <w:r w:rsidRPr="00FC35EB">
              <w:rPr>
                <w:rFonts w:cs="Tahoma"/>
                <w:szCs w:val="18"/>
              </w:rPr>
              <w:t xml:space="preserve"> of dosing</w:t>
            </w:r>
          </w:p>
          <w:p w:rsidR="00E1668E" w:rsidRPr="00FC35EB" w:rsidRDefault="00E1668E" w:rsidP="00E1668E">
            <w:pPr>
              <w:pStyle w:val="Tabletext"/>
              <w:rPr>
                <w:rFonts w:cs="Tahoma"/>
                <w:szCs w:val="18"/>
              </w:rPr>
            </w:pPr>
            <w:r w:rsidRPr="00FC35EB">
              <w:rPr>
                <w:rFonts w:cs="Tahoma"/>
                <w:szCs w:val="18"/>
              </w:rPr>
              <w:t>Secondary:</w:t>
            </w:r>
          </w:p>
          <w:p w:rsidR="00E1668E" w:rsidRDefault="00E1668E" w:rsidP="00E1668E">
            <w:pPr>
              <w:pStyle w:val="Tabletext"/>
              <w:numPr>
                <w:ilvl w:val="0"/>
                <w:numId w:val="54"/>
              </w:numPr>
              <w:ind w:left="239" w:hanging="144"/>
              <w:rPr>
                <w:rFonts w:cs="Tahoma"/>
                <w:szCs w:val="18"/>
              </w:rPr>
            </w:pPr>
            <w:r>
              <w:rPr>
                <w:rFonts w:cs="Tahoma"/>
                <w:szCs w:val="18"/>
              </w:rPr>
              <w:t>M</w:t>
            </w:r>
            <w:r w:rsidRPr="00FC35EB">
              <w:rPr>
                <w:rFonts w:cs="Tahoma"/>
                <w:szCs w:val="18"/>
              </w:rPr>
              <w:t xml:space="preserve">aximum change in standing SBP, supine and standing DBP, and supine and standing </w:t>
            </w:r>
            <w:r>
              <w:rPr>
                <w:rFonts w:cs="Tahoma"/>
                <w:szCs w:val="18"/>
              </w:rPr>
              <w:t>heart rate</w:t>
            </w:r>
            <w:r w:rsidRPr="00FC35EB">
              <w:rPr>
                <w:rFonts w:cs="Tahoma"/>
                <w:szCs w:val="18"/>
              </w:rPr>
              <w:t xml:space="preserve"> from baseline within 4 h</w:t>
            </w:r>
            <w:r>
              <w:rPr>
                <w:rFonts w:cs="Tahoma"/>
                <w:szCs w:val="18"/>
              </w:rPr>
              <w:t>ours</w:t>
            </w:r>
            <w:r w:rsidRPr="00FC35EB">
              <w:rPr>
                <w:rFonts w:cs="Tahoma"/>
                <w:szCs w:val="18"/>
              </w:rPr>
              <w:t xml:space="preserve"> of study medication</w:t>
            </w:r>
          </w:p>
          <w:p w:rsidR="00E1668E" w:rsidRPr="00FC35EB" w:rsidRDefault="00E1668E" w:rsidP="00E1668E">
            <w:pPr>
              <w:pStyle w:val="Tabletext"/>
              <w:numPr>
                <w:ilvl w:val="0"/>
                <w:numId w:val="54"/>
              </w:numPr>
              <w:ind w:left="239" w:hanging="144"/>
              <w:rPr>
                <w:rFonts w:cs="Tahoma"/>
                <w:szCs w:val="18"/>
              </w:rPr>
            </w:pPr>
            <w:r w:rsidRPr="00FC35EB">
              <w:rPr>
                <w:rFonts w:cs="Tahoma"/>
                <w:szCs w:val="18"/>
              </w:rPr>
              <w:t>Area under effect curve for change from baseline in standing and supine SBP, DBP and heart rate within 4 h</w:t>
            </w:r>
            <w:r>
              <w:rPr>
                <w:rFonts w:cs="Tahoma"/>
                <w:szCs w:val="18"/>
              </w:rPr>
              <w:t>ours</w:t>
            </w:r>
            <w:r w:rsidRPr="00FC35EB">
              <w:rPr>
                <w:rFonts w:cs="Tahoma"/>
                <w:szCs w:val="18"/>
              </w:rPr>
              <w:t xml:space="preserve"> of study</w:t>
            </w:r>
          </w:p>
          <w:p w:rsidR="00E1668E" w:rsidRDefault="00E1668E" w:rsidP="00E1668E">
            <w:pPr>
              <w:pStyle w:val="Tabletext"/>
              <w:numPr>
                <w:ilvl w:val="0"/>
                <w:numId w:val="54"/>
              </w:numPr>
              <w:ind w:left="239" w:hanging="144"/>
              <w:rPr>
                <w:rFonts w:cs="Tahoma"/>
                <w:szCs w:val="18"/>
              </w:rPr>
            </w:pPr>
            <w:r>
              <w:rPr>
                <w:rFonts w:cs="Tahoma"/>
                <w:szCs w:val="18"/>
              </w:rPr>
              <w:t>C</w:t>
            </w:r>
            <w:r w:rsidRPr="00FC35EB">
              <w:rPr>
                <w:rFonts w:cs="Tahoma"/>
                <w:szCs w:val="18"/>
              </w:rPr>
              <w:t>hanges in 6MWD</w:t>
            </w:r>
            <w:r>
              <w:rPr>
                <w:rFonts w:cs="Tahoma"/>
                <w:szCs w:val="18"/>
              </w:rPr>
              <w:t xml:space="preserve"> at Week 12</w:t>
            </w:r>
            <w:r>
              <w:rPr>
                <w:rFonts w:cs="Tahoma"/>
                <w:szCs w:val="18"/>
                <w:vertAlign w:val="superscript"/>
              </w:rPr>
              <w:t>c</w:t>
            </w:r>
          </w:p>
          <w:p w:rsidR="00E1668E" w:rsidRDefault="00E1668E" w:rsidP="00E1668E">
            <w:pPr>
              <w:pStyle w:val="Tabletext"/>
              <w:numPr>
                <w:ilvl w:val="0"/>
                <w:numId w:val="54"/>
              </w:numPr>
              <w:ind w:left="239" w:hanging="144"/>
              <w:rPr>
                <w:rFonts w:cs="Tahoma"/>
                <w:szCs w:val="18"/>
              </w:rPr>
            </w:pPr>
            <w:r>
              <w:rPr>
                <w:rFonts w:cs="Tahoma"/>
                <w:szCs w:val="18"/>
              </w:rPr>
              <w:t>Change in WHO FC at Week 12</w:t>
            </w:r>
            <w:r>
              <w:rPr>
                <w:rFonts w:cs="Tahoma"/>
                <w:szCs w:val="18"/>
                <w:vertAlign w:val="superscript"/>
              </w:rPr>
              <w:t>c</w:t>
            </w:r>
          </w:p>
          <w:p w:rsidR="00E1668E" w:rsidRDefault="00E1668E" w:rsidP="00E1668E">
            <w:pPr>
              <w:pStyle w:val="Tabletext"/>
              <w:numPr>
                <w:ilvl w:val="0"/>
                <w:numId w:val="54"/>
              </w:numPr>
              <w:ind w:left="239" w:hanging="144"/>
              <w:rPr>
                <w:rFonts w:cs="Tahoma"/>
                <w:szCs w:val="18"/>
              </w:rPr>
            </w:pPr>
            <w:r>
              <w:rPr>
                <w:rFonts w:cs="Tahoma"/>
                <w:szCs w:val="18"/>
              </w:rPr>
              <w:t>Time to clinical worsening</w:t>
            </w:r>
            <w:r>
              <w:rPr>
                <w:rFonts w:cs="Tahoma"/>
                <w:szCs w:val="18"/>
                <w:vertAlign w:val="superscript"/>
              </w:rPr>
              <w:t>c</w:t>
            </w:r>
          </w:p>
          <w:p w:rsidR="00E1668E" w:rsidRDefault="00E1668E" w:rsidP="00E1668E">
            <w:pPr>
              <w:pStyle w:val="Tabletext"/>
              <w:numPr>
                <w:ilvl w:val="0"/>
                <w:numId w:val="54"/>
              </w:numPr>
              <w:ind w:left="239" w:hanging="144"/>
              <w:rPr>
                <w:rFonts w:cs="Tahoma"/>
                <w:szCs w:val="18"/>
              </w:rPr>
            </w:pPr>
          </w:p>
          <w:p w:rsidR="00E1668E" w:rsidRDefault="00E1668E" w:rsidP="00E1668E">
            <w:pPr>
              <w:pStyle w:val="Tabletext"/>
              <w:numPr>
                <w:ilvl w:val="0"/>
                <w:numId w:val="54"/>
              </w:numPr>
              <w:ind w:left="239" w:hanging="144"/>
              <w:rPr>
                <w:rFonts w:cs="Tahoma"/>
                <w:szCs w:val="18"/>
              </w:rPr>
            </w:pPr>
            <w:r>
              <w:rPr>
                <w:rFonts w:cs="Tahoma"/>
                <w:szCs w:val="18"/>
              </w:rPr>
              <w:t>Change in PVR, mPAP and CI at Week 12</w:t>
            </w:r>
          </w:p>
          <w:p w:rsidR="00E1668E" w:rsidRDefault="00E1668E" w:rsidP="00E1668E">
            <w:pPr>
              <w:pStyle w:val="Tabletext"/>
              <w:rPr>
                <w:rFonts w:cs="Tahoma"/>
                <w:szCs w:val="18"/>
              </w:rPr>
            </w:pPr>
            <w:r>
              <w:rPr>
                <w:rFonts w:cs="Tahoma"/>
                <w:szCs w:val="18"/>
              </w:rPr>
              <w:t>Others:</w:t>
            </w:r>
          </w:p>
          <w:p w:rsidR="00E1668E" w:rsidRPr="00ED4111" w:rsidRDefault="00E1668E" w:rsidP="00E1668E">
            <w:pPr>
              <w:pStyle w:val="Tabletext"/>
              <w:numPr>
                <w:ilvl w:val="0"/>
                <w:numId w:val="54"/>
              </w:numPr>
              <w:ind w:left="239" w:hanging="144"/>
              <w:rPr>
                <w:rFonts w:cs="Tahoma"/>
                <w:szCs w:val="18"/>
              </w:rPr>
            </w:pPr>
            <w:r>
              <w:rPr>
                <w:rFonts w:cs="Tahoma"/>
                <w:szCs w:val="18"/>
              </w:rPr>
              <w:t>Mortality</w:t>
            </w:r>
            <w:r>
              <w:rPr>
                <w:rFonts w:cs="Tahoma"/>
                <w:szCs w:val="18"/>
                <w:vertAlign w:val="superscript"/>
              </w:rPr>
              <w:t>c</w:t>
            </w:r>
          </w:p>
          <w:p w:rsidR="002D6BEE" w:rsidRPr="009F1E35" w:rsidRDefault="00E1668E" w:rsidP="009F1E35">
            <w:pPr>
              <w:pStyle w:val="Tabletext"/>
              <w:numPr>
                <w:ilvl w:val="0"/>
                <w:numId w:val="54"/>
              </w:numPr>
              <w:ind w:left="239" w:hanging="144"/>
              <w:rPr>
                <w:rFonts w:cs="Tahoma"/>
                <w:szCs w:val="18"/>
              </w:rPr>
            </w:pPr>
            <w:r>
              <w:rPr>
                <w:rFonts w:cs="Tahoma"/>
                <w:szCs w:val="18"/>
              </w:rPr>
              <w:t>Hospitalisation due to PAH</w:t>
            </w:r>
          </w:p>
          <w:p w:rsidR="00E1668E" w:rsidRPr="00FC35EB" w:rsidRDefault="00E1668E" w:rsidP="00E1668E">
            <w:pPr>
              <w:pStyle w:val="Tabletext"/>
              <w:rPr>
                <w:rFonts w:cs="Tahoma"/>
                <w:i/>
                <w:szCs w:val="18"/>
              </w:rPr>
            </w:pPr>
            <w:r>
              <w:rPr>
                <w:rFonts w:cs="Tahoma"/>
                <w:i/>
                <w:szCs w:val="18"/>
              </w:rPr>
              <w:t>Safety</w:t>
            </w:r>
          </w:p>
          <w:p w:rsidR="00E1668E" w:rsidRDefault="00E1668E" w:rsidP="00E1668E">
            <w:pPr>
              <w:pStyle w:val="Tabletext"/>
              <w:numPr>
                <w:ilvl w:val="0"/>
                <w:numId w:val="54"/>
              </w:numPr>
              <w:ind w:left="239" w:hanging="144"/>
              <w:rPr>
                <w:rFonts w:cs="Tahoma"/>
                <w:i/>
                <w:szCs w:val="18"/>
              </w:rPr>
            </w:pPr>
            <w:r>
              <w:rPr>
                <w:rFonts w:cs="Tahoma"/>
                <w:szCs w:val="18"/>
              </w:rPr>
              <w:t>Adverse events</w:t>
            </w:r>
            <w:r>
              <w:rPr>
                <w:rFonts w:cs="Tahoma"/>
                <w:szCs w:val="18"/>
                <w:vertAlign w:val="superscript"/>
              </w:rPr>
              <w:t>c</w:t>
            </w:r>
          </w:p>
        </w:tc>
      </w:tr>
      <w:tr w:rsidR="00E1668E" w:rsidRPr="00204000" w:rsidTr="00E1668E">
        <w:tc>
          <w:tcPr>
            <w:tcW w:w="531" w:type="pct"/>
          </w:tcPr>
          <w:p w:rsidR="00E1668E" w:rsidRPr="00D53F84" w:rsidRDefault="00E1668E" w:rsidP="00E1668E">
            <w:pPr>
              <w:pStyle w:val="Tabletext"/>
              <w:ind w:right="-28"/>
              <w:rPr>
                <w:rFonts w:eastAsia="Times New Roman"/>
              </w:rPr>
            </w:pPr>
            <w:r w:rsidRPr="00D53F84">
              <w:rPr>
                <w:rFonts w:eastAsia="Times New Roman"/>
              </w:rPr>
              <w:t>PHIRST</w:t>
            </w:r>
            <w:r w:rsidRPr="001D34EE">
              <w:rPr>
                <w:rFonts w:eastAsia="Times New Roman"/>
                <w:noProof/>
                <w:vertAlign w:val="superscript"/>
              </w:rPr>
              <w:t>12, 13, 45</w:t>
            </w:r>
          </w:p>
          <w:p w:rsidR="00E1668E" w:rsidRPr="00D53F84" w:rsidRDefault="00E1668E" w:rsidP="00E1668E">
            <w:pPr>
              <w:pStyle w:val="Tabletext"/>
              <w:ind w:right="-28"/>
              <w:rPr>
                <w:rFonts w:eastAsia="Times New Roman"/>
              </w:rPr>
            </w:pPr>
            <w:r w:rsidRPr="00D53F84">
              <w:rPr>
                <w:rFonts w:eastAsia="Times New Roman"/>
                <w:lang w:eastAsia="en-US"/>
              </w:rPr>
              <w:t>2005-2007</w:t>
            </w:r>
          </w:p>
          <w:p w:rsidR="00E1668E" w:rsidRDefault="00E1668E" w:rsidP="00E1668E">
            <w:pPr>
              <w:pStyle w:val="Tabletext"/>
              <w:rPr>
                <w:rFonts w:cs="Tahoma"/>
                <w:szCs w:val="18"/>
              </w:rPr>
            </w:pPr>
            <w:r w:rsidRPr="00D53F84">
              <w:rPr>
                <w:rFonts w:eastAsia="Times New Roman"/>
                <w:lang w:eastAsia="en-US"/>
              </w:rPr>
              <w:t>US, Canada, Europe, Japan</w:t>
            </w:r>
          </w:p>
        </w:tc>
        <w:tc>
          <w:tcPr>
            <w:tcW w:w="476" w:type="pct"/>
          </w:tcPr>
          <w:p w:rsidR="00E1668E" w:rsidRPr="00D53F84" w:rsidRDefault="00E1668E" w:rsidP="00E1668E">
            <w:pPr>
              <w:pStyle w:val="Tabletext"/>
              <w:ind w:right="-28"/>
              <w:rPr>
                <w:rFonts w:eastAsia="Times New Roman"/>
                <w:lang w:eastAsia="en-US"/>
              </w:rPr>
            </w:pPr>
            <w:r w:rsidRPr="00D53F84">
              <w:rPr>
                <w:rFonts w:eastAsia="Times New Roman"/>
                <w:lang w:eastAsia="en-US"/>
              </w:rPr>
              <w:t>RCT, DB</w:t>
            </w:r>
          </w:p>
          <w:p w:rsidR="00E1668E" w:rsidRDefault="00E1668E" w:rsidP="00E1668E">
            <w:pPr>
              <w:pStyle w:val="Tabletext"/>
              <w:ind w:right="-28"/>
              <w:rPr>
                <w:rFonts w:eastAsia="Times New Roman"/>
                <w:snapToGrid w:val="0"/>
                <w:lang w:eastAsia="en-US"/>
              </w:rPr>
            </w:pPr>
            <w:r>
              <w:rPr>
                <w:rFonts w:eastAsia="Times New Roman"/>
                <w:snapToGrid w:val="0"/>
                <w:lang w:eastAsia="en-US"/>
              </w:rPr>
              <w:t>Level II evidence</w:t>
            </w:r>
          </w:p>
          <w:p w:rsidR="00E1668E" w:rsidRPr="00D53F84" w:rsidRDefault="00E1668E" w:rsidP="00E1668E">
            <w:pPr>
              <w:pStyle w:val="Tabletext"/>
              <w:ind w:right="-28"/>
              <w:rPr>
                <w:rFonts w:eastAsia="Times New Roman"/>
                <w:lang w:eastAsia="en-US"/>
              </w:rPr>
            </w:pPr>
            <w:r>
              <w:rPr>
                <w:rFonts w:eastAsia="Times New Roman"/>
                <w:snapToGrid w:val="0"/>
                <w:lang w:eastAsia="en-US"/>
              </w:rPr>
              <w:t xml:space="preserve">Follow-up: </w:t>
            </w:r>
            <w:r w:rsidRPr="00D53F84">
              <w:rPr>
                <w:rFonts w:eastAsia="Times New Roman"/>
                <w:lang w:eastAsia="en-US"/>
              </w:rPr>
              <w:t>16 weeks</w:t>
            </w:r>
          </w:p>
          <w:p w:rsidR="00E1668E" w:rsidRPr="00D53F84" w:rsidRDefault="00E1668E" w:rsidP="00E1668E">
            <w:pPr>
              <w:pStyle w:val="Tabletext"/>
              <w:ind w:right="-28"/>
              <w:rPr>
                <w:rFonts w:eastAsia="Times New Roman"/>
                <w:lang w:eastAsia="en-US"/>
              </w:rPr>
            </w:pPr>
            <w:r>
              <w:rPr>
                <w:rFonts w:eastAsia="Times New Roman"/>
                <w:snapToGrid w:val="0"/>
                <w:lang w:eastAsia="en-US"/>
              </w:rPr>
              <w:t>Risk of bias: l</w:t>
            </w:r>
            <w:r w:rsidRPr="00D53F84">
              <w:rPr>
                <w:rFonts w:eastAsia="Times New Roman"/>
                <w:lang w:eastAsia="en-US"/>
              </w:rPr>
              <w:t>ow-to-moderate</w:t>
            </w:r>
          </w:p>
        </w:tc>
        <w:tc>
          <w:tcPr>
            <w:tcW w:w="772" w:type="pct"/>
          </w:tcPr>
          <w:p w:rsidR="00E1668E" w:rsidRDefault="00E1668E" w:rsidP="00E1668E">
            <w:pPr>
              <w:pStyle w:val="Tabletext"/>
              <w:rPr>
                <w:rFonts w:cs="Tahoma"/>
                <w:i/>
                <w:szCs w:val="18"/>
              </w:rPr>
            </w:pPr>
            <w:r w:rsidRPr="00340795">
              <w:rPr>
                <w:rFonts w:cs="Tahoma"/>
                <w:i/>
                <w:szCs w:val="18"/>
              </w:rPr>
              <w:t>Inclusion criteria</w:t>
            </w:r>
          </w:p>
          <w:p w:rsidR="00E1668E" w:rsidRDefault="00E1668E" w:rsidP="00E1668E">
            <w:pPr>
              <w:pStyle w:val="Tabletext"/>
              <w:numPr>
                <w:ilvl w:val="0"/>
                <w:numId w:val="54"/>
              </w:numPr>
              <w:ind w:left="239" w:hanging="144"/>
              <w:rPr>
                <w:rFonts w:cs="Tahoma"/>
                <w:szCs w:val="18"/>
              </w:rPr>
            </w:pPr>
            <w:r>
              <w:rPr>
                <w:rFonts w:cs="Tahoma"/>
                <w:szCs w:val="18"/>
              </w:rPr>
              <w:t>Age of ≥</w:t>
            </w:r>
            <w:r w:rsidRPr="00340795">
              <w:rPr>
                <w:rFonts w:cs="Tahoma"/>
                <w:szCs w:val="18"/>
              </w:rPr>
              <w:t xml:space="preserve">12 years </w:t>
            </w:r>
          </w:p>
          <w:p w:rsidR="00E1668E" w:rsidRPr="00340795" w:rsidRDefault="00E1668E" w:rsidP="00E1668E">
            <w:pPr>
              <w:pStyle w:val="Tabletext"/>
              <w:numPr>
                <w:ilvl w:val="0"/>
                <w:numId w:val="54"/>
              </w:numPr>
              <w:ind w:left="239" w:hanging="144"/>
              <w:rPr>
                <w:rFonts w:cs="Tahoma"/>
                <w:szCs w:val="18"/>
              </w:rPr>
            </w:pPr>
            <w:r>
              <w:rPr>
                <w:rFonts w:cs="Tahoma"/>
                <w:szCs w:val="18"/>
              </w:rPr>
              <w:t>Patients with symptomatic I</w:t>
            </w:r>
            <w:r w:rsidRPr="00340795">
              <w:rPr>
                <w:rFonts w:cs="Tahoma"/>
                <w:szCs w:val="18"/>
              </w:rPr>
              <w:t xml:space="preserve">PAH, </w:t>
            </w:r>
            <w:r>
              <w:rPr>
                <w:rFonts w:cs="Tahoma"/>
                <w:szCs w:val="18"/>
              </w:rPr>
              <w:t>HPAH, PAD-DT</w:t>
            </w:r>
            <w:r w:rsidRPr="00340795">
              <w:rPr>
                <w:rFonts w:cs="Tahoma"/>
                <w:szCs w:val="18"/>
              </w:rPr>
              <w:t>, PAH-CTD</w:t>
            </w:r>
            <w:r>
              <w:rPr>
                <w:rFonts w:cs="Tahoma"/>
                <w:szCs w:val="18"/>
              </w:rPr>
              <w:t>,</w:t>
            </w:r>
            <w:r w:rsidRPr="00340795">
              <w:rPr>
                <w:rFonts w:cs="Tahoma"/>
                <w:szCs w:val="18"/>
              </w:rPr>
              <w:t xml:space="preserve"> PAH-CHD or PAH-HIV</w:t>
            </w:r>
          </w:p>
          <w:p w:rsidR="00E1668E" w:rsidRDefault="00E1668E" w:rsidP="00E1668E">
            <w:pPr>
              <w:pStyle w:val="Tabletext"/>
              <w:rPr>
                <w:rFonts w:cs="Tahoma"/>
                <w:i/>
                <w:szCs w:val="18"/>
              </w:rPr>
            </w:pPr>
          </w:p>
          <w:p w:rsidR="00E1668E" w:rsidRDefault="00E1668E" w:rsidP="00E1668E">
            <w:pPr>
              <w:pStyle w:val="Tabletext"/>
              <w:rPr>
                <w:rFonts w:cs="Tahoma"/>
                <w:i/>
                <w:szCs w:val="18"/>
              </w:rPr>
            </w:pPr>
            <w:r>
              <w:rPr>
                <w:rFonts w:cs="Tahoma"/>
                <w:i/>
                <w:szCs w:val="18"/>
              </w:rPr>
              <w:t>Exclusion criteria</w:t>
            </w:r>
          </w:p>
          <w:p w:rsidR="00E1668E" w:rsidRDefault="00E1668E" w:rsidP="00E1668E">
            <w:pPr>
              <w:pStyle w:val="Tabletext"/>
              <w:numPr>
                <w:ilvl w:val="0"/>
                <w:numId w:val="54"/>
              </w:numPr>
              <w:ind w:left="239" w:hanging="144"/>
              <w:rPr>
                <w:rFonts w:cs="Tahoma"/>
                <w:szCs w:val="18"/>
              </w:rPr>
            </w:pPr>
            <w:r w:rsidRPr="00340795">
              <w:rPr>
                <w:rFonts w:cs="Tahoma"/>
                <w:szCs w:val="18"/>
              </w:rPr>
              <w:t xml:space="preserve">6MWD </w:t>
            </w:r>
            <w:r>
              <w:rPr>
                <w:rFonts w:cs="Tahoma"/>
                <w:szCs w:val="18"/>
              </w:rPr>
              <w:t>&lt;150</w:t>
            </w:r>
            <w:r w:rsidR="00C90897">
              <w:rPr>
                <w:rFonts w:cs="Tahoma"/>
                <w:szCs w:val="18"/>
              </w:rPr>
              <w:t> </w:t>
            </w:r>
            <w:r>
              <w:rPr>
                <w:rFonts w:cs="Tahoma"/>
                <w:szCs w:val="18"/>
              </w:rPr>
              <w:t>m or &gt;450</w:t>
            </w:r>
            <w:r w:rsidR="00C90897">
              <w:rPr>
                <w:rFonts w:cs="Tahoma"/>
                <w:szCs w:val="18"/>
              </w:rPr>
              <w:t> </w:t>
            </w:r>
            <w:r w:rsidRPr="00340795">
              <w:rPr>
                <w:rFonts w:cs="Tahoma"/>
                <w:szCs w:val="18"/>
              </w:rPr>
              <w:t>m</w:t>
            </w:r>
          </w:p>
          <w:p w:rsidR="00E1668E" w:rsidRPr="00340795" w:rsidRDefault="00E1668E" w:rsidP="00E1668E">
            <w:pPr>
              <w:pStyle w:val="Tabletext"/>
              <w:numPr>
                <w:ilvl w:val="0"/>
                <w:numId w:val="54"/>
              </w:numPr>
              <w:ind w:left="239" w:hanging="144"/>
              <w:rPr>
                <w:rFonts w:cs="Tahoma"/>
                <w:szCs w:val="18"/>
              </w:rPr>
            </w:pPr>
            <w:r>
              <w:rPr>
                <w:rFonts w:cs="Tahoma"/>
                <w:szCs w:val="18"/>
              </w:rPr>
              <w:t>T</w:t>
            </w:r>
            <w:r w:rsidRPr="00340795">
              <w:rPr>
                <w:rFonts w:cs="Tahoma"/>
                <w:szCs w:val="18"/>
              </w:rPr>
              <w:t xml:space="preserve">reatment with </w:t>
            </w:r>
            <w:r>
              <w:rPr>
                <w:rFonts w:cs="Tahoma"/>
                <w:szCs w:val="18"/>
              </w:rPr>
              <w:t>IV</w:t>
            </w:r>
            <w:r w:rsidRPr="00340795">
              <w:rPr>
                <w:rFonts w:cs="Tahoma"/>
                <w:szCs w:val="18"/>
              </w:rPr>
              <w:t xml:space="preserve"> epoprostenol, </w:t>
            </w:r>
            <w:r>
              <w:rPr>
                <w:rFonts w:cs="Tahoma"/>
                <w:szCs w:val="18"/>
              </w:rPr>
              <w:t>IV</w:t>
            </w:r>
            <w:r w:rsidRPr="00340795">
              <w:rPr>
                <w:rFonts w:cs="Tahoma"/>
                <w:szCs w:val="18"/>
              </w:rPr>
              <w:t xml:space="preserve"> or inhaled iloprost, or subcutaneous treprostinil</w:t>
            </w:r>
          </w:p>
        </w:tc>
        <w:tc>
          <w:tcPr>
            <w:tcW w:w="0" w:type="auto"/>
          </w:tcPr>
          <w:p w:rsidR="00E1668E" w:rsidRDefault="00E1668E" w:rsidP="00E1668E">
            <w:pPr>
              <w:pStyle w:val="Tabletext"/>
              <w:rPr>
                <w:rFonts w:cs="Tahoma"/>
                <w:szCs w:val="18"/>
              </w:rPr>
            </w:pPr>
            <w:r>
              <w:rPr>
                <w:rFonts w:cs="Tahoma"/>
                <w:szCs w:val="18"/>
              </w:rPr>
              <w:t>N=161</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PHIRST"/>
            </w:tblPr>
            <w:tblGrid>
              <w:gridCol w:w="2101"/>
              <w:gridCol w:w="1001"/>
              <w:gridCol w:w="1134"/>
            </w:tblGrid>
            <w:tr w:rsidR="00E1668E" w:rsidRPr="00351FF5" w:rsidTr="001D0FDA">
              <w:trPr>
                <w:cnfStyle w:val="100000000000" w:firstRow="1" w:lastRow="0" w:firstColumn="0" w:lastColumn="0" w:oddVBand="0" w:evenVBand="0" w:oddHBand="0" w:evenHBand="0" w:firstRowFirstColumn="0" w:firstRowLastColumn="0" w:lastRowFirstColumn="0" w:lastRowLastColumn="0"/>
              </w:trPr>
              <w:tc>
                <w:tcPr>
                  <w:tcW w:w="2101" w:type="dxa"/>
                  <w:shd w:val="clear" w:color="auto" w:fill="FFFFFF" w:themeFill="background1"/>
                </w:tcPr>
                <w:p w:rsidR="00E1668E" w:rsidRPr="00351FF5" w:rsidRDefault="00E1668E" w:rsidP="00570FC8">
                  <w:pPr>
                    <w:pStyle w:val="Tabletext"/>
                    <w:framePr w:hSpace="181" w:wrap="around" w:hAnchor="text" w:yAlign="bottom"/>
                    <w:spacing w:before="0" w:after="0"/>
                    <w:suppressOverlap/>
                    <w:rPr>
                      <w:rFonts w:cs="Tahoma"/>
                      <w:b/>
                      <w:szCs w:val="18"/>
                    </w:rPr>
                  </w:pPr>
                </w:p>
              </w:tc>
              <w:tc>
                <w:tcPr>
                  <w:tcW w:w="1001" w:type="dxa"/>
                  <w:shd w:val="clear" w:color="auto" w:fill="FFFFFF" w:themeFill="background1"/>
                </w:tcPr>
                <w:p w:rsidR="00E1668E" w:rsidRPr="00802B85" w:rsidRDefault="00E1668E" w:rsidP="00570FC8">
                  <w:pPr>
                    <w:pStyle w:val="Tabletext"/>
                    <w:framePr w:hSpace="181" w:wrap="around" w:hAnchor="text" w:yAlign="bottom"/>
                    <w:spacing w:before="0" w:after="0"/>
                    <w:suppressOverlap/>
                    <w:jc w:val="center"/>
                    <w:rPr>
                      <w:rFonts w:cs="Tahoma"/>
                      <w:szCs w:val="18"/>
                    </w:rPr>
                  </w:pPr>
                  <w:r>
                    <w:rPr>
                      <w:rFonts w:cs="Tahoma"/>
                      <w:szCs w:val="18"/>
                    </w:rPr>
                    <w:t>Tadalafil 40</w:t>
                  </w:r>
                  <w:r w:rsidR="00570FC8">
                    <w:rPr>
                      <w:rFonts w:cs="Tahoma"/>
                      <w:szCs w:val="18"/>
                    </w:rPr>
                    <w:t> mg</w:t>
                  </w:r>
                </w:p>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79</w:t>
                  </w:r>
                  <w:r w:rsidRPr="00802B85">
                    <w:rPr>
                      <w:rFonts w:cs="Tahoma"/>
                      <w:szCs w:val="18"/>
                    </w:rPr>
                    <w:t>)</w:t>
                  </w:r>
                </w:p>
              </w:tc>
              <w:tc>
                <w:tcPr>
                  <w:tcW w:w="1134" w:type="dxa"/>
                  <w:shd w:val="clear" w:color="auto" w:fill="FFFFFF" w:themeFill="background1"/>
                </w:tcPr>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Placebo</w:t>
                  </w:r>
                </w:p>
                <w:p w:rsidR="00E1668E" w:rsidRPr="00802B85" w:rsidRDefault="00E1668E" w:rsidP="00570FC8">
                  <w:pPr>
                    <w:pStyle w:val="Tabletext"/>
                    <w:framePr w:hSpace="181" w:wrap="around" w:hAnchor="text" w:yAlign="bottom"/>
                    <w:spacing w:before="0" w:after="0"/>
                    <w:suppressOverlap/>
                    <w:jc w:val="center"/>
                    <w:rPr>
                      <w:rFonts w:cs="Tahoma"/>
                      <w:szCs w:val="18"/>
                    </w:rPr>
                  </w:pPr>
                  <w:r w:rsidRPr="00802B85">
                    <w:rPr>
                      <w:rFonts w:cs="Tahoma"/>
                      <w:szCs w:val="18"/>
                    </w:rPr>
                    <w:t>(N=</w:t>
                  </w:r>
                  <w:r>
                    <w:rPr>
                      <w:rFonts w:cs="Tahoma"/>
                      <w:szCs w:val="18"/>
                    </w:rPr>
                    <w:t>82</w:t>
                  </w:r>
                  <w:r w:rsidRPr="00802B85">
                    <w:rPr>
                      <w:rFonts w:cs="Tahoma"/>
                      <w:szCs w:val="18"/>
                    </w:rPr>
                    <w:t>)</w:t>
                  </w:r>
                </w:p>
              </w:tc>
            </w:tr>
            <w:tr w:rsidR="00E1668E" w:rsidRPr="00351FF5" w:rsidTr="001D0FDA">
              <w:tc>
                <w:tcPr>
                  <w:tcW w:w="2101" w:type="dxa"/>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 xml:space="preserve">Age, mean±SD (yrs) </w:t>
                  </w:r>
                </w:p>
              </w:tc>
              <w:tc>
                <w:tcPr>
                  <w:tcW w:w="1001" w:type="dxa"/>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53±15</w:t>
                  </w:r>
                </w:p>
              </w:tc>
              <w:tc>
                <w:tcPr>
                  <w:tcW w:w="1134" w:type="dxa"/>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55±15</w:t>
                  </w:r>
                </w:p>
              </w:tc>
            </w:tr>
            <w:tr w:rsidR="00E1668E" w:rsidRPr="00351FF5" w:rsidTr="001D0FDA">
              <w:tc>
                <w:tcPr>
                  <w:tcW w:w="210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0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59 (75%)</w:t>
                  </w:r>
                </w:p>
              </w:tc>
              <w:tc>
                <w:tcPr>
                  <w:tcW w:w="1134"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65 (79%)</w:t>
                  </w:r>
                </w:p>
              </w:tc>
            </w:tr>
            <w:tr w:rsidR="00E1668E" w:rsidRPr="00351FF5" w:rsidTr="001D0FDA">
              <w:trPr>
                <w:trHeight w:val="58"/>
              </w:trPr>
              <w:tc>
                <w:tcPr>
                  <w:tcW w:w="2101" w:type="dxa"/>
                  <w:tcBorders>
                    <w:bottom w:val="nil"/>
                  </w:tcBorders>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PAH aetiology, n (%)</w:t>
                  </w:r>
                </w:p>
              </w:tc>
              <w:tc>
                <w:tcPr>
                  <w:tcW w:w="1001"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sidRPr="00351FF5">
                    <w:rPr>
                      <w:rFonts w:cs="Tahoma"/>
                      <w:szCs w:val="18"/>
                    </w:rPr>
                    <w:t>IPAH</w:t>
                  </w:r>
                  <w:r>
                    <w:rPr>
                      <w:rFonts w:cs="Tahoma"/>
                      <w:szCs w:val="18"/>
                    </w:rPr>
                    <w:t>/HPAH</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46 (58%)</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54 (66%)</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sidRPr="00351FF5">
                    <w:rPr>
                      <w:rFonts w:cs="Tahoma"/>
                      <w:szCs w:val="18"/>
                    </w:rPr>
                    <w:t>PAH-CTD</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19 (24%)</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16 (20%)</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PAH-CHD</w:t>
                  </w:r>
                </w:p>
              </w:tc>
              <w:tc>
                <w:tcPr>
                  <w:tcW w:w="1001" w:type="dxa"/>
                  <w:tcBorders>
                    <w:top w:val="nil"/>
                    <w:bottom w:val="nil"/>
                  </w:tcBorders>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10 (13%)</w:t>
                  </w:r>
                </w:p>
              </w:tc>
              <w:tc>
                <w:tcPr>
                  <w:tcW w:w="1134" w:type="dxa"/>
                  <w:tcBorders>
                    <w:top w:val="nil"/>
                    <w:bottom w:val="nil"/>
                  </w:tcBorders>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10 (12%)</w:t>
                  </w:r>
                </w:p>
              </w:tc>
            </w:tr>
            <w:tr w:rsidR="00E1668E" w:rsidRPr="00351FF5" w:rsidTr="001D0FDA">
              <w:tc>
                <w:tcPr>
                  <w:tcW w:w="2101" w:type="dxa"/>
                  <w:tcBorders>
                    <w:top w:val="nil"/>
                    <w:bottom w:val="nil"/>
                  </w:tcBorders>
                </w:tcPr>
                <w:p w:rsidR="00E1668E" w:rsidRDefault="00E1668E" w:rsidP="00570FC8">
                  <w:pPr>
                    <w:pStyle w:val="Tabletext"/>
                    <w:framePr w:hSpace="181" w:wrap="around" w:hAnchor="text" w:yAlign="bottom"/>
                    <w:spacing w:before="0" w:after="0"/>
                    <w:ind w:left="196"/>
                    <w:suppressOverlap/>
                    <w:rPr>
                      <w:rFonts w:cs="Tahoma"/>
                      <w:szCs w:val="18"/>
                    </w:rPr>
                  </w:pPr>
                  <w:r>
                    <w:rPr>
                      <w:rFonts w:cs="Tahoma"/>
                      <w:szCs w:val="18"/>
                    </w:rPr>
                    <w:t>PAH-DT</w:t>
                  </w:r>
                </w:p>
              </w:tc>
              <w:tc>
                <w:tcPr>
                  <w:tcW w:w="1001" w:type="dxa"/>
                  <w:tcBorders>
                    <w:top w:val="nil"/>
                    <w:bottom w:val="nil"/>
                  </w:tcBorders>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4 (5%)</w:t>
                  </w:r>
                </w:p>
              </w:tc>
              <w:tc>
                <w:tcPr>
                  <w:tcW w:w="1134" w:type="dxa"/>
                  <w:tcBorders>
                    <w:top w:val="nil"/>
                    <w:bottom w:val="nil"/>
                  </w:tcBorders>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2 (2%)</w:t>
                  </w:r>
                </w:p>
              </w:tc>
            </w:tr>
            <w:tr w:rsidR="00E1668E" w:rsidRPr="00351FF5" w:rsidTr="001D0FDA">
              <w:tc>
                <w:tcPr>
                  <w:tcW w:w="2101" w:type="dxa"/>
                  <w:tcBorders>
                    <w:bottom w:val="nil"/>
                  </w:tcBorders>
                </w:tcPr>
                <w:p w:rsidR="00E1668E" w:rsidRPr="00351FF5" w:rsidRDefault="00E1668E" w:rsidP="00570FC8">
                  <w:pPr>
                    <w:pStyle w:val="Tabletext"/>
                    <w:framePr w:hSpace="181" w:wrap="around" w:hAnchor="text" w:yAlign="bottom"/>
                    <w:spacing w:before="0" w:after="0"/>
                    <w:suppressOverlap/>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001"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c>
                <w:tcPr>
                  <w:tcW w:w="1134" w:type="dxa"/>
                  <w:tcBorders>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2 (3%)</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1 (1%)</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sidRPr="00351FF5">
                    <w:rPr>
                      <w:rFonts w:cs="Tahoma"/>
                      <w:szCs w:val="18"/>
                    </w:rPr>
                    <w:t>II</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26 (33%)</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23 (28%)</w:t>
                  </w:r>
                </w:p>
              </w:tc>
            </w:tr>
            <w:tr w:rsidR="00E1668E" w:rsidRPr="00351FF5" w:rsidTr="001D0FDA">
              <w:tc>
                <w:tcPr>
                  <w:tcW w:w="2101" w:type="dxa"/>
                  <w:tcBorders>
                    <w:top w:val="nil"/>
                    <w:bottom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III</w:t>
                  </w:r>
                </w:p>
              </w:tc>
              <w:tc>
                <w:tcPr>
                  <w:tcW w:w="1001"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51 (65%)</w:t>
                  </w:r>
                </w:p>
              </w:tc>
              <w:tc>
                <w:tcPr>
                  <w:tcW w:w="1134" w:type="dxa"/>
                  <w:tcBorders>
                    <w:top w:val="nil"/>
                    <w:bottom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56 (68%)</w:t>
                  </w:r>
                </w:p>
              </w:tc>
            </w:tr>
            <w:tr w:rsidR="00E1668E" w:rsidRPr="00351FF5" w:rsidTr="001D0FDA">
              <w:tc>
                <w:tcPr>
                  <w:tcW w:w="2101" w:type="dxa"/>
                  <w:tcBorders>
                    <w:top w:val="nil"/>
                  </w:tcBorders>
                </w:tcPr>
                <w:p w:rsidR="00E1668E" w:rsidRPr="00351FF5" w:rsidRDefault="00E1668E" w:rsidP="00570FC8">
                  <w:pPr>
                    <w:pStyle w:val="Tabletext"/>
                    <w:framePr w:hSpace="181" w:wrap="around" w:hAnchor="text" w:yAlign="bottom"/>
                    <w:spacing w:before="0" w:after="0"/>
                    <w:ind w:left="196"/>
                    <w:suppressOverlap/>
                    <w:rPr>
                      <w:rFonts w:cs="Tahoma"/>
                      <w:szCs w:val="18"/>
                    </w:rPr>
                  </w:pPr>
                  <w:r>
                    <w:rPr>
                      <w:rFonts w:cs="Tahoma"/>
                      <w:szCs w:val="18"/>
                    </w:rPr>
                    <w:t>IV</w:t>
                  </w:r>
                </w:p>
              </w:tc>
              <w:tc>
                <w:tcPr>
                  <w:tcW w:w="1001" w:type="dxa"/>
                  <w:tcBorders>
                    <w:top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0 (%)</w:t>
                  </w:r>
                </w:p>
              </w:tc>
              <w:tc>
                <w:tcPr>
                  <w:tcW w:w="1134" w:type="dxa"/>
                  <w:tcBorders>
                    <w:top w:val="nil"/>
                  </w:tcBorders>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2 (2%)</w:t>
                  </w:r>
                </w:p>
              </w:tc>
            </w:tr>
            <w:tr w:rsidR="00E1668E" w:rsidRPr="00351FF5" w:rsidTr="001D0FDA">
              <w:tc>
                <w:tcPr>
                  <w:tcW w:w="2101" w:type="dxa"/>
                </w:tcPr>
                <w:p w:rsidR="00E1668E" w:rsidRDefault="00E1668E" w:rsidP="00570FC8">
                  <w:pPr>
                    <w:pStyle w:val="Tabletext"/>
                    <w:framePr w:hSpace="181" w:wrap="around" w:hAnchor="text" w:yAlign="bottom"/>
                    <w:spacing w:before="0" w:after="0"/>
                    <w:suppressOverlap/>
                    <w:rPr>
                      <w:rFonts w:cs="Tahoma"/>
                      <w:szCs w:val="18"/>
                    </w:rPr>
                  </w:pPr>
                  <w:r>
                    <w:rPr>
                      <w:rFonts w:cs="Tahoma"/>
                      <w:szCs w:val="18"/>
                    </w:rPr>
                    <w:t>Concomitant use of bosentan</w:t>
                  </w:r>
                </w:p>
              </w:tc>
              <w:tc>
                <w:tcPr>
                  <w:tcW w:w="1001" w:type="dxa"/>
                  <w:vAlign w:val="center"/>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42 (53%)</w:t>
                  </w:r>
                </w:p>
              </w:tc>
              <w:tc>
                <w:tcPr>
                  <w:tcW w:w="1134" w:type="dxa"/>
                  <w:vAlign w:val="center"/>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45 (55%)</w:t>
                  </w:r>
                </w:p>
              </w:tc>
            </w:tr>
            <w:tr w:rsidR="00E1668E" w:rsidRPr="00351FF5" w:rsidTr="001D0FDA">
              <w:tc>
                <w:tcPr>
                  <w:tcW w:w="2101" w:type="dxa"/>
                </w:tcPr>
                <w:p w:rsidR="00E1668E" w:rsidRDefault="00E1668E" w:rsidP="00570FC8">
                  <w:pPr>
                    <w:pStyle w:val="Tabletext"/>
                    <w:framePr w:hSpace="181" w:wrap="around" w:hAnchor="text" w:yAlign="bottom"/>
                    <w:spacing w:before="0" w:after="0"/>
                    <w:suppressOverlap/>
                    <w:rPr>
                      <w:rFonts w:cs="Tahoma"/>
                      <w:szCs w:val="18"/>
                    </w:rPr>
                  </w:pPr>
                  <w:r>
                    <w:rPr>
                      <w:rFonts w:cs="Tahoma"/>
                      <w:szCs w:val="18"/>
                    </w:rPr>
                    <w:t>mPAP</w:t>
                  </w:r>
                  <w:r w:rsidRPr="00351FF5">
                    <w:rPr>
                      <w:rFonts w:cs="Tahoma"/>
                      <w:szCs w:val="18"/>
                    </w:rPr>
                    <w:t>, mean±SD (mmHg)</w:t>
                  </w:r>
                </w:p>
              </w:tc>
              <w:tc>
                <w:tcPr>
                  <w:tcW w:w="1001" w:type="dxa"/>
                  <w:vAlign w:val="center"/>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54±8</w:t>
                  </w:r>
                </w:p>
              </w:tc>
              <w:tc>
                <w:tcPr>
                  <w:tcW w:w="1134" w:type="dxa"/>
                  <w:vAlign w:val="center"/>
                </w:tcPr>
                <w:p w:rsidR="00E1668E" w:rsidRDefault="00E1668E" w:rsidP="00570FC8">
                  <w:pPr>
                    <w:pStyle w:val="Tabletext"/>
                    <w:framePr w:hSpace="181" w:wrap="around" w:hAnchor="text" w:yAlign="bottom"/>
                    <w:spacing w:before="0" w:after="0"/>
                    <w:suppressOverlap/>
                    <w:jc w:val="center"/>
                    <w:rPr>
                      <w:rFonts w:cs="Tahoma"/>
                      <w:szCs w:val="18"/>
                    </w:rPr>
                  </w:pPr>
                  <w:r>
                    <w:rPr>
                      <w:rFonts w:cs="Tahoma"/>
                      <w:szCs w:val="18"/>
                    </w:rPr>
                    <w:t>49±12</w:t>
                  </w:r>
                </w:p>
              </w:tc>
            </w:tr>
            <w:tr w:rsidR="00E1668E" w:rsidRPr="00351FF5" w:rsidTr="001D0FDA">
              <w:tc>
                <w:tcPr>
                  <w:tcW w:w="2101" w:type="dxa"/>
                </w:tcPr>
                <w:p w:rsidR="00E1668E" w:rsidRPr="00351FF5" w:rsidRDefault="00E1668E" w:rsidP="00570FC8">
                  <w:pPr>
                    <w:pStyle w:val="Tabletext"/>
                    <w:framePr w:hSpace="181" w:wrap="around" w:hAnchor="text" w:yAlign="bottom"/>
                    <w:spacing w:before="0" w:after="0"/>
                    <w:suppressOverlap/>
                    <w:rPr>
                      <w:rFonts w:cs="Tahoma"/>
                      <w:szCs w:val="18"/>
                    </w:rPr>
                  </w:pPr>
                  <w:r>
                    <w:rPr>
                      <w:rFonts w:cs="Tahoma"/>
                      <w:szCs w:val="18"/>
                    </w:rPr>
                    <w:t>PVR, mean±SD (dyn*s*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01" w:type="dxa"/>
                  <w:vAlign w:val="center"/>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901±488</w:t>
                  </w:r>
                </w:p>
              </w:tc>
              <w:tc>
                <w:tcPr>
                  <w:tcW w:w="1134" w:type="dxa"/>
                  <w:vAlign w:val="center"/>
                </w:tcPr>
                <w:p w:rsidR="00E1668E" w:rsidRPr="00351FF5" w:rsidRDefault="00E1668E" w:rsidP="00570FC8">
                  <w:pPr>
                    <w:pStyle w:val="Tabletext"/>
                    <w:framePr w:hSpace="181" w:wrap="around" w:hAnchor="text" w:yAlign="bottom"/>
                    <w:spacing w:before="0" w:after="0"/>
                    <w:suppressOverlap/>
                    <w:jc w:val="center"/>
                    <w:rPr>
                      <w:rFonts w:cs="Tahoma"/>
                      <w:szCs w:val="18"/>
                    </w:rPr>
                  </w:pPr>
                  <w:r>
                    <w:rPr>
                      <w:rFonts w:cs="Tahoma"/>
                      <w:szCs w:val="18"/>
                    </w:rPr>
                    <w:t>827±399</w:t>
                  </w:r>
                </w:p>
              </w:tc>
            </w:tr>
          </w:tbl>
          <w:p w:rsidR="00544A6D" w:rsidRDefault="00E1668E" w:rsidP="00544A6D">
            <w:pPr>
              <w:pStyle w:val="Tabletext"/>
              <w:spacing w:after="840"/>
              <w:rPr>
                <w:szCs w:val="18"/>
              </w:rPr>
            </w:pPr>
            <w:r w:rsidRPr="008C5BB8">
              <w:rPr>
                <w:szCs w:val="18"/>
              </w:rPr>
              <w:t xml:space="preserve">Data on the patient characteristics for the WHO FC I-II, </w:t>
            </w:r>
            <w:r>
              <w:rPr>
                <w:szCs w:val="18"/>
              </w:rPr>
              <w:t xml:space="preserve">no background therapy subgroup, the </w:t>
            </w:r>
            <w:r w:rsidRPr="008C5BB8">
              <w:rPr>
                <w:szCs w:val="18"/>
              </w:rPr>
              <w:t xml:space="preserve">WHO FC III-IV, </w:t>
            </w:r>
            <w:r>
              <w:rPr>
                <w:szCs w:val="18"/>
              </w:rPr>
              <w:t xml:space="preserve">no background therapy subgroup, and the with background therapy </w:t>
            </w:r>
            <w:r w:rsidRPr="008C5BB8">
              <w:rPr>
                <w:szCs w:val="18"/>
              </w:rPr>
              <w:t xml:space="preserve">were not available. Randomisation </w:t>
            </w:r>
            <w:proofErr w:type="gramStart"/>
            <w:r w:rsidRPr="008C5BB8">
              <w:rPr>
                <w:szCs w:val="18"/>
              </w:rPr>
              <w:t>was stratified</w:t>
            </w:r>
            <w:proofErr w:type="gramEnd"/>
            <w:r w:rsidRPr="008C5BB8">
              <w:rPr>
                <w:szCs w:val="18"/>
              </w:rPr>
              <w:t xml:space="preserve"> according to</w:t>
            </w:r>
            <w:r>
              <w:rPr>
                <w:szCs w:val="18"/>
              </w:rPr>
              <w:t xml:space="preserve"> background therapy; but WHO FC was not a stratification factor. </w:t>
            </w:r>
          </w:p>
          <w:p w:rsidR="002D6BEE" w:rsidRDefault="002D6BEE" w:rsidP="00544A6D">
            <w:pPr>
              <w:pStyle w:val="Tabletext"/>
              <w:rPr>
                <w:szCs w:val="18"/>
              </w:rPr>
            </w:pPr>
          </w:p>
        </w:tc>
        <w:tc>
          <w:tcPr>
            <w:tcW w:w="811" w:type="pct"/>
          </w:tcPr>
          <w:p w:rsidR="00E1668E" w:rsidRPr="008C5BB8" w:rsidRDefault="00E1668E" w:rsidP="00E1668E">
            <w:pPr>
              <w:pStyle w:val="Tabletext"/>
              <w:rPr>
                <w:i/>
              </w:rPr>
            </w:pPr>
            <w:r w:rsidRPr="008C5BB8">
              <w:rPr>
                <w:i/>
              </w:rPr>
              <w:t>Intervention</w:t>
            </w:r>
          </w:p>
          <w:p w:rsidR="00E1668E" w:rsidRPr="008C5BB8" w:rsidRDefault="00E1668E" w:rsidP="00E1668E">
            <w:pPr>
              <w:pStyle w:val="Tabletext"/>
            </w:pPr>
            <w:r>
              <w:t>T</w:t>
            </w:r>
            <w:r w:rsidRPr="008C5BB8">
              <w:t>adalafil</w:t>
            </w:r>
            <w:r>
              <w:t>: 40</w:t>
            </w:r>
            <w:r w:rsidR="00C90897">
              <w:t> </w:t>
            </w:r>
            <w:r>
              <w:t>mg od</w:t>
            </w:r>
          </w:p>
          <w:p w:rsidR="00E1668E" w:rsidRPr="008C5BB8" w:rsidRDefault="00E1668E" w:rsidP="00E1668E">
            <w:pPr>
              <w:pStyle w:val="Tabletext"/>
              <w:rPr>
                <w:i/>
              </w:rPr>
            </w:pPr>
          </w:p>
          <w:p w:rsidR="00E1668E" w:rsidRPr="008C5BB8" w:rsidRDefault="00E1668E" w:rsidP="00E1668E">
            <w:pPr>
              <w:pStyle w:val="Tabletext"/>
              <w:rPr>
                <w:i/>
              </w:rPr>
            </w:pPr>
            <w:r w:rsidRPr="008C5BB8">
              <w:rPr>
                <w:i/>
              </w:rPr>
              <w:t>Comparator</w:t>
            </w:r>
          </w:p>
          <w:p w:rsidR="00E1668E" w:rsidRPr="008C5BB8" w:rsidRDefault="00E1668E" w:rsidP="00E1668E">
            <w:pPr>
              <w:pStyle w:val="Tabletext"/>
            </w:pPr>
            <w:r w:rsidRPr="008C5BB8">
              <w:t>Placebo</w:t>
            </w:r>
          </w:p>
          <w:p w:rsidR="00E1668E" w:rsidRDefault="00E1668E" w:rsidP="00E1668E">
            <w:pPr>
              <w:pStyle w:val="Tabletext"/>
            </w:pPr>
          </w:p>
          <w:p w:rsidR="00E1668E" w:rsidRPr="00846CEB" w:rsidRDefault="00E1668E" w:rsidP="00E1668E">
            <w:pPr>
              <w:pStyle w:val="Tabletext"/>
              <w:rPr>
                <w:i/>
              </w:rPr>
            </w:pPr>
            <w:r>
              <w:rPr>
                <w:i/>
              </w:rPr>
              <w:t>Background therapy</w:t>
            </w:r>
          </w:p>
          <w:p w:rsidR="00E1668E" w:rsidRPr="00C5431E" w:rsidRDefault="00E1668E" w:rsidP="00E1668E">
            <w:pPr>
              <w:pStyle w:val="Tabletext"/>
              <w:rPr>
                <w:i/>
              </w:rPr>
            </w:pPr>
            <w:r>
              <w:t xml:space="preserve">Bosentan (53% in the tadalafil arm vs 55% in the placebo arm): maximal dose of </w:t>
            </w:r>
            <w:r w:rsidRPr="00C90897">
              <w:t>125</w:t>
            </w:r>
            <w:r w:rsidR="00C90897">
              <w:t> </w:t>
            </w:r>
            <w:r w:rsidRPr="00C90897">
              <w:t>mg</w:t>
            </w:r>
            <w:r w:rsidRPr="008C5BB8">
              <w:t xml:space="preserve"> </w:t>
            </w:r>
            <w:r>
              <w:t xml:space="preserve">bid </w:t>
            </w:r>
          </w:p>
        </w:tc>
        <w:tc>
          <w:tcPr>
            <w:tcW w:w="771" w:type="pct"/>
          </w:tcPr>
          <w:p w:rsidR="00E1668E" w:rsidRDefault="00E1668E" w:rsidP="00E1668E">
            <w:pPr>
              <w:pStyle w:val="Tabletext"/>
              <w:rPr>
                <w:rFonts w:cs="Tahoma"/>
                <w:i/>
                <w:szCs w:val="18"/>
              </w:rPr>
            </w:pPr>
            <w:r>
              <w:rPr>
                <w:rFonts w:cs="Tahoma"/>
                <w:i/>
                <w:szCs w:val="18"/>
              </w:rPr>
              <w:t>Effectiveness</w:t>
            </w:r>
          </w:p>
          <w:p w:rsidR="00E1668E" w:rsidRDefault="00E1668E" w:rsidP="00E1668E">
            <w:pPr>
              <w:pStyle w:val="Tabletext"/>
              <w:rPr>
                <w:rFonts w:cs="Tahoma"/>
                <w:szCs w:val="18"/>
              </w:rPr>
            </w:pPr>
            <w:r>
              <w:rPr>
                <w:rFonts w:cs="Tahoma"/>
                <w:szCs w:val="18"/>
              </w:rPr>
              <w:t>Primary:</w:t>
            </w:r>
          </w:p>
          <w:p w:rsidR="00E1668E" w:rsidRDefault="00E1668E" w:rsidP="00E1668E">
            <w:pPr>
              <w:pStyle w:val="Tabletext"/>
              <w:numPr>
                <w:ilvl w:val="0"/>
                <w:numId w:val="54"/>
              </w:numPr>
              <w:ind w:left="239" w:hanging="144"/>
              <w:rPr>
                <w:rFonts w:cs="Tahoma"/>
                <w:szCs w:val="18"/>
              </w:rPr>
            </w:pPr>
            <w:r w:rsidRPr="00846CEB">
              <w:rPr>
                <w:rFonts w:cs="Tahoma"/>
                <w:szCs w:val="18"/>
              </w:rPr>
              <w:t>Change in 6MWD at Week 16</w:t>
            </w:r>
            <w:r w:rsidRPr="00A605AF">
              <w:rPr>
                <w:rFonts w:cs="Tahoma"/>
                <w:szCs w:val="18"/>
                <w:vertAlign w:val="superscript"/>
              </w:rPr>
              <w:t>c</w:t>
            </w:r>
          </w:p>
          <w:p w:rsidR="00E1668E" w:rsidRDefault="00E1668E" w:rsidP="00E1668E">
            <w:pPr>
              <w:pStyle w:val="Tabletext"/>
              <w:rPr>
                <w:rFonts w:cs="Tahoma"/>
                <w:szCs w:val="18"/>
              </w:rPr>
            </w:pPr>
            <w:r>
              <w:rPr>
                <w:rFonts w:cs="Tahoma"/>
                <w:szCs w:val="18"/>
              </w:rPr>
              <w:t>Secondary:</w:t>
            </w:r>
          </w:p>
          <w:p w:rsidR="00E1668E" w:rsidRPr="00846CEB" w:rsidRDefault="00E1668E" w:rsidP="00E1668E">
            <w:pPr>
              <w:pStyle w:val="Tabletext"/>
              <w:numPr>
                <w:ilvl w:val="0"/>
                <w:numId w:val="54"/>
              </w:numPr>
              <w:ind w:left="239" w:hanging="144"/>
              <w:rPr>
                <w:rFonts w:cs="Tahoma"/>
                <w:szCs w:val="18"/>
              </w:rPr>
            </w:pPr>
            <w:r>
              <w:rPr>
                <w:rFonts w:cs="Tahoma"/>
                <w:szCs w:val="18"/>
              </w:rPr>
              <w:t xml:space="preserve">Change in </w:t>
            </w:r>
            <w:r w:rsidRPr="00846CEB">
              <w:rPr>
                <w:rFonts w:cs="Tahoma"/>
                <w:szCs w:val="18"/>
              </w:rPr>
              <w:t>WHO FC</w:t>
            </w:r>
            <w:r w:rsidRPr="00D6650F">
              <w:rPr>
                <w:rFonts w:cs="Tahoma"/>
                <w:szCs w:val="18"/>
                <w:vertAlign w:val="superscript"/>
              </w:rPr>
              <w:t>c</w:t>
            </w:r>
          </w:p>
          <w:p w:rsidR="00E1668E" w:rsidRPr="00846CEB" w:rsidRDefault="00E1668E" w:rsidP="00E1668E">
            <w:pPr>
              <w:pStyle w:val="Tabletext"/>
              <w:numPr>
                <w:ilvl w:val="0"/>
                <w:numId w:val="54"/>
              </w:numPr>
              <w:ind w:left="239" w:hanging="144"/>
              <w:rPr>
                <w:rFonts w:cs="Tahoma"/>
                <w:szCs w:val="18"/>
              </w:rPr>
            </w:pPr>
            <w:r w:rsidRPr="00846CEB">
              <w:rPr>
                <w:rFonts w:cs="Tahoma"/>
                <w:szCs w:val="18"/>
              </w:rPr>
              <w:t>Time to clinical worsening</w:t>
            </w:r>
            <w:r w:rsidRPr="00D6650F">
              <w:rPr>
                <w:rFonts w:cs="Tahoma"/>
                <w:szCs w:val="18"/>
                <w:vertAlign w:val="superscript"/>
              </w:rPr>
              <w:t>c</w:t>
            </w:r>
          </w:p>
          <w:p w:rsidR="00E1668E" w:rsidRDefault="00E1668E" w:rsidP="00E1668E">
            <w:pPr>
              <w:pStyle w:val="Tabletext"/>
              <w:numPr>
                <w:ilvl w:val="0"/>
                <w:numId w:val="54"/>
              </w:numPr>
              <w:ind w:left="239" w:hanging="144"/>
              <w:rPr>
                <w:rFonts w:cs="Tahoma"/>
                <w:szCs w:val="18"/>
              </w:rPr>
            </w:pPr>
            <w:r>
              <w:rPr>
                <w:rFonts w:cs="Tahoma"/>
                <w:szCs w:val="18"/>
              </w:rPr>
              <w:t>Change in BDS</w:t>
            </w:r>
          </w:p>
          <w:p w:rsidR="00E1668E" w:rsidRDefault="00E1668E" w:rsidP="00E1668E">
            <w:pPr>
              <w:pStyle w:val="Tabletext"/>
              <w:numPr>
                <w:ilvl w:val="0"/>
                <w:numId w:val="54"/>
              </w:numPr>
              <w:ind w:left="239" w:hanging="144"/>
              <w:rPr>
                <w:rFonts w:cs="Tahoma"/>
                <w:szCs w:val="18"/>
              </w:rPr>
            </w:pPr>
            <w:r>
              <w:rPr>
                <w:rFonts w:cs="Tahoma"/>
                <w:szCs w:val="18"/>
              </w:rPr>
              <w:t>Change in SF-36 score</w:t>
            </w:r>
          </w:p>
          <w:p w:rsidR="00E1668E" w:rsidRDefault="00E1668E" w:rsidP="00E1668E">
            <w:pPr>
              <w:pStyle w:val="Tabletext"/>
              <w:numPr>
                <w:ilvl w:val="0"/>
                <w:numId w:val="54"/>
              </w:numPr>
              <w:ind w:left="239" w:hanging="144"/>
              <w:rPr>
                <w:rFonts w:cs="Tahoma"/>
                <w:szCs w:val="18"/>
              </w:rPr>
            </w:pPr>
            <w:r>
              <w:rPr>
                <w:rFonts w:cs="Tahoma"/>
                <w:szCs w:val="18"/>
              </w:rPr>
              <w:t>Change in EQ-5D score</w:t>
            </w:r>
          </w:p>
          <w:p w:rsidR="00E1668E" w:rsidRDefault="00E1668E" w:rsidP="00E1668E">
            <w:pPr>
              <w:pStyle w:val="Tabletext"/>
              <w:numPr>
                <w:ilvl w:val="0"/>
                <w:numId w:val="54"/>
              </w:numPr>
              <w:ind w:left="239" w:hanging="144"/>
              <w:rPr>
                <w:rFonts w:cs="Tahoma"/>
                <w:szCs w:val="18"/>
              </w:rPr>
            </w:pPr>
            <w:r>
              <w:rPr>
                <w:rFonts w:cs="Tahoma"/>
                <w:szCs w:val="18"/>
              </w:rPr>
              <w:t>Change in PVR, mPAP and CI</w:t>
            </w:r>
          </w:p>
          <w:p w:rsidR="00E1668E" w:rsidRPr="00846CEB" w:rsidRDefault="00E1668E" w:rsidP="00E1668E">
            <w:pPr>
              <w:pStyle w:val="Tabletext"/>
              <w:ind w:left="95"/>
              <w:rPr>
                <w:rFonts w:cs="Tahoma"/>
                <w:szCs w:val="18"/>
              </w:rPr>
            </w:pPr>
          </w:p>
          <w:p w:rsidR="00E1668E" w:rsidRDefault="00E1668E" w:rsidP="00E1668E">
            <w:pPr>
              <w:pStyle w:val="Tabletext"/>
              <w:rPr>
                <w:rFonts w:cs="Tahoma"/>
                <w:i/>
                <w:szCs w:val="18"/>
              </w:rPr>
            </w:pPr>
            <w:r w:rsidRPr="00802B85">
              <w:rPr>
                <w:rFonts w:cs="Tahoma"/>
                <w:i/>
                <w:szCs w:val="18"/>
              </w:rPr>
              <w:t>S</w:t>
            </w:r>
            <w:r>
              <w:rPr>
                <w:rFonts w:cs="Tahoma"/>
                <w:i/>
                <w:szCs w:val="18"/>
              </w:rPr>
              <w:t>afety</w:t>
            </w:r>
          </w:p>
          <w:p w:rsidR="00E1668E" w:rsidRDefault="00E1668E" w:rsidP="00E1668E">
            <w:pPr>
              <w:pStyle w:val="Tabletext"/>
              <w:numPr>
                <w:ilvl w:val="0"/>
                <w:numId w:val="54"/>
              </w:numPr>
              <w:ind w:left="239" w:hanging="144"/>
              <w:rPr>
                <w:rFonts w:cs="Tahoma"/>
                <w:i/>
                <w:szCs w:val="18"/>
              </w:rPr>
            </w:pPr>
            <w:r>
              <w:rPr>
                <w:rFonts w:cs="Tahoma"/>
                <w:szCs w:val="18"/>
              </w:rPr>
              <w:t>A</w:t>
            </w:r>
            <w:r w:rsidRPr="00351FF5">
              <w:rPr>
                <w:rFonts w:cs="Tahoma"/>
                <w:szCs w:val="18"/>
              </w:rPr>
              <w:t>dverse events</w:t>
            </w:r>
            <w:r w:rsidRPr="00D6650F">
              <w:rPr>
                <w:rFonts w:cs="Tahoma"/>
                <w:szCs w:val="18"/>
                <w:vertAlign w:val="superscript"/>
              </w:rPr>
              <w:t>c</w:t>
            </w:r>
          </w:p>
        </w:tc>
      </w:tr>
      <w:tr w:rsidR="00E1668E" w:rsidRPr="00204000" w:rsidTr="00E1668E">
        <w:tc>
          <w:tcPr>
            <w:tcW w:w="531" w:type="pct"/>
          </w:tcPr>
          <w:p w:rsidR="00E1668E" w:rsidRPr="00D53F84" w:rsidRDefault="00E1668E" w:rsidP="00E1668E">
            <w:pPr>
              <w:pStyle w:val="Tabletext"/>
              <w:ind w:right="-28"/>
              <w:rPr>
                <w:rFonts w:eastAsia="Times New Roman"/>
              </w:rPr>
            </w:pPr>
            <w:r w:rsidRPr="00D53F84">
              <w:rPr>
                <w:rFonts w:eastAsia="Times New Roman"/>
              </w:rPr>
              <w:t>SERAPHIN</w:t>
            </w:r>
            <w:r w:rsidRPr="001D34EE">
              <w:rPr>
                <w:rFonts w:eastAsia="Times New Roman"/>
                <w:noProof/>
                <w:vertAlign w:val="superscript"/>
              </w:rPr>
              <w:t>7, 46, 47</w:t>
            </w:r>
          </w:p>
          <w:p w:rsidR="00E1668E" w:rsidRPr="00D53F84" w:rsidRDefault="00E1668E" w:rsidP="00E1668E">
            <w:pPr>
              <w:pStyle w:val="Tabletext"/>
              <w:ind w:right="-28"/>
              <w:rPr>
                <w:rFonts w:eastAsia="Times New Roman"/>
              </w:rPr>
            </w:pPr>
            <w:r w:rsidRPr="00D53F84">
              <w:rPr>
                <w:rFonts w:eastAsia="Times New Roman"/>
                <w:lang w:eastAsia="en-US"/>
              </w:rPr>
              <w:t>2008-2012</w:t>
            </w:r>
          </w:p>
          <w:p w:rsidR="00E1668E" w:rsidRDefault="00E1668E" w:rsidP="00E1668E">
            <w:pPr>
              <w:pStyle w:val="Tabletext"/>
              <w:rPr>
                <w:rFonts w:cs="Tahoma"/>
                <w:szCs w:val="18"/>
              </w:rPr>
            </w:pPr>
            <w:r w:rsidRPr="00D53F84">
              <w:rPr>
                <w:rFonts w:eastAsia="Times New Roman"/>
                <w:lang w:eastAsia="en-US"/>
              </w:rPr>
              <w:t>US, Canada, Europe, Asia, South America, Australia</w:t>
            </w:r>
          </w:p>
        </w:tc>
        <w:tc>
          <w:tcPr>
            <w:tcW w:w="476" w:type="pct"/>
          </w:tcPr>
          <w:p w:rsidR="00E1668E" w:rsidRPr="00D53F84" w:rsidRDefault="00E1668E" w:rsidP="00E1668E">
            <w:pPr>
              <w:pStyle w:val="Tabletext"/>
              <w:ind w:right="-28"/>
              <w:rPr>
                <w:rFonts w:eastAsia="Times New Roman"/>
                <w:lang w:eastAsia="en-US"/>
              </w:rPr>
            </w:pPr>
            <w:r w:rsidRPr="00D53F84">
              <w:rPr>
                <w:rFonts w:eastAsia="Times New Roman"/>
                <w:lang w:eastAsia="en-US"/>
              </w:rPr>
              <w:t>RCT, DB</w:t>
            </w:r>
          </w:p>
          <w:p w:rsidR="00E1668E" w:rsidRDefault="00E1668E" w:rsidP="00E1668E">
            <w:pPr>
              <w:pStyle w:val="Tabletext"/>
              <w:ind w:right="-28"/>
              <w:rPr>
                <w:rFonts w:eastAsia="Times New Roman"/>
                <w:snapToGrid w:val="0"/>
                <w:lang w:eastAsia="en-US"/>
              </w:rPr>
            </w:pPr>
            <w:r>
              <w:rPr>
                <w:rFonts w:eastAsia="Times New Roman"/>
                <w:snapToGrid w:val="0"/>
                <w:lang w:eastAsia="en-US"/>
              </w:rPr>
              <w:t>Level II evidence</w:t>
            </w:r>
          </w:p>
          <w:p w:rsidR="00E1668E" w:rsidRPr="00D53F84" w:rsidRDefault="00E1668E" w:rsidP="00E1668E">
            <w:pPr>
              <w:pStyle w:val="Tabletext"/>
              <w:ind w:right="-28"/>
              <w:rPr>
                <w:rFonts w:eastAsia="Times New Roman"/>
                <w:lang w:eastAsia="en-US"/>
              </w:rPr>
            </w:pPr>
            <w:r>
              <w:rPr>
                <w:rFonts w:eastAsia="Times New Roman"/>
                <w:snapToGrid w:val="0"/>
                <w:lang w:eastAsia="en-US"/>
              </w:rPr>
              <w:t xml:space="preserve">Follow-up: </w:t>
            </w:r>
            <w:r>
              <w:rPr>
                <w:rFonts w:eastAsia="Times New Roman"/>
                <w:lang w:eastAsia="en-US"/>
              </w:rPr>
              <w:t>129 weeks</w:t>
            </w:r>
          </w:p>
          <w:p w:rsidR="00E1668E" w:rsidRPr="00D53F84" w:rsidRDefault="00E1668E" w:rsidP="00E1668E">
            <w:pPr>
              <w:pStyle w:val="Tabletext"/>
              <w:ind w:right="-28"/>
              <w:rPr>
                <w:rFonts w:eastAsia="Times New Roman"/>
                <w:lang w:eastAsia="en-US"/>
              </w:rPr>
            </w:pPr>
            <w:r>
              <w:rPr>
                <w:rFonts w:eastAsia="Times New Roman"/>
                <w:snapToGrid w:val="0"/>
                <w:lang w:eastAsia="en-US"/>
              </w:rPr>
              <w:t>Risk of bias: l</w:t>
            </w:r>
            <w:r w:rsidRPr="00D53F84">
              <w:rPr>
                <w:rFonts w:eastAsia="Times New Roman"/>
                <w:lang w:eastAsia="en-US"/>
              </w:rPr>
              <w:t>ow-to-moderate</w:t>
            </w:r>
          </w:p>
        </w:tc>
        <w:tc>
          <w:tcPr>
            <w:tcW w:w="772" w:type="pct"/>
          </w:tcPr>
          <w:p w:rsidR="00E1668E" w:rsidRPr="0083095A" w:rsidRDefault="00E1668E" w:rsidP="00E1668E">
            <w:pPr>
              <w:pStyle w:val="Tabletext"/>
              <w:rPr>
                <w:rFonts w:cs="Tahoma"/>
                <w:i/>
                <w:szCs w:val="18"/>
              </w:rPr>
            </w:pPr>
            <w:r>
              <w:rPr>
                <w:rFonts w:cs="Tahoma"/>
                <w:i/>
                <w:szCs w:val="18"/>
              </w:rPr>
              <w:t>Inclusion</w:t>
            </w:r>
          </w:p>
          <w:p w:rsidR="00E1668E" w:rsidRPr="0083095A" w:rsidRDefault="00E1668E" w:rsidP="00E1668E">
            <w:pPr>
              <w:pStyle w:val="Tabletext"/>
              <w:numPr>
                <w:ilvl w:val="0"/>
                <w:numId w:val="54"/>
              </w:numPr>
              <w:ind w:left="239" w:hanging="144"/>
              <w:rPr>
                <w:rFonts w:cs="Tahoma"/>
                <w:szCs w:val="18"/>
              </w:rPr>
            </w:pPr>
            <w:r w:rsidRPr="0083095A">
              <w:rPr>
                <w:rFonts w:cs="Tahoma"/>
                <w:szCs w:val="18"/>
              </w:rPr>
              <w:t xml:space="preserve">Age </w:t>
            </w:r>
            <w:r>
              <w:rPr>
                <w:rFonts w:cs="Tahoma"/>
                <w:szCs w:val="18"/>
              </w:rPr>
              <w:t>of ≥1</w:t>
            </w:r>
            <w:r w:rsidRPr="0083095A">
              <w:rPr>
                <w:rFonts w:cs="Tahoma"/>
                <w:szCs w:val="18"/>
              </w:rPr>
              <w:t xml:space="preserve">2 years </w:t>
            </w:r>
          </w:p>
          <w:p w:rsidR="00E1668E" w:rsidRPr="0083095A" w:rsidRDefault="00E1668E" w:rsidP="00E1668E">
            <w:pPr>
              <w:pStyle w:val="Tabletext"/>
              <w:numPr>
                <w:ilvl w:val="0"/>
                <w:numId w:val="54"/>
              </w:numPr>
              <w:ind w:left="239" w:hanging="144"/>
              <w:rPr>
                <w:rFonts w:cs="Tahoma"/>
                <w:szCs w:val="18"/>
              </w:rPr>
            </w:pPr>
            <w:r w:rsidRPr="0083095A">
              <w:rPr>
                <w:rFonts w:cs="Tahoma"/>
                <w:szCs w:val="18"/>
              </w:rPr>
              <w:t>Patients with WHO FC II</w:t>
            </w:r>
            <w:r>
              <w:rPr>
                <w:rFonts w:cs="Tahoma"/>
                <w:szCs w:val="18"/>
              </w:rPr>
              <w:t>-IV</w:t>
            </w:r>
            <w:r w:rsidRPr="0083095A">
              <w:rPr>
                <w:rFonts w:cs="Tahoma"/>
                <w:szCs w:val="18"/>
              </w:rPr>
              <w:t xml:space="preserve"> IPAH, HPAH, PAH-CTD, PAH-CHD, PAH-HIV, or </w:t>
            </w:r>
            <w:r>
              <w:rPr>
                <w:rFonts w:cs="Tahoma"/>
                <w:szCs w:val="18"/>
              </w:rPr>
              <w:t>PAH-DT</w:t>
            </w:r>
          </w:p>
          <w:p w:rsidR="00E1668E" w:rsidRPr="0083095A" w:rsidRDefault="00E1668E" w:rsidP="00E1668E">
            <w:pPr>
              <w:pStyle w:val="Tabletext"/>
              <w:numPr>
                <w:ilvl w:val="0"/>
                <w:numId w:val="54"/>
              </w:numPr>
              <w:ind w:left="239" w:hanging="144"/>
              <w:rPr>
                <w:rFonts w:cs="Tahoma"/>
                <w:szCs w:val="18"/>
              </w:rPr>
            </w:pPr>
            <w:r>
              <w:rPr>
                <w:rFonts w:cs="Tahoma"/>
                <w:szCs w:val="18"/>
              </w:rPr>
              <w:t>6MWD ≥50</w:t>
            </w:r>
            <w:r w:rsidR="00C90897">
              <w:rPr>
                <w:rFonts w:cs="Tahoma"/>
                <w:szCs w:val="18"/>
              </w:rPr>
              <w:t> </w:t>
            </w:r>
            <w:r>
              <w:rPr>
                <w:rFonts w:cs="Tahoma"/>
                <w:szCs w:val="18"/>
              </w:rPr>
              <w:t>m</w:t>
            </w:r>
          </w:p>
          <w:p w:rsidR="00E1668E" w:rsidRPr="0083095A" w:rsidRDefault="00E1668E" w:rsidP="00E1668E">
            <w:pPr>
              <w:pStyle w:val="Tabletext"/>
              <w:numPr>
                <w:ilvl w:val="0"/>
                <w:numId w:val="54"/>
              </w:numPr>
              <w:ind w:left="239" w:hanging="144"/>
              <w:rPr>
                <w:rFonts w:cs="Tahoma"/>
                <w:szCs w:val="18"/>
              </w:rPr>
            </w:pPr>
            <w:r w:rsidRPr="0083095A">
              <w:rPr>
                <w:rFonts w:cs="Tahoma"/>
                <w:szCs w:val="18"/>
              </w:rPr>
              <w:t>Allow for concomitant treatment with oral PDE-5</w:t>
            </w:r>
            <w:r>
              <w:rPr>
                <w:rFonts w:cs="Tahoma"/>
                <w:szCs w:val="18"/>
              </w:rPr>
              <w:t>i</w:t>
            </w:r>
            <w:r w:rsidRPr="0083095A">
              <w:rPr>
                <w:rFonts w:cs="Tahoma"/>
                <w:szCs w:val="18"/>
              </w:rPr>
              <w:t xml:space="preserve">, oral or </w:t>
            </w:r>
            <w:r>
              <w:rPr>
                <w:rFonts w:cs="Tahoma"/>
                <w:szCs w:val="18"/>
              </w:rPr>
              <w:t>prostanoid</w:t>
            </w:r>
            <w:r w:rsidRPr="0083095A">
              <w:rPr>
                <w:rFonts w:cs="Tahoma"/>
                <w:szCs w:val="18"/>
              </w:rPr>
              <w:t xml:space="preserve">, provided that the patient had been receiving a stable dose for </w:t>
            </w:r>
            <w:r>
              <w:rPr>
                <w:rFonts w:cs="Tahoma"/>
                <w:szCs w:val="18"/>
              </w:rPr>
              <w:t>≥</w:t>
            </w:r>
            <w:r w:rsidRPr="0083095A">
              <w:rPr>
                <w:rFonts w:cs="Tahoma"/>
                <w:szCs w:val="18"/>
              </w:rPr>
              <w:t>3 months before randomisation</w:t>
            </w:r>
          </w:p>
          <w:p w:rsidR="00E1668E" w:rsidRPr="0083095A" w:rsidRDefault="00E1668E" w:rsidP="00E1668E">
            <w:pPr>
              <w:pStyle w:val="Tabletext"/>
              <w:rPr>
                <w:rFonts w:cs="Tahoma"/>
                <w:i/>
                <w:szCs w:val="18"/>
              </w:rPr>
            </w:pPr>
          </w:p>
          <w:p w:rsidR="00E1668E" w:rsidRPr="0083095A" w:rsidRDefault="00E1668E" w:rsidP="00E1668E">
            <w:pPr>
              <w:pStyle w:val="Tabletext"/>
              <w:rPr>
                <w:rFonts w:cs="Tahoma"/>
                <w:i/>
                <w:szCs w:val="18"/>
              </w:rPr>
            </w:pPr>
            <w:r>
              <w:rPr>
                <w:rFonts w:cs="Tahoma"/>
                <w:i/>
                <w:szCs w:val="18"/>
              </w:rPr>
              <w:t>Exclusion criteria</w:t>
            </w:r>
          </w:p>
          <w:p w:rsidR="00E1668E" w:rsidRDefault="00E1668E" w:rsidP="00E1668E">
            <w:pPr>
              <w:pStyle w:val="Tabletext"/>
              <w:numPr>
                <w:ilvl w:val="0"/>
                <w:numId w:val="54"/>
              </w:numPr>
              <w:ind w:left="239" w:hanging="144"/>
              <w:rPr>
                <w:rFonts w:cs="Tahoma"/>
                <w:i/>
                <w:szCs w:val="18"/>
              </w:rPr>
            </w:pPr>
            <w:r w:rsidRPr="0083095A">
              <w:rPr>
                <w:rFonts w:cs="Tahoma"/>
                <w:szCs w:val="18"/>
              </w:rPr>
              <w:t xml:space="preserve">Patients receiving </w:t>
            </w:r>
            <w:r>
              <w:rPr>
                <w:rFonts w:cs="Tahoma"/>
                <w:szCs w:val="18"/>
              </w:rPr>
              <w:t>IV or subcutaneous prostanoid</w:t>
            </w:r>
          </w:p>
        </w:tc>
        <w:tc>
          <w:tcPr>
            <w:tcW w:w="0" w:type="auto"/>
          </w:tcPr>
          <w:p w:rsidR="00E1668E" w:rsidRDefault="00E1668E" w:rsidP="00E1668E">
            <w:pPr>
              <w:pStyle w:val="Tabletext"/>
            </w:pPr>
            <w:r>
              <w:t>N=492</w:t>
            </w:r>
          </w:p>
          <w:tbl>
            <w:tblPr>
              <w:tblStyle w:val="TableGrid"/>
              <w:tblW w:w="42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Caption w:val="Patient baseline characteristics in Trial SERAPHIN"/>
            </w:tblPr>
            <w:tblGrid>
              <w:gridCol w:w="2095"/>
              <w:gridCol w:w="1093"/>
              <w:gridCol w:w="1100"/>
            </w:tblGrid>
            <w:tr w:rsidR="00E1668E" w:rsidTr="001D0FDA">
              <w:trPr>
                <w:cnfStyle w:val="100000000000" w:firstRow="1" w:lastRow="0" w:firstColumn="0" w:lastColumn="0" w:oddVBand="0" w:evenVBand="0" w:oddHBand="0" w:evenHBand="0" w:firstRowFirstColumn="0" w:firstRowLastColumn="0" w:lastRowFirstColumn="0" w:lastRowLastColumn="0"/>
              </w:trPr>
              <w:tc>
                <w:tcPr>
                  <w:tcW w:w="2161" w:type="dxa"/>
                  <w:shd w:val="clear" w:color="auto" w:fill="FFFFFF" w:themeFill="background1"/>
                </w:tcPr>
                <w:p w:rsidR="00E1668E" w:rsidRPr="003C0DFB" w:rsidRDefault="00E1668E" w:rsidP="00570FC8">
                  <w:pPr>
                    <w:pStyle w:val="Tabletext"/>
                    <w:framePr w:hSpace="181" w:wrap="around" w:hAnchor="text" w:yAlign="bottom"/>
                    <w:spacing w:before="0" w:after="0"/>
                    <w:suppressOverlap/>
                  </w:pPr>
                </w:p>
              </w:tc>
              <w:tc>
                <w:tcPr>
                  <w:tcW w:w="1019" w:type="dxa"/>
                  <w:shd w:val="clear" w:color="auto" w:fill="FFFFFF" w:themeFill="background1"/>
                </w:tcPr>
                <w:p w:rsidR="00E1668E" w:rsidRDefault="00E1668E" w:rsidP="00570FC8">
                  <w:pPr>
                    <w:pStyle w:val="Tabletext"/>
                    <w:framePr w:hSpace="181" w:wrap="around" w:hAnchor="text" w:yAlign="bottom"/>
                    <w:spacing w:before="0" w:after="0"/>
                    <w:suppressOverlap/>
                    <w:jc w:val="center"/>
                    <w:rPr>
                      <w:u w:val="single"/>
                    </w:rPr>
                  </w:pPr>
                  <w:r>
                    <w:t>Macitentan 10</w:t>
                  </w:r>
                  <w:r w:rsidR="00570FC8">
                    <w:t> mg</w:t>
                  </w:r>
                  <w:r>
                    <w:t xml:space="preserve"> (n=242)</w:t>
                  </w:r>
                </w:p>
              </w:tc>
              <w:tc>
                <w:tcPr>
                  <w:tcW w:w="1108" w:type="dxa"/>
                  <w:shd w:val="clear" w:color="auto" w:fill="FFFFFF" w:themeFill="background1"/>
                </w:tcPr>
                <w:p w:rsidR="00E1668E" w:rsidRDefault="00E1668E" w:rsidP="00570FC8">
                  <w:pPr>
                    <w:pStyle w:val="Tabletext"/>
                    <w:framePr w:hSpace="181" w:wrap="around" w:hAnchor="text" w:yAlign="bottom"/>
                    <w:spacing w:before="0" w:after="0"/>
                    <w:suppressOverlap/>
                    <w:jc w:val="center"/>
                  </w:pPr>
                  <w:r>
                    <w:t>Placebo (n=250)</w:t>
                  </w:r>
                </w:p>
              </w:tc>
            </w:tr>
            <w:tr w:rsidR="00E1668E" w:rsidRPr="001B3364" w:rsidTr="001D0FDA">
              <w:tc>
                <w:tcPr>
                  <w:tcW w:w="2161" w:type="dxa"/>
                  <w:shd w:val="clear" w:color="auto" w:fill="FFFFFF" w:themeFill="background1"/>
                </w:tcPr>
                <w:p w:rsidR="00E1668E" w:rsidRDefault="00E1668E" w:rsidP="00570FC8">
                  <w:pPr>
                    <w:pStyle w:val="Tabletext"/>
                    <w:framePr w:hSpace="181" w:wrap="around" w:hAnchor="text" w:yAlign="bottom"/>
                    <w:spacing w:before="0" w:after="0"/>
                    <w:suppressOverlap/>
                  </w:pPr>
                  <w:r w:rsidRPr="00351FF5">
                    <w:rPr>
                      <w:rFonts w:cs="Tahoma"/>
                      <w:szCs w:val="18"/>
                    </w:rPr>
                    <w:t>Age, mean±SD (yrs)</w:t>
                  </w:r>
                </w:p>
              </w:tc>
              <w:tc>
                <w:tcPr>
                  <w:tcW w:w="1019" w:type="dxa"/>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46±15</w:t>
                  </w:r>
                </w:p>
              </w:tc>
              <w:tc>
                <w:tcPr>
                  <w:tcW w:w="1108" w:type="dxa"/>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47±17</w:t>
                  </w:r>
                </w:p>
              </w:tc>
            </w:tr>
            <w:tr w:rsidR="00E1668E" w:rsidRPr="001B3364" w:rsidTr="001D0FDA">
              <w:tc>
                <w:tcPr>
                  <w:tcW w:w="216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pacing w:before="0" w:after="0"/>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19"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pacing w:before="0" w:after="0"/>
                    <w:suppressOverlap/>
                    <w:jc w:val="center"/>
                  </w:pPr>
                  <w:r>
                    <w:rPr>
                      <w:rFonts w:cs="Tahoma"/>
                      <w:szCs w:val="18"/>
                    </w:rPr>
                    <w:t>194 (80%)</w:t>
                  </w:r>
                </w:p>
              </w:tc>
              <w:tc>
                <w:tcPr>
                  <w:tcW w:w="1108"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pacing w:before="0" w:after="0"/>
                    <w:suppressOverlap/>
                    <w:jc w:val="center"/>
                  </w:pPr>
                  <w:r>
                    <w:t>184 (74%)</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Aetiology</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ind w:left="262"/>
                    <w:suppressOverlap/>
                  </w:pPr>
                  <w:r w:rsidRPr="00C5782C">
                    <w:t xml:space="preserve">IPAH </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134 (56%)</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126 (51%)</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ind w:left="262"/>
                    <w:suppressOverlap/>
                  </w:pPr>
                  <w:r w:rsidRPr="00C5782C">
                    <w:t>PAH-CTD</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suppressOverlap/>
                    <w:jc w:val="center"/>
                  </w:pPr>
                  <w:r>
                    <w:t>73 (30%)</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suppressOverlap/>
                    <w:jc w:val="center"/>
                  </w:pPr>
                  <w:r>
                    <w:t>81 (33%)</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ind w:left="262"/>
                    <w:suppressOverlap/>
                  </w:pPr>
                  <w:r w:rsidRPr="00C5782C">
                    <w:t>PAH-CHD</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suppressOverlap/>
                    <w:jc w:val="center"/>
                  </w:pPr>
                  <w:r>
                    <w:t>21 (9%)</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suppressOverlap/>
                    <w:jc w:val="center"/>
                  </w:pPr>
                  <w:r>
                    <w:t>26 (10%)</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ind w:left="262"/>
                    <w:suppressOverlap/>
                  </w:pPr>
                  <w:r w:rsidRPr="00C5782C">
                    <w:t>PAH</w:t>
                  </w:r>
                  <w:r>
                    <w:t>-DT</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suppressOverlap/>
                    <w:jc w:val="center"/>
                  </w:pPr>
                  <w:r>
                    <w:t>5 (2%)</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suppressOverlap/>
                    <w:jc w:val="center"/>
                  </w:pPr>
                  <w:r>
                    <w:t>8 (3%)</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ind w:left="262"/>
                    <w:suppressOverlap/>
                  </w:pPr>
                  <w:r>
                    <w:t>HPAH</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suppressOverlap/>
                    <w:jc w:val="center"/>
                  </w:pPr>
                  <w:r>
                    <w:t>2 (1%)</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suppressOverlap/>
                    <w:jc w:val="center"/>
                  </w:pPr>
                  <w:r>
                    <w:t>3 (1%)</w:t>
                  </w:r>
                </w:p>
              </w:tc>
            </w:tr>
            <w:tr w:rsidR="00E1668E" w:rsidRPr="001B3364" w:rsidTr="001D0FDA">
              <w:tc>
                <w:tcPr>
                  <w:tcW w:w="2161" w:type="dxa"/>
                  <w:tcBorders>
                    <w:top w:val="nil"/>
                    <w:bottom w:val="single" w:sz="4" w:space="0" w:color="BFBFBF" w:themeColor="background1" w:themeShade="BF"/>
                  </w:tcBorders>
                  <w:shd w:val="clear" w:color="auto" w:fill="FFFFFF" w:themeFill="background1"/>
                </w:tcPr>
                <w:p w:rsidR="00E1668E" w:rsidRPr="00C5782C" w:rsidRDefault="00E1668E" w:rsidP="00570FC8">
                  <w:pPr>
                    <w:pStyle w:val="Tabletext"/>
                    <w:framePr w:hSpace="181" w:wrap="around" w:hAnchor="text" w:yAlign="bottom"/>
                    <w:spacing w:before="0" w:after="0"/>
                    <w:ind w:left="262"/>
                    <w:suppressOverlap/>
                  </w:pPr>
                  <w:r w:rsidRPr="00C5782C">
                    <w:t>PAH-HIV</w:t>
                  </w:r>
                </w:p>
              </w:tc>
              <w:tc>
                <w:tcPr>
                  <w:tcW w:w="1019" w:type="dxa"/>
                  <w:tcBorders>
                    <w:top w:val="nil"/>
                    <w:bottom w:val="single" w:sz="4" w:space="0" w:color="BFBFBF" w:themeColor="background1" w:themeShade="BF"/>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6 (2%)</w:t>
                  </w:r>
                </w:p>
              </w:tc>
              <w:tc>
                <w:tcPr>
                  <w:tcW w:w="1108" w:type="dxa"/>
                  <w:tcBorders>
                    <w:top w:val="nil"/>
                    <w:bottom w:val="single" w:sz="4" w:space="0" w:color="BFBFBF" w:themeColor="background1" w:themeShade="BF"/>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3 (1%)</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pPr>
                  <w:r>
                    <w:t>WHO FC</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ind w:left="262"/>
                    <w:suppressOverlap/>
                  </w:pPr>
                  <w:r>
                    <w:t>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1 (0.4%)</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0 (0%)</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ind w:left="262"/>
                    <w:suppressOverlap/>
                  </w:pPr>
                  <w:r>
                    <w:t>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120 (50%)</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129 (52%)</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ind w:left="262"/>
                    <w:suppressOverlap/>
                  </w:pPr>
                  <w:r>
                    <w:t>III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116 (48%)</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116 (47%)</w:t>
                  </w:r>
                </w:p>
              </w:tc>
            </w:tr>
            <w:tr w:rsidR="00E1668E" w:rsidRPr="001B3364" w:rsidTr="001D0FDA">
              <w:tc>
                <w:tcPr>
                  <w:tcW w:w="2161" w:type="dxa"/>
                  <w:tcBorders>
                    <w:top w:val="nil"/>
                  </w:tcBorders>
                  <w:shd w:val="clear" w:color="auto" w:fill="FFFFFF" w:themeFill="background1"/>
                </w:tcPr>
                <w:p w:rsidR="00E1668E" w:rsidRDefault="00E1668E" w:rsidP="00570FC8">
                  <w:pPr>
                    <w:pStyle w:val="Tabletext"/>
                    <w:framePr w:hSpace="181" w:wrap="around" w:hAnchor="text" w:yAlign="bottom"/>
                    <w:spacing w:before="0" w:after="0"/>
                    <w:ind w:left="262"/>
                    <w:suppressOverlap/>
                  </w:pPr>
                  <w:r>
                    <w:t>IV</w:t>
                  </w:r>
                </w:p>
              </w:tc>
              <w:tc>
                <w:tcPr>
                  <w:tcW w:w="1019" w:type="dxa"/>
                  <w:tcBorders>
                    <w:top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5 (2%)</w:t>
                  </w:r>
                </w:p>
              </w:tc>
              <w:tc>
                <w:tcPr>
                  <w:tcW w:w="1108" w:type="dxa"/>
                  <w:tcBorders>
                    <w:top w:val="nil"/>
                  </w:tcBorders>
                  <w:shd w:val="clear" w:color="auto" w:fill="FFFFFF" w:themeFill="background1"/>
                </w:tcPr>
                <w:p w:rsidR="00E1668E" w:rsidRPr="00C5782C" w:rsidRDefault="00E1668E" w:rsidP="00570FC8">
                  <w:pPr>
                    <w:pStyle w:val="Tabletext"/>
                    <w:framePr w:hSpace="181" w:wrap="around" w:hAnchor="text" w:yAlign="bottom"/>
                    <w:spacing w:before="0" w:after="0"/>
                    <w:suppressOverlap/>
                    <w:jc w:val="center"/>
                  </w:pPr>
                  <w:r>
                    <w:t>4 (2%)</w:t>
                  </w:r>
                </w:p>
              </w:tc>
            </w:tr>
            <w:tr w:rsidR="00E1668E" w:rsidRPr="001B3364" w:rsidTr="001D0FDA">
              <w:tc>
                <w:tcPr>
                  <w:tcW w:w="2161" w:type="dxa"/>
                  <w:tcBorders>
                    <w:bottom w:val="single" w:sz="4" w:space="0" w:color="BFBFBF" w:themeColor="background1" w:themeShade="BF"/>
                  </w:tcBorders>
                  <w:shd w:val="clear" w:color="auto" w:fill="FFFFFF" w:themeFill="background1"/>
                </w:tcPr>
                <w:p w:rsidR="00E1668E" w:rsidRDefault="00E1668E" w:rsidP="00570FC8">
                  <w:pPr>
                    <w:pStyle w:val="Tabletext"/>
                    <w:framePr w:hSpace="181" w:wrap="around" w:hAnchor="text" w:yAlign="bottom"/>
                    <w:spacing w:before="0" w:after="0"/>
                    <w:suppressOverlap/>
                  </w:pPr>
                  <w:r>
                    <w:t>Time from diagnosis</w:t>
                  </w:r>
                  <w:r w:rsidRPr="00351FF5">
                    <w:rPr>
                      <w:rFonts w:cs="Tahoma"/>
                      <w:szCs w:val="18"/>
                    </w:rPr>
                    <w:t>, mean±SD</w:t>
                  </w:r>
                  <w:r>
                    <w:t xml:space="preserve"> (yrs)</w:t>
                  </w:r>
                </w:p>
              </w:tc>
              <w:tc>
                <w:tcPr>
                  <w:tcW w:w="1019" w:type="dxa"/>
                  <w:tcBorders>
                    <w:bottom w:val="single" w:sz="4" w:space="0" w:color="BFBFBF" w:themeColor="background1" w:themeShade="BF"/>
                  </w:tcBorders>
                  <w:shd w:val="clear" w:color="auto" w:fill="FFFFFF" w:themeFill="background1"/>
                  <w:vAlign w:val="center"/>
                </w:tcPr>
                <w:p w:rsidR="00E1668E" w:rsidRDefault="00E1668E" w:rsidP="00570FC8">
                  <w:pPr>
                    <w:pStyle w:val="Tabletext"/>
                    <w:framePr w:hSpace="181" w:wrap="around" w:hAnchor="text" w:yAlign="bottom"/>
                    <w:spacing w:before="0" w:after="0"/>
                    <w:suppressOverlap/>
                    <w:jc w:val="center"/>
                  </w:pPr>
                  <w:r w:rsidRPr="007B14FA">
                    <w:t>2.6±3.6</w:t>
                  </w:r>
                </w:p>
              </w:tc>
              <w:tc>
                <w:tcPr>
                  <w:tcW w:w="1108" w:type="dxa"/>
                  <w:tcBorders>
                    <w:bottom w:val="single" w:sz="4" w:space="0" w:color="BFBFBF" w:themeColor="background1" w:themeShade="BF"/>
                  </w:tcBorders>
                  <w:shd w:val="clear" w:color="auto" w:fill="FFFFFF" w:themeFill="background1"/>
                  <w:vAlign w:val="center"/>
                </w:tcPr>
                <w:p w:rsidR="00E1668E" w:rsidRDefault="00E1668E" w:rsidP="00570FC8">
                  <w:pPr>
                    <w:pStyle w:val="Tabletext"/>
                    <w:framePr w:hSpace="181" w:wrap="around" w:hAnchor="text" w:yAlign="bottom"/>
                    <w:spacing w:before="0" w:after="0"/>
                    <w:suppressOverlap/>
                    <w:jc w:val="center"/>
                  </w:pPr>
                  <w:r w:rsidRPr="007B14FA">
                    <w:t>2.6±3.7</w:t>
                  </w:r>
                </w:p>
              </w:tc>
            </w:tr>
            <w:tr w:rsidR="00E1668E" w:rsidRPr="001B3364" w:rsidTr="001D0FDA">
              <w:tc>
                <w:tcPr>
                  <w:tcW w:w="2161" w:type="dxa"/>
                  <w:tcBorders>
                    <w:bottom w:val="nil"/>
                  </w:tcBorders>
                  <w:shd w:val="clear" w:color="auto" w:fill="FFFFFF" w:themeFill="background1"/>
                </w:tcPr>
                <w:p w:rsidR="00E1668E" w:rsidRDefault="00E1668E" w:rsidP="00570FC8">
                  <w:pPr>
                    <w:pStyle w:val="Tabletext"/>
                    <w:framePr w:hSpace="181" w:wrap="around" w:hAnchor="text" w:yAlign="bottom"/>
                    <w:spacing w:before="0" w:after="0"/>
                    <w:suppressOverlap/>
                  </w:pPr>
                  <w:r>
                    <w:t>With background therapy, n (%)</w:t>
                  </w:r>
                </w:p>
              </w:tc>
              <w:tc>
                <w:tcPr>
                  <w:tcW w:w="1019" w:type="dxa"/>
                  <w:tcBorders>
                    <w:bottom w:val="nil"/>
                  </w:tcBorders>
                  <w:shd w:val="clear" w:color="auto" w:fill="FFFFFF" w:themeFill="background1"/>
                  <w:vAlign w:val="center"/>
                </w:tcPr>
                <w:p w:rsidR="00E1668E" w:rsidRPr="007B14FA" w:rsidRDefault="00E1668E" w:rsidP="00570FC8">
                  <w:pPr>
                    <w:pStyle w:val="Tabletext"/>
                    <w:framePr w:hSpace="181" w:wrap="around" w:hAnchor="text" w:yAlign="bottom"/>
                    <w:spacing w:before="0" w:after="0"/>
                    <w:suppressOverlap/>
                    <w:jc w:val="center"/>
                  </w:pPr>
                  <w:r>
                    <w:t>154 (64%)</w:t>
                  </w:r>
                </w:p>
              </w:tc>
              <w:tc>
                <w:tcPr>
                  <w:tcW w:w="1108" w:type="dxa"/>
                  <w:tcBorders>
                    <w:bottom w:val="nil"/>
                  </w:tcBorders>
                  <w:shd w:val="clear" w:color="auto" w:fill="FFFFFF" w:themeFill="background1"/>
                  <w:vAlign w:val="center"/>
                </w:tcPr>
                <w:p w:rsidR="00E1668E" w:rsidRPr="007B14FA" w:rsidRDefault="00E1668E" w:rsidP="00570FC8">
                  <w:pPr>
                    <w:pStyle w:val="Tabletext"/>
                    <w:framePr w:hSpace="181" w:wrap="around" w:hAnchor="text" w:yAlign="bottom"/>
                    <w:spacing w:before="0" w:after="0"/>
                    <w:suppressOverlap/>
                    <w:jc w:val="center"/>
                  </w:pPr>
                  <w:r>
                    <w:t>150 (62%)</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spacing w:before="0" w:after="0"/>
                    <w:ind w:left="262"/>
                    <w:suppressOverlap/>
                  </w:pPr>
                  <w:r>
                    <w:t>PDE-5i</w:t>
                  </w:r>
                </w:p>
              </w:tc>
              <w:tc>
                <w:tcPr>
                  <w:tcW w:w="1019" w:type="dxa"/>
                  <w:tcBorders>
                    <w:top w:val="nil"/>
                    <w:bottom w:val="nil"/>
                  </w:tcBorders>
                  <w:shd w:val="clear" w:color="auto" w:fill="FFFFFF" w:themeFill="background1"/>
                  <w:vAlign w:val="center"/>
                </w:tcPr>
                <w:p w:rsidR="00E1668E" w:rsidRPr="007B14FA" w:rsidRDefault="00E1668E" w:rsidP="00570FC8">
                  <w:pPr>
                    <w:pStyle w:val="Tabletext"/>
                    <w:framePr w:hSpace="181" w:wrap="around" w:hAnchor="text" w:yAlign="bottom"/>
                    <w:spacing w:before="0" w:after="0"/>
                    <w:suppressOverlap/>
                    <w:jc w:val="center"/>
                  </w:pPr>
                  <w:r>
                    <w:t>150 (62%)</w:t>
                  </w:r>
                </w:p>
              </w:tc>
              <w:tc>
                <w:tcPr>
                  <w:tcW w:w="1108" w:type="dxa"/>
                  <w:tcBorders>
                    <w:top w:val="nil"/>
                    <w:bottom w:val="nil"/>
                  </w:tcBorders>
                  <w:shd w:val="clear" w:color="auto" w:fill="FFFFFF" w:themeFill="background1"/>
                  <w:vAlign w:val="center"/>
                </w:tcPr>
                <w:p w:rsidR="00E1668E" w:rsidRPr="007B14FA" w:rsidRDefault="00E1668E" w:rsidP="00570FC8">
                  <w:pPr>
                    <w:pStyle w:val="Tabletext"/>
                    <w:framePr w:hSpace="181" w:wrap="around" w:hAnchor="text" w:yAlign="bottom"/>
                    <w:spacing w:before="0" w:after="0"/>
                    <w:suppressOverlap/>
                    <w:jc w:val="center"/>
                  </w:pPr>
                  <w:r>
                    <w:t>150 (60%)</w:t>
                  </w:r>
                </w:p>
              </w:tc>
            </w:tr>
            <w:tr w:rsidR="00E1668E" w:rsidRPr="001B3364" w:rsidTr="001D0FDA">
              <w:tc>
                <w:tcPr>
                  <w:tcW w:w="2161" w:type="dxa"/>
                  <w:tcBorders>
                    <w:top w:val="nil"/>
                  </w:tcBorders>
                  <w:shd w:val="clear" w:color="auto" w:fill="FFFFFF" w:themeFill="background1"/>
                </w:tcPr>
                <w:p w:rsidR="00E1668E" w:rsidRDefault="00E1668E" w:rsidP="00570FC8">
                  <w:pPr>
                    <w:pStyle w:val="Tabletext"/>
                    <w:framePr w:hSpace="181" w:wrap="around" w:hAnchor="text" w:yAlign="bottom"/>
                    <w:spacing w:before="0" w:after="0"/>
                    <w:ind w:left="262"/>
                    <w:suppressOverlap/>
                  </w:pPr>
                  <w:r>
                    <w:t>Prostanoid</w:t>
                  </w:r>
                </w:p>
              </w:tc>
              <w:tc>
                <w:tcPr>
                  <w:tcW w:w="1019" w:type="dxa"/>
                  <w:tcBorders>
                    <w:top w:val="nil"/>
                  </w:tcBorders>
                  <w:shd w:val="clear" w:color="auto" w:fill="FFFFFF" w:themeFill="background1"/>
                  <w:vAlign w:val="center"/>
                </w:tcPr>
                <w:p w:rsidR="00E1668E" w:rsidRPr="007B14FA" w:rsidRDefault="00E1668E" w:rsidP="00570FC8">
                  <w:pPr>
                    <w:pStyle w:val="Tabletext"/>
                    <w:framePr w:hSpace="181" w:wrap="around" w:hAnchor="text" w:yAlign="bottom"/>
                    <w:spacing w:before="0" w:after="0"/>
                    <w:suppressOverlap/>
                    <w:jc w:val="center"/>
                  </w:pPr>
                  <w:r>
                    <w:t>15 (6%)</w:t>
                  </w:r>
                </w:p>
              </w:tc>
              <w:tc>
                <w:tcPr>
                  <w:tcW w:w="1108" w:type="dxa"/>
                  <w:tcBorders>
                    <w:top w:val="nil"/>
                  </w:tcBorders>
                  <w:shd w:val="clear" w:color="auto" w:fill="FFFFFF" w:themeFill="background1"/>
                  <w:vAlign w:val="center"/>
                </w:tcPr>
                <w:p w:rsidR="00E1668E" w:rsidRPr="007B14FA" w:rsidRDefault="00E1668E" w:rsidP="00570FC8">
                  <w:pPr>
                    <w:pStyle w:val="Tabletext"/>
                    <w:framePr w:hSpace="181" w:wrap="around" w:hAnchor="text" w:yAlign="bottom"/>
                    <w:spacing w:before="0" w:after="0"/>
                    <w:suppressOverlap/>
                    <w:jc w:val="center"/>
                  </w:pPr>
                  <w:r>
                    <w:t>7 (3%)</w:t>
                  </w:r>
                </w:p>
              </w:tc>
            </w:tr>
            <w:tr w:rsidR="00E1668E" w:rsidRPr="001B3364" w:rsidTr="001D0FDA">
              <w:tc>
                <w:tcPr>
                  <w:tcW w:w="2161" w:type="dxa"/>
                </w:tcPr>
                <w:p w:rsidR="00E1668E" w:rsidRDefault="00E1668E" w:rsidP="00570FC8">
                  <w:pPr>
                    <w:pStyle w:val="Tabletext"/>
                    <w:framePr w:hSpace="181" w:wrap="around" w:hAnchor="text" w:yAlign="bottom"/>
                    <w:spacing w:before="0" w:after="0"/>
                    <w:suppressOverlap/>
                  </w:pPr>
                  <w:r>
                    <w:rPr>
                      <w:rFonts w:cs="Tahoma"/>
                      <w:szCs w:val="18"/>
                    </w:rPr>
                    <w:t>mPAP</w:t>
                  </w:r>
                  <w:r w:rsidRPr="00351FF5">
                    <w:rPr>
                      <w:rFonts w:cs="Tahoma"/>
                      <w:szCs w:val="18"/>
                    </w:rPr>
                    <w:t>, mean±SD (mmHg)</w:t>
                  </w:r>
                </w:p>
              </w:tc>
              <w:tc>
                <w:tcPr>
                  <w:tcW w:w="1019" w:type="dxa"/>
                  <w:shd w:val="clear" w:color="auto" w:fill="FFFFFF" w:themeFill="background1"/>
                  <w:vAlign w:val="center"/>
                </w:tcPr>
                <w:p w:rsidR="00E1668E" w:rsidRPr="00C5782C" w:rsidRDefault="00E1668E" w:rsidP="00570FC8">
                  <w:pPr>
                    <w:pStyle w:val="Tabletext"/>
                    <w:framePr w:hSpace="181" w:wrap="around" w:hAnchor="text" w:yAlign="bottom"/>
                    <w:spacing w:before="0" w:after="0"/>
                    <w:suppressOverlap/>
                    <w:jc w:val="center"/>
                  </w:pPr>
                  <w:r>
                    <w:t>53.5±17.6</w:t>
                  </w:r>
                </w:p>
              </w:tc>
              <w:tc>
                <w:tcPr>
                  <w:tcW w:w="1108" w:type="dxa"/>
                  <w:shd w:val="clear" w:color="auto" w:fill="FFFFFF" w:themeFill="background1"/>
                  <w:vAlign w:val="center"/>
                </w:tcPr>
                <w:p w:rsidR="00E1668E" w:rsidRPr="00C5782C" w:rsidRDefault="00E1668E" w:rsidP="00570FC8">
                  <w:pPr>
                    <w:pStyle w:val="Tabletext"/>
                    <w:framePr w:hSpace="181" w:wrap="around" w:hAnchor="text" w:yAlign="bottom"/>
                    <w:spacing w:before="0" w:after="0"/>
                    <w:suppressOverlap/>
                    <w:jc w:val="center"/>
                  </w:pPr>
                  <w:r>
                    <w:t>53.1±18.1</w:t>
                  </w:r>
                </w:p>
              </w:tc>
            </w:tr>
            <w:tr w:rsidR="00E1668E" w:rsidRPr="001B3364" w:rsidTr="001D0FDA">
              <w:tc>
                <w:tcPr>
                  <w:tcW w:w="2161" w:type="dxa"/>
                </w:tcPr>
                <w:p w:rsidR="00E1668E" w:rsidRDefault="00E1668E" w:rsidP="00570FC8">
                  <w:pPr>
                    <w:pStyle w:val="Tabletext"/>
                    <w:framePr w:hSpace="181" w:wrap="around" w:hAnchor="text" w:yAlign="bottom"/>
                    <w:spacing w:before="0" w:after="0"/>
                    <w:suppressOverlap/>
                  </w:pPr>
                  <w:r>
                    <w:rPr>
                      <w:rFonts w:cs="Tahoma"/>
                      <w:szCs w:val="18"/>
                    </w:rPr>
                    <w:t>PVR, mean±SD (dyn*s*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19" w:type="dxa"/>
                  <w:shd w:val="clear" w:color="auto" w:fill="FFFFFF" w:themeFill="background1"/>
                  <w:vAlign w:val="center"/>
                </w:tcPr>
                <w:p w:rsidR="00E1668E" w:rsidRDefault="00E1668E" w:rsidP="00570FC8">
                  <w:pPr>
                    <w:pStyle w:val="Tabletext"/>
                    <w:framePr w:hSpace="181" w:wrap="around" w:hAnchor="text" w:yAlign="bottom"/>
                    <w:spacing w:before="0" w:after="0"/>
                    <w:suppressOverlap/>
                    <w:jc w:val="center"/>
                  </w:pPr>
                  <w:r>
                    <w:t>1040±673</w:t>
                  </w:r>
                </w:p>
              </w:tc>
              <w:tc>
                <w:tcPr>
                  <w:tcW w:w="1108" w:type="dxa"/>
                  <w:shd w:val="clear" w:color="auto" w:fill="FFFFFF" w:themeFill="background1"/>
                  <w:vAlign w:val="center"/>
                </w:tcPr>
                <w:p w:rsidR="00E1668E" w:rsidRDefault="00E1668E" w:rsidP="00570FC8">
                  <w:pPr>
                    <w:pStyle w:val="Tabletext"/>
                    <w:framePr w:hSpace="181" w:wrap="around" w:hAnchor="text" w:yAlign="bottom"/>
                    <w:spacing w:before="0" w:after="0"/>
                    <w:suppressOverlap/>
                    <w:jc w:val="center"/>
                  </w:pPr>
                  <w:r>
                    <w:t>996±784</w:t>
                  </w:r>
                </w:p>
              </w:tc>
            </w:tr>
          </w:tbl>
          <w:p w:rsidR="00E1668E" w:rsidRDefault="00E1668E" w:rsidP="00E1668E">
            <w:pPr>
              <w:pStyle w:val="Tabletext"/>
              <w:rPr>
                <w:szCs w:val="18"/>
              </w:rPr>
            </w:pPr>
            <w:r w:rsidRPr="00A93CCE">
              <w:rPr>
                <w:szCs w:val="18"/>
              </w:rPr>
              <w:t xml:space="preserve">Data on the patient characteristics for the WHO FC I-II, no background therapy subgroup, the WHO FC III-IV, no background therapy subgroup, and the with background therapy were not available. Randomisation </w:t>
            </w:r>
            <w:proofErr w:type="gramStart"/>
            <w:r w:rsidRPr="00A93CCE">
              <w:rPr>
                <w:szCs w:val="18"/>
              </w:rPr>
              <w:t xml:space="preserve">was </w:t>
            </w:r>
            <w:r>
              <w:rPr>
                <w:szCs w:val="18"/>
              </w:rPr>
              <w:t xml:space="preserve">not </w:t>
            </w:r>
            <w:r w:rsidRPr="00A93CCE">
              <w:rPr>
                <w:szCs w:val="18"/>
              </w:rPr>
              <w:t>stratified</w:t>
            </w:r>
            <w:proofErr w:type="gramEnd"/>
            <w:r w:rsidRPr="00A93CCE">
              <w:rPr>
                <w:szCs w:val="18"/>
              </w:rPr>
              <w:t xml:space="preserve"> according to background therapy</w:t>
            </w:r>
            <w:r>
              <w:rPr>
                <w:szCs w:val="18"/>
              </w:rPr>
              <w:t xml:space="preserve"> or </w:t>
            </w:r>
            <w:r w:rsidRPr="00A93CCE">
              <w:rPr>
                <w:szCs w:val="18"/>
              </w:rPr>
              <w:t>WHO FC.</w:t>
            </w:r>
          </w:p>
        </w:tc>
        <w:tc>
          <w:tcPr>
            <w:tcW w:w="811" w:type="pct"/>
          </w:tcPr>
          <w:p w:rsidR="00E1668E" w:rsidRDefault="00E1668E" w:rsidP="00E1668E">
            <w:pPr>
              <w:pStyle w:val="Tabletext"/>
              <w:rPr>
                <w:i/>
              </w:rPr>
            </w:pPr>
            <w:r>
              <w:rPr>
                <w:i/>
              </w:rPr>
              <w:t>Intervention</w:t>
            </w:r>
          </w:p>
          <w:p w:rsidR="00E1668E" w:rsidRDefault="00E1668E" w:rsidP="00E1668E">
            <w:pPr>
              <w:pStyle w:val="Tabletext"/>
            </w:pPr>
            <w:r w:rsidRPr="0068285E">
              <w:t xml:space="preserve">Macitentan </w:t>
            </w:r>
            <w:r>
              <w:t>10</w:t>
            </w:r>
            <w:r w:rsidR="00C90897">
              <w:t> </w:t>
            </w:r>
            <w:r w:rsidRPr="0068285E">
              <w:t xml:space="preserve">mg od </w:t>
            </w:r>
          </w:p>
          <w:p w:rsidR="00E1668E" w:rsidRDefault="00E1668E" w:rsidP="00E1668E">
            <w:pPr>
              <w:pStyle w:val="Tabletext"/>
            </w:pPr>
          </w:p>
          <w:p w:rsidR="00E1668E" w:rsidRDefault="00E1668E" w:rsidP="00E1668E">
            <w:pPr>
              <w:pStyle w:val="Tabletext"/>
              <w:rPr>
                <w:i/>
              </w:rPr>
            </w:pPr>
            <w:r>
              <w:rPr>
                <w:i/>
              </w:rPr>
              <w:t>Comparator</w:t>
            </w:r>
          </w:p>
          <w:p w:rsidR="00E1668E" w:rsidRPr="0068285E" w:rsidRDefault="00E1668E" w:rsidP="00E1668E">
            <w:pPr>
              <w:pStyle w:val="Tabletext"/>
            </w:pPr>
            <w:r>
              <w:t>P</w:t>
            </w:r>
            <w:r w:rsidRPr="0068285E">
              <w:t xml:space="preserve">lacebo </w:t>
            </w:r>
          </w:p>
          <w:p w:rsidR="00E1668E" w:rsidRPr="0068285E" w:rsidRDefault="00E1668E" w:rsidP="00E1668E">
            <w:pPr>
              <w:pStyle w:val="Tabletext"/>
              <w:rPr>
                <w:i/>
              </w:rPr>
            </w:pPr>
          </w:p>
          <w:p w:rsidR="00E1668E" w:rsidRDefault="00E1668E" w:rsidP="00E1668E">
            <w:pPr>
              <w:pStyle w:val="Tabletext"/>
              <w:rPr>
                <w:i/>
              </w:rPr>
            </w:pPr>
            <w:r w:rsidRPr="0068285E">
              <w:rPr>
                <w:i/>
              </w:rPr>
              <w:t xml:space="preserve">Background therapy </w:t>
            </w:r>
          </w:p>
          <w:p w:rsidR="00E1668E" w:rsidRDefault="00E1668E" w:rsidP="00E1668E">
            <w:pPr>
              <w:pStyle w:val="Tabletext"/>
            </w:pPr>
            <w:r w:rsidRPr="00CB0659">
              <w:t>PDE-5i</w:t>
            </w:r>
            <w:r>
              <w:t xml:space="preserve"> (62% in the macitentan arm vs 60% in the placebo arm)</w:t>
            </w:r>
          </w:p>
          <w:p w:rsidR="00E1668E" w:rsidRPr="00C5431E" w:rsidRDefault="00E1668E" w:rsidP="00E1668E">
            <w:pPr>
              <w:pStyle w:val="Tabletext"/>
              <w:rPr>
                <w:i/>
              </w:rPr>
            </w:pPr>
            <w:r>
              <w:t>Prostanoid (6% in the macitentan arm vs 3% in the placebo arm)</w:t>
            </w:r>
          </w:p>
        </w:tc>
        <w:tc>
          <w:tcPr>
            <w:tcW w:w="771" w:type="pct"/>
          </w:tcPr>
          <w:p w:rsidR="00E1668E" w:rsidRPr="00723AC5" w:rsidRDefault="00E1668E" w:rsidP="00E1668E">
            <w:pPr>
              <w:pStyle w:val="Tabletext"/>
              <w:rPr>
                <w:rFonts w:cs="Tahoma"/>
                <w:i/>
                <w:szCs w:val="18"/>
              </w:rPr>
            </w:pPr>
            <w:r w:rsidRPr="00723AC5">
              <w:rPr>
                <w:rFonts w:cs="Tahoma"/>
                <w:i/>
                <w:szCs w:val="18"/>
              </w:rPr>
              <w:t>Effectiveness:</w:t>
            </w:r>
          </w:p>
          <w:p w:rsidR="00E1668E" w:rsidRPr="00723AC5" w:rsidRDefault="00E1668E" w:rsidP="00E1668E">
            <w:pPr>
              <w:pStyle w:val="Tabletext"/>
              <w:rPr>
                <w:rFonts w:cs="Tahoma"/>
                <w:szCs w:val="18"/>
              </w:rPr>
            </w:pPr>
            <w:r w:rsidRPr="00723AC5">
              <w:rPr>
                <w:rFonts w:cs="Tahoma"/>
                <w:szCs w:val="18"/>
              </w:rPr>
              <w:t>Primary:</w:t>
            </w:r>
          </w:p>
          <w:p w:rsidR="00E1668E" w:rsidRPr="00723AC5" w:rsidRDefault="00E1668E" w:rsidP="00E1668E">
            <w:pPr>
              <w:pStyle w:val="Tabletext"/>
              <w:numPr>
                <w:ilvl w:val="0"/>
                <w:numId w:val="54"/>
              </w:numPr>
              <w:ind w:left="239" w:hanging="144"/>
              <w:rPr>
                <w:rFonts w:cs="Tahoma"/>
                <w:szCs w:val="18"/>
              </w:rPr>
            </w:pPr>
            <w:r w:rsidRPr="00723AC5">
              <w:rPr>
                <w:rFonts w:cs="Tahoma"/>
                <w:szCs w:val="18"/>
              </w:rPr>
              <w:t xml:space="preserve">Time to first </w:t>
            </w:r>
            <w:r>
              <w:rPr>
                <w:rFonts w:cs="Tahoma"/>
                <w:szCs w:val="18"/>
              </w:rPr>
              <w:t xml:space="preserve">PAH-related </w:t>
            </w:r>
            <w:r w:rsidRPr="00723AC5">
              <w:rPr>
                <w:rFonts w:cs="Tahoma"/>
                <w:szCs w:val="18"/>
              </w:rPr>
              <w:t>event up to the EOT</w:t>
            </w:r>
            <w:r>
              <w:rPr>
                <w:rFonts w:cs="Tahoma"/>
                <w:szCs w:val="18"/>
                <w:vertAlign w:val="superscript"/>
              </w:rPr>
              <w:t>c</w:t>
            </w:r>
          </w:p>
          <w:p w:rsidR="00E1668E" w:rsidRPr="00723AC5" w:rsidRDefault="00E1668E" w:rsidP="00E1668E">
            <w:pPr>
              <w:pStyle w:val="Tabletext"/>
              <w:rPr>
                <w:rFonts w:cs="Tahoma"/>
                <w:szCs w:val="18"/>
              </w:rPr>
            </w:pPr>
            <w:r w:rsidRPr="00723AC5">
              <w:rPr>
                <w:rFonts w:cs="Tahoma"/>
                <w:szCs w:val="18"/>
              </w:rPr>
              <w:t>Secondary:</w:t>
            </w:r>
          </w:p>
          <w:p w:rsidR="00E1668E" w:rsidRPr="00723AC5" w:rsidRDefault="00E1668E" w:rsidP="00E1668E">
            <w:pPr>
              <w:pStyle w:val="Tabletext"/>
              <w:numPr>
                <w:ilvl w:val="0"/>
                <w:numId w:val="54"/>
              </w:numPr>
              <w:ind w:left="239" w:hanging="144"/>
              <w:rPr>
                <w:rFonts w:cs="Tahoma"/>
                <w:szCs w:val="18"/>
              </w:rPr>
            </w:pPr>
            <w:r w:rsidRPr="00723AC5">
              <w:rPr>
                <w:rFonts w:cs="Tahoma"/>
                <w:szCs w:val="18"/>
              </w:rPr>
              <w:t>Change in 6MWD at Month 6</w:t>
            </w:r>
            <w:r>
              <w:rPr>
                <w:rFonts w:cs="Tahoma"/>
                <w:szCs w:val="18"/>
                <w:vertAlign w:val="superscript"/>
              </w:rPr>
              <w:t>c</w:t>
            </w:r>
          </w:p>
          <w:p w:rsidR="00E1668E" w:rsidRPr="00723AC5" w:rsidRDefault="00E1668E" w:rsidP="00E1668E">
            <w:pPr>
              <w:pStyle w:val="Tabletext"/>
              <w:numPr>
                <w:ilvl w:val="0"/>
                <w:numId w:val="54"/>
              </w:numPr>
              <w:ind w:left="239" w:hanging="144"/>
              <w:rPr>
                <w:rFonts w:cs="Tahoma"/>
                <w:szCs w:val="18"/>
              </w:rPr>
            </w:pPr>
            <w:r>
              <w:rPr>
                <w:rFonts w:cs="Tahoma"/>
                <w:szCs w:val="18"/>
              </w:rPr>
              <w:t xml:space="preserve">Change in </w:t>
            </w:r>
            <w:r w:rsidRPr="00723AC5">
              <w:rPr>
                <w:rFonts w:cs="Tahoma"/>
                <w:szCs w:val="18"/>
              </w:rPr>
              <w:t>WHO FC at Month 6</w:t>
            </w:r>
          </w:p>
          <w:p w:rsidR="00E1668E" w:rsidRPr="00723AC5" w:rsidRDefault="00E1668E" w:rsidP="00E1668E">
            <w:pPr>
              <w:pStyle w:val="Tabletext"/>
              <w:numPr>
                <w:ilvl w:val="0"/>
                <w:numId w:val="54"/>
              </w:numPr>
              <w:ind w:left="239" w:hanging="144"/>
              <w:rPr>
                <w:rFonts w:cs="Tahoma"/>
                <w:szCs w:val="18"/>
              </w:rPr>
            </w:pPr>
            <w:r>
              <w:rPr>
                <w:rFonts w:cs="Tahoma"/>
                <w:szCs w:val="18"/>
              </w:rPr>
              <w:t xml:space="preserve">PAH-related death or hospitalisation </w:t>
            </w:r>
            <w:r w:rsidRPr="00723AC5">
              <w:rPr>
                <w:rFonts w:cs="Tahoma"/>
                <w:szCs w:val="18"/>
              </w:rPr>
              <w:t>up to the EOT</w:t>
            </w:r>
          </w:p>
          <w:p w:rsidR="00E1668E" w:rsidRPr="00723AC5" w:rsidRDefault="00E1668E" w:rsidP="00E1668E">
            <w:pPr>
              <w:pStyle w:val="Tabletext"/>
              <w:numPr>
                <w:ilvl w:val="0"/>
                <w:numId w:val="54"/>
              </w:numPr>
              <w:ind w:left="239" w:hanging="144"/>
              <w:rPr>
                <w:rFonts w:cs="Tahoma"/>
                <w:szCs w:val="18"/>
              </w:rPr>
            </w:pPr>
            <w:r>
              <w:rPr>
                <w:rFonts w:cs="Tahoma"/>
                <w:szCs w:val="18"/>
              </w:rPr>
              <w:t xml:space="preserve">All-cause mortality </w:t>
            </w:r>
            <w:r w:rsidRPr="00723AC5">
              <w:rPr>
                <w:rFonts w:cs="Tahoma"/>
                <w:szCs w:val="18"/>
              </w:rPr>
              <w:t>up to the EOT and up to the EOS</w:t>
            </w:r>
            <w:r>
              <w:rPr>
                <w:rFonts w:cs="Tahoma"/>
                <w:szCs w:val="18"/>
                <w:vertAlign w:val="superscript"/>
              </w:rPr>
              <w:t>c</w:t>
            </w:r>
          </w:p>
          <w:p w:rsidR="00E1668E" w:rsidRPr="00723AC5" w:rsidRDefault="00E1668E" w:rsidP="00E1668E">
            <w:pPr>
              <w:pStyle w:val="Tabletext"/>
              <w:numPr>
                <w:ilvl w:val="0"/>
                <w:numId w:val="54"/>
              </w:numPr>
              <w:ind w:left="239" w:hanging="144"/>
              <w:rPr>
                <w:rFonts w:cs="Tahoma"/>
                <w:szCs w:val="18"/>
              </w:rPr>
            </w:pPr>
            <w:r w:rsidRPr="00723AC5">
              <w:rPr>
                <w:rFonts w:cs="Tahoma"/>
                <w:szCs w:val="18"/>
              </w:rPr>
              <w:t>Change in SF-36 score</w:t>
            </w:r>
            <w:r>
              <w:rPr>
                <w:rFonts w:cs="Tahoma"/>
                <w:szCs w:val="18"/>
                <w:vertAlign w:val="superscript"/>
              </w:rPr>
              <w:t>c</w:t>
            </w:r>
            <w:r w:rsidRPr="00723AC5">
              <w:rPr>
                <w:rFonts w:cs="Tahoma"/>
                <w:szCs w:val="18"/>
              </w:rPr>
              <w:t xml:space="preserve"> </w:t>
            </w:r>
          </w:p>
          <w:p w:rsidR="00E1668E" w:rsidRPr="00723AC5" w:rsidRDefault="00E1668E" w:rsidP="00E1668E">
            <w:pPr>
              <w:pStyle w:val="Tabletext"/>
              <w:numPr>
                <w:ilvl w:val="0"/>
                <w:numId w:val="54"/>
              </w:numPr>
              <w:ind w:left="239" w:hanging="144"/>
              <w:rPr>
                <w:rFonts w:cs="Tahoma"/>
                <w:szCs w:val="18"/>
              </w:rPr>
            </w:pPr>
            <w:r w:rsidRPr="00723AC5">
              <w:rPr>
                <w:rFonts w:cs="Tahoma"/>
                <w:szCs w:val="18"/>
              </w:rPr>
              <w:t>Time to all-cause hospitalisation</w:t>
            </w:r>
            <w:r>
              <w:rPr>
                <w:rFonts w:cs="Tahoma"/>
                <w:szCs w:val="18"/>
                <w:vertAlign w:val="superscript"/>
              </w:rPr>
              <w:t>c</w:t>
            </w:r>
          </w:p>
          <w:p w:rsidR="00E1668E" w:rsidRPr="00723AC5" w:rsidRDefault="00E1668E" w:rsidP="00E1668E">
            <w:pPr>
              <w:pStyle w:val="Tabletext"/>
              <w:numPr>
                <w:ilvl w:val="0"/>
                <w:numId w:val="54"/>
              </w:numPr>
              <w:ind w:left="239" w:hanging="144"/>
              <w:rPr>
                <w:rFonts w:cs="Tahoma"/>
                <w:szCs w:val="18"/>
              </w:rPr>
            </w:pPr>
            <w:r w:rsidRPr="00723AC5">
              <w:rPr>
                <w:rFonts w:cs="Tahoma"/>
                <w:szCs w:val="18"/>
              </w:rPr>
              <w:t>Time to PAH-related hospitalisation</w:t>
            </w:r>
          </w:p>
          <w:p w:rsidR="00E1668E" w:rsidRDefault="00E1668E" w:rsidP="00E1668E">
            <w:pPr>
              <w:pStyle w:val="Tabletext"/>
              <w:rPr>
                <w:rFonts w:cs="Tahoma"/>
                <w:i/>
                <w:szCs w:val="18"/>
              </w:rPr>
            </w:pPr>
          </w:p>
          <w:p w:rsidR="00E1668E" w:rsidRPr="00723AC5" w:rsidRDefault="00E1668E" w:rsidP="00E1668E">
            <w:pPr>
              <w:pStyle w:val="Tabletext"/>
              <w:rPr>
                <w:rFonts w:cs="Tahoma"/>
                <w:i/>
                <w:szCs w:val="18"/>
              </w:rPr>
            </w:pPr>
            <w:r>
              <w:rPr>
                <w:rFonts w:cs="Tahoma"/>
                <w:i/>
                <w:szCs w:val="18"/>
              </w:rPr>
              <w:t>Safety</w:t>
            </w:r>
          </w:p>
          <w:p w:rsidR="00E1668E" w:rsidRDefault="00E1668E" w:rsidP="00E1668E">
            <w:pPr>
              <w:pStyle w:val="Tabletext"/>
              <w:numPr>
                <w:ilvl w:val="0"/>
                <w:numId w:val="54"/>
              </w:numPr>
              <w:ind w:left="239" w:hanging="144"/>
              <w:rPr>
                <w:rFonts w:cs="Tahoma"/>
                <w:i/>
                <w:szCs w:val="18"/>
              </w:rPr>
            </w:pPr>
            <w:r w:rsidRPr="00723AC5">
              <w:rPr>
                <w:rFonts w:cs="Tahoma"/>
                <w:szCs w:val="18"/>
              </w:rPr>
              <w:t>Adverse events</w:t>
            </w:r>
            <w:r>
              <w:rPr>
                <w:rFonts w:cs="Tahoma"/>
                <w:szCs w:val="18"/>
                <w:vertAlign w:val="superscript"/>
              </w:rPr>
              <w:t>c</w:t>
            </w:r>
          </w:p>
        </w:tc>
      </w:tr>
      <w:tr w:rsidR="00E1668E" w:rsidRPr="00204000" w:rsidTr="00E1668E">
        <w:tc>
          <w:tcPr>
            <w:tcW w:w="531" w:type="pct"/>
          </w:tcPr>
          <w:p w:rsidR="00E1668E" w:rsidRPr="00D53F84" w:rsidRDefault="00E1668E" w:rsidP="00E1668E">
            <w:pPr>
              <w:pStyle w:val="Tabletext"/>
              <w:ind w:right="-28"/>
              <w:rPr>
                <w:rFonts w:eastAsia="Times New Roman"/>
                <w:lang w:eastAsia="en-US"/>
              </w:rPr>
            </w:pPr>
            <w:r w:rsidRPr="00D53F84">
              <w:rPr>
                <w:rFonts w:eastAsia="Times New Roman"/>
                <w:lang w:eastAsia="en-US"/>
              </w:rPr>
              <w:t>STEP</w:t>
            </w:r>
            <w:r w:rsidRPr="001A1C44">
              <w:rPr>
                <w:rFonts w:eastAsia="Times New Roman"/>
                <w:noProof/>
                <w:vertAlign w:val="superscript"/>
                <w:lang w:eastAsia="en-US"/>
              </w:rPr>
              <w:t>48</w:t>
            </w:r>
          </w:p>
          <w:p w:rsidR="00E1668E" w:rsidRPr="00D53F84" w:rsidRDefault="00E1668E" w:rsidP="00E1668E">
            <w:pPr>
              <w:pStyle w:val="Tabletext"/>
              <w:ind w:right="-28"/>
              <w:rPr>
                <w:rFonts w:eastAsia="Times New Roman"/>
                <w:snapToGrid w:val="0"/>
                <w:lang w:eastAsia="en-US"/>
              </w:rPr>
            </w:pPr>
            <w:r w:rsidRPr="00D53F84">
              <w:rPr>
                <w:rFonts w:eastAsia="Times New Roman"/>
                <w:snapToGrid w:val="0"/>
                <w:lang w:eastAsia="en-US"/>
              </w:rPr>
              <w:t>2004</w:t>
            </w:r>
          </w:p>
          <w:p w:rsidR="00E1668E" w:rsidRDefault="00E1668E" w:rsidP="00E1668E">
            <w:pPr>
              <w:pStyle w:val="Tabletext"/>
              <w:rPr>
                <w:rFonts w:cs="Tahoma"/>
                <w:szCs w:val="18"/>
              </w:rPr>
            </w:pPr>
            <w:r w:rsidRPr="00D53F84">
              <w:rPr>
                <w:rFonts w:eastAsia="Times New Roman"/>
                <w:snapToGrid w:val="0"/>
                <w:lang w:eastAsia="en-US"/>
              </w:rPr>
              <w:t>USA</w:t>
            </w:r>
          </w:p>
        </w:tc>
        <w:tc>
          <w:tcPr>
            <w:tcW w:w="476" w:type="pct"/>
          </w:tcPr>
          <w:p w:rsidR="00E1668E" w:rsidRPr="00D53F84" w:rsidRDefault="00E1668E" w:rsidP="00E1668E">
            <w:pPr>
              <w:pStyle w:val="Tabletext"/>
              <w:ind w:right="-28"/>
              <w:rPr>
                <w:rFonts w:eastAsia="Times New Roman"/>
                <w:snapToGrid w:val="0"/>
                <w:lang w:eastAsia="en-US"/>
              </w:rPr>
            </w:pPr>
            <w:r w:rsidRPr="00D53F84">
              <w:rPr>
                <w:rFonts w:eastAsia="Times New Roman"/>
                <w:snapToGrid w:val="0"/>
                <w:lang w:eastAsia="en-US"/>
              </w:rPr>
              <w:t>RCT, DB</w:t>
            </w:r>
          </w:p>
          <w:p w:rsidR="00E1668E" w:rsidRDefault="00E1668E" w:rsidP="00E1668E">
            <w:pPr>
              <w:pStyle w:val="Tabletext"/>
              <w:ind w:right="-28"/>
              <w:rPr>
                <w:rFonts w:eastAsia="Times New Roman"/>
                <w:snapToGrid w:val="0"/>
                <w:lang w:eastAsia="en-US"/>
              </w:rPr>
            </w:pPr>
            <w:r>
              <w:rPr>
                <w:rFonts w:eastAsia="Times New Roman"/>
                <w:snapToGrid w:val="0"/>
                <w:lang w:eastAsia="en-US"/>
              </w:rPr>
              <w:t>Level II evidence</w:t>
            </w:r>
          </w:p>
          <w:p w:rsidR="00E1668E" w:rsidRPr="00D53F84" w:rsidRDefault="00E1668E" w:rsidP="00E1668E">
            <w:pPr>
              <w:pStyle w:val="Tabletext"/>
              <w:ind w:right="-28"/>
              <w:rPr>
                <w:rFonts w:eastAsia="Times New Roman"/>
                <w:snapToGrid w:val="0"/>
                <w:lang w:eastAsia="en-US"/>
              </w:rPr>
            </w:pPr>
            <w:r>
              <w:rPr>
                <w:rFonts w:eastAsia="Times New Roman"/>
                <w:snapToGrid w:val="0"/>
                <w:lang w:eastAsia="en-US"/>
              </w:rPr>
              <w:t xml:space="preserve">Follow-up: </w:t>
            </w:r>
            <w:r w:rsidRPr="00D53F84">
              <w:rPr>
                <w:rFonts w:eastAsia="Times New Roman"/>
                <w:snapToGrid w:val="0"/>
                <w:lang w:eastAsia="en-US"/>
              </w:rPr>
              <w:t>12 weeks</w:t>
            </w:r>
          </w:p>
          <w:p w:rsidR="00E1668E" w:rsidRPr="00D53F84" w:rsidRDefault="00E1668E" w:rsidP="00E1668E">
            <w:pPr>
              <w:pStyle w:val="Tabletext"/>
              <w:ind w:right="-28"/>
              <w:rPr>
                <w:rFonts w:eastAsia="Times New Roman"/>
                <w:lang w:eastAsia="en-US"/>
              </w:rPr>
            </w:pPr>
            <w:r>
              <w:rPr>
                <w:rFonts w:eastAsia="Times New Roman"/>
                <w:snapToGrid w:val="0"/>
                <w:lang w:eastAsia="en-US"/>
              </w:rPr>
              <w:t>Risk of bias: l</w:t>
            </w:r>
            <w:r w:rsidRPr="00D53F84">
              <w:rPr>
                <w:rFonts w:eastAsia="Times New Roman"/>
                <w:snapToGrid w:val="0"/>
                <w:lang w:eastAsia="en-US"/>
              </w:rPr>
              <w:t>ow</w:t>
            </w:r>
          </w:p>
        </w:tc>
        <w:tc>
          <w:tcPr>
            <w:tcW w:w="772" w:type="pct"/>
          </w:tcPr>
          <w:p w:rsidR="00E1668E" w:rsidRDefault="00E1668E" w:rsidP="00E1668E">
            <w:pPr>
              <w:pStyle w:val="Tabletext"/>
              <w:rPr>
                <w:rFonts w:cs="Tahoma"/>
                <w:i/>
                <w:szCs w:val="18"/>
              </w:rPr>
            </w:pPr>
            <w:r w:rsidRPr="0083095A">
              <w:rPr>
                <w:rFonts w:cs="Tahoma"/>
                <w:i/>
                <w:szCs w:val="18"/>
              </w:rPr>
              <w:t>Inclusion criteria</w:t>
            </w:r>
          </w:p>
          <w:p w:rsidR="00E1668E" w:rsidRDefault="00E1668E" w:rsidP="00E1668E">
            <w:pPr>
              <w:pStyle w:val="Tabletext"/>
              <w:numPr>
                <w:ilvl w:val="0"/>
                <w:numId w:val="54"/>
              </w:numPr>
              <w:ind w:left="239" w:hanging="144"/>
              <w:rPr>
                <w:rFonts w:cs="Tahoma"/>
                <w:szCs w:val="18"/>
              </w:rPr>
            </w:pPr>
            <w:r>
              <w:rPr>
                <w:rFonts w:cs="Tahoma"/>
                <w:szCs w:val="18"/>
              </w:rPr>
              <w:t>Age of</w:t>
            </w:r>
            <w:r w:rsidRPr="0083095A">
              <w:rPr>
                <w:rFonts w:cs="Tahoma"/>
                <w:szCs w:val="18"/>
              </w:rPr>
              <w:t xml:space="preserve"> 10</w:t>
            </w:r>
            <w:r>
              <w:rPr>
                <w:rFonts w:cs="Tahoma"/>
                <w:szCs w:val="18"/>
              </w:rPr>
              <w:t>-</w:t>
            </w:r>
            <w:r w:rsidRPr="0083095A">
              <w:rPr>
                <w:rFonts w:cs="Tahoma"/>
                <w:szCs w:val="18"/>
              </w:rPr>
              <w:t xml:space="preserve">80 years </w:t>
            </w:r>
          </w:p>
          <w:p w:rsidR="00E1668E" w:rsidRDefault="00E1668E" w:rsidP="00E1668E">
            <w:pPr>
              <w:pStyle w:val="Tabletext"/>
              <w:numPr>
                <w:ilvl w:val="0"/>
                <w:numId w:val="54"/>
              </w:numPr>
              <w:ind w:left="239" w:hanging="144"/>
              <w:rPr>
                <w:rFonts w:cs="Tahoma"/>
                <w:szCs w:val="18"/>
              </w:rPr>
            </w:pPr>
            <w:r>
              <w:rPr>
                <w:rFonts w:cs="Tahoma"/>
                <w:szCs w:val="18"/>
              </w:rPr>
              <w:t xml:space="preserve">Patients </w:t>
            </w:r>
            <w:r w:rsidRPr="0083095A">
              <w:rPr>
                <w:rFonts w:cs="Tahoma"/>
                <w:szCs w:val="18"/>
              </w:rPr>
              <w:t xml:space="preserve">with symptomatic PAH receiving bosentan for </w:t>
            </w:r>
            <w:r>
              <w:rPr>
                <w:rFonts w:cs="Tahoma"/>
                <w:szCs w:val="18"/>
              </w:rPr>
              <w:t>≥4 months</w:t>
            </w:r>
          </w:p>
          <w:p w:rsidR="00E1668E" w:rsidRDefault="00E1668E" w:rsidP="00E1668E">
            <w:pPr>
              <w:pStyle w:val="Tabletext"/>
              <w:numPr>
                <w:ilvl w:val="0"/>
                <w:numId w:val="54"/>
              </w:numPr>
              <w:ind w:left="239" w:hanging="144"/>
              <w:rPr>
                <w:rFonts w:cs="Tahoma"/>
                <w:szCs w:val="18"/>
              </w:rPr>
            </w:pPr>
            <w:r w:rsidRPr="0083095A">
              <w:rPr>
                <w:rFonts w:cs="Tahoma"/>
                <w:szCs w:val="18"/>
              </w:rPr>
              <w:t xml:space="preserve">6MWD </w:t>
            </w:r>
            <w:r>
              <w:rPr>
                <w:rFonts w:cs="Tahoma"/>
                <w:szCs w:val="18"/>
              </w:rPr>
              <w:t>100-425</w:t>
            </w:r>
            <w:r w:rsidR="00C90897">
              <w:rPr>
                <w:rFonts w:cs="Tahoma"/>
                <w:szCs w:val="18"/>
              </w:rPr>
              <w:t> </w:t>
            </w:r>
            <w:r>
              <w:rPr>
                <w:rFonts w:cs="Tahoma"/>
                <w:szCs w:val="18"/>
              </w:rPr>
              <w:t>m</w:t>
            </w:r>
          </w:p>
          <w:p w:rsidR="00E1668E" w:rsidRPr="0083095A" w:rsidRDefault="00E1668E" w:rsidP="00E1668E">
            <w:pPr>
              <w:pStyle w:val="Tabletext"/>
              <w:rPr>
                <w:rFonts w:cs="Tahoma"/>
                <w:szCs w:val="18"/>
              </w:rPr>
            </w:pPr>
          </w:p>
          <w:p w:rsidR="00E1668E" w:rsidRDefault="00E1668E" w:rsidP="00E1668E">
            <w:pPr>
              <w:pStyle w:val="Tabletext"/>
              <w:rPr>
                <w:rFonts w:cs="Tahoma"/>
                <w:i/>
                <w:szCs w:val="18"/>
              </w:rPr>
            </w:pPr>
            <w:r>
              <w:rPr>
                <w:rFonts w:cs="Tahoma"/>
                <w:i/>
                <w:szCs w:val="18"/>
              </w:rPr>
              <w:t>Exclusion criteria</w:t>
            </w:r>
          </w:p>
          <w:p w:rsidR="00E1668E" w:rsidRPr="0083095A" w:rsidRDefault="00E1668E" w:rsidP="00E1668E">
            <w:pPr>
              <w:pStyle w:val="Tabletext"/>
              <w:numPr>
                <w:ilvl w:val="0"/>
                <w:numId w:val="54"/>
              </w:numPr>
              <w:ind w:left="239" w:hanging="144"/>
              <w:rPr>
                <w:rFonts w:cs="Tahoma"/>
                <w:i/>
                <w:szCs w:val="18"/>
              </w:rPr>
            </w:pPr>
            <w:r w:rsidRPr="0083095A">
              <w:rPr>
                <w:rFonts w:cs="Tahoma"/>
                <w:szCs w:val="18"/>
              </w:rPr>
              <w:t>Patients with thromboembolic disease, untreated obstructive sleep apnoea, portal hypertension, left-sided or unrepaired CHD, or subst</w:t>
            </w:r>
            <w:r>
              <w:rPr>
                <w:rFonts w:cs="Tahoma"/>
                <w:szCs w:val="18"/>
              </w:rPr>
              <w:t>antial obstructive</w:t>
            </w:r>
            <w:r w:rsidRPr="0083095A">
              <w:rPr>
                <w:rFonts w:cs="Tahoma"/>
                <w:szCs w:val="18"/>
              </w:rPr>
              <w:t xml:space="preserve"> or restrictive</w:t>
            </w:r>
            <w:r>
              <w:rPr>
                <w:rFonts w:cs="Tahoma"/>
                <w:szCs w:val="18"/>
              </w:rPr>
              <w:t xml:space="preserve"> lung disease</w:t>
            </w:r>
            <w:r w:rsidRPr="0083095A">
              <w:rPr>
                <w:rFonts w:cs="Tahoma"/>
                <w:szCs w:val="18"/>
              </w:rPr>
              <w:t xml:space="preserve"> </w:t>
            </w:r>
          </w:p>
          <w:p w:rsidR="00E1668E" w:rsidRDefault="00E1668E" w:rsidP="00E1668E">
            <w:pPr>
              <w:pStyle w:val="Tabletext"/>
              <w:numPr>
                <w:ilvl w:val="0"/>
                <w:numId w:val="54"/>
              </w:numPr>
              <w:ind w:left="239" w:hanging="144"/>
              <w:rPr>
                <w:rFonts w:cs="Tahoma"/>
                <w:i/>
                <w:szCs w:val="18"/>
              </w:rPr>
            </w:pPr>
            <w:r w:rsidRPr="0083095A">
              <w:rPr>
                <w:rFonts w:cs="Tahoma"/>
                <w:szCs w:val="18"/>
              </w:rPr>
              <w:t xml:space="preserve">Patients </w:t>
            </w:r>
            <w:r>
              <w:rPr>
                <w:rFonts w:cs="Tahoma"/>
                <w:szCs w:val="18"/>
              </w:rPr>
              <w:t xml:space="preserve">who were </w:t>
            </w:r>
            <w:r w:rsidRPr="0083095A">
              <w:rPr>
                <w:rFonts w:cs="Tahoma"/>
                <w:szCs w:val="18"/>
              </w:rPr>
              <w:t xml:space="preserve">taking </w:t>
            </w:r>
            <w:r>
              <w:rPr>
                <w:rFonts w:cs="Tahoma"/>
                <w:szCs w:val="18"/>
              </w:rPr>
              <w:t>PDE-5i or other prostanoid</w:t>
            </w:r>
          </w:p>
        </w:tc>
        <w:tc>
          <w:tcPr>
            <w:tcW w:w="0" w:type="auto"/>
          </w:tcPr>
          <w:p w:rsidR="00E1668E" w:rsidRDefault="00E1668E" w:rsidP="00E1668E">
            <w:pPr>
              <w:pStyle w:val="Tabletext"/>
            </w:pPr>
            <w:r>
              <w:t>N=67</w:t>
            </w:r>
          </w:p>
          <w:tbl>
            <w:tblPr>
              <w:tblStyle w:val="TableGrid"/>
              <w:tblW w:w="42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Caption w:val="Patient baseline characteristics in Trial STEP"/>
            </w:tblPr>
            <w:tblGrid>
              <w:gridCol w:w="2161"/>
              <w:gridCol w:w="1019"/>
              <w:gridCol w:w="1108"/>
            </w:tblGrid>
            <w:tr w:rsidR="00E1668E" w:rsidTr="001D0FDA">
              <w:trPr>
                <w:cnfStyle w:val="100000000000" w:firstRow="1" w:lastRow="0" w:firstColumn="0" w:lastColumn="0" w:oddVBand="0" w:evenVBand="0" w:oddHBand="0" w:evenHBand="0" w:firstRowFirstColumn="0" w:firstRowLastColumn="0" w:lastRowFirstColumn="0" w:lastRowLastColumn="0"/>
              </w:trPr>
              <w:tc>
                <w:tcPr>
                  <w:tcW w:w="2161" w:type="dxa"/>
                  <w:shd w:val="clear" w:color="auto" w:fill="FFFFFF" w:themeFill="background1"/>
                </w:tcPr>
                <w:p w:rsidR="00E1668E" w:rsidRPr="003C0DFB" w:rsidRDefault="00E1668E" w:rsidP="00570FC8">
                  <w:pPr>
                    <w:pStyle w:val="Tabletext"/>
                    <w:framePr w:hSpace="181" w:wrap="around" w:hAnchor="text" w:yAlign="bottom"/>
                    <w:suppressOverlap/>
                  </w:pPr>
                </w:p>
              </w:tc>
              <w:tc>
                <w:tcPr>
                  <w:tcW w:w="1019" w:type="dxa"/>
                  <w:shd w:val="clear" w:color="auto" w:fill="FFFFFF" w:themeFill="background1"/>
                </w:tcPr>
                <w:p w:rsidR="00E1668E" w:rsidRDefault="00E1668E" w:rsidP="00570FC8">
                  <w:pPr>
                    <w:pStyle w:val="Tabletext"/>
                    <w:framePr w:hSpace="181" w:wrap="around" w:hAnchor="text" w:yAlign="bottom"/>
                    <w:suppressOverlap/>
                    <w:jc w:val="center"/>
                    <w:rPr>
                      <w:u w:val="single"/>
                    </w:rPr>
                  </w:pPr>
                  <w:r>
                    <w:t>Iloprost (n=34)</w:t>
                  </w:r>
                </w:p>
              </w:tc>
              <w:tc>
                <w:tcPr>
                  <w:tcW w:w="1108" w:type="dxa"/>
                  <w:shd w:val="clear" w:color="auto" w:fill="FFFFFF" w:themeFill="background1"/>
                </w:tcPr>
                <w:p w:rsidR="00E1668E" w:rsidRDefault="00E1668E" w:rsidP="00570FC8">
                  <w:pPr>
                    <w:pStyle w:val="Tabletext"/>
                    <w:framePr w:hSpace="181" w:wrap="around" w:hAnchor="text" w:yAlign="bottom"/>
                    <w:suppressOverlap/>
                    <w:jc w:val="center"/>
                  </w:pPr>
                  <w:r>
                    <w:t>Placebo (n=33)</w:t>
                  </w:r>
                </w:p>
              </w:tc>
            </w:tr>
            <w:tr w:rsidR="00E1668E" w:rsidRPr="001B3364" w:rsidTr="001D0FDA">
              <w:tc>
                <w:tcPr>
                  <w:tcW w:w="2161" w:type="dxa"/>
                  <w:shd w:val="clear" w:color="auto" w:fill="FFFFFF" w:themeFill="background1"/>
                </w:tcPr>
                <w:p w:rsidR="00E1668E" w:rsidRDefault="00E1668E" w:rsidP="00570FC8">
                  <w:pPr>
                    <w:pStyle w:val="Tabletext"/>
                    <w:framePr w:hSpace="181" w:wrap="around" w:hAnchor="text" w:yAlign="bottom"/>
                    <w:suppressOverlap/>
                  </w:pPr>
                  <w:r w:rsidRPr="00351FF5">
                    <w:rPr>
                      <w:rFonts w:cs="Tahoma"/>
                      <w:szCs w:val="18"/>
                    </w:rPr>
                    <w:t>Age, mean±SD (yrs)</w:t>
                  </w:r>
                </w:p>
              </w:tc>
              <w:tc>
                <w:tcPr>
                  <w:tcW w:w="1019" w:type="dxa"/>
                  <w:shd w:val="clear" w:color="auto" w:fill="FFFFFF" w:themeFill="background1"/>
                </w:tcPr>
                <w:p w:rsidR="00E1668E" w:rsidRPr="00C5782C" w:rsidRDefault="00E1668E" w:rsidP="00570FC8">
                  <w:pPr>
                    <w:pStyle w:val="Tabletext"/>
                    <w:framePr w:hSpace="181" w:wrap="around" w:hAnchor="text" w:yAlign="bottom"/>
                    <w:suppressOverlap/>
                    <w:jc w:val="center"/>
                  </w:pPr>
                  <w:r>
                    <w:t>51</w:t>
                  </w:r>
                  <w:r w:rsidRPr="007B14FA">
                    <w:t>±</w:t>
                  </w:r>
                  <w:r>
                    <w:t>14</w:t>
                  </w:r>
                </w:p>
              </w:tc>
              <w:tc>
                <w:tcPr>
                  <w:tcW w:w="1108" w:type="dxa"/>
                  <w:shd w:val="clear" w:color="auto" w:fill="FFFFFF" w:themeFill="background1"/>
                </w:tcPr>
                <w:p w:rsidR="00E1668E" w:rsidRPr="00C5782C" w:rsidRDefault="00E1668E" w:rsidP="00570FC8">
                  <w:pPr>
                    <w:pStyle w:val="Tabletext"/>
                    <w:framePr w:hSpace="181" w:wrap="around" w:hAnchor="text" w:yAlign="bottom"/>
                    <w:suppressOverlap/>
                    <w:jc w:val="center"/>
                  </w:pPr>
                  <w:r>
                    <w:t>49</w:t>
                  </w:r>
                  <w:r w:rsidRPr="007B14FA">
                    <w:t>±</w:t>
                  </w:r>
                  <w:r>
                    <w:t>15</w:t>
                  </w:r>
                </w:p>
              </w:tc>
            </w:tr>
            <w:tr w:rsidR="00E1668E" w:rsidRPr="001B3364" w:rsidTr="001D0FDA">
              <w:tc>
                <w:tcPr>
                  <w:tcW w:w="216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19"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uppressOverlap/>
                    <w:jc w:val="center"/>
                  </w:pPr>
                  <w:r>
                    <w:t>27 (79%)</w:t>
                  </w:r>
                </w:p>
              </w:tc>
              <w:tc>
                <w:tcPr>
                  <w:tcW w:w="1108"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uppressOverlap/>
                    <w:jc w:val="center"/>
                  </w:pPr>
                  <w:r>
                    <w:t>26 (79%)</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Aetiology</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 xml:space="preserve">IPAH </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16 (50%)</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20 (61%)</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t>Associated PAH</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17 (50%)</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13 (39%)</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WHO FC</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ind w:left="262"/>
                    <w:suppressOverlap/>
                  </w:pPr>
                  <w:r>
                    <w:t>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0 (0%)</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1 (3%)</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ind w:left="262"/>
                    <w:suppressOverlap/>
                  </w:pPr>
                  <w:r>
                    <w:t>III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35 (97%)</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30 (91%)</w:t>
                  </w:r>
                </w:p>
              </w:tc>
            </w:tr>
            <w:tr w:rsidR="00E1668E" w:rsidRPr="001B3364" w:rsidTr="001D0FDA">
              <w:tc>
                <w:tcPr>
                  <w:tcW w:w="2161" w:type="dxa"/>
                  <w:tcBorders>
                    <w:top w:val="nil"/>
                  </w:tcBorders>
                  <w:shd w:val="clear" w:color="auto" w:fill="FFFFFF" w:themeFill="background1"/>
                </w:tcPr>
                <w:p w:rsidR="00E1668E" w:rsidRDefault="00E1668E" w:rsidP="00570FC8">
                  <w:pPr>
                    <w:pStyle w:val="Tabletext"/>
                    <w:framePr w:hSpace="181" w:wrap="around" w:hAnchor="text" w:yAlign="bottom"/>
                    <w:ind w:left="262"/>
                    <w:suppressOverlap/>
                  </w:pPr>
                  <w:r>
                    <w:t>IV</w:t>
                  </w:r>
                </w:p>
              </w:tc>
              <w:tc>
                <w:tcPr>
                  <w:tcW w:w="1019" w:type="dxa"/>
                  <w:tcBorders>
                    <w:top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1 (3%)</w:t>
                  </w:r>
                </w:p>
              </w:tc>
              <w:tc>
                <w:tcPr>
                  <w:tcW w:w="1108" w:type="dxa"/>
                  <w:tcBorders>
                    <w:top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2 (6%)</w:t>
                  </w:r>
                </w:p>
              </w:tc>
            </w:tr>
            <w:tr w:rsidR="00E1668E" w:rsidRPr="001B3364" w:rsidTr="001D0FDA">
              <w:tc>
                <w:tcPr>
                  <w:tcW w:w="2161" w:type="dxa"/>
                </w:tcPr>
                <w:p w:rsidR="00E1668E" w:rsidRDefault="00E1668E" w:rsidP="00570FC8">
                  <w:pPr>
                    <w:pStyle w:val="Tabletext"/>
                    <w:framePr w:hSpace="181" w:wrap="around" w:hAnchor="text" w:yAlign="bottom"/>
                    <w:suppressOverlap/>
                  </w:pPr>
                  <w:r>
                    <w:rPr>
                      <w:rFonts w:cs="Tahoma"/>
                      <w:szCs w:val="18"/>
                    </w:rPr>
                    <w:t>mPAP</w:t>
                  </w:r>
                  <w:r w:rsidRPr="00351FF5">
                    <w:rPr>
                      <w:rFonts w:cs="Tahoma"/>
                      <w:szCs w:val="18"/>
                    </w:rPr>
                    <w:t>, mean±SD (mmHg)</w:t>
                  </w:r>
                </w:p>
              </w:tc>
              <w:tc>
                <w:tcPr>
                  <w:tcW w:w="1019" w:type="dxa"/>
                  <w:shd w:val="clear" w:color="auto" w:fill="FFFFFF" w:themeFill="background1"/>
                  <w:vAlign w:val="center"/>
                </w:tcPr>
                <w:p w:rsidR="00E1668E" w:rsidRPr="00C5782C" w:rsidRDefault="00E1668E" w:rsidP="00570FC8">
                  <w:pPr>
                    <w:pStyle w:val="Tabletext"/>
                    <w:framePr w:hSpace="181" w:wrap="around" w:hAnchor="text" w:yAlign="bottom"/>
                    <w:suppressOverlap/>
                    <w:jc w:val="center"/>
                  </w:pPr>
                  <w:r>
                    <w:t>51</w:t>
                  </w:r>
                  <w:r w:rsidRPr="007B14FA">
                    <w:t>±</w:t>
                  </w:r>
                  <w:r>
                    <w:t>11</w:t>
                  </w:r>
                </w:p>
              </w:tc>
              <w:tc>
                <w:tcPr>
                  <w:tcW w:w="1108" w:type="dxa"/>
                  <w:shd w:val="clear" w:color="auto" w:fill="FFFFFF" w:themeFill="background1"/>
                  <w:vAlign w:val="center"/>
                </w:tcPr>
                <w:p w:rsidR="00E1668E" w:rsidRPr="00C5782C" w:rsidRDefault="00E1668E" w:rsidP="00570FC8">
                  <w:pPr>
                    <w:pStyle w:val="Tabletext"/>
                    <w:framePr w:hSpace="181" w:wrap="around" w:hAnchor="text" w:yAlign="bottom"/>
                    <w:suppressOverlap/>
                    <w:jc w:val="center"/>
                  </w:pPr>
                  <w:r>
                    <w:t>52</w:t>
                  </w:r>
                  <w:r w:rsidRPr="007B14FA">
                    <w:t>±</w:t>
                  </w:r>
                  <w:r>
                    <w:t>13</w:t>
                  </w:r>
                </w:p>
              </w:tc>
            </w:tr>
            <w:tr w:rsidR="00E1668E" w:rsidRPr="001B3364" w:rsidTr="001D0FDA">
              <w:tc>
                <w:tcPr>
                  <w:tcW w:w="2161" w:type="dxa"/>
                </w:tcPr>
                <w:p w:rsidR="00E1668E" w:rsidRDefault="00E1668E" w:rsidP="00570FC8">
                  <w:pPr>
                    <w:pStyle w:val="Tabletext"/>
                    <w:framePr w:hSpace="181" w:wrap="around" w:hAnchor="text" w:yAlign="bottom"/>
                    <w:suppressOverlap/>
                  </w:pPr>
                  <w:r>
                    <w:rPr>
                      <w:rFonts w:cs="Tahoma"/>
                      <w:szCs w:val="18"/>
                    </w:rPr>
                    <w:t>PVR, mean±SD (dyn*s*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19" w:type="dxa"/>
                  <w:shd w:val="clear" w:color="auto" w:fill="FFFFFF" w:themeFill="background1"/>
                  <w:vAlign w:val="center"/>
                </w:tcPr>
                <w:p w:rsidR="00E1668E" w:rsidRDefault="00E1668E" w:rsidP="00570FC8">
                  <w:pPr>
                    <w:pStyle w:val="Tabletext"/>
                    <w:framePr w:hSpace="181" w:wrap="around" w:hAnchor="text" w:yAlign="bottom"/>
                    <w:suppressOverlap/>
                    <w:jc w:val="center"/>
                  </w:pPr>
                  <w:r>
                    <w:t>815</w:t>
                  </w:r>
                  <w:r w:rsidRPr="007B14FA">
                    <w:t>±</w:t>
                  </w:r>
                  <w:r>
                    <w:t>381</w:t>
                  </w:r>
                </w:p>
              </w:tc>
              <w:tc>
                <w:tcPr>
                  <w:tcW w:w="1108" w:type="dxa"/>
                  <w:shd w:val="clear" w:color="auto" w:fill="FFFFFF" w:themeFill="background1"/>
                  <w:vAlign w:val="center"/>
                </w:tcPr>
                <w:p w:rsidR="00E1668E" w:rsidRDefault="00E1668E" w:rsidP="00570FC8">
                  <w:pPr>
                    <w:pStyle w:val="Tabletext"/>
                    <w:framePr w:hSpace="181" w:wrap="around" w:hAnchor="text" w:yAlign="bottom"/>
                    <w:suppressOverlap/>
                    <w:jc w:val="center"/>
                  </w:pPr>
                  <w:r>
                    <w:t>783</w:t>
                  </w:r>
                  <w:r w:rsidRPr="007B14FA">
                    <w:t>±</w:t>
                  </w:r>
                  <w:r>
                    <w:t>378</w:t>
                  </w:r>
                </w:p>
              </w:tc>
            </w:tr>
          </w:tbl>
          <w:p w:rsidR="00E1668E" w:rsidRDefault="00E1668E" w:rsidP="00E1668E">
            <w:pPr>
              <w:pStyle w:val="Tabletext"/>
              <w:rPr>
                <w:szCs w:val="18"/>
              </w:rPr>
            </w:pPr>
          </w:p>
        </w:tc>
        <w:tc>
          <w:tcPr>
            <w:tcW w:w="811" w:type="pct"/>
          </w:tcPr>
          <w:p w:rsidR="00E1668E" w:rsidRDefault="00E1668E" w:rsidP="00E1668E">
            <w:pPr>
              <w:pStyle w:val="Tabletext"/>
              <w:rPr>
                <w:i/>
              </w:rPr>
            </w:pPr>
            <w:r>
              <w:rPr>
                <w:i/>
              </w:rPr>
              <w:t>Intervention</w:t>
            </w:r>
          </w:p>
          <w:p w:rsidR="00E1668E" w:rsidRPr="00B50475" w:rsidRDefault="00E1668E" w:rsidP="00E1668E">
            <w:pPr>
              <w:pStyle w:val="Tabletext"/>
            </w:pPr>
            <w:r w:rsidRPr="00B50475">
              <w:t xml:space="preserve">Iloprost: 5 µg inhaled 6-9 times daily </w:t>
            </w:r>
          </w:p>
          <w:p w:rsidR="00E1668E" w:rsidRDefault="00E1668E" w:rsidP="00E1668E">
            <w:pPr>
              <w:pStyle w:val="Tabletext"/>
              <w:rPr>
                <w:i/>
              </w:rPr>
            </w:pPr>
          </w:p>
          <w:p w:rsidR="00E1668E" w:rsidRDefault="00E1668E" w:rsidP="00E1668E">
            <w:pPr>
              <w:pStyle w:val="Tabletext"/>
              <w:rPr>
                <w:i/>
              </w:rPr>
            </w:pPr>
            <w:r>
              <w:rPr>
                <w:i/>
              </w:rPr>
              <w:t>Comparator</w:t>
            </w:r>
          </w:p>
          <w:p w:rsidR="00E1668E" w:rsidRPr="00B50475" w:rsidRDefault="00E1668E" w:rsidP="00E1668E">
            <w:pPr>
              <w:pStyle w:val="Tabletext"/>
            </w:pPr>
            <w:r w:rsidRPr="00B50475">
              <w:t xml:space="preserve">Placebo </w:t>
            </w:r>
          </w:p>
          <w:p w:rsidR="00E1668E" w:rsidRDefault="00E1668E" w:rsidP="00E1668E">
            <w:pPr>
              <w:pStyle w:val="Tabletext"/>
              <w:rPr>
                <w:i/>
              </w:rPr>
            </w:pPr>
          </w:p>
          <w:p w:rsidR="00E1668E" w:rsidRDefault="00E1668E" w:rsidP="00E1668E">
            <w:pPr>
              <w:pStyle w:val="Tabletext"/>
              <w:rPr>
                <w:i/>
              </w:rPr>
            </w:pPr>
            <w:r>
              <w:rPr>
                <w:i/>
              </w:rPr>
              <w:t>Background therapy</w:t>
            </w:r>
          </w:p>
          <w:p w:rsidR="00E1668E" w:rsidRPr="00B50475" w:rsidRDefault="00E1668E" w:rsidP="00E1668E">
            <w:pPr>
              <w:pStyle w:val="Tabletext"/>
            </w:pPr>
            <w:r>
              <w:t>B</w:t>
            </w:r>
            <w:r w:rsidRPr="00B50475">
              <w:t>osentan</w:t>
            </w:r>
            <w:r>
              <w:t xml:space="preserve"> (100%): 125</w:t>
            </w:r>
            <w:r w:rsidR="00C90897">
              <w:t> </w:t>
            </w:r>
            <w:r>
              <w:t>mg bid</w:t>
            </w:r>
          </w:p>
        </w:tc>
        <w:tc>
          <w:tcPr>
            <w:tcW w:w="771" w:type="pct"/>
          </w:tcPr>
          <w:p w:rsidR="00E1668E" w:rsidRPr="00723AC5" w:rsidRDefault="00E1668E" w:rsidP="00E1668E">
            <w:pPr>
              <w:pStyle w:val="Tabletext"/>
              <w:rPr>
                <w:rFonts w:cs="Tahoma"/>
                <w:i/>
                <w:szCs w:val="18"/>
              </w:rPr>
            </w:pPr>
            <w:r w:rsidRPr="00723AC5">
              <w:rPr>
                <w:rFonts w:cs="Tahoma"/>
                <w:i/>
                <w:szCs w:val="18"/>
              </w:rPr>
              <w:t>Effectiveness:</w:t>
            </w:r>
          </w:p>
          <w:p w:rsidR="00E1668E" w:rsidRPr="00B50475" w:rsidRDefault="00E1668E" w:rsidP="00E1668E">
            <w:pPr>
              <w:pStyle w:val="Tabletext"/>
              <w:numPr>
                <w:ilvl w:val="0"/>
                <w:numId w:val="54"/>
              </w:numPr>
              <w:ind w:left="239" w:hanging="144"/>
              <w:rPr>
                <w:rFonts w:cs="Tahoma"/>
                <w:szCs w:val="18"/>
              </w:rPr>
            </w:pPr>
            <w:r w:rsidRPr="00B50475">
              <w:rPr>
                <w:rFonts w:cs="Tahoma"/>
                <w:szCs w:val="18"/>
              </w:rPr>
              <w:t>Change in 6MWD</w:t>
            </w:r>
            <w:r w:rsidRPr="00B50475">
              <w:rPr>
                <w:rFonts w:cs="Tahoma"/>
                <w:szCs w:val="18"/>
                <w:vertAlign w:val="superscript"/>
              </w:rPr>
              <w:t>c</w:t>
            </w:r>
          </w:p>
          <w:p w:rsidR="00E1668E" w:rsidRPr="00B50475" w:rsidRDefault="00E1668E" w:rsidP="00E1668E">
            <w:pPr>
              <w:pStyle w:val="Tabletext"/>
              <w:numPr>
                <w:ilvl w:val="0"/>
                <w:numId w:val="54"/>
              </w:numPr>
              <w:ind w:left="239" w:hanging="144"/>
              <w:rPr>
                <w:rFonts w:cs="Tahoma"/>
                <w:szCs w:val="18"/>
              </w:rPr>
            </w:pPr>
            <w:r w:rsidRPr="00B50475">
              <w:rPr>
                <w:rFonts w:cs="Tahoma"/>
                <w:szCs w:val="18"/>
              </w:rPr>
              <w:t xml:space="preserve">Change in </w:t>
            </w:r>
            <w:r>
              <w:rPr>
                <w:rFonts w:cs="Tahoma"/>
                <w:szCs w:val="18"/>
              </w:rPr>
              <w:t>wHO</w:t>
            </w:r>
            <w:r w:rsidRPr="00B50475">
              <w:rPr>
                <w:rFonts w:cs="Tahoma"/>
                <w:szCs w:val="18"/>
              </w:rPr>
              <w:t xml:space="preserve"> FC</w:t>
            </w:r>
            <w:r w:rsidRPr="00B50475">
              <w:rPr>
                <w:rFonts w:cs="Tahoma"/>
                <w:szCs w:val="18"/>
                <w:vertAlign w:val="superscript"/>
              </w:rPr>
              <w:t>c</w:t>
            </w:r>
          </w:p>
          <w:p w:rsidR="00E1668E" w:rsidRPr="00A073C5" w:rsidRDefault="00E1668E" w:rsidP="00E1668E">
            <w:pPr>
              <w:pStyle w:val="Tabletext"/>
              <w:numPr>
                <w:ilvl w:val="0"/>
                <w:numId w:val="54"/>
              </w:numPr>
              <w:ind w:left="239" w:hanging="144"/>
              <w:rPr>
                <w:rFonts w:cs="Tahoma"/>
                <w:szCs w:val="18"/>
              </w:rPr>
            </w:pPr>
            <w:r w:rsidRPr="00B50475">
              <w:rPr>
                <w:rFonts w:cs="Tahoma"/>
                <w:szCs w:val="18"/>
              </w:rPr>
              <w:t>Time to clinical worsening</w:t>
            </w:r>
            <w:r w:rsidRPr="00B50475">
              <w:rPr>
                <w:rFonts w:cs="Tahoma"/>
                <w:szCs w:val="18"/>
                <w:vertAlign w:val="superscript"/>
              </w:rPr>
              <w:t>c</w:t>
            </w:r>
          </w:p>
          <w:p w:rsidR="00E1668E" w:rsidRDefault="00E1668E" w:rsidP="00E1668E">
            <w:pPr>
              <w:pStyle w:val="Tabletext"/>
              <w:numPr>
                <w:ilvl w:val="0"/>
                <w:numId w:val="54"/>
              </w:numPr>
              <w:ind w:left="239" w:hanging="144"/>
              <w:rPr>
                <w:rFonts w:cs="Tahoma"/>
                <w:szCs w:val="18"/>
              </w:rPr>
            </w:pPr>
            <w:r>
              <w:rPr>
                <w:rFonts w:cs="Tahoma"/>
                <w:szCs w:val="18"/>
              </w:rPr>
              <w:t>Change in BDS</w:t>
            </w:r>
            <w:r w:rsidRPr="00B50475">
              <w:rPr>
                <w:rFonts w:cs="Tahoma"/>
                <w:szCs w:val="18"/>
                <w:vertAlign w:val="superscript"/>
              </w:rPr>
              <w:t>c</w:t>
            </w:r>
          </w:p>
          <w:p w:rsidR="00E1668E" w:rsidRPr="00B50475" w:rsidRDefault="00E1668E" w:rsidP="00E1668E">
            <w:pPr>
              <w:pStyle w:val="Tabletext"/>
              <w:numPr>
                <w:ilvl w:val="0"/>
                <w:numId w:val="54"/>
              </w:numPr>
              <w:ind w:left="239" w:hanging="144"/>
              <w:rPr>
                <w:rFonts w:cs="Tahoma"/>
                <w:szCs w:val="18"/>
              </w:rPr>
            </w:pPr>
            <w:r>
              <w:rPr>
                <w:rFonts w:cs="Tahoma"/>
                <w:szCs w:val="18"/>
              </w:rPr>
              <w:t>Change in mPAP and PVR</w:t>
            </w:r>
            <w:r w:rsidRPr="00B50475">
              <w:rPr>
                <w:rFonts w:cs="Tahoma"/>
                <w:szCs w:val="18"/>
                <w:vertAlign w:val="superscript"/>
              </w:rPr>
              <w:t>c</w:t>
            </w:r>
          </w:p>
          <w:p w:rsidR="00E1668E" w:rsidRDefault="00E1668E" w:rsidP="00E1668E">
            <w:pPr>
              <w:pStyle w:val="Tabletext"/>
              <w:rPr>
                <w:rFonts w:cs="Tahoma"/>
                <w:szCs w:val="18"/>
              </w:rPr>
            </w:pPr>
            <w:r>
              <w:rPr>
                <w:rFonts w:cs="Tahoma"/>
                <w:szCs w:val="18"/>
              </w:rPr>
              <w:t>Others:</w:t>
            </w:r>
          </w:p>
          <w:p w:rsidR="00E1668E" w:rsidRPr="00ED4111" w:rsidRDefault="00E1668E" w:rsidP="00E1668E">
            <w:pPr>
              <w:pStyle w:val="Tabletext"/>
              <w:numPr>
                <w:ilvl w:val="0"/>
                <w:numId w:val="54"/>
              </w:numPr>
              <w:ind w:left="239" w:hanging="144"/>
              <w:rPr>
                <w:rFonts w:cs="Tahoma"/>
                <w:szCs w:val="18"/>
              </w:rPr>
            </w:pPr>
            <w:r>
              <w:rPr>
                <w:rFonts w:cs="Tahoma"/>
                <w:szCs w:val="18"/>
              </w:rPr>
              <w:t>Mortality</w:t>
            </w:r>
            <w:r>
              <w:rPr>
                <w:rFonts w:cs="Tahoma"/>
                <w:szCs w:val="18"/>
                <w:vertAlign w:val="superscript"/>
              </w:rPr>
              <w:t>c</w:t>
            </w:r>
          </w:p>
          <w:p w:rsidR="00E1668E" w:rsidRPr="001D75C0" w:rsidRDefault="00E1668E" w:rsidP="00E1668E">
            <w:pPr>
              <w:pStyle w:val="Tabletext"/>
              <w:numPr>
                <w:ilvl w:val="0"/>
                <w:numId w:val="54"/>
              </w:numPr>
              <w:ind w:left="239" w:hanging="144"/>
              <w:rPr>
                <w:rFonts w:cs="Tahoma"/>
                <w:szCs w:val="18"/>
              </w:rPr>
            </w:pPr>
            <w:r>
              <w:rPr>
                <w:rFonts w:cs="Tahoma"/>
                <w:szCs w:val="18"/>
              </w:rPr>
              <w:t>Hospitalisation due to PAH</w:t>
            </w:r>
          </w:p>
          <w:p w:rsidR="00E1668E" w:rsidRDefault="00E1668E" w:rsidP="00E1668E">
            <w:pPr>
              <w:pStyle w:val="Tabletext"/>
              <w:rPr>
                <w:rFonts w:cs="Tahoma"/>
                <w:i/>
                <w:szCs w:val="18"/>
              </w:rPr>
            </w:pPr>
          </w:p>
          <w:p w:rsidR="00E1668E" w:rsidRPr="00723AC5" w:rsidRDefault="00E1668E" w:rsidP="00E1668E">
            <w:pPr>
              <w:pStyle w:val="Tabletext"/>
              <w:rPr>
                <w:rFonts w:cs="Tahoma"/>
                <w:i/>
                <w:szCs w:val="18"/>
              </w:rPr>
            </w:pPr>
            <w:r>
              <w:rPr>
                <w:rFonts w:cs="Tahoma"/>
                <w:i/>
                <w:szCs w:val="18"/>
              </w:rPr>
              <w:t>Safety</w:t>
            </w:r>
          </w:p>
          <w:p w:rsidR="00E1668E" w:rsidRDefault="00E1668E" w:rsidP="00E1668E">
            <w:pPr>
              <w:pStyle w:val="Tabletext"/>
              <w:numPr>
                <w:ilvl w:val="0"/>
                <w:numId w:val="54"/>
              </w:numPr>
              <w:ind w:left="239" w:hanging="144"/>
              <w:rPr>
                <w:rFonts w:cs="Tahoma"/>
                <w:i/>
                <w:szCs w:val="18"/>
              </w:rPr>
            </w:pPr>
            <w:r w:rsidRPr="00723AC5">
              <w:rPr>
                <w:rFonts w:cs="Tahoma"/>
                <w:szCs w:val="18"/>
              </w:rPr>
              <w:t>Adverse events</w:t>
            </w:r>
            <w:r w:rsidRPr="00B50475">
              <w:rPr>
                <w:rFonts w:cs="Tahoma"/>
                <w:szCs w:val="18"/>
                <w:vertAlign w:val="superscript"/>
              </w:rPr>
              <w:t>c</w:t>
            </w:r>
          </w:p>
        </w:tc>
      </w:tr>
      <w:tr w:rsidR="00E1668E" w:rsidRPr="00204000" w:rsidTr="00E1668E">
        <w:tc>
          <w:tcPr>
            <w:tcW w:w="531" w:type="pct"/>
          </w:tcPr>
          <w:p w:rsidR="00E1668E" w:rsidRPr="00D53F84" w:rsidRDefault="00E1668E" w:rsidP="00E1668E">
            <w:pPr>
              <w:pStyle w:val="Tabletext"/>
              <w:ind w:right="-28"/>
              <w:rPr>
                <w:rFonts w:eastAsia="Times New Roman"/>
              </w:rPr>
            </w:pPr>
            <w:r w:rsidRPr="00D53F84">
              <w:rPr>
                <w:rFonts w:eastAsia="Times New Roman"/>
              </w:rPr>
              <w:t>SUPER-1</w:t>
            </w:r>
            <w:r w:rsidRPr="001D34EE">
              <w:rPr>
                <w:rFonts w:eastAsia="Times New Roman"/>
                <w:noProof/>
                <w:vertAlign w:val="superscript"/>
              </w:rPr>
              <w:t>11, 53</w:t>
            </w:r>
          </w:p>
          <w:p w:rsidR="00E1668E" w:rsidRPr="00D53F84" w:rsidRDefault="00E1668E" w:rsidP="00E1668E">
            <w:pPr>
              <w:pStyle w:val="Tabletext"/>
              <w:ind w:right="-28"/>
              <w:rPr>
                <w:rFonts w:eastAsia="Times New Roman"/>
              </w:rPr>
            </w:pPr>
            <w:r w:rsidRPr="00D53F84">
              <w:rPr>
                <w:rFonts w:eastAsia="Times New Roman"/>
                <w:lang w:eastAsia="en-US"/>
              </w:rPr>
              <w:t>2002-2003</w:t>
            </w:r>
          </w:p>
          <w:p w:rsidR="00E1668E" w:rsidRPr="00D53F84" w:rsidRDefault="00E1668E" w:rsidP="00E1668E">
            <w:pPr>
              <w:pStyle w:val="Tabletext"/>
              <w:ind w:right="-28"/>
              <w:rPr>
                <w:rFonts w:eastAsia="Times New Roman"/>
                <w:lang w:eastAsia="en-US"/>
              </w:rPr>
            </w:pPr>
            <w:r w:rsidRPr="00D53F84">
              <w:rPr>
                <w:rFonts w:eastAsia="Times New Roman"/>
                <w:lang w:eastAsia="en-US"/>
              </w:rPr>
              <w:t>US, Mexico, South America, Europe, Asia, South Africa, Australia</w:t>
            </w:r>
          </w:p>
        </w:tc>
        <w:tc>
          <w:tcPr>
            <w:tcW w:w="476" w:type="pct"/>
          </w:tcPr>
          <w:p w:rsidR="00E1668E" w:rsidRPr="00D53F84" w:rsidRDefault="00E1668E" w:rsidP="00E1668E">
            <w:pPr>
              <w:pStyle w:val="Tabletext"/>
              <w:ind w:right="-28"/>
              <w:rPr>
                <w:rFonts w:eastAsia="Times New Roman"/>
                <w:lang w:eastAsia="en-US"/>
              </w:rPr>
            </w:pPr>
            <w:r w:rsidRPr="00D53F84">
              <w:rPr>
                <w:rFonts w:eastAsia="Times New Roman"/>
                <w:lang w:eastAsia="en-US"/>
              </w:rPr>
              <w:t>RCT, DB</w:t>
            </w:r>
          </w:p>
          <w:p w:rsidR="00E1668E" w:rsidRDefault="00E1668E" w:rsidP="00E1668E">
            <w:pPr>
              <w:pStyle w:val="Tabletext"/>
              <w:ind w:right="-28"/>
              <w:rPr>
                <w:rFonts w:eastAsia="Times New Roman"/>
                <w:snapToGrid w:val="0"/>
                <w:lang w:eastAsia="en-US"/>
              </w:rPr>
            </w:pPr>
            <w:r>
              <w:rPr>
                <w:rFonts w:eastAsia="Times New Roman"/>
                <w:snapToGrid w:val="0"/>
                <w:lang w:eastAsia="en-US"/>
              </w:rPr>
              <w:t>Level II evidence</w:t>
            </w:r>
          </w:p>
          <w:p w:rsidR="00E1668E" w:rsidRPr="00D53F84" w:rsidRDefault="00E1668E" w:rsidP="00E1668E">
            <w:pPr>
              <w:pStyle w:val="Tabletext"/>
              <w:ind w:right="-28"/>
              <w:rPr>
                <w:rFonts w:eastAsia="Times New Roman"/>
                <w:lang w:eastAsia="en-US"/>
              </w:rPr>
            </w:pPr>
            <w:r>
              <w:rPr>
                <w:rFonts w:eastAsia="Times New Roman"/>
                <w:snapToGrid w:val="0"/>
                <w:lang w:eastAsia="en-US"/>
              </w:rPr>
              <w:t xml:space="preserve">Follow-up: </w:t>
            </w:r>
            <w:r w:rsidRPr="00D53F84">
              <w:rPr>
                <w:rFonts w:eastAsia="Times New Roman"/>
                <w:lang w:eastAsia="en-US"/>
              </w:rPr>
              <w:t>12 weeks</w:t>
            </w:r>
          </w:p>
          <w:p w:rsidR="00E1668E" w:rsidRPr="00D53F84" w:rsidRDefault="00E1668E" w:rsidP="00E1668E">
            <w:pPr>
              <w:pStyle w:val="Tabletext"/>
              <w:ind w:right="-28"/>
              <w:rPr>
                <w:rFonts w:eastAsia="Times New Roman"/>
                <w:snapToGrid w:val="0"/>
                <w:lang w:eastAsia="en-US"/>
              </w:rPr>
            </w:pPr>
            <w:r>
              <w:rPr>
                <w:rFonts w:eastAsia="Times New Roman"/>
                <w:snapToGrid w:val="0"/>
                <w:lang w:eastAsia="en-US"/>
              </w:rPr>
              <w:t>Risk of bias: l</w:t>
            </w:r>
            <w:r w:rsidRPr="00D53F84">
              <w:rPr>
                <w:rFonts w:eastAsia="Times New Roman"/>
                <w:lang w:eastAsia="en-US"/>
              </w:rPr>
              <w:t>ow-to-moderate</w:t>
            </w:r>
          </w:p>
        </w:tc>
        <w:tc>
          <w:tcPr>
            <w:tcW w:w="772" w:type="pct"/>
          </w:tcPr>
          <w:p w:rsidR="00E1668E" w:rsidRPr="006C3B46" w:rsidRDefault="00E1668E" w:rsidP="00E1668E">
            <w:pPr>
              <w:pStyle w:val="Tabletext"/>
              <w:rPr>
                <w:rFonts w:cs="Tahoma"/>
                <w:i/>
                <w:szCs w:val="18"/>
              </w:rPr>
            </w:pPr>
            <w:r w:rsidRPr="006C3B46">
              <w:rPr>
                <w:rFonts w:cs="Tahoma"/>
                <w:i/>
                <w:szCs w:val="18"/>
              </w:rPr>
              <w:t>Inclusion criteria</w:t>
            </w:r>
          </w:p>
          <w:p w:rsidR="00E1668E" w:rsidRPr="006C3B46" w:rsidRDefault="00E1668E" w:rsidP="00E1668E">
            <w:pPr>
              <w:pStyle w:val="Tabletext"/>
              <w:numPr>
                <w:ilvl w:val="0"/>
                <w:numId w:val="54"/>
              </w:numPr>
              <w:ind w:left="239" w:hanging="144"/>
              <w:rPr>
                <w:rFonts w:cs="Tahoma"/>
                <w:szCs w:val="18"/>
              </w:rPr>
            </w:pPr>
            <w:r w:rsidRPr="006C3B46">
              <w:rPr>
                <w:rFonts w:cs="Tahoma"/>
                <w:szCs w:val="18"/>
              </w:rPr>
              <w:t>Patients with IPAH, PAH-CTD</w:t>
            </w:r>
            <w:r>
              <w:rPr>
                <w:rFonts w:cs="Tahoma"/>
                <w:szCs w:val="18"/>
              </w:rPr>
              <w:t xml:space="preserve"> or</w:t>
            </w:r>
            <w:r w:rsidRPr="006C3B46">
              <w:rPr>
                <w:rFonts w:cs="Tahoma"/>
                <w:szCs w:val="18"/>
              </w:rPr>
              <w:t xml:space="preserve"> PAH-CHD </w:t>
            </w:r>
          </w:p>
          <w:p w:rsidR="00E1668E" w:rsidRPr="006C3B46" w:rsidRDefault="00E1668E" w:rsidP="00E1668E">
            <w:pPr>
              <w:pStyle w:val="Tabletext"/>
              <w:rPr>
                <w:rFonts w:cs="Tahoma"/>
                <w:i/>
                <w:szCs w:val="18"/>
              </w:rPr>
            </w:pPr>
          </w:p>
          <w:p w:rsidR="00E1668E" w:rsidRPr="006C3B46" w:rsidRDefault="00E1668E" w:rsidP="00E1668E">
            <w:pPr>
              <w:pStyle w:val="Tabletext"/>
              <w:rPr>
                <w:rFonts w:cs="Tahoma"/>
                <w:i/>
                <w:szCs w:val="18"/>
              </w:rPr>
            </w:pPr>
            <w:r w:rsidRPr="006C3B46">
              <w:rPr>
                <w:rFonts w:cs="Tahoma"/>
                <w:i/>
                <w:szCs w:val="18"/>
              </w:rPr>
              <w:t>Exclusion criteria</w:t>
            </w:r>
          </w:p>
          <w:p w:rsidR="00E1668E" w:rsidRPr="006C3B46" w:rsidRDefault="00E1668E" w:rsidP="00E1668E">
            <w:pPr>
              <w:pStyle w:val="Tabletext"/>
              <w:numPr>
                <w:ilvl w:val="0"/>
                <w:numId w:val="54"/>
              </w:numPr>
              <w:ind w:left="239" w:hanging="144"/>
              <w:rPr>
                <w:rFonts w:cs="Tahoma"/>
                <w:szCs w:val="18"/>
              </w:rPr>
            </w:pPr>
            <w:r w:rsidRPr="006C3B46">
              <w:rPr>
                <w:rFonts w:cs="Tahoma"/>
                <w:szCs w:val="18"/>
              </w:rPr>
              <w:t xml:space="preserve">Patients treated with IV epoprostenol, oral bosentan, IV or inhaled iloprost, or </w:t>
            </w:r>
            <w:r>
              <w:rPr>
                <w:rFonts w:cs="Tahoma"/>
                <w:szCs w:val="18"/>
              </w:rPr>
              <w:t>subcutaneous</w:t>
            </w:r>
            <w:r w:rsidRPr="006C3B46">
              <w:rPr>
                <w:rFonts w:cs="Tahoma"/>
                <w:szCs w:val="18"/>
              </w:rPr>
              <w:t xml:space="preserve"> treprostinil</w:t>
            </w:r>
          </w:p>
          <w:p w:rsidR="00E1668E" w:rsidRPr="0083095A" w:rsidRDefault="00E1668E" w:rsidP="00C90897">
            <w:pPr>
              <w:pStyle w:val="Tabletext"/>
              <w:numPr>
                <w:ilvl w:val="0"/>
                <w:numId w:val="54"/>
              </w:numPr>
              <w:ind w:left="239" w:hanging="144"/>
              <w:rPr>
                <w:rFonts w:cs="Tahoma"/>
                <w:i/>
                <w:szCs w:val="18"/>
              </w:rPr>
            </w:pPr>
            <w:r w:rsidRPr="006C3B46">
              <w:rPr>
                <w:rFonts w:cs="Tahoma"/>
                <w:szCs w:val="18"/>
              </w:rPr>
              <w:t xml:space="preserve">6MWD </w:t>
            </w:r>
            <w:r>
              <w:rPr>
                <w:rFonts w:cs="Tahoma"/>
                <w:szCs w:val="18"/>
              </w:rPr>
              <w:t>&lt;100</w:t>
            </w:r>
            <w:r w:rsidR="00C90897">
              <w:rPr>
                <w:rFonts w:cs="Tahoma"/>
                <w:szCs w:val="18"/>
              </w:rPr>
              <w:t> </w:t>
            </w:r>
            <w:r>
              <w:rPr>
                <w:rFonts w:cs="Tahoma"/>
                <w:szCs w:val="18"/>
              </w:rPr>
              <w:t>m</w:t>
            </w:r>
            <w:r w:rsidRPr="006C3B46">
              <w:rPr>
                <w:rFonts w:cs="Tahoma"/>
                <w:szCs w:val="18"/>
              </w:rPr>
              <w:t xml:space="preserve"> or &gt;450</w:t>
            </w:r>
            <w:r w:rsidR="00C90897">
              <w:rPr>
                <w:rFonts w:cs="Tahoma"/>
                <w:szCs w:val="18"/>
              </w:rPr>
              <w:t> </w:t>
            </w:r>
            <w:r>
              <w:rPr>
                <w:rFonts w:cs="Tahoma"/>
                <w:szCs w:val="18"/>
              </w:rPr>
              <w:t>m</w:t>
            </w:r>
          </w:p>
        </w:tc>
        <w:tc>
          <w:tcPr>
            <w:tcW w:w="0" w:type="auto"/>
          </w:tcPr>
          <w:p w:rsidR="00E1668E" w:rsidRDefault="00E1668E" w:rsidP="00E1668E">
            <w:pPr>
              <w:pStyle w:val="Tabletext"/>
            </w:pPr>
            <w:r>
              <w:t>N=139</w:t>
            </w:r>
          </w:p>
          <w:tbl>
            <w:tblPr>
              <w:tblStyle w:val="TableGrid"/>
              <w:tblW w:w="42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Caption w:val="Patient baseline characteristics in Trial SUPER-1"/>
            </w:tblPr>
            <w:tblGrid>
              <w:gridCol w:w="2161"/>
              <w:gridCol w:w="1019"/>
              <w:gridCol w:w="1108"/>
            </w:tblGrid>
            <w:tr w:rsidR="00E1668E" w:rsidTr="001D0FDA">
              <w:trPr>
                <w:cnfStyle w:val="100000000000" w:firstRow="1" w:lastRow="0" w:firstColumn="0" w:lastColumn="0" w:oddVBand="0" w:evenVBand="0" w:oddHBand="0" w:evenHBand="0" w:firstRowFirstColumn="0" w:firstRowLastColumn="0" w:lastRowFirstColumn="0" w:lastRowLastColumn="0"/>
              </w:trPr>
              <w:tc>
                <w:tcPr>
                  <w:tcW w:w="2161" w:type="dxa"/>
                  <w:shd w:val="clear" w:color="auto" w:fill="FFFFFF" w:themeFill="background1"/>
                </w:tcPr>
                <w:p w:rsidR="00E1668E" w:rsidRPr="003C0DFB" w:rsidRDefault="00E1668E" w:rsidP="00570FC8">
                  <w:pPr>
                    <w:pStyle w:val="Tabletext"/>
                    <w:framePr w:hSpace="181" w:wrap="around" w:hAnchor="text" w:yAlign="bottom"/>
                    <w:suppressOverlap/>
                  </w:pPr>
                </w:p>
              </w:tc>
              <w:tc>
                <w:tcPr>
                  <w:tcW w:w="1019" w:type="dxa"/>
                  <w:shd w:val="clear" w:color="auto" w:fill="FFFFFF" w:themeFill="background1"/>
                </w:tcPr>
                <w:p w:rsidR="00E1668E" w:rsidRDefault="00E1668E" w:rsidP="00570FC8">
                  <w:pPr>
                    <w:pStyle w:val="Tabletext"/>
                    <w:framePr w:hSpace="181" w:wrap="around" w:hAnchor="text" w:yAlign="bottom"/>
                    <w:suppressOverlap/>
                    <w:jc w:val="center"/>
                  </w:pPr>
                  <w:r w:rsidRPr="00C11B64">
                    <w:t>Sildenafil 20</w:t>
                  </w:r>
                  <w:r w:rsidR="00570FC8">
                    <w:t> mg</w:t>
                  </w:r>
                  <w:r w:rsidRPr="00C11B64">
                    <w:t xml:space="preserve"> </w:t>
                  </w:r>
                </w:p>
                <w:p w:rsidR="00E1668E" w:rsidRDefault="00E1668E" w:rsidP="00570FC8">
                  <w:pPr>
                    <w:pStyle w:val="Tabletext"/>
                    <w:framePr w:hSpace="181" w:wrap="around" w:hAnchor="text" w:yAlign="bottom"/>
                    <w:suppressOverlap/>
                    <w:jc w:val="center"/>
                    <w:rPr>
                      <w:u w:val="single"/>
                    </w:rPr>
                  </w:pPr>
                  <w:r>
                    <w:t>(N=69)</w:t>
                  </w:r>
                </w:p>
              </w:tc>
              <w:tc>
                <w:tcPr>
                  <w:tcW w:w="1108" w:type="dxa"/>
                  <w:shd w:val="clear" w:color="auto" w:fill="FFFFFF" w:themeFill="background1"/>
                </w:tcPr>
                <w:p w:rsidR="00E1668E" w:rsidRDefault="00E1668E" w:rsidP="00570FC8">
                  <w:pPr>
                    <w:pStyle w:val="Tabletext"/>
                    <w:framePr w:hSpace="181" w:wrap="around" w:hAnchor="text" w:yAlign="bottom"/>
                    <w:suppressOverlap/>
                    <w:jc w:val="center"/>
                  </w:pPr>
                  <w:r>
                    <w:t>Placebo</w:t>
                  </w:r>
                </w:p>
                <w:p w:rsidR="00E1668E" w:rsidRDefault="00E1668E" w:rsidP="00570FC8">
                  <w:pPr>
                    <w:pStyle w:val="Tabletext"/>
                    <w:framePr w:hSpace="181" w:wrap="around" w:hAnchor="text" w:yAlign="bottom"/>
                    <w:suppressOverlap/>
                    <w:jc w:val="center"/>
                  </w:pPr>
                  <w:r>
                    <w:t>(N=70)</w:t>
                  </w:r>
                  <w:r w:rsidRPr="00C11B64">
                    <w:t xml:space="preserve"> </w:t>
                  </w:r>
                </w:p>
              </w:tc>
            </w:tr>
            <w:tr w:rsidR="00E1668E" w:rsidRPr="001B3364" w:rsidTr="001D0FDA">
              <w:tc>
                <w:tcPr>
                  <w:tcW w:w="2161" w:type="dxa"/>
                  <w:shd w:val="clear" w:color="auto" w:fill="FFFFFF" w:themeFill="background1"/>
                </w:tcPr>
                <w:p w:rsidR="00E1668E" w:rsidRDefault="00E1668E" w:rsidP="00570FC8">
                  <w:pPr>
                    <w:pStyle w:val="Tabletext"/>
                    <w:framePr w:hSpace="181" w:wrap="around" w:hAnchor="text" w:yAlign="bottom"/>
                    <w:suppressOverlap/>
                  </w:pPr>
                  <w:r w:rsidRPr="00351FF5">
                    <w:rPr>
                      <w:rFonts w:cs="Tahoma"/>
                      <w:szCs w:val="18"/>
                    </w:rPr>
                    <w:t>Age, mean±SD (yrs)</w:t>
                  </w:r>
                </w:p>
              </w:tc>
              <w:tc>
                <w:tcPr>
                  <w:tcW w:w="1019" w:type="dxa"/>
                  <w:shd w:val="clear" w:color="auto" w:fill="FFFFFF" w:themeFill="background1"/>
                </w:tcPr>
                <w:p w:rsidR="00E1668E" w:rsidRPr="00C5782C" w:rsidRDefault="00E1668E" w:rsidP="00570FC8">
                  <w:pPr>
                    <w:pStyle w:val="Tabletext"/>
                    <w:framePr w:hSpace="181" w:wrap="around" w:hAnchor="text" w:yAlign="bottom"/>
                    <w:suppressOverlap/>
                    <w:jc w:val="center"/>
                  </w:pPr>
                  <w:r>
                    <w:t xml:space="preserve">47±14 </w:t>
                  </w:r>
                </w:p>
              </w:tc>
              <w:tc>
                <w:tcPr>
                  <w:tcW w:w="1108" w:type="dxa"/>
                  <w:shd w:val="clear" w:color="auto" w:fill="FFFFFF" w:themeFill="background1"/>
                </w:tcPr>
                <w:p w:rsidR="00E1668E" w:rsidRPr="00C5782C" w:rsidRDefault="00E1668E" w:rsidP="00570FC8">
                  <w:pPr>
                    <w:pStyle w:val="Tabletext"/>
                    <w:framePr w:hSpace="181" w:wrap="around" w:hAnchor="text" w:yAlign="bottom"/>
                    <w:suppressOverlap/>
                    <w:jc w:val="center"/>
                  </w:pPr>
                  <w:r>
                    <w:t>49±17</w:t>
                  </w:r>
                </w:p>
              </w:tc>
            </w:tr>
            <w:tr w:rsidR="00E1668E" w:rsidRPr="001B3364" w:rsidTr="001D0FDA">
              <w:tc>
                <w:tcPr>
                  <w:tcW w:w="216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19"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uppressOverlap/>
                    <w:jc w:val="center"/>
                  </w:pPr>
                  <w:r>
                    <w:t>49 (71%)</w:t>
                  </w:r>
                </w:p>
              </w:tc>
              <w:tc>
                <w:tcPr>
                  <w:tcW w:w="1108"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uppressOverlap/>
                    <w:jc w:val="center"/>
                  </w:pPr>
                  <w:r>
                    <w:t>57 (81%)</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Aetiology</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 xml:space="preserve">IPAH </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44 (64%)</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42 (60%)</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PAH-CTD</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20 (29%)</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22 (31%)</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PAH-CHD</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4 (6%)</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6 (9%)</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WHO FC</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t>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0 (0%)</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1 (1%)</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ind w:left="262"/>
                    <w:suppressOverlap/>
                  </w:pPr>
                  <w:r>
                    <w:t>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24 (35%)</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32 (46%)</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ind w:left="262"/>
                    <w:suppressOverlap/>
                  </w:pPr>
                  <w:r>
                    <w:t>III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40 (58%)</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34 (49%)</w:t>
                  </w:r>
                </w:p>
              </w:tc>
            </w:tr>
            <w:tr w:rsidR="00E1668E" w:rsidRPr="001B3364" w:rsidTr="001D0FDA">
              <w:tc>
                <w:tcPr>
                  <w:tcW w:w="2161" w:type="dxa"/>
                  <w:tcBorders>
                    <w:top w:val="nil"/>
                  </w:tcBorders>
                  <w:shd w:val="clear" w:color="auto" w:fill="FFFFFF" w:themeFill="background1"/>
                </w:tcPr>
                <w:p w:rsidR="00E1668E" w:rsidRDefault="00E1668E" w:rsidP="00570FC8">
                  <w:pPr>
                    <w:pStyle w:val="Tabletext"/>
                    <w:framePr w:hSpace="181" w:wrap="around" w:hAnchor="text" w:yAlign="bottom"/>
                    <w:ind w:left="262"/>
                    <w:suppressOverlap/>
                  </w:pPr>
                  <w:r>
                    <w:t>IV</w:t>
                  </w:r>
                </w:p>
              </w:tc>
              <w:tc>
                <w:tcPr>
                  <w:tcW w:w="1019" w:type="dxa"/>
                  <w:tcBorders>
                    <w:top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5 (7%)</w:t>
                  </w:r>
                </w:p>
              </w:tc>
              <w:tc>
                <w:tcPr>
                  <w:tcW w:w="1108" w:type="dxa"/>
                  <w:tcBorders>
                    <w:top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 (4%)</w:t>
                  </w:r>
                </w:p>
              </w:tc>
            </w:tr>
            <w:tr w:rsidR="00E1668E" w:rsidRPr="001B3364" w:rsidTr="001D0FDA">
              <w:tc>
                <w:tcPr>
                  <w:tcW w:w="2161" w:type="dxa"/>
                </w:tcPr>
                <w:p w:rsidR="00E1668E" w:rsidRDefault="00E1668E" w:rsidP="00570FC8">
                  <w:pPr>
                    <w:pStyle w:val="Tabletext"/>
                    <w:framePr w:hSpace="181" w:wrap="around" w:hAnchor="text" w:yAlign="bottom"/>
                    <w:suppressOverlap/>
                  </w:pPr>
                  <w:r>
                    <w:rPr>
                      <w:rFonts w:cs="Tahoma"/>
                      <w:szCs w:val="18"/>
                    </w:rPr>
                    <w:t>mPAP</w:t>
                  </w:r>
                  <w:r w:rsidRPr="00351FF5">
                    <w:rPr>
                      <w:rFonts w:cs="Tahoma"/>
                      <w:szCs w:val="18"/>
                    </w:rPr>
                    <w:t>, mean±SD (mmHg)</w:t>
                  </w:r>
                </w:p>
              </w:tc>
              <w:tc>
                <w:tcPr>
                  <w:tcW w:w="1019" w:type="dxa"/>
                  <w:shd w:val="clear" w:color="auto" w:fill="FFFFFF" w:themeFill="background1"/>
                  <w:vAlign w:val="center"/>
                </w:tcPr>
                <w:p w:rsidR="00E1668E" w:rsidRPr="00C5782C" w:rsidRDefault="00E1668E" w:rsidP="00570FC8">
                  <w:pPr>
                    <w:pStyle w:val="Tabletext"/>
                    <w:framePr w:hSpace="181" w:wrap="around" w:hAnchor="text" w:yAlign="bottom"/>
                    <w:suppressOverlap/>
                    <w:jc w:val="center"/>
                  </w:pPr>
                  <w:r>
                    <w:t>54±13</w:t>
                  </w:r>
                </w:p>
              </w:tc>
              <w:tc>
                <w:tcPr>
                  <w:tcW w:w="1108" w:type="dxa"/>
                  <w:shd w:val="clear" w:color="auto" w:fill="FFFFFF" w:themeFill="background1"/>
                  <w:vAlign w:val="center"/>
                </w:tcPr>
                <w:p w:rsidR="00E1668E" w:rsidRPr="00C5782C" w:rsidRDefault="00E1668E" w:rsidP="00570FC8">
                  <w:pPr>
                    <w:pStyle w:val="Tabletext"/>
                    <w:framePr w:hSpace="181" w:wrap="around" w:hAnchor="text" w:yAlign="bottom"/>
                    <w:suppressOverlap/>
                    <w:jc w:val="center"/>
                  </w:pPr>
                  <w:r>
                    <w:t>56±16</w:t>
                  </w:r>
                </w:p>
              </w:tc>
            </w:tr>
            <w:tr w:rsidR="00E1668E" w:rsidRPr="001B3364" w:rsidTr="001D0FDA">
              <w:tc>
                <w:tcPr>
                  <w:tcW w:w="2161" w:type="dxa"/>
                </w:tcPr>
                <w:p w:rsidR="00E1668E" w:rsidRDefault="00E1668E" w:rsidP="00570FC8">
                  <w:pPr>
                    <w:pStyle w:val="Tabletext"/>
                    <w:framePr w:hSpace="181" w:wrap="around" w:hAnchor="text" w:yAlign="bottom"/>
                    <w:suppressOverlap/>
                  </w:pPr>
                  <w:r>
                    <w:rPr>
                      <w:rFonts w:cs="Tahoma"/>
                      <w:szCs w:val="18"/>
                    </w:rPr>
                    <w:t>PVR, mean±SD (dyn*s*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19" w:type="dxa"/>
                  <w:shd w:val="clear" w:color="auto" w:fill="FFFFFF" w:themeFill="background1"/>
                  <w:vAlign w:val="center"/>
                </w:tcPr>
                <w:p w:rsidR="00E1668E" w:rsidRDefault="00E1668E" w:rsidP="00570FC8">
                  <w:pPr>
                    <w:pStyle w:val="Tabletext"/>
                    <w:framePr w:hSpace="181" w:wrap="around" w:hAnchor="text" w:yAlign="bottom"/>
                    <w:suppressOverlap/>
                    <w:jc w:val="center"/>
                  </w:pPr>
                  <w:r>
                    <w:t>987±464</w:t>
                  </w:r>
                </w:p>
              </w:tc>
              <w:tc>
                <w:tcPr>
                  <w:tcW w:w="1108" w:type="dxa"/>
                  <w:shd w:val="clear" w:color="auto" w:fill="FFFFFF" w:themeFill="background1"/>
                  <w:vAlign w:val="center"/>
                </w:tcPr>
                <w:p w:rsidR="00E1668E" w:rsidRDefault="00E1668E" w:rsidP="00570FC8">
                  <w:pPr>
                    <w:pStyle w:val="Tabletext"/>
                    <w:framePr w:hSpace="181" w:wrap="around" w:hAnchor="text" w:yAlign="bottom"/>
                    <w:suppressOverlap/>
                    <w:jc w:val="center"/>
                  </w:pPr>
                  <w:r>
                    <w:t>1051±512</w:t>
                  </w:r>
                </w:p>
              </w:tc>
            </w:tr>
          </w:tbl>
          <w:p w:rsidR="00E1668E" w:rsidRDefault="00E1668E" w:rsidP="00E1668E">
            <w:pPr>
              <w:pStyle w:val="Tabletext"/>
            </w:pPr>
            <w:r w:rsidRPr="00A93CCE">
              <w:rPr>
                <w:szCs w:val="18"/>
              </w:rPr>
              <w:t>Data on the patient characteristics for the WHO FC I-II subgroup</w:t>
            </w:r>
            <w:r>
              <w:rPr>
                <w:szCs w:val="18"/>
              </w:rPr>
              <w:t xml:space="preserve"> and </w:t>
            </w:r>
            <w:r w:rsidRPr="00A93CCE">
              <w:rPr>
                <w:szCs w:val="18"/>
              </w:rPr>
              <w:t xml:space="preserve">the WHO FC III-IV subgroup were not available. Randomisation </w:t>
            </w:r>
            <w:proofErr w:type="gramStart"/>
            <w:r w:rsidRPr="00A93CCE">
              <w:rPr>
                <w:szCs w:val="18"/>
              </w:rPr>
              <w:t xml:space="preserve">was </w:t>
            </w:r>
            <w:r>
              <w:rPr>
                <w:szCs w:val="18"/>
              </w:rPr>
              <w:t xml:space="preserve">not </w:t>
            </w:r>
            <w:r w:rsidRPr="00A93CCE">
              <w:rPr>
                <w:szCs w:val="18"/>
              </w:rPr>
              <w:t>stratified</w:t>
            </w:r>
            <w:proofErr w:type="gramEnd"/>
            <w:r w:rsidRPr="00A93CCE">
              <w:rPr>
                <w:szCs w:val="18"/>
              </w:rPr>
              <w:t xml:space="preserve"> according to WHO FC.</w:t>
            </w:r>
          </w:p>
        </w:tc>
        <w:tc>
          <w:tcPr>
            <w:tcW w:w="811" w:type="pct"/>
          </w:tcPr>
          <w:p w:rsidR="00E1668E" w:rsidRDefault="00E1668E" w:rsidP="00E1668E">
            <w:pPr>
              <w:pStyle w:val="Tabletext"/>
              <w:rPr>
                <w:i/>
              </w:rPr>
            </w:pPr>
            <w:r>
              <w:rPr>
                <w:i/>
              </w:rPr>
              <w:t>Intervention</w:t>
            </w:r>
          </w:p>
          <w:p w:rsidR="00E1668E" w:rsidRDefault="00E1668E" w:rsidP="00E1668E">
            <w:pPr>
              <w:pStyle w:val="Tabletext"/>
            </w:pPr>
            <w:r>
              <w:t>Sildenafil: 20</w:t>
            </w:r>
            <w:r w:rsidR="00C90897">
              <w:t> </w:t>
            </w:r>
            <w:r>
              <w:t>mg tid</w:t>
            </w:r>
          </w:p>
          <w:p w:rsidR="00E1668E" w:rsidRDefault="00E1668E" w:rsidP="00E1668E">
            <w:pPr>
              <w:pStyle w:val="Tabletext"/>
            </w:pPr>
          </w:p>
          <w:p w:rsidR="00E1668E" w:rsidRDefault="00E1668E" w:rsidP="00E1668E">
            <w:pPr>
              <w:pStyle w:val="Tabletext"/>
              <w:rPr>
                <w:i/>
              </w:rPr>
            </w:pPr>
            <w:r>
              <w:rPr>
                <w:i/>
              </w:rPr>
              <w:t>Comparator</w:t>
            </w:r>
          </w:p>
          <w:p w:rsidR="00E1668E" w:rsidRPr="00EF6EEC" w:rsidRDefault="00E1668E" w:rsidP="00E1668E">
            <w:pPr>
              <w:pStyle w:val="Tabletext"/>
            </w:pPr>
            <w:r>
              <w:t>Placebo</w:t>
            </w:r>
          </w:p>
        </w:tc>
        <w:tc>
          <w:tcPr>
            <w:tcW w:w="771" w:type="pct"/>
          </w:tcPr>
          <w:p w:rsidR="00E1668E" w:rsidRPr="00EF6EEC" w:rsidRDefault="00E1668E" w:rsidP="00E1668E">
            <w:pPr>
              <w:pStyle w:val="Tabletext"/>
              <w:rPr>
                <w:rFonts w:cs="Tahoma"/>
                <w:i/>
                <w:szCs w:val="18"/>
              </w:rPr>
            </w:pPr>
            <w:r w:rsidRPr="00EF6EEC">
              <w:rPr>
                <w:rFonts w:cs="Tahoma"/>
                <w:i/>
                <w:szCs w:val="18"/>
              </w:rPr>
              <w:t>Effectiveness</w:t>
            </w:r>
          </w:p>
          <w:p w:rsidR="00E1668E" w:rsidRPr="00EF6EEC" w:rsidRDefault="00E1668E" w:rsidP="00E1668E">
            <w:pPr>
              <w:pStyle w:val="Tabletext"/>
              <w:rPr>
                <w:rFonts w:cs="Tahoma"/>
                <w:szCs w:val="18"/>
              </w:rPr>
            </w:pPr>
            <w:r w:rsidRPr="00EF6EEC">
              <w:rPr>
                <w:rFonts w:cs="Tahoma"/>
                <w:szCs w:val="18"/>
              </w:rPr>
              <w:t>Primary:</w:t>
            </w:r>
          </w:p>
          <w:p w:rsidR="00E1668E" w:rsidRPr="00EF6EEC" w:rsidRDefault="00E1668E" w:rsidP="00E1668E">
            <w:pPr>
              <w:pStyle w:val="Tabletext"/>
              <w:numPr>
                <w:ilvl w:val="0"/>
                <w:numId w:val="54"/>
              </w:numPr>
              <w:ind w:left="239" w:hanging="144"/>
              <w:rPr>
                <w:rFonts w:cs="Tahoma"/>
                <w:szCs w:val="18"/>
              </w:rPr>
            </w:pPr>
            <w:r w:rsidRPr="00EF6EEC">
              <w:rPr>
                <w:rFonts w:cs="Tahoma"/>
                <w:szCs w:val="18"/>
              </w:rPr>
              <w:t>Change in 6MWD at Week 12</w:t>
            </w:r>
            <w:r w:rsidRPr="000E10B2">
              <w:rPr>
                <w:rFonts w:cs="Tahoma"/>
                <w:szCs w:val="18"/>
                <w:vertAlign w:val="superscript"/>
              </w:rPr>
              <w:t>c</w:t>
            </w:r>
            <w:r w:rsidR="002449DC">
              <w:rPr>
                <w:rFonts w:cs="Tahoma"/>
                <w:szCs w:val="18"/>
              </w:rPr>
              <w:t xml:space="preserve"> </w:t>
            </w:r>
          </w:p>
          <w:p w:rsidR="00E1668E" w:rsidRPr="00EF6EEC" w:rsidRDefault="00E1668E" w:rsidP="00E1668E">
            <w:pPr>
              <w:pStyle w:val="Tabletext"/>
              <w:rPr>
                <w:rFonts w:cs="Tahoma"/>
                <w:szCs w:val="18"/>
              </w:rPr>
            </w:pPr>
            <w:r w:rsidRPr="00EF6EEC">
              <w:rPr>
                <w:rFonts w:cs="Tahoma"/>
                <w:szCs w:val="18"/>
              </w:rPr>
              <w:t>Secondary:</w:t>
            </w:r>
          </w:p>
          <w:p w:rsidR="00E1668E" w:rsidRPr="00EF6EEC" w:rsidRDefault="00E1668E" w:rsidP="00E1668E">
            <w:pPr>
              <w:pStyle w:val="Tabletext"/>
              <w:numPr>
                <w:ilvl w:val="0"/>
                <w:numId w:val="54"/>
              </w:numPr>
              <w:ind w:left="239" w:hanging="144"/>
              <w:rPr>
                <w:rFonts w:cs="Tahoma"/>
                <w:szCs w:val="18"/>
              </w:rPr>
            </w:pPr>
            <w:r w:rsidRPr="00EF6EEC">
              <w:rPr>
                <w:rFonts w:cs="Tahoma"/>
                <w:szCs w:val="18"/>
              </w:rPr>
              <w:t xml:space="preserve">Time to clinical worsening </w:t>
            </w:r>
          </w:p>
          <w:p w:rsidR="00E1668E" w:rsidRPr="00EF6EEC" w:rsidRDefault="00E1668E" w:rsidP="00E1668E">
            <w:pPr>
              <w:pStyle w:val="Tabletext"/>
              <w:numPr>
                <w:ilvl w:val="0"/>
                <w:numId w:val="54"/>
              </w:numPr>
              <w:ind w:left="239" w:hanging="144"/>
              <w:rPr>
                <w:rFonts w:cs="Tahoma"/>
                <w:szCs w:val="18"/>
              </w:rPr>
            </w:pPr>
            <w:r w:rsidRPr="00EF6EEC">
              <w:rPr>
                <w:rFonts w:cs="Tahoma"/>
                <w:szCs w:val="18"/>
              </w:rPr>
              <w:t xml:space="preserve">Change in WHO </w:t>
            </w:r>
            <w:r>
              <w:rPr>
                <w:rFonts w:cs="Tahoma"/>
                <w:szCs w:val="18"/>
              </w:rPr>
              <w:t>FC</w:t>
            </w:r>
          </w:p>
          <w:p w:rsidR="00E1668E" w:rsidRPr="00EF6EEC" w:rsidRDefault="00E1668E" w:rsidP="00E1668E">
            <w:pPr>
              <w:pStyle w:val="Tabletext"/>
              <w:numPr>
                <w:ilvl w:val="0"/>
                <w:numId w:val="54"/>
              </w:numPr>
              <w:ind w:left="239" w:hanging="144"/>
              <w:rPr>
                <w:rFonts w:cs="Tahoma"/>
                <w:szCs w:val="18"/>
              </w:rPr>
            </w:pPr>
            <w:r w:rsidRPr="00EF6EEC">
              <w:rPr>
                <w:rFonts w:cs="Tahoma"/>
                <w:szCs w:val="18"/>
              </w:rPr>
              <w:t xml:space="preserve">Change in </w:t>
            </w:r>
            <w:r>
              <w:rPr>
                <w:rFonts w:cs="Tahoma"/>
                <w:szCs w:val="18"/>
              </w:rPr>
              <w:t>BDS</w:t>
            </w:r>
            <w:r w:rsidRPr="00EF6EEC">
              <w:rPr>
                <w:rFonts w:cs="Tahoma"/>
                <w:szCs w:val="18"/>
              </w:rPr>
              <w:t xml:space="preserve"> </w:t>
            </w:r>
          </w:p>
          <w:p w:rsidR="00E1668E" w:rsidRDefault="00E1668E" w:rsidP="00E1668E">
            <w:pPr>
              <w:pStyle w:val="Tabletext"/>
              <w:numPr>
                <w:ilvl w:val="0"/>
                <w:numId w:val="54"/>
              </w:numPr>
              <w:ind w:left="239" w:hanging="144"/>
              <w:rPr>
                <w:rFonts w:cs="Tahoma"/>
                <w:szCs w:val="18"/>
              </w:rPr>
            </w:pPr>
            <w:r w:rsidRPr="00EF6EEC">
              <w:rPr>
                <w:rFonts w:cs="Tahoma"/>
                <w:szCs w:val="18"/>
              </w:rPr>
              <w:t>Change in mPAP</w:t>
            </w:r>
            <w:r>
              <w:rPr>
                <w:rFonts w:cs="Tahoma"/>
                <w:szCs w:val="18"/>
              </w:rPr>
              <w:t>, PVR and CI</w:t>
            </w:r>
          </w:p>
          <w:p w:rsidR="00E1668E" w:rsidRPr="00EF6EEC" w:rsidRDefault="00E1668E" w:rsidP="00E1668E">
            <w:pPr>
              <w:pStyle w:val="Tabletext"/>
              <w:ind w:left="239"/>
              <w:rPr>
                <w:rFonts w:cs="Tahoma"/>
                <w:szCs w:val="18"/>
              </w:rPr>
            </w:pPr>
          </w:p>
          <w:p w:rsidR="00E1668E" w:rsidRPr="00EF6EEC" w:rsidRDefault="00E1668E" w:rsidP="00E1668E">
            <w:pPr>
              <w:pStyle w:val="Tabletext"/>
              <w:rPr>
                <w:rFonts w:cs="Tahoma"/>
                <w:i/>
                <w:szCs w:val="18"/>
              </w:rPr>
            </w:pPr>
            <w:r w:rsidRPr="00EF6EEC">
              <w:rPr>
                <w:rFonts w:cs="Tahoma"/>
                <w:i/>
                <w:szCs w:val="18"/>
              </w:rPr>
              <w:t>Safety</w:t>
            </w:r>
          </w:p>
          <w:p w:rsidR="00E1668E" w:rsidRPr="000E10B2" w:rsidRDefault="00E1668E" w:rsidP="00E1668E">
            <w:pPr>
              <w:pStyle w:val="Tabletext"/>
              <w:numPr>
                <w:ilvl w:val="0"/>
                <w:numId w:val="54"/>
              </w:numPr>
              <w:ind w:left="239" w:hanging="144"/>
              <w:rPr>
                <w:rFonts w:cs="Tahoma"/>
                <w:szCs w:val="18"/>
              </w:rPr>
            </w:pPr>
            <w:r w:rsidRPr="00EF6EEC">
              <w:rPr>
                <w:rFonts w:cs="Tahoma"/>
                <w:szCs w:val="18"/>
              </w:rPr>
              <w:t>Adverse events</w:t>
            </w:r>
            <w:r>
              <w:rPr>
                <w:rFonts w:cs="Tahoma"/>
                <w:szCs w:val="18"/>
                <w:vertAlign w:val="superscript"/>
              </w:rPr>
              <w:t>c</w:t>
            </w:r>
          </w:p>
        </w:tc>
      </w:tr>
      <w:tr w:rsidR="00E1668E" w:rsidRPr="00204000" w:rsidTr="00E1668E">
        <w:tc>
          <w:tcPr>
            <w:tcW w:w="531" w:type="pct"/>
            <w:tcBorders>
              <w:top w:val="single" w:sz="4" w:space="0" w:color="auto"/>
              <w:left w:val="single" w:sz="4" w:space="0" w:color="auto"/>
              <w:bottom w:val="single" w:sz="4" w:space="0" w:color="auto"/>
              <w:right w:val="single" w:sz="4" w:space="0" w:color="auto"/>
            </w:tcBorders>
          </w:tcPr>
          <w:p w:rsidR="00E1668E" w:rsidRPr="00D53F84" w:rsidRDefault="00E1668E" w:rsidP="00E1668E">
            <w:pPr>
              <w:pStyle w:val="Tabletext"/>
              <w:ind w:right="-28"/>
              <w:rPr>
                <w:rFonts w:eastAsia="Times New Roman"/>
                <w:lang w:eastAsia="en-US"/>
              </w:rPr>
            </w:pPr>
            <w:r w:rsidRPr="00D53F84">
              <w:rPr>
                <w:rFonts w:eastAsia="Times New Roman"/>
                <w:lang w:eastAsia="en-US"/>
              </w:rPr>
              <w:t>Vizza 2017</w:t>
            </w:r>
            <w:r w:rsidRPr="001A1C44">
              <w:rPr>
                <w:rFonts w:eastAsia="Times New Roman"/>
                <w:noProof/>
                <w:vertAlign w:val="superscript"/>
                <w:lang w:eastAsia="en-US"/>
              </w:rPr>
              <w:t>49</w:t>
            </w:r>
          </w:p>
          <w:p w:rsidR="00E1668E" w:rsidRPr="00D53F84" w:rsidRDefault="00E1668E" w:rsidP="00E1668E">
            <w:pPr>
              <w:pStyle w:val="Tabletext"/>
              <w:ind w:right="-28"/>
              <w:rPr>
                <w:rFonts w:eastAsia="Times New Roman"/>
                <w:lang w:eastAsia="en-US"/>
              </w:rPr>
            </w:pPr>
            <w:r w:rsidRPr="00D53F84">
              <w:rPr>
                <w:rFonts w:eastAsia="Times New Roman"/>
                <w:snapToGrid w:val="0"/>
                <w:lang w:eastAsia="en-US"/>
              </w:rPr>
              <w:t>2006-2012</w:t>
            </w:r>
          </w:p>
          <w:p w:rsidR="00E1668E" w:rsidRPr="00D53F84" w:rsidRDefault="00E1668E" w:rsidP="00E1668E">
            <w:pPr>
              <w:pStyle w:val="Tabletext"/>
              <w:ind w:right="-28"/>
              <w:rPr>
                <w:rFonts w:eastAsia="Times New Roman"/>
                <w:lang w:eastAsia="en-US"/>
              </w:rPr>
            </w:pPr>
            <w:r w:rsidRPr="00D53F84">
              <w:rPr>
                <w:rFonts w:eastAsia="Times New Roman"/>
                <w:snapToGrid w:val="0"/>
                <w:lang w:eastAsia="en-US"/>
              </w:rPr>
              <w:t>US, Europe, Australia, Israel, China</w:t>
            </w:r>
          </w:p>
        </w:tc>
        <w:tc>
          <w:tcPr>
            <w:tcW w:w="476" w:type="pct"/>
            <w:tcBorders>
              <w:top w:val="single" w:sz="4" w:space="0" w:color="auto"/>
              <w:left w:val="single" w:sz="4" w:space="0" w:color="auto"/>
              <w:bottom w:val="single" w:sz="4" w:space="0" w:color="auto"/>
              <w:right w:val="single" w:sz="4" w:space="0" w:color="auto"/>
            </w:tcBorders>
          </w:tcPr>
          <w:p w:rsidR="00E1668E" w:rsidRPr="00D53F84" w:rsidRDefault="00E1668E" w:rsidP="00E1668E">
            <w:pPr>
              <w:pStyle w:val="Tabletext"/>
              <w:ind w:right="-28"/>
              <w:rPr>
                <w:rFonts w:eastAsia="Times New Roman"/>
                <w:snapToGrid w:val="0"/>
                <w:lang w:eastAsia="en-US"/>
              </w:rPr>
            </w:pPr>
            <w:r w:rsidRPr="00D53F84">
              <w:rPr>
                <w:rFonts w:eastAsia="Times New Roman"/>
                <w:snapToGrid w:val="0"/>
                <w:lang w:eastAsia="en-US"/>
              </w:rPr>
              <w:t>RCT, DB</w:t>
            </w:r>
          </w:p>
          <w:p w:rsidR="00E1668E" w:rsidRDefault="00E1668E" w:rsidP="00E1668E">
            <w:pPr>
              <w:pStyle w:val="Tabletext"/>
              <w:ind w:right="-28"/>
              <w:rPr>
                <w:rFonts w:eastAsia="Times New Roman"/>
                <w:snapToGrid w:val="0"/>
                <w:lang w:eastAsia="en-US"/>
              </w:rPr>
            </w:pPr>
            <w:r>
              <w:rPr>
                <w:rFonts w:eastAsia="Times New Roman"/>
                <w:snapToGrid w:val="0"/>
                <w:lang w:eastAsia="en-US"/>
              </w:rPr>
              <w:t>Level II evidence</w:t>
            </w:r>
          </w:p>
          <w:p w:rsidR="00E1668E" w:rsidRPr="00D53F84" w:rsidRDefault="00E1668E" w:rsidP="00E1668E">
            <w:pPr>
              <w:pStyle w:val="Tabletext"/>
              <w:ind w:right="-28"/>
              <w:rPr>
                <w:rFonts w:eastAsia="Times New Roman"/>
                <w:snapToGrid w:val="0"/>
                <w:lang w:eastAsia="en-US"/>
              </w:rPr>
            </w:pPr>
            <w:r>
              <w:rPr>
                <w:rFonts w:eastAsia="Times New Roman"/>
                <w:snapToGrid w:val="0"/>
                <w:lang w:eastAsia="en-US"/>
              </w:rPr>
              <w:t xml:space="preserve">Follow-up: </w:t>
            </w:r>
            <w:r w:rsidRPr="00D53F84">
              <w:rPr>
                <w:rFonts w:eastAsia="Times New Roman"/>
                <w:snapToGrid w:val="0"/>
                <w:lang w:eastAsia="en-US"/>
              </w:rPr>
              <w:t>12 weeks</w:t>
            </w:r>
          </w:p>
          <w:p w:rsidR="00E1668E" w:rsidRPr="00D53F84" w:rsidRDefault="00E1668E" w:rsidP="00E1668E">
            <w:pPr>
              <w:pStyle w:val="Tabletext"/>
              <w:ind w:right="-28"/>
              <w:rPr>
                <w:rFonts w:eastAsia="Times New Roman"/>
                <w:snapToGrid w:val="0"/>
                <w:lang w:eastAsia="en-US"/>
              </w:rPr>
            </w:pPr>
            <w:r>
              <w:rPr>
                <w:rFonts w:eastAsia="Times New Roman"/>
                <w:snapToGrid w:val="0"/>
                <w:lang w:eastAsia="en-US"/>
              </w:rPr>
              <w:t>Risk of bias: l</w:t>
            </w:r>
            <w:r w:rsidRPr="00D53F84">
              <w:rPr>
                <w:rFonts w:eastAsia="Times New Roman"/>
                <w:snapToGrid w:val="0"/>
                <w:lang w:eastAsia="en-US"/>
              </w:rPr>
              <w:t>ow-to-moderate</w:t>
            </w:r>
          </w:p>
        </w:tc>
        <w:tc>
          <w:tcPr>
            <w:tcW w:w="772" w:type="pct"/>
          </w:tcPr>
          <w:p w:rsidR="00E1668E" w:rsidRDefault="00E1668E" w:rsidP="00E1668E">
            <w:pPr>
              <w:pStyle w:val="Tabletext"/>
              <w:rPr>
                <w:rFonts w:cs="Tahoma"/>
                <w:i/>
                <w:szCs w:val="18"/>
              </w:rPr>
            </w:pPr>
            <w:r>
              <w:rPr>
                <w:rFonts w:cs="Tahoma"/>
                <w:i/>
                <w:szCs w:val="18"/>
              </w:rPr>
              <w:t>Inclusion criteria</w:t>
            </w:r>
          </w:p>
          <w:p w:rsidR="00E1668E" w:rsidRDefault="00E1668E" w:rsidP="00E1668E">
            <w:pPr>
              <w:pStyle w:val="Tabletext"/>
              <w:numPr>
                <w:ilvl w:val="0"/>
                <w:numId w:val="54"/>
              </w:numPr>
              <w:ind w:left="239" w:hanging="144"/>
              <w:rPr>
                <w:rFonts w:cs="Tahoma"/>
                <w:szCs w:val="18"/>
              </w:rPr>
            </w:pPr>
            <w:r>
              <w:rPr>
                <w:rFonts w:cs="Tahoma"/>
                <w:szCs w:val="18"/>
              </w:rPr>
              <w:t xml:space="preserve">Age of </w:t>
            </w:r>
            <w:r w:rsidRPr="000C685C">
              <w:rPr>
                <w:rFonts w:cs="Tahoma"/>
                <w:szCs w:val="18"/>
              </w:rPr>
              <w:t>≥18 years</w:t>
            </w:r>
          </w:p>
          <w:p w:rsidR="00E1668E" w:rsidRDefault="00E1668E" w:rsidP="00E1668E">
            <w:pPr>
              <w:pStyle w:val="Tabletext"/>
              <w:numPr>
                <w:ilvl w:val="0"/>
                <w:numId w:val="54"/>
              </w:numPr>
              <w:ind w:left="239" w:hanging="144"/>
              <w:rPr>
                <w:rFonts w:cs="Tahoma"/>
                <w:szCs w:val="18"/>
              </w:rPr>
            </w:pPr>
            <w:r>
              <w:rPr>
                <w:rFonts w:cs="Tahoma"/>
                <w:szCs w:val="18"/>
              </w:rPr>
              <w:t>Patients with</w:t>
            </w:r>
            <w:r w:rsidRPr="000C685C">
              <w:rPr>
                <w:rFonts w:cs="Tahoma"/>
                <w:szCs w:val="18"/>
              </w:rPr>
              <w:t xml:space="preserve"> </w:t>
            </w:r>
            <w:r>
              <w:rPr>
                <w:rFonts w:cs="Tahoma"/>
                <w:szCs w:val="18"/>
              </w:rPr>
              <w:t>I</w:t>
            </w:r>
            <w:r w:rsidRPr="000C685C">
              <w:rPr>
                <w:rFonts w:cs="Tahoma"/>
                <w:szCs w:val="18"/>
              </w:rPr>
              <w:t>PAH</w:t>
            </w:r>
            <w:r>
              <w:rPr>
                <w:rFonts w:cs="Tahoma"/>
                <w:szCs w:val="18"/>
              </w:rPr>
              <w:t>, HPAH, PAH-CTD or PAH-CHD</w:t>
            </w:r>
            <w:r w:rsidRPr="000C685C">
              <w:rPr>
                <w:rFonts w:cs="Tahoma"/>
                <w:szCs w:val="18"/>
              </w:rPr>
              <w:t xml:space="preserve"> </w:t>
            </w:r>
          </w:p>
          <w:p w:rsidR="00E1668E" w:rsidRDefault="00E1668E" w:rsidP="00E1668E">
            <w:pPr>
              <w:pStyle w:val="Tabletext"/>
              <w:numPr>
                <w:ilvl w:val="0"/>
                <w:numId w:val="54"/>
              </w:numPr>
              <w:ind w:left="239" w:hanging="144"/>
              <w:rPr>
                <w:rFonts w:cs="Tahoma"/>
                <w:szCs w:val="18"/>
              </w:rPr>
            </w:pPr>
            <w:r>
              <w:rPr>
                <w:rFonts w:cs="Tahoma"/>
                <w:szCs w:val="18"/>
              </w:rPr>
              <w:t xml:space="preserve">Patients who were </w:t>
            </w:r>
            <w:r w:rsidRPr="000C685C">
              <w:rPr>
                <w:rFonts w:cs="Tahoma"/>
                <w:szCs w:val="18"/>
              </w:rPr>
              <w:t xml:space="preserve">receiving treatment with </w:t>
            </w:r>
            <w:r>
              <w:rPr>
                <w:rFonts w:cs="Tahoma"/>
                <w:szCs w:val="18"/>
              </w:rPr>
              <w:t xml:space="preserve">bosentan </w:t>
            </w:r>
            <w:r w:rsidRPr="000C685C">
              <w:rPr>
                <w:rFonts w:cs="Tahoma"/>
                <w:szCs w:val="18"/>
              </w:rPr>
              <w:t>at a stable dose for ≥3 months</w:t>
            </w:r>
          </w:p>
          <w:p w:rsidR="00E1668E" w:rsidRPr="000C685C" w:rsidRDefault="00E1668E" w:rsidP="00E1668E">
            <w:pPr>
              <w:pStyle w:val="Tabletext"/>
              <w:numPr>
                <w:ilvl w:val="0"/>
                <w:numId w:val="54"/>
              </w:numPr>
              <w:ind w:left="239" w:hanging="144"/>
              <w:rPr>
                <w:rFonts w:cs="Tahoma"/>
                <w:szCs w:val="18"/>
              </w:rPr>
            </w:pPr>
            <w:r w:rsidRPr="000C685C">
              <w:rPr>
                <w:rFonts w:cs="Tahoma"/>
                <w:szCs w:val="18"/>
              </w:rPr>
              <w:t xml:space="preserve"> 6MWD 100</w:t>
            </w:r>
            <w:r>
              <w:rPr>
                <w:rFonts w:cs="Tahoma"/>
                <w:szCs w:val="18"/>
              </w:rPr>
              <w:t>-450</w:t>
            </w:r>
            <w:r w:rsidR="00C90897">
              <w:rPr>
                <w:rFonts w:cs="Tahoma"/>
                <w:szCs w:val="18"/>
              </w:rPr>
              <w:t> </w:t>
            </w:r>
            <w:r>
              <w:rPr>
                <w:rFonts w:cs="Tahoma"/>
                <w:szCs w:val="18"/>
              </w:rPr>
              <w:t>m</w:t>
            </w:r>
          </w:p>
          <w:p w:rsidR="00E1668E" w:rsidRPr="000C685C" w:rsidRDefault="00E1668E" w:rsidP="00E1668E">
            <w:pPr>
              <w:pStyle w:val="Tabletext"/>
              <w:rPr>
                <w:rFonts w:cs="Tahoma"/>
                <w:i/>
                <w:szCs w:val="18"/>
              </w:rPr>
            </w:pPr>
          </w:p>
          <w:p w:rsidR="00E1668E" w:rsidRDefault="00E1668E" w:rsidP="00E1668E">
            <w:pPr>
              <w:pStyle w:val="Tabletext"/>
              <w:rPr>
                <w:rFonts w:cs="Tahoma"/>
                <w:i/>
                <w:szCs w:val="18"/>
              </w:rPr>
            </w:pPr>
            <w:r>
              <w:rPr>
                <w:rFonts w:cs="Tahoma"/>
                <w:i/>
                <w:szCs w:val="18"/>
              </w:rPr>
              <w:t>Exclusion criteria</w:t>
            </w:r>
          </w:p>
          <w:p w:rsidR="00E1668E" w:rsidRPr="008D5CCF" w:rsidRDefault="00E1668E" w:rsidP="00E1668E">
            <w:pPr>
              <w:pStyle w:val="Tabletext"/>
              <w:numPr>
                <w:ilvl w:val="0"/>
                <w:numId w:val="54"/>
              </w:numPr>
              <w:ind w:left="239" w:hanging="144"/>
              <w:rPr>
                <w:rFonts w:cs="Tahoma"/>
                <w:i/>
                <w:szCs w:val="18"/>
              </w:rPr>
            </w:pPr>
            <w:r>
              <w:rPr>
                <w:rFonts w:cs="Tahoma"/>
                <w:szCs w:val="18"/>
              </w:rPr>
              <w:t>C</w:t>
            </w:r>
            <w:r w:rsidRPr="000C685C">
              <w:rPr>
                <w:rFonts w:cs="Tahoma"/>
                <w:szCs w:val="18"/>
              </w:rPr>
              <w:t xml:space="preserve">hange of dose/class of standard background PAH therapy within 30 days </w:t>
            </w:r>
          </w:p>
          <w:p w:rsidR="00E1668E" w:rsidRPr="008D5CCF" w:rsidRDefault="00E1668E" w:rsidP="00E1668E">
            <w:pPr>
              <w:pStyle w:val="Tabletext"/>
              <w:numPr>
                <w:ilvl w:val="0"/>
                <w:numId w:val="54"/>
              </w:numPr>
              <w:ind w:left="239" w:hanging="144"/>
              <w:rPr>
                <w:rFonts w:cs="Tahoma"/>
                <w:i/>
                <w:szCs w:val="18"/>
              </w:rPr>
            </w:pPr>
            <w:r>
              <w:rPr>
                <w:rFonts w:cs="Tahoma"/>
                <w:szCs w:val="18"/>
              </w:rPr>
              <w:t xml:space="preserve">Current use of </w:t>
            </w:r>
            <w:r w:rsidRPr="000C685C">
              <w:rPr>
                <w:rFonts w:cs="Tahoma"/>
                <w:szCs w:val="18"/>
              </w:rPr>
              <w:t>c</w:t>
            </w:r>
            <w:r>
              <w:rPr>
                <w:rFonts w:cs="Tahoma"/>
                <w:szCs w:val="18"/>
              </w:rPr>
              <w:t>hronic PAH-specific therapy (e</w:t>
            </w:r>
            <w:r w:rsidR="00C90897">
              <w:rPr>
                <w:rFonts w:cs="Tahoma"/>
                <w:szCs w:val="18"/>
              </w:rPr>
              <w:t>.</w:t>
            </w:r>
            <w:r>
              <w:rPr>
                <w:rFonts w:cs="Tahoma"/>
                <w:szCs w:val="18"/>
              </w:rPr>
              <w:t>g</w:t>
            </w:r>
            <w:r w:rsidR="00C90897">
              <w:rPr>
                <w:rFonts w:cs="Tahoma"/>
                <w:szCs w:val="18"/>
              </w:rPr>
              <w:t>.</w:t>
            </w:r>
            <w:r w:rsidRPr="000C685C">
              <w:rPr>
                <w:rFonts w:cs="Tahoma"/>
                <w:szCs w:val="18"/>
              </w:rPr>
              <w:t xml:space="preserve"> prostacyclin, PDE5</w:t>
            </w:r>
            <w:r>
              <w:rPr>
                <w:rFonts w:cs="Tahoma"/>
                <w:szCs w:val="18"/>
              </w:rPr>
              <w:t>i, E</w:t>
            </w:r>
            <w:r w:rsidRPr="000C685C">
              <w:rPr>
                <w:rFonts w:cs="Tahoma"/>
                <w:szCs w:val="18"/>
              </w:rPr>
              <w:t>RA</w:t>
            </w:r>
            <w:r>
              <w:rPr>
                <w:rFonts w:cs="Tahoma"/>
                <w:szCs w:val="18"/>
              </w:rPr>
              <w:t xml:space="preserve"> other than bosentan)</w:t>
            </w:r>
          </w:p>
          <w:p w:rsidR="00E1668E" w:rsidRPr="00883FC6" w:rsidRDefault="00E1668E" w:rsidP="00E1668E">
            <w:pPr>
              <w:pStyle w:val="Tabletext"/>
              <w:numPr>
                <w:ilvl w:val="0"/>
                <w:numId w:val="54"/>
              </w:numPr>
              <w:ind w:left="239" w:hanging="144"/>
              <w:rPr>
                <w:rFonts w:cs="Tahoma"/>
                <w:i/>
                <w:szCs w:val="18"/>
              </w:rPr>
            </w:pPr>
            <w:r w:rsidRPr="000C685C">
              <w:rPr>
                <w:rFonts w:cs="Tahoma"/>
                <w:szCs w:val="18"/>
              </w:rPr>
              <w:t>Acutely decompensated heart failure within 30 days</w:t>
            </w:r>
          </w:p>
          <w:p w:rsidR="00E1668E" w:rsidRPr="00883FC6" w:rsidRDefault="00E1668E" w:rsidP="00E1668E">
            <w:pPr>
              <w:pStyle w:val="Tabletext"/>
              <w:numPr>
                <w:ilvl w:val="0"/>
                <w:numId w:val="54"/>
              </w:numPr>
              <w:ind w:left="239" w:hanging="144"/>
              <w:rPr>
                <w:rFonts w:cs="Tahoma"/>
                <w:i/>
                <w:szCs w:val="18"/>
              </w:rPr>
            </w:pPr>
            <w:r>
              <w:rPr>
                <w:rFonts w:cs="Tahoma"/>
                <w:szCs w:val="18"/>
              </w:rPr>
              <w:t>LVEF</w:t>
            </w:r>
            <w:r w:rsidRPr="000C685C">
              <w:rPr>
                <w:rFonts w:cs="Tahoma"/>
                <w:szCs w:val="18"/>
              </w:rPr>
              <w:t xml:space="preserve"> &lt;45%</w:t>
            </w:r>
          </w:p>
          <w:p w:rsidR="00E1668E" w:rsidRPr="008D5CCF" w:rsidRDefault="00E1668E" w:rsidP="00E1668E">
            <w:pPr>
              <w:pStyle w:val="Tabletext"/>
              <w:numPr>
                <w:ilvl w:val="0"/>
                <w:numId w:val="54"/>
              </w:numPr>
              <w:ind w:left="239" w:hanging="144"/>
              <w:rPr>
                <w:rFonts w:cs="Tahoma"/>
                <w:i/>
                <w:szCs w:val="18"/>
              </w:rPr>
            </w:pPr>
            <w:r>
              <w:rPr>
                <w:rFonts w:cs="Tahoma"/>
                <w:szCs w:val="18"/>
              </w:rPr>
              <w:t>H</w:t>
            </w:r>
            <w:r w:rsidRPr="000C685C">
              <w:rPr>
                <w:rFonts w:cs="Tahoma"/>
                <w:szCs w:val="18"/>
              </w:rPr>
              <w:t>istory of chronic</w:t>
            </w:r>
            <w:r>
              <w:rPr>
                <w:rFonts w:cs="Tahoma"/>
                <w:szCs w:val="18"/>
              </w:rPr>
              <w:t xml:space="preserve"> </w:t>
            </w:r>
            <w:r w:rsidRPr="000C685C">
              <w:rPr>
                <w:rFonts w:cs="Tahoma"/>
                <w:szCs w:val="18"/>
              </w:rPr>
              <w:t>restrictive lung disease</w:t>
            </w:r>
          </w:p>
        </w:tc>
        <w:tc>
          <w:tcPr>
            <w:tcW w:w="0" w:type="auto"/>
          </w:tcPr>
          <w:p w:rsidR="00E1668E" w:rsidRDefault="00E1668E" w:rsidP="00E1668E">
            <w:pPr>
              <w:pStyle w:val="Tabletext"/>
            </w:pPr>
            <w:r>
              <w:t>N=103</w:t>
            </w:r>
          </w:p>
          <w:tbl>
            <w:tblPr>
              <w:tblStyle w:val="TableGrid"/>
              <w:tblW w:w="42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Caption w:val="Patient baseline characteristics in Trial Vizza 2017"/>
            </w:tblPr>
            <w:tblGrid>
              <w:gridCol w:w="2161"/>
              <w:gridCol w:w="1019"/>
              <w:gridCol w:w="1108"/>
            </w:tblGrid>
            <w:tr w:rsidR="00E1668E" w:rsidTr="001D0FDA">
              <w:trPr>
                <w:cnfStyle w:val="100000000000" w:firstRow="1" w:lastRow="0" w:firstColumn="0" w:lastColumn="0" w:oddVBand="0" w:evenVBand="0" w:oddHBand="0" w:evenHBand="0" w:firstRowFirstColumn="0" w:firstRowLastColumn="0" w:lastRowFirstColumn="0" w:lastRowLastColumn="0"/>
              </w:trPr>
              <w:tc>
                <w:tcPr>
                  <w:tcW w:w="2161" w:type="dxa"/>
                  <w:shd w:val="clear" w:color="auto" w:fill="FFFFFF" w:themeFill="background1"/>
                </w:tcPr>
                <w:p w:rsidR="00E1668E" w:rsidRPr="003C0DFB" w:rsidRDefault="00E1668E" w:rsidP="00570FC8">
                  <w:pPr>
                    <w:pStyle w:val="Tabletext"/>
                    <w:framePr w:hSpace="181" w:wrap="around" w:hAnchor="text" w:yAlign="bottom"/>
                    <w:suppressOverlap/>
                  </w:pPr>
                </w:p>
              </w:tc>
              <w:tc>
                <w:tcPr>
                  <w:tcW w:w="1019" w:type="dxa"/>
                  <w:shd w:val="clear" w:color="auto" w:fill="FFFFFF" w:themeFill="background1"/>
                </w:tcPr>
                <w:p w:rsidR="00E1668E" w:rsidRDefault="00E1668E" w:rsidP="00570FC8">
                  <w:pPr>
                    <w:pStyle w:val="Tabletext"/>
                    <w:framePr w:hSpace="181" w:wrap="around" w:hAnchor="text" w:yAlign="bottom"/>
                    <w:suppressOverlap/>
                    <w:jc w:val="center"/>
                  </w:pPr>
                  <w:r w:rsidRPr="00C11B64">
                    <w:t xml:space="preserve">Sildenafil </w:t>
                  </w:r>
                </w:p>
                <w:p w:rsidR="00E1668E" w:rsidRDefault="00E1668E" w:rsidP="00570FC8">
                  <w:pPr>
                    <w:pStyle w:val="Tabletext"/>
                    <w:framePr w:hSpace="181" w:wrap="around" w:hAnchor="text" w:yAlign="bottom"/>
                    <w:suppressOverlap/>
                    <w:jc w:val="center"/>
                    <w:rPr>
                      <w:u w:val="single"/>
                    </w:rPr>
                  </w:pPr>
                  <w:r>
                    <w:t>(N=50)</w:t>
                  </w:r>
                </w:p>
              </w:tc>
              <w:tc>
                <w:tcPr>
                  <w:tcW w:w="1108" w:type="dxa"/>
                  <w:shd w:val="clear" w:color="auto" w:fill="FFFFFF" w:themeFill="background1"/>
                </w:tcPr>
                <w:p w:rsidR="00E1668E" w:rsidRDefault="00E1668E" w:rsidP="00570FC8">
                  <w:pPr>
                    <w:pStyle w:val="Tabletext"/>
                    <w:framePr w:hSpace="181" w:wrap="around" w:hAnchor="text" w:yAlign="bottom"/>
                    <w:suppressOverlap/>
                    <w:jc w:val="center"/>
                  </w:pPr>
                  <w:r>
                    <w:t>Placebo</w:t>
                  </w:r>
                </w:p>
                <w:p w:rsidR="00E1668E" w:rsidRDefault="00E1668E" w:rsidP="00570FC8">
                  <w:pPr>
                    <w:pStyle w:val="Tabletext"/>
                    <w:framePr w:hSpace="181" w:wrap="around" w:hAnchor="text" w:yAlign="bottom"/>
                    <w:suppressOverlap/>
                    <w:jc w:val="center"/>
                  </w:pPr>
                  <w:r>
                    <w:t>(N=53)</w:t>
                  </w:r>
                  <w:r w:rsidRPr="00C11B64">
                    <w:t xml:space="preserve"> </w:t>
                  </w:r>
                </w:p>
              </w:tc>
            </w:tr>
            <w:tr w:rsidR="00E1668E" w:rsidRPr="001B3364" w:rsidTr="001D0FDA">
              <w:tc>
                <w:tcPr>
                  <w:tcW w:w="2161" w:type="dxa"/>
                  <w:shd w:val="clear" w:color="auto" w:fill="FFFFFF" w:themeFill="background1"/>
                </w:tcPr>
                <w:p w:rsidR="00E1668E" w:rsidRDefault="00E1668E" w:rsidP="00570FC8">
                  <w:pPr>
                    <w:pStyle w:val="Tabletext"/>
                    <w:framePr w:hSpace="181" w:wrap="around" w:hAnchor="text" w:yAlign="bottom"/>
                    <w:suppressOverlap/>
                  </w:pPr>
                  <w:r w:rsidRPr="00351FF5">
                    <w:rPr>
                      <w:rFonts w:cs="Tahoma"/>
                      <w:szCs w:val="18"/>
                    </w:rPr>
                    <w:t>Age, mean±SD (yrs)</w:t>
                  </w:r>
                </w:p>
              </w:tc>
              <w:tc>
                <w:tcPr>
                  <w:tcW w:w="1019" w:type="dxa"/>
                  <w:shd w:val="clear" w:color="auto" w:fill="FFFFFF" w:themeFill="background1"/>
                </w:tcPr>
                <w:p w:rsidR="00E1668E" w:rsidRPr="00C5782C" w:rsidRDefault="00E1668E" w:rsidP="00570FC8">
                  <w:pPr>
                    <w:pStyle w:val="Tabletext"/>
                    <w:framePr w:hSpace="181" w:wrap="around" w:hAnchor="text" w:yAlign="bottom"/>
                    <w:suppressOverlap/>
                    <w:jc w:val="center"/>
                  </w:pPr>
                  <w:r>
                    <w:t>55±15</w:t>
                  </w:r>
                </w:p>
              </w:tc>
              <w:tc>
                <w:tcPr>
                  <w:tcW w:w="1108" w:type="dxa"/>
                  <w:shd w:val="clear" w:color="auto" w:fill="FFFFFF" w:themeFill="background1"/>
                </w:tcPr>
                <w:p w:rsidR="00E1668E" w:rsidRPr="00C5782C" w:rsidRDefault="00E1668E" w:rsidP="00570FC8">
                  <w:pPr>
                    <w:pStyle w:val="Tabletext"/>
                    <w:framePr w:hSpace="181" w:wrap="around" w:hAnchor="text" w:yAlign="bottom"/>
                    <w:suppressOverlap/>
                    <w:jc w:val="center"/>
                  </w:pPr>
                  <w:r>
                    <w:t>57±14</w:t>
                  </w:r>
                </w:p>
              </w:tc>
            </w:tr>
            <w:tr w:rsidR="00E1668E" w:rsidRPr="001B3364" w:rsidTr="001D0FDA">
              <w:tc>
                <w:tcPr>
                  <w:tcW w:w="216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19"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uppressOverlap/>
                    <w:jc w:val="center"/>
                  </w:pPr>
                  <w:r>
                    <w:t>37 (74%)</w:t>
                  </w:r>
                </w:p>
              </w:tc>
              <w:tc>
                <w:tcPr>
                  <w:tcW w:w="1108"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uppressOverlap/>
                    <w:jc w:val="center"/>
                  </w:pPr>
                  <w:r>
                    <w:t>41 (77%)</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Aetiology</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IPAH</w:t>
                  </w:r>
                  <w:r>
                    <w:t>/HPAH</w:t>
                  </w:r>
                  <w:r w:rsidRPr="00C5782C">
                    <w:t xml:space="preserve"> </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35 (70%)</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32 (60%)</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PAH-CTD</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15 (30%)</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21 (40%)</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WHO FC</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ind w:left="262"/>
                    <w:suppressOverlap/>
                  </w:pPr>
                  <w:r>
                    <w:t>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20 (40%)</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15 (28%)</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ind w:left="262"/>
                    <w:suppressOverlap/>
                  </w:pPr>
                  <w:r>
                    <w:t>III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29 (58%)</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38 (72%)</w:t>
                  </w:r>
                </w:p>
              </w:tc>
            </w:tr>
            <w:tr w:rsidR="00E1668E" w:rsidRPr="001B3364" w:rsidTr="001D0FDA">
              <w:tc>
                <w:tcPr>
                  <w:tcW w:w="2161" w:type="dxa"/>
                  <w:tcBorders>
                    <w:top w:val="nil"/>
                  </w:tcBorders>
                  <w:shd w:val="clear" w:color="auto" w:fill="FFFFFF" w:themeFill="background1"/>
                </w:tcPr>
                <w:p w:rsidR="00E1668E" w:rsidRDefault="00E1668E" w:rsidP="00570FC8">
                  <w:pPr>
                    <w:pStyle w:val="Tabletext"/>
                    <w:framePr w:hSpace="181" w:wrap="around" w:hAnchor="text" w:yAlign="bottom"/>
                    <w:ind w:left="262"/>
                    <w:suppressOverlap/>
                  </w:pPr>
                  <w:r>
                    <w:t>IV</w:t>
                  </w:r>
                </w:p>
              </w:tc>
              <w:tc>
                <w:tcPr>
                  <w:tcW w:w="1019" w:type="dxa"/>
                  <w:tcBorders>
                    <w:top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1 (2%)</w:t>
                  </w:r>
                </w:p>
              </w:tc>
              <w:tc>
                <w:tcPr>
                  <w:tcW w:w="1108" w:type="dxa"/>
                  <w:tcBorders>
                    <w:top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0 (0%)</w:t>
                  </w:r>
                </w:p>
              </w:tc>
            </w:tr>
            <w:tr w:rsidR="00E1668E" w:rsidRPr="001B3364" w:rsidTr="001D0FDA">
              <w:tc>
                <w:tcPr>
                  <w:tcW w:w="2161" w:type="dxa"/>
                </w:tcPr>
                <w:p w:rsidR="00E1668E" w:rsidRDefault="00E1668E" w:rsidP="00570FC8">
                  <w:pPr>
                    <w:pStyle w:val="Tabletext"/>
                    <w:framePr w:hSpace="181" w:wrap="around" w:hAnchor="text" w:yAlign="bottom"/>
                    <w:suppressOverlap/>
                  </w:pPr>
                  <w:r>
                    <w:rPr>
                      <w:rFonts w:cs="Tahoma"/>
                      <w:szCs w:val="18"/>
                    </w:rPr>
                    <w:t>mPAP</w:t>
                  </w:r>
                  <w:r w:rsidRPr="00351FF5">
                    <w:rPr>
                      <w:rFonts w:cs="Tahoma"/>
                      <w:szCs w:val="18"/>
                    </w:rPr>
                    <w:t>, mean±SD (mmHg)</w:t>
                  </w:r>
                </w:p>
              </w:tc>
              <w:tc>
                <w:tcPr>
                  <w:tcW w:w="1019" w:type="dxa"/>
                  <w:shd w:val="clear" w:color="auto" w:fill="FFFFFF" w:themeFill="background1"/>
                  <w:vAlign w:val="center"/>
                </w:tcPr>
                <w:p w:rsidR="00E1668E" w:rsidRPr="00C5782C" w:rsidRDefault="00E1668E" w:rsidP="00570FC8">
                  <w:pPr>
                    <w:pStyle w:val="Tabletext"/>
                    <w:framePr w:hSpace="181" w:wrap="around" w:hAnchor="text" w:yAlign="bottom"/>
                    <w:suppressOverlap/>
                    <w:jc w:val="center"/>
                  </w:pPr>
                  <w:r>
                    <w:t>47±13</w:t>
                  </w:r>
                </w:p>
              </w:tc>
              <w:tc>
                <w:tcPr>
                  <w:tcW w:w="1108" w:type="dxa"/>
                  <w:shd w:val="clear" w:color="auto" w:fill="FFFFFF" w:themeFill="background1"/>
                  <w:vAlign w:val="center"/>
                </w:tcPr>
                <w:p w:rsidR="00E1668E" w:rsidRPr="00C5782C" w:rsidRDefault="00E1668E" w:rsidP="00570FC8">
                  <w:pPr>
                    <w:pStyle w:val="Tabletext"/>
                    <w:framePr w:hSpace="181" w:wrap="around" w:hAnchor="text" w:yAlign="bottom"/>
                    <w:suppressOverlap/>
                    <w:jc w:val="center"/>
                  </w:pPr>
                  <w:r>
                    <w:t>50±13</w:t>
                  </w:r>
                </w:p>
              </w:tc>
            </w:tr>
          </w:tbl>
          <w:p w:rsidR="00E1668E" w:rsidRDefault="00E1668E" w:rsidP="00E1668E">
            <w:pPr>
              <w:pStyle w:val="Tabletext"/>
            </w:pPr>
          </w:p>
        </w:tc>
        <w:tc>
          <w:tcPr>
            <w:tcW w:w="811" w:type="pct"/>
          </w:tcPr>
          <w:p w:rsidR="00E1668E" w:rsidRDefault="00E1668E" w:rsidP="00E1668E">
            <w:pPr>
              <w:pStyle w:val="Tabletext"/>
              <w:rPr>
                <w:i/>
              </w:rPr>
            </w:pPr>
            <w:r>
              <w:rPr>
                <w:i/>
              </w:rPr>
              <w:t>Intervention</w:t>
            </w:r>
          </w:p>
          <w:p w:rsidR="00E1668E" w:rsidRDefault="00E1668E" w:rsidP="00E1668E">
            <w:pPr>
              <w:pStyle w:val="Tabletext"/>
            </w:pPr>
            <w:r>
              <w:t>Sildenafil: 20</w:t>
            </w:r>
            <w:r w:rsidR="00C90897">
              <w:t> </w:t>
            </w:r>
            <w:r>
              <w:t>mg tid</w:t>
            </w:r>
          </w:p>
          <w:p w:rsidR="00E1668E" w:rsidRDefault="00E1668E" w:rsidP="00E1668E">
            <w:pPr>
              <w:pStyle w:val="Tabletext"/>
            </w:pPr>
          </w:p>
          <w:p w:rsidR="00E1668E" w:rsidRDefault="00E1668E" w:rsidP="00E1668E">
            <w:pPr>
              <w:pStyle w:val="Tabletext"/>
              <w:rPr>
                <w:i/>
              </w:rPr>
            </w:pPr>
            <w:r>
              <w:rPr>
                <w:i/>
              </w:rPr>
              <w:t>Comparator</w:t>
            </w:r>
          </w:p>
          <w:p w:rsidR="00E1668E" w:rsidRDefault="00E1668E" w:rsidP="00E1668E">
            <w:pPr>
              <w:pStyle w:val="Tabletext"/>
            </w:pPr>
            <w:r>
              <w:t>Placebo</w:t>
            </w:r>
          </w:p>
          <w:p w:rsidR="00E1668E" w:rsidRDefault="00E1668E" w:rsidP="00E1668E">
            <w:pPr>
              <w:pStyle w:val="Tabletext"/>
            </w:pPr>
          </w:p>
          <w:p w:rsidR="00E1668E" w:rsidRDefault="00E1668E" w:rsidP="00E1668E">
            <w:pPr>
              <w:pStyle w:val="Tabletext"/>
              <w:rPr>
                <w:i/>
              </w:rPr>
            </w:pPr>
            <w:r>
              <w:rPr>
                <w:i/>
              </w:rPr>
              <w:t>Background therapy</w:t>
            </w:r>
          </w:p>
          <w:p w:rsidR="00E1668E" w:rsidRPr="00E005E2" w:rsidRDefault="00E1668E" w:rsidP="00E1668E">
            <w:pPr>
              <w:pStyle w:val="Tabletext"/>
            </w:pPr>
            <w:r>
              <w:t>Bosentan (100%): 62.5-125</w:t>
            </w:r>
            <w:r w:rsidR="00C90897">
              <w:t> </w:t>
            </w:r>
            <w:r>
              <w:t>mg bid</w:t>
            </w:r>
          </w:p>
        </w:tc>
        <w:tc>
          <w:tcPr>
            <w:tcW w:w="771" w:type="pct"/>
          </w:tcPr>
          <w:p w:rsidR="00E1668E" w:rsidRPr="00EF6EEC" w:rsidRDefault="00E1668E" w:rsidP="00E1668E">
            <w:pPr>
              <w:pStyle w:val="Tabletext"/>
              <w:rPr>
                <w:rFonts w:cs="Tahoma"/>
                <w:i/>
                <w:szCs w:val="18"/>
              </w:rPr>
            </w:pPr>
            <w:r w:rsidRPr="00EF6EEC">
              <w:rPr>
                <w:rFonts w:cs="Tahoma"/>
                <w:i/>
                <w:szCs w:val="18"/>
              </w:rPr>
              <w:t>Effectiveness</w:t>
            </w:r>
          </w:p>
          <w:p w:rsidR="00E1668E" w:rsidRPr="00EF6EEC" w:rsidRDefault="00E1668E" w:rsidP="00E1668E">
            <w:pPr>
              <w:pStyle w:val="Tabletext"/>
              <w:rPr>
                <w:rFonts w:cs="Tahoma"/>
                <w:szCs w:val="18"/>
              </w:rPr>
            </w:pPr>
            <w:r w:rsidRPr="00EF6EEC">
              <w:rPr>
                <w:rFonts w:cs="Tahoma"/>
                <w:szCs w:val="18"/>
              </w:rPr>
              <w:t>Primary:</w:t>
            </w:r>
          </w:p>
          <w:p w:rsidR="00E1668E" w:rsidRDefault="00E1668E" w:rsidP="00E1668E">
            <w:pPr>
              <w:pStyle w:val="Tabletext"/>
              <w:numPr>
                <w:ilvl w:val="0"/>
                <w:numId w:val="54"/>
              </w:numPr>
              <w:ind w:left="239" w:hanging="144"/>
              <w:rPr>
                <w:rFonts w:cs="Tahoma"/>
                <w:szCs w:val="18"/>
              </w:rPr>
            </w:pPr>
            <w:r w:rsidRPr="00E005E2">
              <w:rPr>
                <w:rFonts w:cs="Tahoma"/>
                <w:szCs w:val="18"/>
              </w:rPr>
              <w:t>Change in 6MWD</w:t>
            </w:r>
            <w:r>
              <w:rPr>
                <w:rFonts w:cs="Tahoma"/>
                <w:szCs w:val="18"/>
              </w:rPr>
              <w:t xml:space="preserve"> at Week 12</w:t>
            </w:r>
            <w:r>
              <w:rPr>
                <w:rFonts w:cs="Tahoma"/>
                <w:szCs w:val="18"/>
                <w:vertAlign w:val="superscript"/>
              </w:rPr>
              <w:t>c</w:t>
            </w:r>
          </w:p>
          <w:p w:rsidR="00E1668E" w:rsidRPr="00E005E2" w:rsidRDefault="00E1668E" w:rsidP="00E1668E">
            <w:pPr>
              <w:pStyle w:val="Tabletext"/>
              <w:rPr>
                <w:rFonts w:cs="Tahoma"/>
                <w:szCs w:val="18"/>
              </w:rPr>
            </w:pPr>
            <w:r>
              <w:rPr>
                <w:rFonts w:cs="Tahoma"/>
                <w:szCs w:val="18"/>
              </w:rPr>
              <w:t>Secondary:</w:t>
            </w:r>
          </w:p>
          <w:p w:rsidR="00E1668E" w:rsidRPr="00E005E2" w:rsidRDefault="00E1668E" w:rsidP="00E1668E">
            <w:pPr>
              <w:pStyle w:val="Tabletext"/>
              <w:numPr>
                <w:ilvl w:val="0"/>
                <w:numId w:val="54"/>
              </w:numPr>
              <w:ind w:left="239" w:hanging="144"/>
              <w:rPr>
                <w:rFonts w:cs="Tahoma"/>
                <w:szCs w:val="18"/>
              </w:rPr>
            </w:pPr>
            <w:r w:rsidRPr="00E005E2">
              <w:rPr>
                <w:rFonts w:cs="Tahoma"/>
                <w:szCs w:val="18"/>
              </w:rPr>
              <w:t>Change in WHO FC</w:t>
            </w:r>
            <w:r>
              <w:rPr>
                <w:rFonts w:cs="Tahoma"/>
                <w:szCs w:val="18"/>
                <w:vertAlign w:val="superscript"/>
              </w:rPr>
              <w:t>c</w:t>
            </w:r>
          </w:p>
          <w:p w:rsidR="00E1668E" w:rsidRDefault="00E1668E" w:rsidP="00E1668E">
            <w:pPr>
              <w:pStyle w:val="Tabletext"/>
              <w:numPr>
                <w:ilvl w:val="0"/>
                <w:numId w:val="54"/>
              </w:numPr>
              <w:ind w:left="239" w:hanging="144"/>
              <w:rPr>
                <w:rFonts w:cs="Tahoma"/>
                <w:szCs w:val="18"/>
              </w:rPr>
            </w:pPr>
            <w:r w:rsidRPr="00E005E2">
              <w:rPr>
                <w:rFonts w:cs="Tahoma"/>
                <w:szCs w:val="18"/>
              </w:rPr>
              <w:t>Time to clinical worsening</w:t>
            </w:r>
            <w:r>
              <w:rPr>
                <w:rFonts w:cs="Tahoma"/>
                <w:szCs w:val="18"/>
                <w:vertAlign w:val="superscript"/>
              </w:rPr>
              <w:t>c</w:t>
            </w:r>
          </w:p>
          <w:p w:rsidR="00E1668E" w:rsidRDefault="00E1668E" w:rsidP="00E1668E">
            <w:pPr>
              <w:pStyle w:val="Tabletext"/>
              <w:rPr>
                <w:rFonts w:cs="Tahoma"/>
                <w:szCs w:val="18"/>
              </w:rPr>
            </w:pPr>
            <w:r>
              <w:rPr>
                <w:rFonts w:cs="Tahoma"/>
                <w:szCs w:val="18"/>
              </w:rPr>
              <w:t>Others:</w:t>
            </w:r>
          </w:p>
          <w:p w:rsidR="00E1668E" w:rsidRDefault="00E1668E" w:rsidP="00E1668E">
            <w:pPr>
              <w:pStyle w:val="Tabletext"/>
              <w:numPr>
                <w:ilvl w:val="0"/>
                <w:numId w:val="54"/>
              </w:numPr>
              <w:ind w:left="239" w:hanging="144"/>
              <w:rPr>
                <w:rFonts w:cs="Tahoma"/>
                <w:szCs w:val="18"/>
              </w:rPr>
            </w:pPr>
            <w:r>
              <w:rPr>
                <w:rFonts w:cs="Tahoma"/>
                <w:szCs w:val="18"/>
              </w:rPr>
              <w:t>Mortality</w:t>
            </w:r>
            <w:r>
              <w:rPr>
                <w:rFonts w:cs="Tahoma"/>
                <w:szCs w:val="18"/>
                <w:vertAlign w:val="superscript"/>
              </w:rPr>
              <w:t>c</w:t>
            </w:r>
            <w:r w:rsidRPr="00EF6EEC">
              <w:rPr>
                <w:rFonts w:cs="Tahoma"/>
                <w:szCs w:val="18"/>
              </w:rPr>
              <w:t xml:space="preserve"> </w:t>
            </w:r>
          </w:p>
          <w:p w:rsidR="00E1668E" w:rsidRDefault="00E1668E" w:rsidP="00E1668E">
            <w:pPr>
              <w:pStyle w:val="Tabletext"/>
              <w:numPr>
                <w:ilvl w:val="0"/>
                <w:numId w:val="54"/>
              </w:numPr>
              <w:ind w:left="239" w:hanging="144"/>
              <w:rPr>
                <w:rFonts w:cs="Tahoma"/>
                <w:szCs w:val="18"/>
              </w:rPr>
            </w:pPr>
            <w:r>
              <w:rPr>
                <w:rFonts w:cs="Tahoma"/>
                <w:szCs w:val="18"/>
              </w:rPr>
              <w:t>Hospitalisation due to PAH</w:t>
            </w:r>
            <w:r>
              <w:rPr>
                <w:rFonts w:cs="Tahoma"/>
                <w:szCs w:val="18"/>
                <w:vertAlign w:val="superscript"/>
              </w:rPr>
              <w:t>c</w:t>
            </w:r>
          </w:p>
          <w:p w:rsidR="00E1668E" w:rsidRPr="00EF6EEC" w:rsidRDefault="00E1668E" w:rsidP="00E1668E">
            <w:pPr>
              <w:pStyle w:val="Tabletext"/>
              <w:ind w:left="239" w:firstLine="720"/>
              <w:rPr>
                <w:rFonts w:cs="Tahoma"/>
                <w:szCs w:val="18"/>
              </w:rPr>
            </w:pPr>
          </w:p>
          <w:p w:rsidR="00E1668E" w:rsidRPr="00EF6EEC" w:rsidRDefault="00E1668E" w:rsidP="00E1668E">
            <w:pPr>
              <w:pStyle w:val="Tabletext"/>
              <w:rPr>
                <w:rFonts w:cs="Tahoma"/>
                <w:i/>
                <w:szCs w:val="18"/>
              </w:rPr>
            </w:pPr>
            <w:r w:rsidRPr="00EF6EEC">
              <w:rPr>
                <w:rFonts w:cs="Tahoma"/>
                <w:i/>
                <w:szCs w:val="18"/>
              </w:rPr>
              <w:t>Safety</w:t>
            </w:r>
          </w:p>
          <w:p w:rsidR="00E1668E" w:rsidRPr="00723AC5" w:rsidRDefault="00E1668E" w:rsidP="00E1668E">
            <w:pPr>
              <w:pStyle w:val="Tabletext"/>
              <w:numPr>
                <w:ilvl w:val="0"/>
                <w:numId w:val="54"/>
              </w:numPr>
              <w:ind w:left="239" w:hanging="144"/>
              <w:rPr>
                <w:rFonts w:cs="Tahoma"/>
                <w:i/>
                <w:szCs w:val="18"/>
              </w:rPr>
            </w:pPr>
            <w:r w:rsidRPr="00EF6EEC">
              <w:rPr>
                <w:rFonts w:cs="Tahoma"/>
                <w:szCs w:val="18"/>
              </w:rPr>
              <w:t>Adverse events</w:t>
            </w:r>
            <w:r>
              <w:rPr>
                <w:rFonts w:cs="Tahoma"/>
                <w:szCs w:val="18"/>
                <w:vertAlign w:val="superscript"/>
              </w:rPr>
              <w:t>c</w:t>
            </w:r>
          </w:p>
        </w:tc>
      </w:tr>
      <w:tr w:rsidR="00E1668E" w:rsidRPr="00204000" w:rsidTr="00E1668E">
        <w:tc>
          <w:tcPr>
            <w:tcW w:w="531" w:type="pct"/>
            <w:tcBorders>
              <w:top w:val="single" w:sz="4" w:space="0" w:color="auto"/>
              <w:left w:val="single" w:sz="4" w:space="0" w:color="auto"/>
              <w:bottom w:val="single" w:sz="4" w:space="0" w:color="auto"/>
              <w:right w:val="single" w:sz="4" w:space="0" w:color="auto"/>
            </w:tcBorders>
          </w:tcPr>
          <w:p w:rsidR="00E1668E" w:rsidRPr="00D53F84" w:rsidRDefault="00E1668E" w:rsidP="00E1668E">
            <w:pPr>
              <w:pStyle w:val="Tabletext"/>
              <w:ind w:right="-28"/>
              <w:rPr>
                <w:rFonts w:eastAsia="Times New Roman"/>
                <w:lang w:eastAsia="en-US"/>
              </w:rPr>
            </w:pPr>
            <w:r w:rsidRPr="00D53F84">
              <w:rPr>
                <w:rFonts w:eastAsia="Times New Roman"/>
                <w:lang w:eastAsia="en-US"/>
              </w:rPr>
              <w:t>Zhuang 2014</w:t>
            </w:r>
            <w:r w:rsidRPr="001A1C44">
              <w:rPr>
                <w:rFonts w:eastAsia="Times New Roman"/>
                <w:noProof/>
                <w:vertAlign w:val="superscript"/>
                <w:lang w:eastAsia="en-US"/>
              </w:rPr>
              <w:t>50</w:t>
            </w:r>
          </w:p>
          <w:p w:rsidR="00E1668E" w:rsidRPr="00D53F84" w:rsidRDefault="00E1668E" w:rsidP="00E1668E">
            <w:pPr>
              <w:pStyle w:val="Tabletext"/>
              <w:ind w:right="-28"/>
              <w:rPr>
                <w:rFonts w:eastAsia="Times New Roman"/>
                <w:lang w:eastAsia="en-US"/>
              </w:rPr>
            </w:pPr>
            <w:r w:rsidRPr="00D53F84">
              <w:rPr>
                <w:rFonts w:eastAsia="Times New Roman"/>
                <w:snapToGrid w:val="0"/>
                <w:lang w:eastAsia="en-US"/>
              </w:rPr>
              <w:t>2011-2013</w:t>
            </w:r>
          </w:p>
          <w:p w:rsidR="00E1668E" w:rsidRPr="00D53F84" w:rsidRDefault="00E1668E" w:rsidP="00E1668E">
            <w:pPr>
              <w:pStyle w:val="Tabletext"/>
              <w:ind w:right="-28"/>
              <w:rPr>
                <w:rFonts w:eastAsia="Times New Roman"/>
                <w:lang w:eastAsia="en-US"/>
              </w:rPr>
            </w:pPr>
            <w:r w:rsidRPr="00D53F84">
              <w:rPr>
                <w:rFonts w:eastAsia="Times New Roman"/>
                <w:snapToGrid w:val="0"/>
                <w:lang w:eastAsia="en-US"/>
              </w:rPr>
              <w:t>China</w:t>
            </w:r>
          </w:p>
        </w:tc>
        <w:tc>
          <w:tcPr>
            <w:tcW w:w="476" w:type="pct"/>
            <w:tcBorders>
              <w:top w:val="single" w:sz="4" w:space="0" w:color="auto"/>
              <w:left w:val="single" w:sz="4" w:space="0" w:color="auto"/>
              <w:bottom w:val="single" w:sz="4" w:space="0" w:color="auto"/>
              <w:right w:val="single" w:sz="4" w:space="0" w:color="auto"/>
            </w:tcBorders>
          </w:tcPr>
          <w:p w:rsidR="00E1668E" w:rsidRPr="00D53F84" w:rsidRDefault="00E1668E" w:rsidP="00E1668E">
            <w:pPr>
              <w:pStyle w:val="Tabletext"/>
              <w:ind w:right="-28"/>
              <w:rPr>
                <w:rFonts w:eastAsia="Times New Roman"/>
                <w:snapToGrid w:val="0"/>
                <w:lang w:eastAsia="en-US"/>
              </w:rPr>
            </w:pPr>
            <w:r w:rsidRPr="00D53F84">
              <w:rPr>
                <w:rFonts w:eastAsia="Times New Roman"/>
                <w:snapToGrid w:val="0"/>
                <w:lang w:eastAsia="en-US"/>
              </w:rPr>
              <w:t xml:space="preserve">RCT, DB </w:t>
            </w:r>
          </w:p>
          <w:p w:rsidR="00E1668E" w:rsidRDefault="00E1668E" w:rsidP="00E1668E">
            <w:pPr>
              <w:pStyle w:val="Tabletext"/>
              <w:ind w:right="-28"/>
              <w:rPr>
                <w:rFonts w:eastAsia="Times New Roman"/>
                <w:snapToGrid w:val="0"/>
                <w:lang w:eastAsia="en-US"/>
              </w:rPr>
            </w:pPr>
            <w:r>
              <w:rPr>
                <w:rFonts w:eastAsia="Times New Roman"/>
                <w:snapToGrid w:val="0"/>
                <w:lang w:eastAsia="en-US"/>
              </w:rPr>
              <w:t>Level II evidence</w:t>
            </w:r>
          </w:p>
          <w:p w:rsidR="00E1668E" w:rsidRPr="00D53F84" w:rsidRDefault="00E1668E" w:rsidP="00E1668E">
            <w:pPr>
              <w:pStyle w:val="Tabletext"/>
              <w:ind w:right="-28"/>
              <w:rPr>
                <w:rFonts w:eastAsia="Times New Roman"/>
                <w:snapToGrid w:val="0"/>
                <w:lang w:eastAsia="en-US"/>
              </w:rPr>
            </w:pPr>
            <w:r>
              <w:rPr>
                <w:rFonts w:eastAsia="Times New Roman"/>
                <w:snapToGrid w:val="0"/>
                <w:lang w:eastAsia="en-US"/>
              </w:rPr>
              <w:t xml:space="preserve">Follow-up: </w:t>
            </w:r>
            <w:r w:rsidRPr="00D53F84">
              <w:rPr>
                <w:rFonts w:eastAsia="Times New Roman"/>
                <w:snapToGrid w:val="0"/>
                <w:lang w:eastAsia="en-US"/>
              </w:rPr>
              <w:t>16 weeks</w:t>
            </w:r>
          </w:p>
          <w:p w:rsidR="00E1668E" w:rsidRPr="00D53F84" w:rsidRDefault="00E1668E" w:rsidP="00E1668E">
            <w:pPr>
              <w:pStyle w:val="Tabletext"/>
              <w:ind w:right="-28"/>
              <w:rPr>
                <w:rFonts w:eastAsia="Times New Roman"/>
                <w:snapToGrid w:val="0"/>
                <w:lang w:eastAsia="en-US"/>
              </w:rPr>
            </w:pPr>
            <w:r>
              <w:rPr>
                <w:rFonts w:eastAsia="Times New Roman"/>
                <w:snapToGrid w:val="0"/>
                <w:lang w:eastAsia="en-US"/>
              </w:rPr>
              <w:t>Risk of bias: l</w:t>
            </w:r>
            <w:r w:rsidRPr="00D53F84">
              <w:rPr>
                <w:rFonts w:eastAsia="Times New Roman"/>
                <w:snapToGrid w:val="0"/>
                <w:lang w:eastAsia="en-US"/>
              </w:rPr>
              <w:t>ow-to-moderate</w:t>
            </w:r>
          </w:p>
        </w:tc>
        <w:tc>
          <w:tcPr>
            <w:tcW w:w="772" w:type="pct"/>
          </w:tcPr>
          <w:p w:rsidR="00E1668E" w:rsidRDefault="00E1668E" w:rsidP="00E1668E">
            <w:pPr>
              <w:pStyle w:val="Tabletext"/>
              <w:rPr>
                <w:rFonts w:cs="Tahoma"/>
                <w:i/>
                <w:szCs w:val="18"/>
              </w:rPr>
            </w:pPr>
            <w:r w:rsidRPr="00087357">
              <w:rPr>
                <w:rFonts w:cs="Tahoma"/>
                <w:i/>
                <w:szCs w:val="18"/>
              </w:rPr>
              <w:t>Inclusion criteria</w:t>
            </w:r>
          </w:p>
          <w:p w:rsidR="00E1668E" w:rsidRDefault="00E1668E" w:rsidP="00E1668E">
            <w:pPr>
              <w:pStyle w:val="Tabletext"/>
              <w:numPr>
                <w:ilvl w:val="0"/>
                <w:numId w:val="54"/>
              </w:numPr>
              <w:ind w:left="239" w:hanging="144"/>
              <w:rPr>
                <w:rFonts w:cs="Tahoma"/>
                <w:szCs w:val="18"/>
              </w:rPr>
            </w:pPr>
            <w:r>
              <w:rPr>
                <w:rFonts w:cs="Tahoma"/>
                <w:szCs w:val="18"/>
              </w:rPr>
              <w:t xml:space="preserve">Age of </w:t>
            </w:r>
            <w:r w:rsidRPr="00087357">
              <w:rPr>
                <w:rFonts w:cs="Tahoma"/>
                <w:szCs w:val="18"/>
              </w:rPr>
              <w:t>18</w:t>
            </w:r>
            <w:r>
              <w:rPr>
                <w:rFonts w:cs="Tahoma"/>
                <w:szCs w:val="18"/>
              </w:rPr>
              <w:t>-</w:t>
            </w:r>
            <w:r w:rsidRPr="00087357">
              <w:rPr>
                <w:rFonts w:cs="Tahoma"/>
                <w:szCs w:val="18"/>
              </w:rPr>
              <w:t xml:space="preserve">70 years </w:t>
            </w:r>
          </w:p>
          <w:p w:rsidR="00E1668E" w:rsidRDefault="00E1668E" w:rsidP="00E1668E">
            <w:pPr>
              <w:pStyle w:val="Tabletext"/>
              <w:numPr>
                <w:ilvl w:val="0"/>
                <w:numId w:val="54"/>
              </w:numPr>
              <w:ind w:left="239" w:hanging="144"/>
              <w:rPr>
                <w:rFonts w:cs="Tahoma"/>
                <w:szCs w:val="18"/>
              </w:rPr>
            </w:pPr>
            <w:r>
              <w:rPr>
                <w:rFonts w:cs="Tahoma"/>
                <w:szCs w:val="18"/>
              </w:rPr>
              <w:t xml:space="preserve">Patients </w:t>
            </w:r>
            <w:r w:rsidRPr="00087357">
              <w:rPr>
                <w:rFonts w:cs="Tahoma"/>
                <w:szCs w:val="18"/>
              </w:rPr>
              <w:t xml:space="preserve">with symptomatic </w:t>
            </w:r>
            <w:r>
              <w:rPr>
                <w:rFonts w:cs="Tahoma"/>
                <w:szCs w:val="18"/>
              </w:rPr>
              <w:t>I</w:t>
            </w:r>
            <w:r w:rsidRPr="00087357">
              <w:rPr>
                <w:rFonts w:cs="Tahoma"/>
                <w:szCs w:val="18"/>
              </w:rPr>
              <w:t>PAH</w:t>
            </w:r>
            <w:r>
              <w:rPr>
                <w:rFonts w:cs="Tahoma"/>
                <w:szCs w:val="18"/>
              </w:rPr>
              <w:t>, HPAH, PAH-CTD, PAH-CHD (repaired) or PAH-DT</w:t>
            </w:r>
          </w:p>
          <w:p w:rsidR="00E1668E" w:rsidRDefault="00E1668E" w:rsidP="00E1668E">
            <w:pPr>
              <w:pStyle w:val="Tabletext"/>
              <w:numPr>
                <w:ilvl w:val="0"/>
                <w:numId w:val="54"/>
              </w:numPr>
              <w:ind w:left="239" w:hanging="144"/>
              <w:rPr>
                <w:rFonts w:cs="Tahoma"/>
                <w:szCs w:val="18"/>
              </w:rPr>
            </w:pPr>
            <w:r>
              <w:rPr>
                <w:rFonts w:cs="Tahoma"/>
                <w:szCs w:val="18"/>
              </w:rPr>
              <w:t>Patients with a stable WHO FC for ≥1 month</w:t>
            </w:r>
          </w:p>
          <w:p w:rsidR="00E1668E" w:rsidRDefault="00E1668E" w:rsidP="00E1668E">
            <w:pPr>
              <w:pStyle w:val="Tabletext"/>
              <w:numPr>
                <w:ilvl w:val="0"/>
                <w:numId w:val="54"/>
              </w:numPr>
              <w:ind w:left="239" w:hanging="144"/>
              <w:rPr>
                <w:rFonts w:cs="Tahoma"/>
                <w:szCs w:val="18"/>
              </w:rPr>
            </w:pPr>
            <w:r>
              <w:rPr>
                <w:rFonts w:cs="Tahoma"/>
                <w:szCs w:val="18"/>
              </w:rPr>
              <w:t xml:space="preserve">Patients who had </w:t>
            </w:r>
            <w:r w:rsidRPr="00087357">
              <w:rPr>
                <w:rFonts w:cs="Tahoma"/>
                <w:szCs w:val="18"/>
              </w:rPr>
              <w:t>receiv</w:t>
            </w:r>
            <w:r>
              <w:rPr>
                <w:rFonts w:cs="Tahoma"/>
                <w:szCs w:val="18"/>
              </w:rPr>
              <w:t>ed</w:t>
            </w:r>
            <w:r w:rsidRPr="00087357">
              <w:rPr>
                <w:rFonts w:cs="Tahoma"/>
                <w:szCs w:val="18"/>
              </w:rPr>
              <w:t xml:space="preserve"> ambrisentan for </w:t>
            </w:r>
            <w:r>
              <w:rPr>
                <w:rFonts w:cs="Tahoma"/>
                <w:szCs w:val="18"/>
              </w:rPr>
              <w:t>≥</w:t>
            </w:r>
            <w:r w:rsidRPr="00087357">
              <w:rPr>
                <w:rFonts w:cs="Tahoma"/>
                <w:szCs w:val="18"/>
              </w:rPr>
              <w:t xml:space="preserve">4 months </w:t>
            </w:r>
          </w:p>
          <w:p w:rsidR="00E1668E" w:rsidRPr="00087357" w:rsidRDefault="00E1668E" w:rsidP="00E1668E">
            <w:pPr>
              <w:pStyle w:val="Tabletext"/>
              <w:numPr>
                <w:ilvl w:val="0"/>
                <w:numId w:val="54"/>
              </w:numPr>
              <w:ind w:left="239" w:hanging="144"/>
              <w:rPr>
                <w:rFonts w:cs="Tahoma"/>
                <w:szCs w:val="18"/>
              </w:rPr>
            </w:pPr>
            <w:r w:rsidRPr="00087357">
              <w:rPr>
                <w:rFonts w:cs="Tahoma"/>
                <w:szCs w:val="18"/>
              </w:rPr>
              <w:t>6MWD 150</w:t>
            </w:r>
            <w:r>
              <w:rPr>
                <w:rFonts w:cs="Tahoma"/>
                <w:szCs w:val="18"/>
              </w:rPr>
              <w:t>-</w:t>
            </w:r>
            <w:r w:rsidRPr="00087357">
              <w:rPr>
                <w:rFonts w:cs="Tahoma"/>
                <w:szCs w:val="18"/>
              </w:rPr>
              <w:t>400</w:t>
            </w:r>
            <w:r w:rsidR="00C90897">
              <w:rPr>
                <w:rFonts w:cs="Tahoma"/>
                <w:szCs w:val="18"/>
              </w:rPr>
              <w:t> </w:t>
            </w:r>
            <w:r w:rsidRPr="00087357">
              <w:rPr>
                <w:rFonts w:cs="Tahoma"/>
                <w:szCs w:val="18"/>
              </w:rPr>
              <w:t>m</w:t>
            </w:r>
          </w:p>
          <w:p w:rsidR="00E1668E" w:rsidRPr="00087357" w:rsidRDefault="00E1668E" w:rsidP="00E1668E">
            <w:pPr>
              <w:pStyle w:val="Tabletext"/>
              <w:rPr>
                <w:rFonts w:cs="Tahoma"/>
                <w:i/>
                <w:szCs w:val="18"/>
              </w:rPr>
            </w:pPr>
          </w:p>
          <w:p w:rsidR="00E1668E" w:rsidRDefault="00E1668E" w:rsidP="00E1668E">
            <w:pPr>
              <w:pStyle w:val="Tabletext"/>
              <w:rPr>
                <w:rFonts w:cs="Tahoma"/>
                <w:i/>
                <w:szCs w:val="18"/>
              </w:rPr>
            </w:pPr>
            <w:r w:rsidRPr="00087357">
              <w:rPr>
                <w:rFonts w:cs="Tahoma"/>
                <w:i/>
                <w:szCs w:val="18"/>
              </w:rPr>
              <w:t>Exclusion criteria</w:t>
            </w:r>
          </w:p>
          <w:p w:rsidR="00E1668E" w:rsidRPr="005E60A7" w:rsidRDefault="00E1668E" w:rsidP="00E1668E">
            <w:pPr>
              <w:pStyle w:val="Tabletext"/>
              <w:numPr>
                <w:ilvl w:val="0"/>
                <w:numId w:val="54"/>
              </w:numPr>
              <w:ind w:left="239" w:hanging="144"/>
              <w:rPr>
                <w:rFonts w:cs="Tahoma"/>
                <w:i/>
                <w:szCs w:val="18"/>
              </w:rPr>
            </w:pPr>
            <w:r w:rsidRPr="00087357">
              <w:rPr>
                <w:rFonts w:cs="Tahoma"/>
                <w:szCs w:val="18"/>
              </w:rPr>
              <w:t>Patients with portal hypertension, left-sided or unrepaired CHD, or substantial obstructive or restrictive lung disease</w:t>
            </w:r>
          </w:p>
        </w:tc>
        <w:tc>
          <w:tcPr>
            <w:tcW w:w="0" w:type="auto"/>
          </w:tcPr>
          <w:p w:rsidR="00E1668E" w:rsidRDefault="00E1668E" w:rsidP="00E1668E">
            <w:pPr>
              <w:pStyle w:val="Tabletext"/>
            </w:pPr>
            <w:r>
              <w:t>N=124</w:t>
            </w:r>
          </w:p>
          <w:tbl>
            <w:tblPr>
              <w:tblStyle w:val="TableGrid"/>
              <w:tblW w:w="42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Caption w:val="Patient baseline characteristics in Trial Zhuang 2014"/>
            </w:tblPr>
            <w:tblGrid>
              <w:gridCol w:w="2161"/>
              <w:gridCol w:w="1019"/>
              <w:gridCol w:w="1108"/>
            </w:tblGrid>
            <w:tr w:rsidR="00E1668E" w:rsidTr="001D0FDA">
              <w:trPr>
                <w:cnfStyle w:val="100000000000" w:firstRow="1" w:lastRow="0" w:firstColumn="0" w:lastColumn="0" w:oddVBand="0" w:evenVBand="0" w:oddHBand="0" w:evenHBand="0" w:firstRowFirstColumn="0" w:firstRowLastColumn="0" w:lastRowFirstColumn="0" w:lastRowLastColumn="0"/>
              </w:trPr>
              <w:tc>
                <w:tcPr>
                  <w:tcW w:w="2161" w:type="dxa"/>
                  <w:shd w:val="clear" w:color="auto" w:fill="FFFFFF" w:themeFill="background1"/>
                </w:tcPr>
                <w:p w:rsidR="00E1668E" w:rsidRPr="003C0DFB" w:rsidRDefault="00E1668E" w:rsidP="00570FC8">
                  <w:pPr>
                    <w:pStyle w:val="Tabletext"/>
                    <w:framePr w:hSpace="181" w:wrap="around" w:hAnchor="text" w:yAlign="bottom"/>
                    <w:suppressOverlap/>
                  </w:pPr>
                </w:p>
              </w:tc>
              <w:tc>
                <w:tcPr>
                  <w:tcW w:w="1019" w:type="dxa"/>
                  <w:shd w:val="clear" w:color="auto" w:fill="FFFFFF" w:themeFill="background1"/>
                </w:tcPr>
                <w:p w:rsidR="00E1668E" w:rsidRDefault="00E1668E" w:rsidP="00570FC8">
                  <w:pPr>
                    <w:pStyle w:val="Tabletext"/>
                    <w:framePr w:hSpace="181" w:wrap="around" w:hAnchor="text" w:yAlign="bottom"/>
                    <w:suppressOverlap/>
                    <w:jc w:val="center"/>
                  </w:pPr>
                  <w:r>
                    <w:t>Tadalafil</w:t>
                  </w:r>
                  <w:r w:rsidRPr="00C11B64">
                    <w:t xml:space="preserve"> </w:t>
                  </w:r>
                </w:p>
                <w:p w:rsidR="00E1668E" w:rsidRDefault="00E1668E" w:rsidP="00570FC8">
                  <w:pPr>
                    <w:pStyle w:val="Tabletext"/>
                    <w:framePr w:hSpace="181" w:wrap="around" w:hAnchor="text" w:yAlign="bottom"/>
                    <w:suppressOverlap/>
                    <w:jc w:val="center"/>
                    <w:rPr>
                      <w:u w:val="single"/>
                    </w:rPr>
                  </w:pPr>
                  <w:r>
                    <w:t>(N=60)</w:t>
                  </w:r>
                </w:p>
              </w:tc>
              <w:tc>
                <w:tcPr>
                  <w:tcW w:w="1108" w:type="dxa"/>
                  <w:shd w:val="clear" w:color="auto" w:fill="FFFFFF" w:themeFill="background1"/>
                </w:tcPr>
                <w:p w:rsidR="00E1668E" w:rsidRDefault="00E1668E" w:rsidP="00570FC8">
                  <w:pPr>
                    <w:pStyle w:val="Tabletext"/>
                    <w:framePr w:hSpace="181" w:wrap="around" w:hAnchor="text" w:yAlign="bottom"/>
                    <w:suppressOverlap/>
                    <w:jc w:val="center"/>
                  </w:pPr>
                  <w:r>
                    <w:t>Placebo</w:t>
                  </w:r>
                </w:p>
                <w:p w:rsidR="00E1668E" w:rsidRDefault="00E1668E" w:rsidP="00570FC8">
                  <w:pPr>
                    <w:pStyle w:val="Tabletext"/>
                    <w:framePr w:hSpace="181" w:wrap="around" w:hAnchor="text" w:yAlign="bottom"/>
                    <w:suppressOverlap/>
                    <w:jc w:val="center"/>
                  </w:pPr>
                  <w:r>
                    <w:t>(N=64)</w:t>
                  </w:r>
                  <w:r w:rsidRPr="00C11B64">
                    <w:t xml:space="preserve"> </w:t>
                  </w:r>
                </w:p>
              </w:tc>
            </w:tr>
            <w:tr w:rsidR="00E1668E" w:rsidRPr="001B3364" w:rsidTr="001D0FDA">
              <w:tc>
                <w:tcPr>
                  <w:tcW w:w="2161" w:type="dxa"/>
                  <w:shd w:val="clear" w:color="auto" w:fill="FFFFFF" w:themeFill="background1"/>
                </w:tcPr>
                <w:p w:rsidR="00E1668E" w:rsidRDefault="00E1668E" w:rsidP="00570FC8">
                  <w:pPr>
                    <w:pStyle w:val="Tabletext"/>
                    <w:framePr w:hSpace="181" w:wrap="around" w:hAnchor="text" w:yAlign="bottom"/>
                    <w:suppressOverlap/>
                  </w:pPr>
                  <w:r w:rsidRPr="00351FF5">
                    <w:rPr>
                      <w:rFonts w:cs="Tahoma"/>
                      <w:szCs w:val="18"/>
                    </w:rPr>
                    <w:t>Age, mean±SD (yrs)</w:t>
                  </w:r>
                </w:p>
              </w:tc>
              <w:tc>
                <w:tcPr>
                  <w:tcW w:w="1019" w:type="dxa"/>
                  <w:shd w:val="clear" w:color="auto" w:fill="FFFFFF" w:themeFill="background1"/>
                </w:tcPr>
                <w:p w:rsidR="00E1668E" w:rsidRPr="00C5782C" w:rsidRDefault="00E1668E" w:rsidP="00570FC8">
                  <w:pPr>
                    <w:pStyle w:val="Tabletext"/>
                    <w:framePr w:hSpace="181" w:wrap="around" w:hAnchor="text" w:yAlign="bottom"/>
                    <w:suppressOverlap/>
                    <w:jc w:val="center"/>
                  </w:pPr>
                  <w:r>
                    <w:t>52±12</w:t>
                  </w:r>
                </w:p>
              </w:tc>
              <w:tc>
                <w:tcPr>
                  <w:tcW w:w="1108" w:type="dxa"/>
                  <w:shd w:val="clear" w:color="auto" w:fill="FFFFFF" w:themeFill="background1"/>
                </w:tcPr>
                <w:p w:rsidR="00E1668E" w:rsidRPr="00C5782C" w:rsidRDefault="00E1668E" w:rsidP="00570FC8">
                  <w:pPr>
                    <w:pStyle w:val="Tabletext"/>
                    <w:framePr w:hSpace="181" w:wrap="around" w:hAnchor="text" w:yAlign="bottom"/>
                    <w:suppressOverlap/>
                    <w:jc w:val="center"/>
                  </w:pPr>
                  <w:r>
                    <w:t>51±14</w:t>
                  </w:r>
                </w:p>
              </w:tc>
            </w:tr>
            <w:tr w:rsidR="00E1668E" w:rsidRPr="001B3364" w:rsidTr="001D0FDA">
              <w:tc>
                <w:tcPr>
                  <w:tcW w:w="2161" w:type="dxa"/>
                  <w:tcBorders>
                    <w:bottom w:val="single" w:sz="4" w:space="0" w:color="BFBFBF" w:themeColor="background1" w:themeShade="BF"/>
                  </w:tcBorders>
                </w:tcPr>
                <w:p w:rsidR="00E1668E" w:rsidRPr="00351FF5" w:rsidRDefault="00E1668E" w:rsidP="00570FC8">
                  <w:pPr>
                    <w:pStyle w:val="Tabletext"/>
                    <w:framePr w:hSpace="181" w:wrap="around" w:hAnchor="text" w:yAlign="bottom"/>
                    <w:suppressOverlap/>
                    <w:rPr>
                      <w:rFonts w:cs="Tahoma"/>
                      <w:szCs w:val="18"/>
                    </w:rPr>
                  </w:pPr>
                  <w:r w:rsidRPr="00351FF5">
                    <w:rPr>
                      <w:rFonts w:cs="Tahoma"/>
                      <w:szCs w:val="18"/>
                    </w:rPr>
                    <w:t>Gender, femal</w:t>
                  </w:r>
                  <w:r>
                    <w:rPr>
                      <w:rFonts w:cs="Tahoma"/>
                      <w:szCs w:val="18"/>
                    </w:rPr>
                    <w:t>e</w:t>
                  </w:r>
                  <w:r w:rsidRPr="00351FF5">
                    <w:rPr>
                      <w:rFonts w:cs="Tahoma"/>
                      <w:szCs w:val="18"/>
                    </w:rPr>
                    <w:t>, n (%)</w:t>
                  </w:r>
                </w:p>
              </w:tc>
              <w:tc>
                <w:tcPr>
                  <w:tcW w:w="1019"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uppressOverlap/>
                    <w:jc w:val="center"/>
                  </w:pPr>
                  <w:r>
                    <w:t>46 (77%)</w:t>
                  </w:r>
                </w:p>
              </w:tc>
              <w:tc>
                <w:tcPr>
                  <w:tcW w:w="1108" w:type="dxa"/>
                  <w:tcBorders>
                    <w:bottom w:val="single" w:sz="4" w:space="0" w:color="BFBFBF" w:themeColor="background1" w:themeShade="BF"/>
                  </w:tcBorders>
                </w:tcPr>
                <w:p w:rsidR="00E1668E" w:rsidRPr="00C5782C" w:rsidRDefault="00E1668E" w:rsidP="00570FC8">
                  <w:pPr>
                    <w:pStyle w:val="Tabletext"/>
                    <w:framePr w:hSpace="181" w:wrap="around" w:hAnchor="text" w:yAlign="bottom"/>
                    <w:suppressOverlap/>
                    <w:jc w:val="center"/>
                  </w:pPr>
                  <w:r>
                    <w:t>52 (81%)</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Aetiology</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IPAH</w:t>
                  </w:r>
                  <w:r>
                    <w:t>/HPAH</w:t>
                  </w:r>
                  <w:r w:rsidRPr="00C5782C">
                    <w:t xml:space="preserve"> </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41 (68%)</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37 (58%)</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PAH-CTD</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13 (22%)</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15 (23%)</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rsidRPr="00C5782C">
                    <w:t>PAH-CHD</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2 (3%)</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5 (8%)</w:t>
                  </w:r>
                </w:p>
              </w:tc>
            </w:tr>
            <w:tr w:rsidR="00E1668E" w:rsidRPr="001B3364" w:rsidTr="001D0FDA">
              <w:tc>
                <w:tcPr>
                  <w:tcW w:w="2161"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ind w:left="262"/>
                    <w:suppressOverlap/>
                  </w:pPr>
                  <w:r>
                    <w:t>PAH-DT</w:t>
                  </w:r>
                </w:p>
              </w:tc>
              <w:tc>
                <w:tcPr>
                  <w:tcW w:w="1019"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4 (7%)</w:t>
                  </w:r>
                </w:p>
              </w:tc>
              <w:tc>
                <w:tcPr>
                  <w:tcW w:w="1108" w:type="dxa"/>
                  <w:tcBorders>
                    <w:top w:val="nil"/>
                    <w:bottom w:val="nil"/>
                  </w:tcBorders>
                  <w:shd w:val="clear" w:color="auto" w:fill="FFFFFF" w:themeFill="background1"/>
                </w:tcPr>
                <w:p w:rsidR="00E1668E" w:rsidRDefault="00E1668E" w:rsidP="00570FC8">
                  <w:pPr>
                    <w:pStyle w:val="Tabletext"/>
                    <w:framePr w:hSpace="181" w:wrap="around" w:hAnchor="text" w:yAlign="bottom"/>
                    <w:suppressOverlap/>
                    <w:jc w:val="center"/>
                  </w:pPr>
                  <w:r>
                    <w:t>7 (11%)</w:t>
                  </w:r>
                </w:p>
              </w:tc>
            </w:tr>
            <w:tr w:rsidR="00E1668E" w:rsidRPr="001B3364" w:rsidTr="001D0FDA">
              <w:tc>
                <w:tcPr>
                  <w:tcW w:w="2161"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pPr>
                  <w:r>
                    <w:t>WHO FC</w:t>
                  </w:r>
                </w:p>
              </w:tc>
              <w:tc>
                <w:tcPr>
                  <w:tcW w:w="1019"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c>
                <w:tcPr>
                  <w:tcW w:w="1108" w:type="dxa"/>
                  <w:tcBorders>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ind w:left="262"/>
                    <w:suppressOverlap/>
                  </w:pPr>
                  <w:r>
                    <w:t>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36 (60%)</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35 (55%)</w:t>
                  </w:r>
                </w:p>
              </w:tc>
            </w:tr>
            <w:tr w:rsidR="00E1668E" w:rsidRPr="001B3364" w:rsidTr="001D0FDA">
              <w:tc>
                <w:tcPr>
                  <w:tcW w:w="2161" w:type="dxa"/>
                  <w:tcBorders>
                    <w:top w:val="nil"/>
                    <w:bottom w:val="nil"/>
                  </w:tcBorders>
                  <w:shd w:val="clear" w:color="auto" w:fill="FFFFFF" w:themeFill="background1"/>
                </w:tcPr>
                <w:p w:rsidR="00E1668E" w:rsidRDefault="00E1668E" w:rsidP="00570FC8">
                  <w:pPr>
                    <w:pStyle w:val="Tabletext"/>
                    <w:framePr w:hSpace="181" w:wrap="around" w:hAnchor="text" w:yAlign="bottom"/>
                    <w:ind w:left="262"/>
                    <w:suppressOverlap/>
                  </w:pPr>
                  <w:r>
                    <w:t>III</w:t>
                  </w:r>
                </w:p>
              </w:tc>
              <w:tc>
                <w:tcPr>
                  <w:tcW w:w="1019"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21 (35%)</w:t>
                  </w:r>
                </w:p>
              </w:tc>
              <w:tc>
                <w:tcPr>
                  <w:tcW w:w="1108" w:type="dxa"/>
                  <w:tcBorders>
                    <w:top w:val="nil"/>
                    <w:bottom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27 (42%)</w:t>
                  </w:r>
                </w:p>
              </w:tc>
            </w:tr>
            <w:tr w:rsidR="00E1668E" w:rsidRPr="001B3364" w:rsidTr="001D0FDA">
              <w:tc>
                <w:tcPr>
                  <w:tcW w:w="2161" w:type="dxa"/>
                  <w:tcBorders>
                    <w:top w:val="nil"/>
                  </w:tcBorders>
                  <w:shd w:val="clear" w:color="auto" w:fill="FFFFFF" w:themeFill="background1"/>
                </w:tcPr>
                <w:p w:rsidR="00E1668E" w:rsidRDefault="00E1668E" w:rsidP="00570FC8">
                  <w:pPr>
                    <w:pStyle w:val="Tabletext"/>
                    <w:framePr w:hSpace="181" w:wrap="around" w:hAnchor="text" w:yAlign="bottom"/>
                    <w:ind w:left="262"/>
                    <w:suppressOverlap/>
                  </w:pPr>
                  <w:r>
                    <w:t>IV</w:t>
                  </w:r>
                </w:p>
              </w:tc>
              <w:tc>
                <w:tcPr>
                  <w:tcW w:w="1019" w:type="dxa"/>
                  <w:tcBorders>
                    <w:top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3 (5%)</w:t>
                  </w:r>
                </w:p>
              </w:tc>
              <w:tc>
                <w:tcPr>
                  <w:tcW w:w="1108" w:type="dxa"/>
                  <w:tcBorders>
                    <w:top w:val="nil"/>
                  </w:tcBorders>
                  <w:shd w:val="clear" w:color="auto" w:fill="FFFFFF" w:themeFill="background1"/>
                </w:tcPr>
                <w:p w:rsidR="00E1668E" w:rsidRPr="00C5782C" w:rsidRDefault="00E1668E" w:rsidP="00570FC8">
                  <w:pPr>
                    <w:pStyle w:val="Tabletext"/>
                    <w:framePr w:hSpace="181" w:wrap="around" w:hAnchor="text" w:yAlign="bottom"/>
                    <w:suppressOverlap/>
                    <w:jc w:val="center"/>
                  </w:pPr>
                  <w:r>
                    <w:t>2 (3%)</w:t>
                  </w:r>
                </w:p>
              </w:tc>
            </w:tr>
            <w:tr w:rsidR="00E1668E" w:rsidRPr="001B3364" w:rsidTr="001D0FDA">
              <w:tc>
                <w:tcPr>
                  <w:tcW w:w="2161" w:type="dxa"/>
                </w:tcPr>
                <w:p w:rsidR="00E1668E" w:rsidRDefault="00E1668E" w:rsidP="00570FC8">
                  <w:pPr>
                    <w:pStyle w:val="Tabletext"/>
                    <w:framePr w:hSpace="181" w:wrap="around" w:hAnchor="text" w:yAlign="bottom"/>
                    <w:suppressOverlap/>
                  </w:pPr>
                  <w:r>
                    <w:rPr>
                      <w:rFonts w:cs="Tahoma"/>
                      <w:szCs w:val="18"/>
                    </w:rPr>
                    <w:t>mPAP</w:t>
                  </w:r>
                  <w:r w:rsidRPr="00351FF5">
                    <w:rPr>
                      <w:rFonts w:cs="Tahoma"/>
                      <w:szCs w:val="18"/>
                    </w:rPr>
                    <w:t>, mean±SD (mmHg)</w:t>
                  </w:r>
                </w:p>
              </w:tc>
              <w:tc>
                <w:tcPr>
                  <w:tcW w:w="1019" w:type="dxa"/>
                  <w:shd w:val="clear" w:color="auto" w:fill="FFFFFF" w:themeFill="background1"/>
                  <w:vAlign w:val="center"/>
                </w:tcPr>
                <w:p w:rsidR="00E1668E" w:rsidRPr="00C5782C" w:rsidRDefault="00E1668E" w:rsidP="00570FC8">
                  <w:pPr>
                    <w:pStyle w:val="Tabletext"/>
                    <w:framePr w:hSpace="181" w:wrap="around" w:hAnchor="text" w:yAlign="bottom"/>
                    <w:suppressOverlap/>
                    <w:jc w:val="center"/>
                  </w:pPr>
                  <w:r>
                    <w:t>50±12</w:t>
                  </w:r>
                </w:p>
              </w:tc>
              <w:tc>
                <w:tcPr>
                  <w:tcW w:w="1108" w:type="dxa"/>
                  <w:shd w:val="clear" w:color="auto" w:fill="FFFFFF" w:themeFill="background1"/>
                  <w:vAlign w:val="center"/>
                </w:tcPr>
                <w:p w:rsidR="00E1668E" w:rsidRPr="00C5782C" w:rsidRDefault="00E1668E" w:rsidP="00570FC8">
                  <w:pPr>
                    <w:pStyle w:val="Tabletext"/>
                    <w:framePr w:hSpace="181" w:wrap="around" w:hAnchor="text" w:yAlign="bottom"/>
                    <w:suppressOverlap/>
                    <w:jc w:val="center"/>
                  </w:pPr>
                  <w:r>
                    <w:t>53±9</w:t>
                  </w:r>
                </w:p>
              </w:tc>
            </w:tr>
            <w:tr w:rsidR="00E1668E" w:rsidRPr="001B3364" w:rsidTr="001D0FDA">
              <w:tc>
                <w:tcPr>
                  <w:tcW w:w="2161" w:type="dxa"/>
                </w:tcPr>
                <w:p w:rsidR="00E1668E" w:rsidRDefault="00E1668E" w:rsidP="00570FC8">
                  <w:pPr>
                    <w:pStyle w:val="Tabletext"/>
                    <w:framePr w:hSpace="181" w:wrap="around" w:hAnchor="text" w:yAlign="bottom"/>
                    <w:suppressOverlap/>
                  </w:pPr>
                  <w:r>
                    <w:rPr>
                      <w:rFonts w:cs="Tahoma"/>
                      <w:szCs w:val="18"/>
                    </w:rPr>
                    <w:t>PVR, mean±SD (dyn*s*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19" w:type="dxa"/>
                  <w:shd w:val="clear" w:color="auto" w:fill="FFFFFF" w:themeFill="background1"/>
                  <w:vAlign w:val="center"/>
                </w:tcPr>
                <w:p w:rsidR="00E1668E" w:rsidRDefault="00E1668E" w:rsidP="00570FC8">
                  <w:pPr>
                    <w:pStyle w:val="Tabletext"/>
                    <w:framePr w:hSpace="181" w:wrap="around" w:hAnchor="text" w:yAlign="bottom"/>
                    <w:suppressOverlap/>
                    <w:jc w:val="center"/>
                  </w:pPr>
                  <w:r>
                    <w:t>837±389</w:t>
                  </w:r>
                </w:p>
              </w:tc>
              <w:tc>
                <w:tcPr>
                  <w:tcW w:w="1108" w:type="dxa"/>
                  <w:shd w:val="clear" w:color="auto" w:fill="FFFFFF" w:themeFill="background1"/>
                  <w:vAlign w:val="center"/>
                </w:tcPr>
                <w:p w:rsidR="00E1668E" w:rsidRDefault="00E1668E" w:rsidP="00570FC8">
                  <w:pPr>
                    <w:pStyle w:val="Tabletext"/>
                    <w:framePr w:hSpace="181" w:wrap="around" w:hAnchor="text" w:yAlign="bottom"/>
                    <w:suppressOverlap/>
                    <w:jc w:val="center"/>
                  </w:pPr>
                  <w:r>
                    <w:t>843±423</w:t>
                  </w:r>
                </w:p>
              </w:tc>
            </w:tr>
          </w:tbl>
          <w:p w:rsidR="00E1668E" w:rsidRDefault="00E1668E" w:rsidP="00E1668E">
            <w:pPr>
              <w:pStyle w:val="Tabletext"/>
            </w:pPr>
          </w:p>
        </w:tc>
        <w:tc>
          <w:tcPr>
            <w:tcW w:w="811" w:type="pct"/>
          </w:tcPr>
          <w:p w:rsidR="00E1668E" w:rsidRDefault="00E1668E" w:rsidP="00E1668E">
            <w:pPr>
              <w:pStyle w:val="Tabletext"/>
              <w:rPr>
                <w:i/>
              </w:rPr>
            </w:pPr>
            <w:r>
              <w:rPr>
                <w:i/>
              </w:rPr>
              <w:t>Intervention</w:t>
            </w:r>
          </w:p>
          <w:p w:rsidR="00E1668E" w:rsidRDefault="00E1668E" w:rsidP="00E1668E">
            <w:pPr>
              <w:pStyle w:val="Tabletext"/>
            </w:pPr>
            <w:r>
              <w:t>Tadalafil 40</w:t>
            </w:r>
            <w:r w:rsidR="00C90897">
              <w:t> </w:t>
            </w:r>
            <w:r>
              <w:t>mg od</w:t>
            </w:r>
          </w:p>
          <w:p w:rsidR="00E1668E" w:rsidRDefault="00E1668E" w:rsidP="00E1668E">
            <w:pPr>
              <w:pStyle w:val="Tabletext"/>
            </w:pPr>
          </w:p>
          <w:p w:rsidR="00E1668E" w:rsidRDefault="00E1668E" w:rsidP="00E1668E">
            <w:pPr>
              <w:pStyle w:val="Tabletext"/>
              <w:rPr>
                <w:i/>
              </w:rPr>
            </w:pPr>
            <w:r>
              <w:rPr>
                <w:i/>
              </w:rPr>
              <w:t xml:space="preserve">Comparator </w:t>
            </w:r>
          </w:p>
          <w:p w:rsidR="00E1668E" w:rsidRDefault="00E1668E" w:rsidP="00E1668E">
            <w:pPr>
              <w:pStyle w:val="Tabletext"/>
            </w:pPr>
            <w:r>
              <w:t>Placebo</w:t>
            </w:r>
          </w:p>
          <w:p w:rsidR="00E1668E" w:rsidRDefault="00E1668E" w:rsidP="00E1668E">
            <w:pPr>
              <w:pStyle w:val="Tabletext"/>
            </w:pPr>
          </w:p>
          <w:p w:rsidR="00E1668E" w:rsidRDefault="00E1668E" w:rsidP="00E1668E">
            <w:pPr>
              <w:pStyle w:val="Tabletext"/>
              <w:rPr>
                <w:i/>
              </w:rPr>
            </w:pPr>
            <w:r>
              <w:rPr>
                <w:i/>
              </w:rPr>
              <w:t>Background therapy</w:t>
            </w:r>
          </w:p>
          <w:p w:rsidR="00E1668E" w:rsidRPr="0043129C" w:rsidRDefault="00E1668E" w:rsidP="00E1668E">
            <w:pPr>
              <w:pStyle w:val="Tabletext"/>
            </w:pPr>
            <w:r>
              <w:t>Ambrisentan (100%): 10</w:t>
            </w:r>
            <w:r w:rsidR="00C90897">
              <w:t> </w:t>
            </w:r>
            <w:r>
              <w:t>mg od</w:t>
            </w:r>
          </w:p>
        </w:tc>
        <w:tc>
          <w:tcPr>
            <w:tcW w:w="771" w:type="pct"/>
          </w:tcPr>
          <w:p w:rsidR="00E1668E" w:rsidRPr="00EF6EEC" w:rsidRDefault="00E1668E" w:rsidP="00E1668E">
            <w:pPr>
              <w:pStyle w:val="Tabletext"/>
              <w:rPr>
                <w:rFonts w:cs="Tahoma"/>
                <w:i/>
                <w:szCs w:val="18"/>
              </w:rPr>
            </w:pPr>
            <w:r w:rsidRPr="00EF6EEC">
              <w:rPr>
                <w:rFonts w:cs="Tahoma"/>
                <w:i/>
                <w:szCs w:val="18"/>
              </w:rPr>
              <w:t>Effectiveness</w:t>
            </w:r>
          </w:p>
          <w:p w:rsidR="00E1668E" w:rsidRPr="0043129C" w:rsidRDefault="00E1668E" w:rsidP="00E1668E">
            <w:pPr>
              <w:pStyle w:val="Tabletext"/>
              <w:numPr>
                <w:ilvl w:val="0"/>
                <w:numId w:val="54"/>
              </w:numPr>
              <w:ind w:left="239" w:hanging="144"/>
              <w:rPr>
                <w:rFonts w:cs="Tahoma"/>
                <w:szCs w:val="18"/>
              </w:rPr>
            </w:pPr>
            <w:r w:rsidRPr="0043129C">
              <w:rPr>
                <w:rFonts w:cs="Tahoma"/>
                <w:szCs w:val="18"/>
              </w:rPr>
              <w:t>Change in 6MWD</w:t>
            </w:r>
            <w:r w:rsidRPr="0043129C">
              <w:rPr>
                <w:rFonts w:cs="Tahoma"/>
                <w:szCs w:val="18"/>
                <w:vertAlign w:val="superscript"/>
              </w:rPr>
              <w:t>c</w:t>
            </w:r>
          </w:p>
          <w:p w:rsidR="00E1668E" w:rsidRPr="0043129C" w:rsidRDefault="00E1668E" w:rsidP="00E1668E">
            <w:pPr>
              <w:pStyle w:val="Tabletext"/>
              <w:numPr>
                <w:ilvl w:val="0"/>
                <w:numId w:val="54"/>
              </w:numPr>
              <w:ind w:left="239" w:hanging="144"/>
              <w:rPr>
                <w:rFonts w:cs="Tahoma"/>
                <w:szCs w:val="18"/>
              </w:rPr>
            </w:pPr>
            <w:r w:rsidRPr="0043129C">
              <w:rPr>
                <w:rFonts w:cs="Tahoma"/>
                <w:szCs w:val="18"/>
              </w:rPr>
              <w:t>Change in WHO FC</w:t>
            </w:r>
            <w:r w:rsidRPr="0043129C">
              <w:rPr>
                <w:rFonts w:cs="Tahoma"/>
                <w:szCs w:val="18"/>
                <w:vertAlign w:val="superscript"/>
              </w:rPr>
              <w:t>c</w:t>
            </w:r>
          </w:p>
          <w:p w:rsidR="00E1668E" w:rsidRPr="0043129C" w:rsidRDefault="00E1668E" w:rsidP="00E1668E">
            <w:pPr>
              <w:pStyle w:val="Tabletext"/>
              <w:numPr>
                <w:ilvl w:val="0"/>
                <w:numId w:val="54"/>
              </w:numPr>
              <w:ind w:left="239" w:hanging="144"/>
              <w:rPr>
                <w:rFonts w:cs="Tahoma"/>
                <w:i/>
                <w:szCs w:val="18"/>
              </w:rPr>
            </w:pPr>
            <w:r w:rsidRPr="0043129C">
              <w:rPr>
                <w:rFonts w:cs="Tahoma"/>
                <w:szCs w:val="18"/>
              </w:rPr>
              <w:t>Clinical worsening</w:t>
            </w:r>
            <w:r w:rsidRPr="0043129C">
              <w:rPr>
                <w:rFonts w:cs="Tahoma"/>
                <w:szCs w:val="18"/>
                <w:vertAlign w:val="superscript"/>
              </w:rPr>
              <w:t>c</w:t>
            </w:r>
          </w:p>
          <w:p w:rsidR="00E1668E" w:rsidRPr="0043129C" w:rsidRDefault="00E1668E" w:rsidP="00E1668E">
            <w:pPr>
              <w:pStyle w:val="Tabletext"/>
              <w:numPr>
                <w:ilvl w:val="0"/>
                <w:numId w:val="54"/>
              </w:numPr>
              <w:ind w:left="239" w:hanging="144"/>
              <w:rPr>
                <w:rFonts w:cs="Tahoma"/>
                <w:i/>
                <w:szCs w:val="18"/>
              </w:rPr>
            </w:pPr>
            <w:r>
              <w:rPr>
                <w:rFonts w:cs="Tahoma"/>
                <w:szCs w:val="18"/>
              </w:rPr>
              <w:t>Change in mPAP and PVR</w:t>
            </w:r>
            <w:r w:rsidRPr="0043129C">
              <w:rPr>
                <w:rFonts w:cs="Tahoma"/>
                <w:szCs w:val="18"/>
                <w:vertAlign w:val="superscript"/>
              </w:rPr>
              <w:t>c</w:t>
            </w:r>
          </w:p>
          <w:p w:rsidR="00E1668E" w:rsidRPr="0043129C" w:rsidRDefault="00E1668E" w:rsidP="00E1668E">
            <w:pPr>
              <w:pStyle w:val="Tabletext"/>
              <w:numPr>
                <w:ilvl w:val="0"/>
                <w:numId w:val="54"/>
              </w:numPr>
              <w:ind w:left="239" w:hanging="144"/>
              <w:rPr>
                <w:rFonts w:cs="Tahoma"/>
                <w:i/>
                <w:szCs w:val="18"/>
              </w:rPr>
            </w:pPr>
            <w:r>
              <w:rPr>
                <w:rFonts w:cs="Tahoma"/>
                <w:szCs w:val="18"/>
              </w:rPr>
              <w:t>Mortality</w:t>
            </w:r>
            <w:r w:rsidRPr="0043129C">
              <w:rPr>
                <w:rFonts w:cs="Tahoma"/>
                <w:szCs w:val="18"/>
                <w:vertAlign w:val="superscript"/>
              </w:rPr>
              <w:t>c</w:t>
            </w:r>
          </w:p>
          <w:p w:rsidR="00E1668E" w:rsidRPr="0043129C" w:rsidRDefault="00E1668E" w:rsidP="00E1668E">
            <w:pPr>
              <w:pStyle w:val="Tabletext"/>
              <w:numPr>
                <w:ilvl w:val="0"/>
                <w:numId w:val="54"/>
              </w:numPr>
              <w:ind w:left="239" w:hanging="144"/>
              <w:rPr>
                <w:rFonts w:cs="Tahoma"/>
                <w:i/>
                <w:szCs w:val="18"/>
              </w:rPr>
            </w:pPr>
            <w:r>
              <w:rPr>
                <w:rFonts w:cs="Tahoma"/>
                <w:szCs w:val="18"/>
              </w:rPr>
              <w:t>Hospitalisation due to PAH</w:t>
            </w:r>
            <w:r w:rsidRPr="0043129C">
              <w:rPr>
                <w:rFonts w:cs="Tahoma"/>
                <w:szCs w:val="18"/>
                <w:vertAlign w:val="superscript"/>
              </w:rPr>
              <w:t>c</w:t>
            </w:r>
          </w:p>
          <w:p w:rsidR="00E1668E" w:rsidRPr="00EF6EEC" w:rsidRDefault="00E1668E" w:rsidP="00E1668E">
            <w:pPr>
              <w:pStyle w:val="Tabletext"/>
              <w:ind w:left="239" w:firstLine="720"/>
              <w:rPr>
                <w:rFonts w:cs="Tahoma"/>
                <w:szCs w:val="18"/>
              </w:rPr>
            </w:pPr>
          </w:p>
          <w:p w:rsidR="00E1668E" w:rsidRPr="00EF6EEC" w:rsidRDefault="00E1668E" w:rsidP="00E1668E">
            <w:pPr>
              <w:pStyle w:val="Tabletext"/>
              <w:rPr>
                <w:rFonts w:cs="Tahoma"/>
                <w:i/>
                <w:szCs w:val="18"/>
              </w:rPr>
            </w:pPr>
            <w:r>
              <w:rPr>
                <w:rFonts w:cs="Tahoma"/>
                <w:i/>
                <w:szCs w:val="18"/>
              </w:rPr>
              <w:t>Safety</w:t>
            </w:r>
          </w:p>
          <w:p w:rsidR="00E1668E" w:rsidRPr="0043129C" w:rsidRDefault="00E1668E" w:rsidP="00E1668E">
            <w:pPr>
              <w:pStyle w:val="Tabletext"/>
              <w:numPr>
                <w:ilvl w:val="0"/>
                <w:numId w:val="54"/>
              </w:numPr>
              <w:ind w:left="239" w:hanging="144"/>
              <w:rPr>
                <w:rFonts w:cs="Tahoma"/>
                <w:szCs w:val="18"/>
              </w:rPr>
            </w:pPr>
            <w:r w:rsidRPr="00EF6EEC">
              <w:rPr>
                <w:rFonts w:cs="Tahoma"/>
                <w:szCs w:val="18"/>
              </w:rPr>
              <w:t>Adverse events</w:t>
            </w:r>
            <w:r w:rsidRPr="0043129C">
              <w:rPr>
                <w:rFonts w:cs="Tahoma"/>
                <w:szCs w:val="18"/>
                <w:vertAlign w:val="superscript"/>
              </w:rPr>
              <w:t>c</w:t>
            </w:r>
          </w:p>
        </w:tc>
      </w:tr>
    </w:tbl>
    <w:p w:rsidR="00DB1395" w:rsidRDefault="00DB1395">
      <w:r>
        <w:br w:type="page"/>
      </w:r>
    </w:p>
    <w:tbl>
      <w:tblPr>
        <w:tblStyle w:val="TableGrid2"/>
        <w:tblpPr w:leftFromText="180" w:rightFromText="180" w:vertAnchor="text" w:tblpY="1"/>
        <w:tblW w:w="4964" w:type="pct"/>
        <w:tblLook w:val="04A0" w:firstRow="1" w:lastRow="0" w:firstColumn="1" w:lastColumn="0" w:noHBand="0" w:noVBand="1"/>
        <w:tblCaption w:val="Studies included to address research questions"/>
      </w:tblPr>
      <w:tblGrid>
        <w:gridCol w:w="1535"/>
        <w:gridCol w:w="1376"/>
        <w:gridCol w:w="2232"/>
        <w:gridCol w:w="4738"/>
        <w:gridCol w:w="2345"/>
        <w:gridCol w:w="2229"/>
      </w:tblGrid>
      <w:tr w:rsidR="001D0FDA" w:rsidRPr="005331C3" w:rsidTr="001D0FDA">
        <w:trPr>
          <w:cnfStyle w:val="100000000000" w:firstRow="1" w:lastRow="0" w:firstColumn="0" w:lastColumn="0" w:oddVBand="0" w:evenVBand="0" w:oddHBand="0" w:evenHBand="0" w:firstRowFirstColumn="0" w:firstRowLastColumn="0" w:lastRowFirstColumn="0" w:lastRowLastColumn="0"/>
        </w:trPr>
        <w:tc>
          <w:tcPr>
            <w:tcW w:w="1007" w:type="pct"/>
            <w:gridSpan w:val="2"/>
            <w:shd w:val="clear" w:color="auto" w:fill="000000" w:themeFill="text1"/>
          </w:tcPr>
          <w:p w:rsidR="001D0FDA" w:rsidRPr="00D53F84" w:rsidRDefault="001D0FDA" w:rsidP="001D0FDA">
            <w:pPr>
              <w:pStyle w:val="Tabletext"/>
              <w:ind w:right="-28"/>
              <w:rPr>
                <w:rFonts w:eastAsia="Times New Roman"/>
                <w:snapToGrid w:val="0"/>
                <w:lang w:eastAsia="en-US"/>
              </w:rPr>
            </w:pPr>
            <w:r>
              <w:rPr>
                <w:rFonts w:eastAsia="Times New Roman"/>
                <w:b/>
                <w:color w:val="FFFFFF" w:themeColor="background1"/>
                <w:lang w:eastAsia="en-US"/>
              </w:rPr>
              <w:t>Observational studies</w:t>
            </w:r>
          </w:p>
        </w:tc>
        <w:tc>
          <w:tcPr>
            <w:tcW w:w="772" w:type="pct"/>
            <w:shd w:val="clear" w:color="auto" w:fill="000000" w:themeFill="text1"/>
          </w:tcPr>
          <w:p w:rsidR="001D0FDA" w:rsidRPr="00EA1FCD" w:rsidRDefault="001D0FDA" w:rsidP="001D0FDA">
            <w:pPr>
              <w:pStyle w:val="Tabletext"/>
              <w:rPr>
                <w:rFonts w:cs="Tahoma"/>
                <w:i/>
                <w:szCs w:val="18"/>
              </w:rPr>
            </w:pPr>
          </w:p>
        </w:tc>
        <w:tc>
          <w:tcPr>
            <w:tcW w:w="0" w:type="auto"/>
            <w:shd w:val="clear" w:color="auto" w:fill="000000" w:themeFill="text1"/>
          </w:tcPr>
          <w:p w:rsidR="001D0FDA" w:rsidRDefault="001D0FDA" w:rsidP="001D0FDA">
            <w:pPr>
              <w:pStyle w:val="Tabletext"/>
              <w:rPr>
                <w:rFonts w:cs="Tahoma"/>
                <w:szCs w:val="18"/>
              </w:rPr>
            </w:pPr>
          </w:p>
        </w:tc>
        <w:tc>
          <w:tcPr>
            <w:tcW w:w="811" w:type="pct"/>
            <w:shd w:val="clear" w:color="auto" w:fill="000000" w:themeFill="text1"/>
          </w:tcPr>
          <w:p w:rsidR="001D0FDA" w:rsidRDefault="001D0FDA" w:rsidP="001D0FDA">
            <w:pPr>
              <w:pStyle w:val="Tabletext"/>
              <w:rPr>
                <w:rFonts w:cs="Tahoma"/>
                <w:i/>
                <w:szCs w:val="18"/>
              </w:rPr>
            </w:pPr>
          </w:p>
        </w:tc>
        <w:tc>
          <w:tcPr>
            <w:tcW w:w="771" w:type="pct"/>
            <w:shd w:val="clear" w:color="auto" w:fill="000000" w:themeFill="text1"/>
          </w:tcPr>
          <w:p w:rsidR="001D0FDA" w:rsidRPr="005331C3" w:rsidRDefault="001D0FDA" w:rsidP="001D0FDA">
            <w:pPr>
              <w:pStyle w:val="Tabletext"/>
              <w:rPr>
                <w:rFonts w:cs="Tahoma"/>
                <w:i/>
                <w:szCs w:val="18"/>
              </w:rPr>
            </w:pPr>
          </w:p>
        </w:tc>
      </w:tr>
      <w:tr w:rsidR="001D0FDA" w:rsidRPr="00204000" w:rsidTr="001D0FDA">
        <w:tc>
          <w:tcPr>
            <w:tcW w:w="531" w:type="pct"/>
            <w:tcBorders>
              <w:top w:val="single" w:sz="4" w:space="0" w:color="auto"/>
              <w:left w:val="single" w:sz="4" w:space="0" w:color="auto"/>
              <w:bottom w:val="single" w:sz="4" w:space="0" w:color="auto"/>
              <w:right w:val="single" w:sz="4" w:space="0" w:color="auto"/>
            </w:tcBorders>
          </w:tcPr>
          <w:p w:rsidR="001D0FDA" w:rsidRPr="00D53F84" w:rsidRDefault="001D0FDA" w:rsidP="001D0FDA">
            <w:pPr>
              <w:pStyle w:val="Tabletext"/>
              <w:ind w:right="-28"/>
              <w:rPr>
                <w:rFonts w:eastAsia="Times New Roman"/>
                <w:lang w:eastAsia="en-US"/>
              </w:rPr>
            </w:pPr>
            <w:r w:rsidRPr="00D53F84">
              <w:rPr>
                <w:rFonts w:eastAsia="Times New Roman"/>
                <w:lang w:eastAsia="en-US"/>
              </w:rPr>
              <w:t>Sun 2013</w:t>
            </w:r>
            <w:r w:rsidR="001D34EE" w:rsidRPr="001A1C44">
              <w:rPr>
                <w:rFonts w:eastAsia="Times New Roman"/>
                <w:noProof/>
                <w:vertAlign w:val="superscript"/>
                <w:lang w:eastAsia="en-US"/>
              </w:rPr>
              <w:t>51</w:t>
            </w:r>
          </w:p>
          <w:p w:rsidR="001D0FDA" w:rsidRPr="00D53F84" w:rsidRDefault="001D0FDA" w:rsidP="001D0FDA">
            <w:pPr>
              <w:pStyle w:val="Tabletext"/>
              <w:ind w:right="-28"/>
              <w:rPr>
                <w:rFonts w:eastAsia="Times New Roman"/>
                <w:lang w:eastAsia="en-US"/>
              </w:rPr>
            </w:pPr>
            <w:r w:rsidRPr="00D53F84">
              <w:rPr>
                <w:rFonts w:eastAsia="Times New Roman"/>
                <w:lang w:eastAsia="en-US"/>
              </w:rPr>
              <w:t>2005-2011</w:t>
            </w:r>
          </w:p>
          <w:p w:rsidR="001D0FDA" w:rsidRPr="00D53F84" w:rsidRDefault="001D0FDA" w:rsidP="001D0FDA">
            <w:pPr>
              <w:pStyle w:val="Tabletext"/>
              <w:ind w:right="-28"/>
              <w:rPr>
                <w:rFonts w:eastAsia="Times New Roman"/>
                <w:lang w:eastAsia="en-US"/>
              </w:rPr>
            </w:pPr>
            <w:r w:rsidRPr="00D53F84">
              <w:rPr>
                <w:rFonts w:eastAsia="Times New Roman"/>
                <w:lang w:eastAsia="en-US"/>
              </w:rPr>
              <w:t>China</w:t>
            </w:r>
          </w:p>
        </w:tc>
        <w:tc>
          <w:tcPr>
            <w:tcW w:w="476" w:type="pct"/>
            <w:tcBorders>
              <w:top w:val="single" w:sz="4" w:space="0" w:color="auto"/>
              <w:left w:val="single" w:sz="4" w:space="0" w:color="auto"/>
              <w:bottom w:val="single" w:sz="4" w:space="0" w:color="auto"/>
              <w:right w:val="single" w:sz="4" w:space="0" w:color="auto"/>
            </w:tcBorders>
          </w:tcPr>
          <w:p w:rsidR="001D0FDA" w:rsidRDefault="001D0FDA" w:rsidP="001D0FDA">
            <w:pPr>
              <w:pStyle w:val="Tabletext"/>
              <w:ind w:right="-28"/>
              <w:rPr>
                <w:rFonts w:eastAsia="Times New Roman"/>
                <w:snapToGrid w:val="0"/>
                <w:lang w:eastAsia="en-US"/>
              </w:rPr>
            </w:pPr>
            <w:r w:rsidRPr="00D53F84">
              <w:rPr>
                <w:rFonts w:eastAsia="Times New Roman"/>
                <w:snapToGrid w:val="0"/>
                <w:lang w:eastAsia="en-US"/>
              </w:rPr>
              <w:t>Retrospective and prospective cohort</w:t>
            </w:r>
          </w:p>
          <w:p w:rsidR="001D0FDA" w:rsidRPr="00D53F84" w:rsidRDefault="001D0FDA" w:rsidP="001D0FDA">
            <w:pPr>
              <w:pStyle w:val="Tabletext"/>
              <w:ind w:right="-28"/>
              <w:rPr>
                <w:rFonts w:eastAsia="Times New Roman"/>
                <w:snapToGrid w:val="0"/>
                <w:lang w:eastAsia="en-US"/>
              </w:rPr>
            </w:pPr>
            <w:r>
              <w:rPr>
                <w:rFonts w:eastAsia="Times New Roman"/>
                <w:snapToGrid w:val="0"/>
                <w:lang w:eastAsia="en-US"/>
              </w:rPr>
              <w:t>Level III-2 evidence</w:t>
            </w:r>
          </w:p>
          <w:p w:rsidR="001D0FDA" w:rsidRPr="00D53F84" w:rsidRDefault="001D0FDA" w:rsidP="001D0FDA">
            <w:pPr>
              <w:pStyle w:val="Tabletext"/>
              <w:ind w:right="-28"/>
              <w:rPr>
                <w:rFonts w:eastAsia="Times New Roman"/>
                <w:snapToGrid w:val="0"/>
                <w:lang w:eastAsia="en-US"/>
              </w:rPr>
            </w:pPr>
            <w:r>
              <w:rPr>
                <w:rFonts w:eastAsia="Times New Roman"/>
                <w:snapToGrid w:val="0"/>
                <w:lang w:eastAsia="en-US"/>
              </w:rPr>
              <w:t>Follow-up: 35.8 months</w:t>
            </w:r>
          </w:p>
          <w:p w:rsidR="001D0FDA" w:rsidRPr="00D53F84" w:rsidRDefault="001D0FDA" w:rsidP="001D0FDA">
            <w:pPr>
              <w:pStyle w:val="Tabletext"/>
              <w:ind w:right="-28"/>
              <w:rPr>
                <w:rFonts w:eastAsia="Times New Roman"/>
                <w:snapToGrid w:val="0"/>
                <w:lang w:eastAsia="en-US"/>
              </w:rPr>
            </w:pPr>
            <w:r>
              <w:rPr>
                <w:rFonts w:eastAsia="Times New Roman"/>
                <w:snapToGrid w:val="0"/>
                <w:lang w:eastAsia="en-US"/>
              </w:rPr>
              <w:t>Risk of bias: m</w:t>
            </w:r>
            <w:r w:rsidRPr="00D53F84">
              <w:rPr>
                <w:rFonts w:eastAsia="Times New Roman"/>
                <w:snapToGrid w:val="0"/>
                <w:lang w:eastAsia="en-US"/>
              </w:rPr>
              <w:t xml:space="preserve">oderate </w:t>
            </w:r>
          </w:p>
        </w:tc>
        <w:tc>
          <w:tcPr>
            <w:tcW w:w="772" w:type="pct"/>
          </w:tcPr>
          <w:p w:rsidR="001D0FDA" w:rsidRPr="0039124B" w:rsidRDefault="001D0FDA" w:rsidP="001D0FDA">
            <w:pPr>
              <w:pStyle w:val="Tabletext"/>
              <w:rPr>
                <w:rFonts w:cs="Tahoma"/>
                <w:i/>
                <w:szCs w:val="18"/>
              </w:rPr>
            </w:pPr>
            <w:r w:rsidRPr="0039124B">
              <w:rPr>
                <w:rFonts w:cs="Tahoma"/>
                <w:i/>
                <w:szCs w:val="18"/>
              </w:rPr>
              <w:t>Inclusion criteria</w:t>
            </w:r>
          </w:p>
          <w:p w:rsidR="001D0FDA" w:rsidRPr="0039124B" w:rsidRDefault="001D0FDA" w:rsidP="00480FDF">
            <w:pPr>
              <w:pStyle w:val="Tabletext"/>
              <w:numPr>
                <w:ilvl w:val="0"/>
                <w:numId w:val="54"/>
              </w:numPr>
              <w:ind w:left="239" w:hanging="144"/>
              <w:rPr>
                <w:rFonts w:cs="Tahoma"/>
                <w:szCs w:val="18"/>
              </w:rPr>
            </w:pPr>
            <w:r w:rsidRPr="0039124B">
              <w:rPr>
                <w:rFonts w:cs="Tahoma"/>
                <w:szCs w:val="18"/>
              </w:rPr>
              <w:t>Patients with PAH-CHD</w:t>
            </w:r>
            <w:r>
              <w:rPr>
                <w:rFonts w:cs="Tahoma"/>
                <w:szCs w:val="18"/>
              </w:rPr>
              <w:t xml:space="preserve"> (Eisenmenger syndrome)</w:t>
            </w:r>
          </w:p>
          <w:p w:rsidR="001D0FDA" w:rsidRDefault="001D0FDA" w:rsidP="00480FDF">
            <w:pPr>
              <w:pStyle w:val="Tabletext"/>
              <w:numPr>
                <w:ilvl w:val="0"/>
                <w:numId w:val="54"/>
              </w:numPr>
              <w:ind w:left="239" w:hanging="144"/>
              <w:rPr>
                <w:rFonts w:cs="Tahoma"/>
                <w:szCs w:val="18"/>
              </w:rPr>
            </w:pPr>
            <w:r w:rsidRPr="0039124B">
              <w:rPr>
                <w:rFonts w:cs="Tahoma"/>
                <w:szCs w:val="18"/>
              </w:rPr>
              <w:t>Not amenable to receive corrective cardiac s</w:t>
            </w:r>
            <w:r>
              <w:rPr>
                <w:rFonts w:cs="Tahoma"/>
                <w:szCs w:val="18"/>
              </w:rPr>
              <w:t>urgery for the irreversible PAH</w:t>
            </w:r>
          </w:p>
          <w:p w:rsidR="001D0FDA" w:rsidRPr="0039124B" w:rsidRDefault="001D0FDA" w:rsidP="00480FDF">
            <w:pPr>
              <w:pStyle w:val="Tabletext"/>
              <w:numPr>
                <w:ilvl w:val="0"/>
                <w:numId w:val="54"/>
              </w:numPr>
              <w:ind w:left="239" w:hanging="144"/>
              <w:rPr>
                <w:rFonts w:cs="Tahoma"/>
                <w:szCs w:val="18"/>
              </w:rPr>
            </w:pPr>
          </w:p>
          <w:p w:rsidR="001D0FDA" w:rsidRPr="0039124B" w:rsidRDefault="001D0FDA" w:rsidP="001D0FDA">
            <w:pPr>
              <w:pStyle w:val="Tabletext"/>
              <w:rPr>
                <w:rFonts w:cs="Tahoma"/>
                <w:i/>
                <w:szCs w:val="18"/>
              </w:rPr>
            </w:pPr>
            <w:r w:rsidRPr="0039124B">
              <w:rPr>
                <w:rFonts w:cs="Tahoma"/>
                <w:i/>
                <w:szCs w:val="18"/>
              </w:rPr>
              <w:t>Exclusion criteria</w:t>
            </w:r>
          </w:p>
          <w:p w:rsidR="001D0FDA" w:rsidRPr="00087357" w:rsidRDefault="001D0FDA" w:rsidP="00480FDF">
            <w:pPr>
              <w:pStyle w:val="Tabletext"/>
              <w:numPr>
                <w:ilvl w:val="0"/>
                <w:numId w:val="54"/>
              </w:numPr>
              <w:ind w:left="239" w:hanging="144"/>
              <w:rPr>
                <w:rFonts w:cs="Tahoma"/>
                <w:i/>
                <w:szCs w:val="18"/>
              </w:rPr>
            </w:pPr>
            <w:r w:rsidRPr="0039124B">
              <w:rPr>
                <w:rFonts w:cs="Tahoma"/>
                <w:szCs w:val="18"/>
              </w:rPr>
              <w:t xml:space="preserve">Patients with small septal defects </w:t>
            </w:r>
            <w:r>
              <w:rPr>
                <w:rFonts w:cs="Tahoma"/>
                <w:szCs w:val="18"/>
              </w:rPr>
              <w:t>(atrial septal defect &lt;2</w:t>
            </w:r>
            <w:r w:rsidR="00C90897">
              <w:rPr>
                <w:rFonts w:cs="Tahoma"/>
                <w:szCs w:val="18"/>
              </w:rPr>
              <w:t> </w:t>
            </w:r>
            <w:r w:rsidRPr="0039124B">
              <w:rPr>
                <w:rFonts w:cs="Tahoma"/>
                <w:szCs w:val="18"/>
              </w:rPr>
              <w:t>cm effective diamete</w:t>
            </w:r>
            <w:r>
              <w:rPr>
                <w:rFonts w:cs="Tahoma"/>
                <w:szCs w:val="18"/>
              </w:rPr>
              <w:t>r, ventricular septal defect &lt;1</w:t>
            </w:r>
            <w:r w:rsidR="00C90897">
              <w:rPr>
                <w:rFonts w:cs="Tahoma"/>
                <w:szCs w:val="18"/>
              </w:rPr>
              <w:t> </w:t>
            </w:r>
            <w:r w:rsidRPr="0039124B">
              <w:rPr>
                <w:rFonts w:cs="Tahoma"/>
                <w:szCs w:val="18"/>
              </w:rPr>
              <w:t>cm effective diameter and/or aortopulmonary comm</w:t>
            </w:r>
            <w:r>
              <w:rPr>
                <w:rFonts w:cs="Tahoma"/>
                <w:szCs w:val="18"/>
              </w:rPr>
              <w:t>unication &lt;0.4</w:t>
            </w:r>
            <w:r w:rsidR="00C90897">
              <w:rPr>
                <w:rFonts w:cs="Tahoma"/>
                <w:szCs w:val="18"/>
              </w:rPr>
              <w:t> </w:t>
            </w:r>
            <w:r w:rsidRPr="0039124B">
              <w:rPr>
                <w:rFonts w:cs="Tahoma"/>
                <w:szCs w:val="18"/>
              </w:rPr>
              <w:t>cm)</w:t>
            </w:r>
          </w:p>
        </w:tc>
        <w:tc>
          <w:tcPr>
            <w:tcW w:w="0" w:type="auto"/>
          </w:tcPr>
          <w:p w:rsidR="001D0FDA" w:rsidRDefault="001D0FDA" w:rsidP="001D0FDA">
            <w:pPr>
              <w:pStyle w:val="Tabletext"/>
            </w:pPr>
            <w:r>
              <w:t>N=121</w:t>
            </w:r>
          </w:p>
          <w:tbl>
            <w:tblPr>
              <w:tblStyle w:val="TableGrid"/>
              <w:tblW w:w="42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Caption w:val="Patient baseline characteristics in Study Sun 2013"/>
            </w:tblPr>
            <w:tblGrid>
              <w:gridCol w:w="1892"/>
              <w:gridCol w:w="1114"/>
              <w:gridCol w:w="1282"/>
            </w:tblGrid>
            <w:tr w:rsidR="001D0FDA" w:rsidTr="001D0FDA">
              <w:trPr>
                <w:cnfStyle w:val="100000000000" w:firstRow="1" w:lastRow="0" w:firstColumn="0" w:lastColumn="0" w:oddVBand="0" w:evenVBand="0" w:oddHBand="0" w:evenHBand="0" w:firstRowFirstColumn="0" w:firstRowLastColumn="0" w:lastRowFirstColumn="0" w:lastRowLastColumn="0"/>
              </w:trPr>
              <w:tc>
                <w:tcPr>
                  <w:tcW w:w="2161" w:type="dxa"/>
                  <w:shd w:val="clear" w:color="auto" w:fill="FFFFFF" w:themeFill="background1"/>
                </w:tcPr>
                <w:p w:rsidR="001D0FDA" w:rsidRPr="003C0DFB" w:rsidRDefault="001D0FDA" w:rsidP="00570FC8">
                  <w:pPr>
                    <w:pStyle w:val="Tabletext"/>
                    <w:framePr w:hSpace="180" w:wrap="around" w:vAnchor="text" w:hAnchor="text" w:y="1"/>
                  </w:pPr>
                </w:p>
              </w:tc>
              <w:tc>
                <w:tcPr>
                  <w:tcW w:w="1019" w:type="dxa"/>
                  <w:shd w:val="clear" w:color="auto" w:fill="FFFFFF" w:themeFill="background1"/>
                </w:tcPr>
                <w:p w:rsidR="001D0FDA" w:rsidRPr="0039124B" w:rsidRDefault="001D0FDA" w:rsidP="00570FC8">
                  <w:pPr>
                    <w:pStyle w:val="Tabletext"/>
                    <w:framePr w:hSpace="180" w:wrap="around" w:vAnchor="text" w:hAnchor="text" w:y="1"/>
                    <w:jc w:val="center"/>
                  </w:pPr>
                  <w:r w:rsidRPr="0039124B">
                    <w:t>Sildenafil (N=68)</w:t>
                  </w:r>
                </w:p>
              </w:tc>
              <w:tc>
                <w:tcPr>
                  <w:tcW w:w="1108" w:type="dxa"/>
                  <w:shd w:val="clear" w:color="auto" w:fill="FFFFFF" w:themeFill="background1"/>
                </w:tcPr>
                <w:p w:rsidR="001D0FDA" w:rsidRDefault="001D0FDA" w:rsidP="00570FC8">
                  <w:pPr>
                    <w:pStyle w:val="Tabletext"/>
                    <w:framePr w:hSpace="180" w:wrap="around" w:vAnchor="text" w:hAnchor="text" w:y="1"/>
                    <w:jc w:val="center"/>
                  </w:pPr>
                  <w:r>
                    <w:t>Conventional therapy</w:t>
                  </w:r>
                  <w:r>
                    <w:br/>
                  </w:r>
                  <w:r w:rsidRPr="0039124B">
                    <w:t>(N=53)</w:t>
                  </w:r>
                </w:p>
              </w:tc>
            </w:tr>
            <w:tr w:rsidR="001D0FDA" w:rsidRPr="001B3364" w:rsidTr="001D0FDA">
              <w:tc>
                <w:tcPr>
                  <w:tcW w:w="2161" w:type="dxa"/>
                  <w:shd w:val="clear" w:color="auto" w:fill="FFFFFF" w:themeFill="background1"/>
                </w:tcPr>
                <w:p w:rsidR="001D0FDA" w:rsidRDefault="001D0FDA" w:rsidP="00570FC8">
                  <w:pPr>
                    <w:pStyle w:val="Tabletext"/>
                    <w:framePr w:hSpace="180" w:wrap="around" w:vAnchor="text" w:hAnchor="text" w:y="1"/>
                  </w:pPr>
                  <w:r w:rsidRPr="00351FF5">
                    <w:rPr>
                      <w:rFonts w:cs="Tahoma"/>
                      <w:szCs w:val="18"/>
                    </w:rPr>
                    <w:t>Age, mean±SD (yrs)</w:t>
                  </w:r>
                </w:p>
              </w:tc>
              <w:tc>
                <w:tcPr>
                  <w:tcW w:w="1019" w:type="dxa"/>
                  <w:shd w:val="clear" w:color="auto" w:fill="FFFFFF" w:themeFill="background1"/>
                </w:tcPr>
                <w:p w:rsidR="001D0FDA" w:rsidRPr="0039124B" w:rsidRDefault="001D0FDA" w:rsidP="00570FC8">
                  <w:pPr>
                    <w:pStyle w:val="Tabletext"/>
                    <w:framePr w:hSpace="180" w:wrap="around" w:vAnchor="text" w:hAnchor="text" w:y="1"/>
                    <w:jc w:val="center"/>
                  </w:pPr>
                  <w:r w:rsidRPr="0039124B">
                    <w:t>31±10</w:t>
                  </w:r>
                </w:p>
              </w:tc>
              <w:tc>
                <w:tcPr>
                  <w:tcW w:w="1108" w:type="dxa"/>
                  <w:shd w:val="clear" w:color="auto" w:fill="FFFFFF" w:themeFill="background1"/>
                </w:tcPr>
                <w:p w:rsidR="001D0FDA" w:rsidRPr="0039124B" w:rsidRDefault="001D0FDA" w:rsidP="00570FC8">
                  <w:pPr>
                    <w:pStyle w:val="Tabletext"/>
                    <w:framePr w:hSpace="180" w:wrap="around" w:vAnchor="text" w:hAnchor="text" w:y="1"/>
                    <w:jc w:val="center"/>
                  </w:pPr>
                  <w:r w:rsidRPr="0039124B">
                    <w:t>29±10</w:t>
                  </w:r>
                </w:p>
              </w:tc>
            </w:tr>
            <w:tr w:rsidR="001D0FDA" w:rsidRPr="001B3364" w:rsidTr="001D0FDA">
              <w:tc>
                <w:tcPr>
                  <w:tcW w:w="2161" w:type="dxa"/>
                  <w:tcBorders>
                    <w:bottom w:val="single" w:sz="4" w:space="0" w:color="BFBFBF" w:themeColor="background1" w:themeShade="BF"/>
                  </w:tcBorders>
                </w:tcPr>
                <w:p w:rsidR="001D0FDA" w:rsidRPr="00351FF5" w:rsidRDefault="001D0FDA" w:rsidP="00570FC8">
                  <w:pPr>
                    <w:pStyle w:val="Tabletext"/>
                    <w:framePr w:hSpace="180" w:wrap="around" w:vAnchor="text" w:hAnchor="text" w:y="1"/>
                    <w:rPr>
                      <w:rFonts w:cs="Tahoma"/>
                      <w:szCs w:val="18"/>
                    </w:rPr>
                  </w:pPr>
                  <w:r w:rsidRPr="00351FF5">
                    <w:rPr>
                      <w:rFonts w:cs="Tahoma"/>
                      <w:szCs w:val="18"/>
                    </w:rPr>
                    <w:t>Gender, femal</w:t>
                  </w:r>
                  <w:r>
                    <w:rPr>
                      <w:rFonts w:cs="Tahoma"/>
                      <w:szCs w:val="18"/>
                    </w:rPr>
                    <w:t>e</w:t>
                  </w:r>
                  <w:r w:rsidRPr="00351FF5">
                    <w:rPr>
                      <w:rFonts w:cs="Tahoma"/>
                      <w:szCs w:val="18"/>
                    </w:rPr>
                    <w:t>, n (%)</w:t>
                  </w:r>
                </w:p>
              </w:tc>
              <w:tc>
                <w:tcPr>
                  <w:tcW w:w="1019" w:type="dxa"/>
                  <w:tcBorders>
                    <w:bottom w:val="single" w:sz="4" w:space="0" w:color="BFBFBF" w:themeColor="background1" w:themeShade="BF"/>
                  </w:tcBorders>
                </w:tcPr>
                <w:p w:rsidR="001D0FDA" w:rsidRPr="0039124B" w:rsidRDefault="001D0FDA" w:rsidP="00570FC8">
                  <w:pPr>
                    <w:pStyle w:val="Tabletext"/>
                    <w:framePr w:hSpace="180" w:wrap="around" w:vAnchor="text" w:hAnchor="text" w:y="1"/>
                    <w:jc w:val="center"/>
                  </w:pPr>
                  <w:r w:rsidRPr="0039124B">
                    <w:t>48 (71%)</w:t>
                  </w:r>
                </w:p>
              </w:tc>
              <w:tc>
                <w:tcPr>
                  <w:tcW w:w="1108" w:type="dxa"/>
                  <w:tcBorders>
                    <w:bottom w:val="single" w:sz="4" w:space="0" w:color="BFBFBF" w:themeColor="background1" w:themeShade="BF"/>
                  </w:tcBorders>
                </w:tcPr>
                <w:p w:rsidR="001D0FDA" w:rsidRPr="0039124B" w:rsidRDefault="001D0FDA" w:rsidP="00570FC8">
                  <w:pPr>
                    <w:pStyle w:val="Tabletext"/>
                    <w:framePr w:hSpace="180" w:wrap="around" w:vAnchor="text" w:hAnchor="text" w:y="1"/>
                    <w:jc w:val="center"/>
                  </w:pPr>
                  <w:r w:rsidRPr="0039124B">
                    <w:t>39 (74%)</w:t>
                  </w:r>
                </w:p>
              </w:tc>
            </w:tr>
            <w:tr w:rsidR="001D0FDA" w:rsidRPr="001B3364" w:rsidTr="001D0FDA">
              <w:tc>
                <w:tcPr>
                  <w:tcW w:w="2161" w:type="dxa"/>
                  <w:tcBorders>
                    <w:bottom w:val="nil"/>
                  </w:tcBorders>
                  <w:shd w:val="clear" w:color="auto" w:fill="FFFFFF" w:themeFill="background1"/>
                </w:tcPr>
                <w:p w:rsidR="001D0FDA" w:rsidRPr="00C5782C" w:rsidRDefault="001D0FDA" w:rsidP="00570FC8">
                  <w:pPr>
                    <w:pStyle w:val="Tabletext"/>
                    <w:framePr w:hSpace="180" w:wrap="around" w:vAnchor="text" w:hAnchor="text" w:y="1"/>
                  </w:pPr>
                  <w:r>
                    <w:t>Aetiology</w:t>
                  </w:r>
                </w:p>
              </w:tc>
              <w:tc>
                <w:tcPr>
                  <w:tcW w:w="1019" w:type="dxa"/>
                  <w:tcBorders>
                    <w:bottom w:val="nil"/>
                  </w:tcBorders>
                  <w:shd w:val="clear" w:color="auto" w:fill="FFFFFF" w:themeFill="background1"/>
                </w:tcPr>
                <w:p w:rsidR="001D0FDA" w:rsidRPr="00C5782C" w:rsidRDefault="001D0FDA" w:rsidP="00570FC8">
                  <w:pPr>
                    <w:pStyle w:val="Tabletext"/>
                    <w:framePr w:hSpace="180" w:wrap="around" w:vAnchor="text" w:hAnchor="text" w:y="1"/>
                    <w:jc w:val="center"/>
                  </w:pPr>
                </w:p>
              </w:tc>
              <w:tc>
                <w:tcPr>
                  <w:tcW w:w="1108" w:type="dxa"/>
                  <w:tcBorders>
                    <w:bottom w:val="nil"/>
                  </w:tcBorders>
                  <w:shd w:val="clear" w:color="auto" w:fill="FFFFFF" w:themeFill="background1"/>
                </w:tcPr>
                <w:p w:rsidR="001D0FDA" w:rsidRPr="00C5782C" w:rsidRDefault="001D0FDA" w:rsidP="00570FC8">
                  <w:pPr>
                    <w:pStyle w:val="Tabletext"/>
                    <w:framePr w:hSpace="180" w:wrap="around" w:vAnchor="text" w:hAnchor="text" w:y="1"/>
                    <w:jc w:val="center"/>
                  </w:pPr>
                </w:p>
              </w:tc>
            </w:tr>
            <w:tr w:rsidR="001D0FDA" w:rsidRPr="001B3364" w:rsidTr="001D0FDA">
              <w:tc>
                <w:tcPr>
                  <w:tcW w:w="2161" w:type="dxa"/>
                  <w:tcBorders>
                    <w:top w:val="nil"/>
                    <w:bottom w:val="nil"/>
                  </w:tcBorders>
                  <w:shd w:val="clear" w:color="auto" w:fill="FFFFFF" w:themeFill="background1"/>
                </w:tcPr>
                <w:p w:rsidR="001D0FDA" w:rsidRPr="00C5782C" w:rsidRDefault="001D0FDA" w:rsidP="00570FC8">
                  <w:pPr>
                    <w:pStyle w:val="Tabletext"/>
                    <w:framePr w:hSpace="180" w:wrap="around" w:vAnchor="text" w:hAnchor="text" w:y="1"/>
                    <w:ind w:left="262"/>
                  </w:pPr>
                  <w:r w:rsidRPr="00C5782C">
                    <w:t>PAH-CHD</w:t>
                  </w:r>
                </w:p>
              </w:tc>
              <w:tc>
                <w:tcPr>
                  <w:tcW w:w="1019" w:type="dxa"/>
                  <w:tcBorders>
                    <w:top w:val="nil"/>
                    <w:bottom w:val="single" w:sz="4" w:space="0" w:color="BFBFBF" w:themeColor="background1" w:themeShade="BF"/>
                  </w:tcBorders>
                  <w:shd w:val="clear" w:color="auto" w:fill="FFFFFF" w:themeFill="background1"/>
                </w:tcPr>
                <w:p w:rsidR="001D0FDA" w:rsidRDefault="001D0FDA" w:rsidP="00570FC8">
                  <w:pPr>
                    <w:pStyle w:val="Tabletext"/>
                    <w:framePr w:hSpace="180" w:wrap="around" w:vAnchor="text" w:hAnchor="text" w:y="1"/>
                    <w:jc w:val="center"/>
                  </w:pPr>
                  <w:r>
                    <w:t>68 (100%)</w:t>
                  </w:r>
                </w:p>
              </w:tc>
              <w:tc>
                <w:tcPr>
                  <w:tcW w:w="1108" w:type="dxa"/>
                  <w:tcBorders>
                    <w:top w:val="nil"/>
                    <w:bottom w:val="single" w:sz="4" w:space="0" w:color="BFBFBF" w:themeColor="background1" w:themeShade="BF"/>
                  </w:tcBorders>
                  <w:shd w:val="clear" w:color="auto" w:fill="FFFFFF" w:themeFill="background1"/>
                </w:tcPr>
                <w:p w:rsidR="001D0FDA" w:rsidRDefault="001D0FDA" w:rsidP="00570FC8">
                  <w:pPr>
                    <w:pStyle w:val="Tabletext"/>
                    <w:framePr w:hSpace="180" w:wrap="around" w:vAnchor="text" w:hAnchor="text" w:y="1"/>
                    <w:jc w:val="center"/>
                  </w:pPr>
                  <w:r>
                    <w:t>53 (100%)</w:t>
                  </w:r>
                </w:p>
              </w:tc>
            </w:tr>
            <w:tr w:rsidR="001D0FDA" w:rsidRPr="001B3364" w:rsidTr="001D0FDA">
              <w:tc>
                <w:tcPr>
                  <w:tcW w:w="2161" w:type="dxa"/>
                  <w:tcBorders>
                    <w:bottom w:val="nil"/>
                  </w:tcBorders>
                  <w:shd w:val="clear" w:color="auto" w:fill="FFFFFF" w:themeFill="background1"/>
                </w:tcPr>
                <w:p w:rsidR="001D0FDA" w:rsidRPr="00C5782C" w:rsidRDefault="001D0FDA" w:rsidP="00570FC8">
                  <w:pPr>
                    <w:pStyle w:val="Tabletext"/>
                    <w:framePr w:hSpace="180" w:wrap="around" w:vAnchor="text" w:hAnchor="text" w:y="1"/>
                  </w:pPr>
                  <w:r>
                    <w:t>WHO FC</w:t>
                  </w:r>
                </w:p>
              </w:tc>
              <w:tc>
                <w:tcPr>
                  <w:tcW w:w="1019" w:type="dxa"/>
                  <w:tcBorders>
                    <w:bottom w:val="nil"/>
                  </w:tcBorders>
                  <w:shd w:val="clear" w:color="auto" w:fill="FFFFFF" w:themeFill="background1"/>
                </w:tcPr>
                <w:p w:rsidR="001D0FDA" w:rsidRPr="00C5782C" w:rsidRDefault="001D0FDA" w:rsidP="00570FC8">
                  <w:pPr>
                    <w:pStyle w:val="Tabletext"/>
                    <w:framePr w:hSpace="180" w:wrap="around" w:vAnchor="text" w:hAnchor="text" w:y="1"/>
                    <w:jc w:val="center"/>
                  </w:pPr>
                </w:p>
              </w:tc>
              <w:tc>
                <w:tcPr>
                  <w:tcW w:w="1108" w:type="dxa"/>
                  <w:tcBorders>
                    <w:bottom w:val="nil"/>
                  </w:tcBorders>
                  <w:shd w:val="clear" w:color="auto" w:fill="FFFFFF" w:themeFill="background1"/>
                </w:tcPr>
                <w:p w:rsidR="001D0FDA" w:rsidRPr="00C5782C" w:rsidRDefault="001D0FDA" w:rsidP="00570FC8">
                  <w:pPr>
                    <w:pStyle w:val="Tabletext"/>
                    <w:framePr w:hSpace="180" w:wrap="around" w:vAnchor="text" w:hAnchor="text" w:y="1"/>
                    <w:jc w:val="center"/>
                  </w:pPr>
                </w:p>
              </w:tc>
            </w:tr>
            <w:tr w:rsidR="001D0FDA" w:rsidRPr="001B3364" w:rsidTr="001D0FDA">
              <w:tc>
                <w:tcPr>
                  <w:tcW w:w="2161" w:type="dxa"/>
                  <w:tcBorders>
                    <w:top w:val="nil"/>
                    <w:bottom w:val="nil"/>
                  </w:tcBorders>
                  <w:shd w:val="clear" w:color="auto" w:fill="FFFFFF" w:themeFill="background1"/>
                </w:tcPr>
                <w:p w:rsidR="001D0FDA" w:rsidRDefault="001D0FDA" w:rsidP="00570FC8">
                  <w:pPr>
                    <w:pStyle w:val="Tabletext"/>
                    <w:framePr w:hSpace="180" w:wrap="around" w:vAnchor="text" w:hAnchor="text" w:y="1"/>
                    <w:ind w:left="262"/>
                  </w:pPr>
                  <w:r>
                    <w:t>I</w:t>
                  </w:r>
                </w:p>
              </w:tc>
              <w:tc>
                <w:tcPr>
                  <w:tcW w:w="1019" w:type="dxa"/>
                  <w:tcBorders>
                    <w:top w:val="nil"/>
                    <w:bottom w:val="nil"/>
                  </w:tcBorders>
                </w:tcPr>
                <w:p w:rsidR="001D0FDA" w:rsidRPr="00C5782C" w:rsidRDefault="001D0FDA" w:rsidP="00570FC8">
                  <w:pPr>
                    <w:pStyle w:val="Tabletext"/>
                    <w:framePr w:hSpace="180" w:wrap="around" w:vAnchor="text" w:hAnchor="text" w:y="1"/>
                    <w:jc w:val="center"/>
                  </w:pPr>
                  <w:r w:rsidRPr="0039124B">
                    <w:t>0 (0%)</w:t>
                  </w:r>
                </w:p>
              </w:tc>
              <w:tc>
                <w:tcPr>
                  <w:tcW w:w="1108" w:type="dxa"/>
                  <w:tcBorders>
                    <w:top w:val="nil"/>
                    <w:bottom w:val="nil"/>
                  </w:tcBorders>
                </w:tcPr>
                <w:p w:rsidR="001D0FDA" w:rsidRPr="00C5782C" w:rsidRDefault="001D0FDA" w:rsidP="00570FC8">
                  <w:pPr>
                    <w:pStyle w:val="Tabletext"/>
                    <w:framePr w:hSpace="180" w:wrap="around" w:vAnchor="text" w:hAnchor="text" w:y="1"/>
                    <w:jc w:val="center"/>
                  </w:pPr>
                  <w:r w:rsidRPr="0039124B">
                    <w:t>4 (7.7%)</w:t>
                  </w:r>
                </w:p>
              </w:tc>
            </w:tr>
            <w:tr w:rsidR="001D0FDA" w:rsidRPr="001B3364" w:rsidTr="001D0FDA">
              <w:tc>
                <w:tcPr>
                  <w:tcW w:w="2161" w:type="dxa"/>
                  <w:tcBorders>
                    <w:top w:val="nil"/>
                    <w:bottom w:val="nil"/>
                  </w:tcBorders>
                  <w:shd w:val="clear" w:color="auto" w:fill="FFFFFF" w:themeFill="background1"/>
                </w:tcPr>
                <w:p w:rsidR="001D0FDA" w:rsidRDefault="001D0FDA" w:rsidP="00570FC8">
                  <w:pPr>
                    <w:pStyle w:val="Tabletext"/>
                    <w:framePr w:hSpace="180" w:wrap="around" w:vAnchor="text" w:hAnchor="text" w:y="1"/>
                    <w:ind w:left="262"/>
                  </w:pPr>
                  <w:r>
                    <w:t>II</w:t>
                  </w:r>
                </w:p>
              </w:tc>
              <w:tc>
                <w:tcPr>
                  <w:tcW w:w="1019" w:type="dxa"/>
                  <w:tcBorders>
                    <w:top w:val="nil"/>
                    <w:bottom w:val="nil"/>
                  </w:tcBorders>
                </w:tcPr>
                <w:p w:rsidR="001D0FDA" w:rsidRPr="00C5782C" w:rsidRDefault="001D0FDA" w:rsidP="00570FC8">
                  <w:pPr>
                    <w:pStyle w:val="Tabletext"/>
                    <w:framePr w:hSpace="180" w:wrap="around" w:vAnchor="text" w:hAnchor="text" w:y="1"/>
                    <w:jc w:val="center"/>
                  </w:pPr>
                  <w:r>
                    <w:t>40 (59</w:t>
                  </w:r>
                  <w:r w:rsidRPr="0039124B">
                    <w:t>%)</w:t>
                  </w:r>
                </w:p>
              </w:tc>
              <w:tc>
                <w:tcPr>
                  <w:tcW w:w="1108" w:type="dxa"/>
                  <w:tcBorders>
                    <w:top w:val="nil"/>
                    <w:bottom w:val="nil"/>
                  </w:tcBorders>
                </w:tcPr>
                <w:p w:rsidR="001D0FDA" w:rsidRPr="00C5782C" w:rsidRDefault="001D0FDA" w:rsidP="00570FC8">
                  <w:pPr>
                    <w:pStyle w:val="Tabletext"/>
                    <w:framePr w:hSpace="180" w:wrap="around" w:vAnchor="text" w:hAnchor="text" w:y="1"/>
                    <w:jc w:val="center"/>
                  </w:pPr>
                  <w:r w:rsidRPr="0039124B">
                    <w:t>32 (6</w:t>
                  </w:r>
                  <w:r>
                    <w:t>0</w:t>
                  </w:r>
                  <w:r w:rsidRPr="0039124B">
                    <w:t>%)</w:t>
                  </w:r>
                </w:p>
              </w:tc>
            </w:tr>
            <w:tr w:rsidR="001D0FDA" w:rsidRPr="001B3364" w:rsidTr="001D0FDA">
              <w:tc>
                <w:tcPr>
                  <w:tcW w:w="2161" w:type="dxa"/>
                  <w:tcBorders>
                    <w:top w:val="nil"/>
                    <w:bottom w:val="nil"/>
                  </w:tcBorders>
                  <w:shd w:val="clear" w:color="auto" w:fill="FFFFFF" w:themeFill="background1"/>
                </w:tcPr>
                <w:p w:rsidR="001D0FDA" w:rsidRDefault="001D0FDA" w:rsidP="00570FC8">
                  <w:pPr>
                    <w:pStyle w:val="Tabletext"/>
                    <w:framePr w:hSpace="180" w:wrap="around" w:vAnchor="text" w:hAnchor="text" w:y="1"/>
                    <w:ind w:left="262"/>
                  </w:pPr>
                  <w:r>
                    <w:t>III</w:t>
                  </w:r>
                </w:p>
              </w:tc>
              <w:tc>
                <w:tcPr>
                  <w:tcW w:w="1019" w:type="dxa"/>
                  <w:tcBorders>
                    <w:top w:val="nil"/>
                    <w:bottom w:val="nil"/>
                  </w:tcBorders>
                </w:tcPr>
                <w:p w:rsidR="001D0FDA" w:rsidRPr="00C5782C" w:rsidRDefault="001D0FDA" w:rsidP="00570FC8">
                  <w:pPr>
                    <w:pStyle w:val="Tabletext"/>
                    <w:framePr w:hSpace="180" w:wrap="around" w:vAnchor="text" w:hAnchor="text" w:y="1"/>
                    <w:jc w:val="center"/>
                  </w:pPr>
                  <w:r>
                    <w:t>27 (40</w:t>
                  </w:r>
                  <w:r w:rsidRPr="0039124B">
                    <w:t>%)</w:t>
                  </w:r>
                </w:p>
              </w:tc>
              <w:tc>
                <w:tcPr>
                  <w:tcW w:w="1108" w:type="dxa"/>
                  <w:tcBorders>
                    <w:top w:val="nil"/>
                    <w:bottom w:val="nil"/>
                  </w:tcBorders>
                </w:tcPr>
                <w:p w:rsidR="001D0FDA" w:rsidRPr="00C5782C" w:rsidRDefault="001D0FDA" w:rsidP="00570FC8">
                  <w:pPr>
                    <w:pStyle w:val="Tabletext"/>
                    <w:framePr w:hSpace="180" w:wrap="around" w:vAnchor="text" w:hAnchor="text" w:y="1"/>
                    <w:jc w:val="center"/>
                  </w:pPr>
                  <w:r>
                    <w:t>17 (32</w:t>
                  </w:r>
                  <w:r w:rsidRPr="0039124B">
                    <w:t>%)</w:t>
                  </w:r>
                </w:p>
              </w:tc>
            </w:tr>
            <w:tr w:rsidR="001D0FDA" w:rsidRPr="001B3364" w:rsidTr="001D0FDA">
              <w:tc>
                <w:tcPr>
                  <w:tcW w:w="2161" w:type="dxa"/>
                  <w:tcBorders>
                    <w:top w:val="nil"/>
                  </w:tcBorders>
                  <w:shd w:val="clear" w:color="auto" w:fill="FFFFFF" w:themeFill="background1"/>
                </w:tcPr>
                <w:p w:rsidR="001D0FDA" w:rsidRDefault="001D0FDA" w:rsidP="00570FC8">
                  <w:pPr>
                    <w:pStyle w:val="Tabletext"/>
                    <w:framePr w:hSpace="180" w:wrap="around" w:vAnchor="text" w:hAnchor="text" w:y="1"/>
                    <w:ind w:left="262"/>
                  </w:pPr>
                  <w:r>
                    <w:t>IV</w:t>
                  </w:r>
                </w:p>
              </w:tc>
              <w:tc>
                <w:tcPr>
                  <w:tcW w:w="1019" w:type="dxa"/>
                  <w:tcBorders>
                    <w:top w:val="nil"/>
                  </w:tcBorders>
                </w:tcPr>
                <w:p w:rsidR="001D0FDA" w:rsidRPr="00C5782C" w:rsidRDefault="001D0FDA" w:rsidP="00570FC8">
                  <w:pPr>
                    <w:pStyle w:val="Tabletext"/>
                    <w:framePr w:hSpace="180" w:wrap="around" w:vAnchor="text" w:hAnchor="text" w:y="1"/>
                    <w:jc w:val="center"/>
                  </w:pPr>
                  <w:r>
                    <w:t>1 (1</w:t>
                  </w:r>
                  <w:r w:rsidRPr="0039124B">
                    <w:t>%)</w:t>
                  </w:r>
                </w:p>
              </w:tc>
              <w:tc>
                <w:tcPr>
                  <w:tcW w:w="1108" w:type="dxa"/>
                  <w:tcBorders>
                    <w:top w:val="nil"/>
                  </w:tcBorders>
                </w:tcPr>
                <w:p w:rsidR="001D0FDA" w:rsidRPr="00C5782C" w:rsidRDefault="001D0FDA" w:rsidP="00570FC8">
                  <w:pPr>
                    <w:pStyle w:val="Tabletext"/>
                    <w:framePr w:hSpace="180" w:wrap="around" w:vAnchor="text" w:hAnchor="text" w:y="1"/>
                    <w:jc w:val="center"/>
                  </w:pPr>
                  <w:r w:rsidRPr="0039124B">
                    <w:t>0 (0%)</w:t>
                  </w:r>
                </w:p>
              </w:tc>
            </w:tr>
            <w:tr w:rsidR="001D0FDA" w:rsidRPr="001B3364" w:rsidTr="001D0FDA">
              <w:tc>
                <w:tcPr>
                  <w:tcW w:w="2161" w:type="dxa"/>
                </w:tcPr>
                <w:p w:rsidR="001D0FDA" w:rsidRDefault="001D0FDA" w:rsidP="00570FC8">
                  <w:pPr>
                    <w:pStyle w:val="Tabletext"/>
                    <w:framePr w:hSpace="180" w:wrap="around" w:vAnchor="text" w:hAnchor="text" w:y="1"/>
                  </w:pPr>
                  <w:r>
                    <w:rPr>
                      <w:rFonts w:cs="Tahoma"/>
                      <w:szCs w:val="18"/>
                    </w:rPr>
                    <w:t>mPAP</w:t>
                  </w:r>
                  <w:r w:rsidRPr="00351FF5">
                    <w:rPr>
                      <w:rFonts w:cs="Tahoma"/>
                      <w:szCs w:val="18"/>
                    </w:rPr>
                    <w:t>, mean±SD (mmHg)</w:t>
                  </w:r>
                </w:p>
              </w:tc>
              <w:tc>
                <w:tcPr>
                  <w:tcW w:w="1019" w:type="dxa"/>
                </w:tcPr>
                <w:p w:rsidR="001D0FDA" w:rsidRPr="00C5782C" w:rsidRDefault="001D0FDA" w:rsidP="00570FC8">
                  <w:pPr>
                    <w:pStyle w:val="Tabletext"/>
                    <w:framePr w:hSpace="180" w:wrap="around" w:vAnchor="text" w:hAnchor="text" w:y="1"/>
                    <w:jc w:val="center"/>
                  </w:pPr>
                  <w:r>
                    <w:t>78</w:t>
                  </w:r>
                  <w:r w:rsidRPr="0039124B">
                    <w:t>±</w:t>
                  </w:r>
                  <w:r>
                    <w:t>19</w:t>
                  </w:r>
                </w:p>
              </w:tc>
              <w:tc>
                <w:tcPr>
                  <w:tcW w:w="1108" w:type="dxa"/>
                </w:tcPr>
                <w:p w:rsidR="001D0FDA" w:rsidRPr="00C5782C" w:rsidRDefault="001D0FDA" w:rsidP="00570FC8">
                  <w:pPr>
                    <w:pStyle w:val="Tabletext"/>
                    <w:framePr w:hSpace="180" w:wrap="around" w:vAnchor="text" w:hAnchor="text" w:y="1"/>
                    <w:jc w:val="center"/>
                  </w:pPr>
                  <w:r>
                    <w:t>80</w:t>
                  </w:r>
                  <w:r w:rsidRPr="0039124B">
                    <w:t>±</w:t>
                  </w:r>
                  <w:r>
                    <w:t>18</w:t>
                  </w:r>
                </w:p>
              </w:tc>
            </w:tr>
            <w:tr w:rsidR="001D0FDA" w:rsidRPr="001B3364" w:rsidTr="001D0FDA">
              <w:tc>
                <w:tcPr>
                  <w:tcW w:w="2161" w:type="dxa"/>
                </w:tcPr>
                <w:p w:rsidR="001D0FDA" w:rsidRDefault="001D0FDA" w:rsidP="00570FC8">
                  <w:pPr>
                    <w:pStyle w:val="Tabletext"/>
                    <w:framePr w:hSpace="180" w:wrap="around" w:vAnchor="text" w:hAnchor="text" w:y="1"/>
                  </w:pPr>
                  <w:r>
                    <w:rPr>
                      <w:rFonts w:cs="Tahoma"/>
                      <w:szCs w:val="18"/>
                    </w:rPr>
                    <w:t>PVR, mean±SD (dyn*s*</w:t>
                  </w:r>
                  <w:r w:rsidRPr="00134485">
                    <w:rPr>
                      <w:rFonts w:cs="Tahoma"/>
                      <w:szCs w:val="18"/>
                    </w:rPr>
                    <w:t>cm</w:t>
                  </w:r>
                  <w:r>
                    <w:rPr>
                      <w:rFonts w:cs="Tahoma"/>
                      <w:szCs w:val="18"/>
                      <w:vertAlign w:val="superscript"/>
                    </w:rPr>
                    <w:t>-</w:t>
                  </w:r>
                  <w:r w:rsidRPr="00134485">
                    <w:rPr>
                      <w:rFonts w:cs="Tahoma"/>
                      <w:szCs w:val="18"/>
                      <w:vertAlign w:val="superscript"/>
                    </w:rPr>
                    <w:t>5</w:t>
                  </w:r>
                  <w:r w:rsidRPr="00351FF5">
                    <w:rPr>
                      <w:rFonts w:cs="Tahoma"/>
                      <w:szCs w:val="18"/>
                    </w:rPr>
                    <w:t>)</w:t>
                  </w:r>
                </w:p>
              </w:tc>
              <w:tc>
                <w:tcPr>
                  <w:tcW w:w="1019" w:type="dxa"/>
                </w:tcPr>
                <w:p w:rsidR="001D0FDA" w:rsidRDefault="001D0FDA" w:rsidP="00570FC8">
                  <w:pPr>
                    <w:pStyle w:val="Tabletext"/>
                    <w:framePr w:hSpace="180" w:wrap="around" w:vAnchor="text" w:hAnchor="text" w:y="1"/>
                    <w:jc w:val="center"/>
                  </w:pPr>
                  <w:r w:rsidRPr="0039124B">
                    <w:t>2664±1446</w:t>
                  </w:r>
                </w:p>
              </w:tc>
              <w:tc>
                <w:tcPr>
                  <w:tcW w:w="1108" w:type="dxa"/>
                </w:tcPr>
                <w:p w:rsidR="001D0FDA" w:rsidRDefault="001D0FDA" w:rsidP="00570FC8">
                  <w:pPr>
                    <w:pStyle w:val="Tabletext"/>
                    <w:framePr w:hSpace="180" w:wrap="around" w:vAnchor="text" w:hAnchor="text" w:y="1"/>
                    <w:jc w:val="center"/>
                  </w:pPr>
                  <w:r w:rsidRPr="0039124B">
                    <w:t>2696±1405</w:t>
                  </w:r>
                </w:p>
              </w:tc>
            </w:tr>
          </w:tbl>
          <w:p w:rsidR="001D0FDA" w:rsidRDefault="001D0FDA" w:rsidP="001D0FDA">
            <w:pPr>
              <w:pStyle w:val="Tabletext"/>
            </w:pPr>
          </w:p>
        </w:tc>
        <w:tc>
          <w:tcPr>
            <w:tcW w:w="811" w:type="pct"/>
          </w:tcPr>
          <w:p w:rsidR="001D0FDA" w:rsidRDefault="001D0FDA" w:rsidP="001D0FDA">
            <w:pPr>
              <w:pStyle w:val="Tabletext"/>
              <w:rPr>
                <w:i/>
              </w:rPr>
            </w:pPr>
            <w:r>
              <w:rPr>
                <w:i/>
              </w:rPr>
              <w:t>Intervention</w:t>
            </w:r>
          </w:p>
          <w:p w:rsidR="001D0FDA" w:rsidRDefault="001D0FDA" w:rsidP="001D0FDA">
            <w:pPr>
              <w:pStyle w:val="Tabletext"/>
            </w:pPr>
            <w:r>
              <w:t>Sildenafil: 60-100</w:t>
            </w:r>
            <w:r w:rsidR="00C90897">
              <w:t> </w:t>
            </w:r>
            <w:r>
              <w:t>mg daily</w:t>
            </w:r>
          </w:p>
          <w:p w:rsidR="001D0FDA" w:rsidRDefault="001D0FDA" w:rsidP="001D0FDA">
            <w:pPr>
              <w:pStyle w:val="Tabletext"/>
            </w:pPr>
          </w:p>
          <w:p w:rsidR="001D0FDA" w:rsidRDefault="001D0FDA" w:rsidP="001D0FDA">
            <w:pPr>
              <w:pStyle w:val="Tabletext"/>
              <w:rPr>
                <w:i/>
              </w:rPr>
            </w:pPr>
            <w:r>
              <w:rPr>
                <w:i/>
              </w:rPr>
              <w:t>Comparator</w:t>
            </w:r>
          </w:p>
          <w:p w:rsidR="001D0FDA" w:rsidRPr="009246DC" w:rsidRDefault="001D0FDA" w:rsidP="001D0FDA">
            <w:pPr>
              <w:pStyle w:val="Tabletext"/>
            </w:pPr>
            <w:r>
              <w:t>Conventional therapy</w:t>
            </w:r>
          </w:p>
        </w:tc>
        <w:tc>
          <w:tcPr>
            <w:tcW w:w="771" w:type="pct"/>
          </w:tcPr>
          <w:p w:rsidR="001D0FDA" w:rsidRPr="009246DC" w:rsidRDefault="001D0FDA" w:rsidP="001D0FDA">
            <w:pPr>
              <w:pStyle w:val="Tabletext"/>
              <w:rPr>
                <w:rFonts w:cs="Tahoma"/>
                <w:i/>
                <w:szCs w:val="18"/>
              </w:rPr>
            </w:pPr>
            <w:r w:rsidRPr="009246DC">
              <w:rPr>
                <w:rFonts w:cs="Tahoma"/>
                <w:i/>
                <w:szCs w:val="18"/>
              </w:rPr>
              <w:t>Effectiveness</w:t>
            </w:r>
          </w:p>
          <w:p w:rsidR="001D0FDA" w:rsidRPr="009246DC" w:rsidRDefault="001D0FDA" w:rsidP="00480FDF">
            <w:pPr>
              <w:pStyle w:val="Tabletext"/>
              <w:numPr>
                <w:ilvl w:val="0"/>
                <w:numId w:val="54"/>
              </w:numPr>
              <w:ind w:left="239" w:hanging="144"/>
              <w:rPr>
                <w:rFonts w:cs="Tahoma"/>
                <w:szCs w:val="18"/>
              </w:rPr>
            </w:pPr>
            <w:r>
              <w:rPr>
                <w:rFonts w:cs="Tahoma"/>
                <w:szCs w:val="18"/>
              </w:rPr>
              <w:t xml:space="preserve">Change in </w:t>
            </w:r>
            <w:r w:rsidRPr="009246DC">
              <w:rPr>
                <w:rFonts w:cs="Tahoma"/>
                <w:szCs w:val="18"/>
              </w:rPr>
              <w:t>6MWD</w:t>
            </w:r>
          </w:p>
          <w:p w:rsidR="001D0FDA" w:rsidRPr="009246DC" w:rsidRDefault="001D0FDA" w:rsidP="00480FDF">
            <w:pPr>
              <w:pStyle w:val="Tabletext"/>
              <w:numPr>
                <w:ilvl w:val="0"/>
                <w:numId w:val="54"/>
              </w:numPr>
              <w:ind w:left="239" w:hanging="144"/>
              <w:rPr>
                <w:rFonts w:cs="Tahoma"/>
                <w:szCs w:val="18"/>
              </w:rPr>
            </w:pPr>
            <w:r>
              <w:rPr>
                <w:rFonts w:cs="Tahoma"/>
                <w:szCs w:val="18"/>
              </w:rPr>
              <w:t xml:space="preserve">Change in </w:t>
            </w:r>
            <w:r w:rsidRPr="009246DC">
              <w:rPr>
                <w:rFonts w:cs="Tahoma"/>
                <w:szCs w:val="18"/>
              </w:rPr>
              <w:t>WHO FC</w:t>
            </w:r>
          </w:p>
          <w:p w:rsidR="001D0FDA" w:rsidRPr="009246DC" w:rsidRDefault="001D0FDA" w:rsidP="00480FDF">
            <w:pPr>
              <w:pStyle w:val="Tabletext"/>
              <w:numPr>
                <w:ilvl w:val="0"/>
                <w:numId w:val="54"/>
              </w:numPr>
              <w:ind w:left="239" w:hanging="144"/>
              <w:rPr>
                <w:rFonts w:cs="Tahoma"/>
                <w:i/>
                <w:szCs w:val="18"/>
              </w:rPr>
            </w:pPr>
            <w:r w:rsidRPr="009246DC">
              <w:rPr>
                <w:rFonts w:cs="Tahoma"/>
                <w:szCs w:val="18"/>
              </w:rPr>
              <w:t>Mortality</w:t>
            </w:r>
            <w:r w:rsidRPr="009246DC">
              <w:rPr>
                <w:rFonts w:cs="Tahoma"/>
                <w:szCs w:val="18"/>
                <w:vertAlign w:val="superscript"/>
              </w:rPr>
              <w:t>c</w:t>
            </w:r>
          </w:p>
          <w:p w:rsidR="001D0FDA" w:rsidRPr="00EF6EEC" w:rsidRDefault="001D0FDA" w:rsidP="00480FDF">
            <w:pPr>
              <w:pStyle w:val="Tabletext"/>
              <w:numPr>
                <w:ilvl w:val="0"/>
                <w:numId w:val="54"/>
              </w:numPr>
              <w:ind w:left="239" w:hanging="144"/>
              <w:rPr>
                <w:rFonts w:cs="Tahoma"/>
                <w:i/>
                <w:szCs w:val="18"/>
              </w:rPr>
            </w:pPr>
            <w:r>
              <w:rPr>
                <w:rFonts w:cs="Tahoma"/>
                <w:szCs w:val="18"/>
              </w:rPr>
              <w:t>Change in mPAP and PVR</w:t>
            </w:r>
          </w:p>
        </w:tc>
      </w:tr>
      <w:tr w:rsidR="001D0FDA" w:rsidRPr="00204000" w:rsidTr="001D0FDA">
        <w:tc>
          <w:tcPr>
            <w:tcW w:w="531" w:type="pct"/>
          </w:tcPr>
          <w:p w:rsidR="001D0FDA" w:rsidRPr="00D53F84" w:rsidRDefault="001D0FDA" w:rsidP="001D0FDA">
            <w:pPr>
              <w:pStyle w:val="Tabletext"/>
              <w:ind w:right="-28"/>
              <w:rPr>
                <w:rFonts w:eastAsia="Times New Roman"/>
                <w:lang w:eastAsia="en-US"/>
              </w:rPr>
            </w:pPr>
            <w:r w:rsidRPr="00D53F84">
              <w:rPr>
                <w:rFonts w:eastAsia="Times New Roman"/>
                <w:lang w:eastAsia="en-US"/>
              </w:rPr>
              <w:t>Sastry 2007</w:t>
            </w:r>
            <w:r w:rsidR="001D34EE" w:rsidRPr="001A1C44">
              <w:rPr>
                <w:rFonts w:eastAsia="Times New Roman"/>
                <w:noProof/>
                <w:vertAlign w:val="superscript"/>
                <w:lang w:eastAsia="en-US"/>
              </w:rPr>
              <w:t>52</w:t>
            </w:r>
          </w:p>
          <w:p w:rsidR="001D0FDA" w:rsidRPr="00D53F84" w:rsidRDefault="001D0FDA" w:rsidP="001D0FDA">
            <w:pPr>
              <w:pStyle w:val="Tabletext"/>
              <w:ind w:right="-28"/>
              <w:rPr>
                <w:rFonts w:eastAsia="Times New Roman"/>
                <w:lang w:eastAsia="en-US"/>
              </w:rPr>
            </w:pPr>
            <w:r w:rsidRPr="00D53F84">
              <w:rPr>
                <w:rFonts w:eastAsia="Times New Roman"/>
                <w:lang w:eastAsia="en-US"/>
              </w:rPr>
              <w:t>1999-2006</w:t>
            </w:r>
          </w:p>
          <w:p w:rsidR="001D0FDA" w:rsidRPr="00D53F84" w:rsidRDefault="001D0FDA" w:rsidP="001D0FDA">
            <w:pPr>
              <w:pStyle w:val="Tabletext"/>
              <w:ind w:right="-28"/>
              <w:rPr>
                <w:rFonts w:eastAsia="Times New Roman"/>
                <w:lang w:eastAsia="en-US"/>
              </w:rPr>
            </w:pPr>
            <w:r w:rsidRPr="00D53F84">
              <w:rPr>
                <w:rFonts w:eastAsia="Times New Roman"/>
                <w:lang w:eastAsia="en-US"/>
              </w:rPr>
              <w:t>India</w:t>
            </w:r>
          </w:p>
        </w:tc>
        <w:tc>
          <w:tcPr>
            <w:tcW w:w="476" w:type="pct"/>
          </w:tcPr>
          <w:p w:rsidR="001D0FDA" w:rsidRDefault="001D0FDA" w:rsidP="001D0FDA">
            <w:pPr>
              <w:pStyle w:val="Tabletext"/>
              <w:ind w:right="-28"/>
              <w:rPr>
                <w:rFonts w:eastAsia="Times New Roman"/>
                <w:lang w:eastAsia="en-US"/>
              </w:rPr>
            </w:pPr>
            <w:r w:rsidRPr="00D53F84">
              <w:rPr>
                <w:rFonts w:eastAsia="Times New Roman"/>
                <w:lang w:eastAsia="en-US"/>
              </w:rPr>
              <w:t>Historical control study</w:t>
            </w:r>
          </w:p>
          <w:p w:rsidR="001D0FDA" w:rsidRPr="00D53F84" w:rsidRDefault="001D0FDA" w:rsidP="001D0FDA">
            <w:pPr>
              <w:pStyle w:val="Tabletext"/>
              <w:ind w:right="-28"/>
              <w:rPr>
                <w:rFonts w:eastAsia="Times New Roman"/>
                <w:lang w:eastAsia="en-US"/>
              </w:rPr>
            </w:pPr>
            <w:r>
              <w:rPr>
                <w:rFonts w:eastAsia="Times New Roman"/>
                <w:lang w:eastAsia="en-US"/>
              </w:rPr>
              <w:t>Level III-3 evidence</w:t>
            </w:r>
          </w:p>
          <w:p w:rsidR="001D0FDA" w:rsidRDefault="001D0FDA" w:rsidP="001D0FDA">
            <w:pPr>
              <w:pStyle w:val="Tabletext"/>
              <w:ind w:right="-28"/>
              <w:rPr>
                <w:rFonts w:eastAsia="Times New Roman"/>
                <w:lang w:eastAsia="en-US"/>
              </w:rPr>
            </w:pPr>
            <w:r>
              <w:rPr>
                <w:rFonts w:eastAsia="Times New Roman"/>
                <w:lang w:eastAsia="en-US"/>
              </w:rPr>
              <w:t>Follow-up: u</w:t>
            </w:r>
            <w:r w:rsidRPr="00D53F84">
              <w:rPr>
                <w:rFonts w:eastAsia="Times New Roman"/>
                <w:lang w:eastAsia="en-US"/>
              </w:rPr>
              <w:t>p to 5 years</w:t>
            </w:r>
          </w:p>
          <w:p w:rsidR="001D0FDA" w:rsidRPr="00D53F84" w:rsidRDefault="001D0FDA" w:rsidP="001D0FDA">
            <w:pPr>
              <w:pStyle w:val="Tabletext"/>
              <w:ind w:right="-28"/>
              <w:rPr>
                <w:rFonts w:eastAsia="Times New Roman"/>
                <w:snapToGrid w:val="0"/>
                <w:lang w:eastAsia="en-US"/>
              </w:rPr>
            </w:pPr>
            <w:r>
              <w:rPr>
                <w:rFonts w:eastAsia="Times New Roman"/>
                <w:lang w:eastAsia="en-US"/>
              </w:rPr>
              <w:t>Risk of bias: moderate-to-high</w:t>
            </w:r>
          </w:p>
        </w:tc>
        <w:tc>
          <w:tcPr>
            <w:tcW w:w="772" w:type="pct"/>
          </w:tcPr>
          <w:p w:rsidR="001D0FDA" w:rsidRPr="0039124B" w:rsidRDefault="001D0FDA" w:rsidP="001D0FDA">
            <w:pPr>
              <w:pStyle w:val="Tabletext"/>
              <w:rPr>
                <w:rFonts w:cs="Tahoma"/>
                <w:i/>
                <w:szCs w:val="18"/>
              </w:rPr>
            </w:pPr>
            <w:r w:rsidRPr="0039124B">
              <w:rPr>
                <w:rFonts w:cs="Tahoma"/>
                <w:i/>
                <w:szCs w:val="18"/>
              </w:rPr>
              <w:t>Inclusion criteria</w:t>
            </w:r>
          </w:p>
          <w:p w:rsidR="001D0FDA" w:rsidRPr="0039124B" w:rsidRDefault="001D0FDA" w:rsidP="00480FDF">
            <w:pPr>
              <w:pStyle w:val="Tabletext"/>
              <w:numPr>
                <w:ilvl w:val="0"/>
                <w:numId w:val="54"/>
              </w:numPr>
              <w:ind w:left="239" w:hanging="144"/>
              <w:rPr>
                <w:rFonts w:cs="Tahoma"/>
                <w:szCs w:val="18"/>
              </w:rPr>
            </w:pPr>
            <w:r w:rsidRPr="0039124B">
              <w:rPr>
                <w:rFonts w:cs="Tahoma"/>
                <w:szCs w:val="18"/>
              </w:rPr>
              <w:t>Patients with IPAH</w:t>
            </w:r>
          </w:p>
          <w:p w:rsidR="001D0FDA" w:rsidRPr="0039124B" w:rsidRDefault="001D0FDA" w:rsidP="00480FDF">
            <w:pPr>
              <w:pStyle w:val="Tabletext"/>
              <w:numPr>
                <w:ilvl w:val="0"/>
                <w:numId w:val="54"/>
              </w:numPr>
              <w:ind w:left="239" w:hanging="144"/>
              <w:rPr>
                <w:rFonts w:cs="Tahoma"/>
                <w:szCs w:val="18"/>
              </w:rPr>
            </w:pPr>
            <w:r>
              <w:rPr>
                <w:rFonts w:cs="Tahoma"/>
                <w:szCs w:val="18"/>
              </w:rPr>
              <w:t>S</w:t>
            </w:r>
            <w:r w:rsidRPr="0039124B">
              <w:rPr>
                <w:rFonts w:cs="Tahoma"/>
                <w:szCs w:val="18"/>
              </w:rPr>
              <w:t>ystolic PAP ≥60</w:t>
            </w:r>
            <w:r w:rsidR="00C90897">
              <w:rPr>
                <w:rFonts w:cs="Tahoma"/>
                <w:szCs w:val="18"/>
              </w:rPr>
              <w:t> </w:t>
            </w:r>
            <w:r w:rsidRPr="0039124B">
              <w:rPr>
                <w:rFonts w:cs="Tahoma"/>
                <w:szCs w:val="18"/>
              </w:rPr>
              <w:t>mgHg</w:t>
            </w:r>
          </w:p>
          <w:p w:rsidR="001D0FDA" w:rsidRPr="0039124B" w:rsidRDefault="001D0FDA" w:rsidP="001D0FDA">
            <w:pPr>
              <w:pStyle w:val="Tabletext"/>
              <w:rPr>
                <w:rFonts w:cs="Tahoma"/>
                <w:i/>
                <w:szCs w:val="18"/>
              </w:rPr>
            </w:pPr>
          </w:p>
          <w:p w:rsidR="001D0FDA" w:rsidRPr="0039124B" w:rsidRDefault="001D0FDA" w:rsidP="001D0FDA">
            <w:pPr>
              <w:pStyle w:val="Tabletext"/>
              <w:rPr>
                <w:rFonts w:cs="Tahoma"/>
                <w:i/>
                <w:szCs w:val="18"/>
              </w:rPr>
            </w:pPr>
            <w:r w:rsidRPr="0039124B">
              <w:rPr>
                <w:rFonts w:cs="Tahoma"/>
                <w:i/>
                <w:szCs w:val="18"/>
              </w:rPr>
              <w:t>Exclusion criteria</w:t>
            </w:r>
          </w:p>
          <w:p w:rsidR="001D0FDA" w:rsidRPr="00087357" w:rsidRDefault="001D0FDA" w:rsidP="00480FDF">
            <w:pPr>
              <w:pStyle w:val="Tabletext"/>
              <w:numPr>
                <w:ilvl w:val="0"/>
                <w:numId w:val="54"/>
              </w:numPr>
              <w:ind w:left="239" w:hanging="144"/>
              <w:rPr>
                <w:rFonts w:cs="Tahoma"/>
                <w:i/>
                <w:szCs w:val="18"/>
              </w:rPr>
            </w:pPr>
            <w:r w:rsidRPr="0039124B">
              <w:rPr>
                <w:rFonts w:cs="Tahoma"/>
                <w:szCs w:val="18"/>
              </w:rPr>
              <w:t>Patients with significant left heart disease or shunt lesions</w:t>
            </w:r>
          </w:p>
        </w:tc>
        <w:tc>
          <w:tcPr>
            <w:tcW w:w="0" w:type="auto"/>
          </w:tcPr>
          <w:p w:rsidR="001D0FDA" w:rsidRDefault="001D0FDA" w:rsidP="001D0FDA">
            <w:pPr>
              <w:pStyle w:val="Tabletext"/>
            </w:pPr>
            <w:r>
              <w:t>N=178</w:t>
            </w:r>
          </w:p>
          <w:tbl>
            <w:tblPr>
              <w:tblStyle w:val="TableGrid"/>
              <w:tblW w:w="42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Caption w:val="Patient baseline characteristics in Study 2007"/>
            </w:tblPr>
            <w:tblGrid>
              <w:gridCol w:w="2000"/>
              <w:gridCol w:w="1006"/>
              <w:gridCol w:w="1282"/>
            </w:tblGrid>
            <w:tr w:rsidR="001D0FDA" w:rsidTr="001D0FDA">
              <w:trPr>
                <w:cnfStyle w:val="100000000000" w:firstRow="1" w:lastRow="0" w:firstColumn="0" w:lastColumn="0" w:oddVBand="0" w:evenVBand="0" w:oddHBand="0" w:evenHBand="0" w:firstRowFirstColumn="0" w:firstRowLastColumn="0" w:lastRowFirstColumn="0" w:lastRowLastColumn="0"/>
              </w:trPr>
              <w:tc>
                <w:tcPr>
                  <w:tcW w:w="2161" w:type="dxa"/>
                  <w:shd w:val="clear" w:color="auto" w:fill="FFFFFF" w:themeFill="background1"/>
                </w:tcPr>
                <w:p w:rsidR="001D0FDA" w:rsidRPr="003C0DFB" w:rsidRDefault="001D0FDA" w:rsidP="00570FC8">
                  <w:pPr>
                    <w:pStyle w:val="Tabletext"/>
                    <w:framePr w:hSpace="180" w:wrap="around" w:vAnchor="text" w:hAnchor="text" w:y="1"/>
                  </w:pPr>
                </w:p>
              </w:tc>
              <w:tc>
                <w:tcPr>
                  <w:tcW w:w="1019" w:type="dxa"/>
                  <w:shd w:val="clear" w:color="auto" w:fill="FFFFFF" w:themeFill="background1"/>
                </w:tcPr>
                <w:p w:rsidR="001D0FDA" w:rsidRPr="0039124B" w:rsidRDefault="001D0FDA" w:rsidP="00570FC8">
                  <w:pPr>
                    <w:pStyle w:val="Tabletext"/>
                    <w:framePr w:hSpace="180" w:wrap="around" w:vAnchor="text" w:hAnchor="text" w:y="1"/>
                    <w:jc w:val="center"/>
                  </w:pPr>
                  <w:r w:rsidRPr="009246DC">
                    <w:t>Sildenafil (n=139)</w:t>
                  </w:r>
                </w:p>
              </w:tc>
              <w:tc>
                <w:tcPr>
                  <w:tcW w:w="1108" w:type="dxa"/>
                  <w:shd w:val="clear" w:color="auto" w:fill="FFFFFF" w:themeFill="background1"/>
                </w:tcPr>
                <w:p w:rsidR="001D0FDA" w:rsidRDefault="001D0FDA" w:rsidP="00570FC8">
                  <w:pPr>
                    <w:pStyle w:val="Tabletext"/>
                    <w:framePr w:hSpace="180" w:wrap="around" w:vAnchor="text" w:hAnchor="text" w:y="1"/>
                    <w:jc w:val="center"/>
                  </w:pPr>
                  <w:r>
                    <w:t>Conventional therapy</w:t>
                  </w:r>
                  <w:r>
                    <w:br/>
                  </w:r>
                  <w:r w:rsidRPr="009246DC">
                    <w:t>(n=39)</w:t>
                  </w:r>
                </w:p>
              </w:tc>
            </w:tr>
            <w:tr w:rsidR="001D0FDA" w:rsidRPr="001B3364" w:rsidTr="001D0FDA">
              <w:tc>
                <w:tcPr>
                  <w:tcW w:w="2161" w:type="dxa"/>
                  <w:shd w:val="clear" w:color="auto" w:fill="FFFFFF" w:themeFill="background1"/>
                </w:tcPr>
                <w:p w:rsidR="001D0FDA" w:rsidRDefault="001D0FDA" w:rsidP="00570FC8">
                  <w:pPr>
                    <w:pStyle w:val="Tabletext"/>
                    <w:framePr w:hSpace="180" w:wrap="around" w:vAnchor="text" w:hAnchor="text" w:y="1"/>
                  </w:pPr>
                  <w:r w:rsidRPr="00351FF5">
                    <w:rPr>
                      <w:rFonts w:cs="Tahoma"/>
                      <w:szCs w:val="18"/>
                    </w:rPr>
                    <w:t>Age, mean±SD (yrs)</w:t>
                  </w:r>
                </w:p>
              </w:tc>
              <w:tc>
                <w:tcPr>
                  <w:tcW w:w="1019" w:type="dxa"/>
                  <w:shd w:val="clear" w:color="auto" w:fill="FFFFFF" w:themeFill="background1"/>
                </w:tcPr>
                <w:p w:rsidR="001D0FDA" w:rsidRPr="0039124B" w:rsidRDefault="001D0FDA" w:rsidP="00570FC8">
                  <w:pPr>
                    <w:pStyle w:val="Tabletext"/>
                    <w:framePr w:hSpace="180" w:wrap="around" w:vAnchor="text" w:hAnchor="text" w:y="1"/>
                    <w:jc w:val="center"/>
                  </w:pPr>
                  <w:r>
                    <w:t>28±13</w:t>
                  </w:r>
                </w:p>
              </w:tc>
              <w:tc>
                <w:tcPr>
                  <w:tcW w:w="1108" w:type="dxa"/>
                  <w:shd w:val="clear" w:color="auto" w:fill="FFFFFF" w:themeFill="background1"/>
                </w:tcPr>
                <w:p w:rsidR="001D0FDA" w:rsidRPr="0039124B" w:rsidRDefault="001D0FDA" w:rsidP="00570FC8">
                  <w:pPr>
                    <w:pStyle w:val="Tabletext"/>
                    <w:framePr w:hSpace="180" w:wrap="around" w:vAnchor="text" w:hAnchor="text" w:y="1"/>
                    <w:jc w:val="center"/>
                  </w:pPr>
                  <w:r>
                    <w:t>29±12</w:t>
                  </w:r>
                </w:p>
              </w:tc>
            </w:tr>
            <w:tr w:rsidR="001D0FDA" w:rsidRPr="001B3364" w:rsidTr="001D0FDA">
              <w:tc>
                <w:tcPr>
                  <w:tcW w:w="2161" w:type="dxa"/>
                  <w:tcBorders>
                    <w:bottom w:val="single" w:sz="4" w:space="0" w:color="BFBFBF" w:themeColor="background1" w:themeShade="BF"/>
                  </w:tcBorders>
                </w:tcPr>
                <w:p w:rsidR="001D0FDA" w:rsidRPr="00351FF5" w:rsidRDefault="001D0FDA" w:rsidP="00570FC8">
                  <w:pPr>
                    <w:pStyle w:val="Tabletext"/>
                    <w:framePr w:hSpace="180" w:wrap="around" w:vAnchor="text" w:hAnchor="text" w:y="1"/>
                    <w:rPr>
                      <w:rFonts w:cs="Tahoma"/>
                      <w:szCs w:val="18"/>
                    </w:rPr>
                  </w:pPr>
                  <w:r w:rsidRPr="00351FF5">
                    <w:rPr>
                      <w:rFonts w:cs="Tahoma"/>
                      <w:szCs w:val="18"/>
                    </w:rPr>
                    <w:t>Gender, femal</w:t>
                  </w:r>
                  <w:r>
                    <w:rPr>
                      <w:rFonts w:cs="Tahoma"/>
                      <w:szCs w:val="18"/>
                    </w:rPr>
                    <w:t>e</w:t>
                  </w:r>
                  <w:r w:rsidRPr="00351FF5">
                    <w:rPr>
                      <w:rFonts w:cs="Tahoma"/>
                      <w:szCs w:val="18"/>
                    </w:rPr>
                    <w:t>, n (%)</w:t>
                  </w:r>
                </w:p>
              </w:tc>
              <w:tc>
                <w:tcPr>
                  <w:tcW w:w="1019" w:type="dxa"/>
                  <w:tcBorders>
                    <w:bottom w:val="single" w:sz="4" w:space="0" w:color="BFBFBF" w:themeColor="background1" w:themeShade="BF"/>
                  </w:tcBorders>
                </w:tcPr>
                <w:p w:rsidR="001D0FDA" w:rsidRPr="0039124B" w:rsidRDefault="001D0FDA" w:rsidP="00570FC8">
                  <w:pPr>
                    <w:pStyle w:val="Tabletext"/>
                    <w:framePr w:hSpace="180" w:wrap="around" w:vAnchor="text" w:hAnchor="text" w:y="1"/>
                    <w:jc w:val="center"/>
                  </w:pPr>
                  <w:r w:rsidRPr="009246DC">
                    <w:t>87 (63%)</w:t>
                  </w:r>
                </w:p>
              </w:tc>
              <w:tc>
                <w:tcPr>
                  <w:tcW w:w="1108" w:type="dxa"/>
                  <w:tcBorders>
                    <w:bottom w:val="single" w:sz="4" w:space="0" w:color="BFBFBF" w:themeColor="background1" w:themeShade="BF"/>
                  </w:tcBorders>
                </w:tcPr>
                <w:p w:rsidR="001D0FDA" w:rsidRPr="0039124B" w:rsidRDefault="001D0FDA" w:rsidP="00570FC8">
                  <w:pPr>
                    <w:pStyle w:val="Tabletext"/>
                    <w:framePr w:hSpace="180" w:wrap="around" w:vAnchor="text" w:hAnchor="text" w:y="1"/>
                    <w:jc w:val="center"/>
                  </w:pPr>
                  <w:r w:rsidRPr="009246DC">
                    <w:t>22 (56%)</w:t>
                  </w:r>
                </w:p>
              </w:tc>
            </w:tr>
            <w:tr w:rsidR="001D0FDA" w:rsidRPr="001B3364" w:rsidTr="001D0FDA">
              <w:tc>
                <w:tcPr>
                  <w:tcW w:w="2161" w:type="dxa"/>
                  <w:tcBorders>
                    <w:bottom w:val="nil"/>
                  </w:tcBorders>
                  <w:shd w:val="clear" w:color="auto" w:fill="FFFFFF" w:themeFill="background1"/>
                </w:tcPr>
                <w:p w:rsidR="001D0FDA" w:rsidRPr="00C5782C" w:rsidRDefault="001D0FDA" w:rsidP="00570FC8">
                  <w:pPr>
                    <w:pStyle w:val="Tabletext"/>
                    <w:framePr w:hSpace="180" w:wrap="around" w:vAnchor="text" w:hAnchor="text" w:y="1"/>
                  </w:pPr>
                  <w:r>
                    <w:t>Aetiology</w:t>
                  </w:r>
                </w:p>
              </w:tc>
              <w:tc>
                <w:tcPr>
                  <w:tcW w:w="1019" w:type="dxa"/>
                  <w:tcBorders>
                    <w:bottom w:val="nil"/>
                  </w:tcBorders>
                  <w:shd w:val="clear" w:color="auto" w:fill="FFFFFF" w:themeFill="background1"/>
                </w:tcPr>
                <w:p w:rsidR="001D0FDA" w:rsidRPr="00C5782C" w:rsidRDefault="001D0FDA" w:rsidP="00570FC8">
                  <w:pPr>
                    <w:pStyle w:val="Tabletext"/>
                    <w:framePr w:hSpace="180" w:wrap="around" w:vAnchor="text" w:hAnchor="text" w:y="1"/>
                    <w:jc w:val="center"/>
                  </w:pPr>
                </w:p>
              </w:tc>
              <w:tc>
                <w:tcPr>
                  <w:tcW w:w="1108" w:type="dxa"/>
                  <w:tcBorders>
                    <w:bottom w:val="nil"/>
                  </w:tcBorders>
                  <w:shd w:val="clear" w:color="auto" w:fill="FFFFFF" w:themeFill="background1"/>
                </w:tcPr>
                <w:p w:rsidR="001D0FDA" w:rsidRPr="00C5782C" w:rsidRDefault="001D0FDA" w:rsidP="00570FC8">
                  <w:pPr>
                    <w:pStyle w:val="Tabletext"/>
                    <w:framePr w:hSpace="180" w:wrap="around" w:vAnchor="text" w:hAnchor="text" w:y="1"/>
                    <w:jc w:val="center"/>
                  </w:pPr>
                </w:p>
              </w:tc>
            </w:tr>
            <w:tr w:rsidR="001D0FDA" w:rsidRPr="001B3364" w:rsidTr="001D0FDA">
              <w:tc>
                <w:tcPr>
                  <w:tcW w:w="2161" w:type="dxa"/>
                  <w:tcBorders>
                    <w:top w:val="nil"/>
                    <w:bottom w:val="nil"/>
                  </w:tcBorders>
                  <w:shd w:val="clear" w:color="auto" w:fill="FFFFFF" w:themeFill="background1"/>
                </w:tcPr>
                <w:p w:rsidR="001D0FDA" w:rsidRPr="00C5782C" w:rsidRDefault="001D0FDA" w:rsidP="00570FC8">
                  <w:pPr>
                    <w:pStyle w:val="Tabletext"/>
                    <w:framePr w:hSpace="180" w:wrap="around" w:vAnchor="text" w:hAnchor="text" w:y="1"/>
                    <w:ind w:left="262"/>
                  </w:pPr>
                  <w:r>
                    <w:t>I</w:t>
                  </w:r>
                  <w:r w:rsidRPr="00C5782C">
                    <w:t>PAH</w:t>
                  </w:r>
                </w:p>
              </w:tc>
              <w:tc>
                <w:tcPr>
                  <w:tcW w:w="1019" w:type="dxa"/>
                  <w:tcBorders>
                    <w:top w:val="nil"/>
                    <w:bottom w:val="single" w:sz="4" w:space="0" w:color="BFBFBF" w:themeColor="background1" w:themeShade="BF"/>
                  </w:tcBorders>
                  <w:shd w:val="clear" w:color="auto" w:fill="FFFFFF" w:themeFill="background1"/>
                </w:tcPr>
                <w:p w:rsidR="001D0FDA" w:rsidRDefault="001D0FDA" w:rsidP="00570FC8">
                  <w:pPr>
                    <w:pStyle w:val="Tabletext"/>
                    <w:framePr w:hSpace="180" w:wrap="around" w:vAnchor="text" w:hAnchor="text" w:y="1"/>
                    <w:jc w:val="center"/>
                  </w:pPr>
                  <w:r>
                    <w:t>139 (100%)</w:t>
                  </w:r>
                </w:p>
              </w:tc>
              <w:tc>
                <w:tcPr>
                  <w:tcW w:w="1108" w:type="dxa"/>
                  <w:tcBorders>
                    <w:top w:val="nil"/>
                    <w:bottom w:val="single" w:sz="4" w:space="0" w:color="BFBFBF" w:themeColor="background1" w:themeShade="BF"/>
                  </w:tcBorders>
                  <w:shd w:val="clear" w:color="auto" w:fill="FFFFFF" w:themeFill="background1"/>
                </w:tcPr>
                <w:p w:rsidR="001D0FDA" w:rsidRDefault="001D0FDA" w:rsidP="00570FC8">
                  <w:pPr>
                    <w:pStyle w:val="Tabletext"/>
                    <w:framePr w:hSpace="180" w:wrap="around" w:vAnchor="text" w:hAnchor="text" w:y="1"/>
                    <w:jc w:val="center"/>
                  </w:pPr>
                  <w:r>
                    <w:t>39 (100%)</w:t>
                  </w:r>
                </w:p>
              </w:tc>
            </w:tr>
            <w:tr w:rsidR="001D0FDA" w:rsidRPr="001B3364" w:rsidTr="001D0FDA">
              <w:tc>
                <w:tcPr>
                  <w:tcW w:w="2161" w:type="dxa"/>
                  <w:tcBorders>
                    <w:bottom w:val="nil"/>
                  </w:tcBorders>
                  <w:shd w:val="clear" w:color="auto" w:fill="FFFFFF" w:themeFill="background1"/>
                </w:tcPr>
                <w:p w:rsidR="001D0FDA" w:rsidRPr="00C5782C" w:rsidRDefault="001D0FDA" w:rsidP="00570FC8">
                  <w:pPr>
                    <w:pStyle w:val="Tabletext"/>
                    <w:framePr w:hSpace="180" w:wrap="around" w:vAnchor="text" w:hAnchor="text" w:y="1"/>
                  </w:pPr>
                  <w:r>
                    <w:t>WHO FC</w:t>
                  </w:r>
                </w:p>
              </w:tc>
              <w:tc>
                <w:tcPr>
                  <w:tcW w:w="1019" w:type="dxa"/>
                  <w:tcBorders>
                    <w:bottom w:val="nil"/>
                  </w:tcBorders>
                  <w:shd w:val="clear" w:color="auto" w:fill="FFFFFF" w:themeFill="background1"/>
                </w:tcPr>
                <w:p w:rsidR="001D0FDA" w:rsidRPr="00C5782C" w:rsidRDefault="001D0FDA" w:rsidP="00570FC8">
                  <w:pPr>
                    <w:pStyle w:val="Tabletext"/>
                    <w:framePr w:hSpace="180" w:wrap="around" w:vAnchor="text" w:hAnchor="text" w:y="1"/>
                    <w:jc w:val="center"/>
                  </w:pPr>
                </w:p>
              </w:tc>
              <w:tc>
                <w:tcPr>
                  <w:tcW w:w="1108" w:type="dxa"/>
                  <w:tcBorders>
                    <w:bottom w:val="nil"/>
                  </w:tcBorders>
                  <w:shd w:val="clear" w:color="auto" w:fill="FFFFFF" w:themeFill="background1"/>
                </w:tcPr>
                <w:p w:rsidR="001D0FDA" w:rsidRPr="00C5782C" w:rsidRDefault="001D0FDA" w:rsidP="00570FC8">
                  <w:pPr>
                    <w:pStyle w:val="Tabletext"/>
                    <w:framePr w:hSpace="180" w:wrap="around" w:vAnchor="text" w:hAnchor="text" w:y="1"/>
                    <w:jc w:val="center"/>
                  </w:pPr>
                </w:p>
              </w:tc>
            </w:tr>
            <w:tr w:rsidR="001D0FDA" w:rsidRPr="001B3364" w:rsidTr="001D0FDA">
              <w:tc>
                <w:tcPr>
                  <w:tcW w:w="2161" w:type="dxa"/>
                  <w:tcBorders>
                    <w:top w:val="nil"/>
                    <w:bottom w:val="nil"/>
                  </w:tcBorders>
                  <w:shd w:val="clear" w:color="auto" w:fill="FFFFFF" w:themeFill="background1"/>
                </w:tcPr>
                <w:p w:rsidR="001D0FDA" w:rsidRDefault="001D0FDA" w:rsidP="00570FC8">
                  <w:pPr>
                    <w:pStyle w:val="Tabletext"/>
                    <w:framePr w:hSpace="180" w:wrap="around" w:vAnchor="text" w:hAnchor="text" w:y="1"/>
                    <w:ind w:left="262"/>
                  </w:pPr>
                  <w:r>
                    <w:t>II</w:t>
                  </w:r>
                </w:p>
              </w:tc>
              <w:tc>
                <w:tcPr>
                  <w:tcW w:w="1019" w:type="dxa"/>
                  <w:tcBorders>
                    <w:top w:val="nil"/>
                    <w:bottom w:val="nil"/>
                  </w:tcBorders>
                </w:tcPr>
                <w:p w:rsidR="001D0FDA" w:rsidRPr="00C5782C" w:rsidRDefault="001D0FDA" w:rsidP="00570FC8">
                  <w:pPr>
                    <w:pStyle w:val="Tabletext"/>
                    <w:framePr w:hSpace="180" w:wrap="around" w:vAnchor="text" w:hAnchor="text" w:y="1"/>
                    <w:jc w:val="center"/>
                  </w:pPr>
                  <w:r>
                    <w:t>60 (43%)</w:t>
                  </w:r>
                </w:p>
              </w:tc>
              <w:tc>
                <w:tcPr>
                  <w:tcW w:w="1108" w:type="dxa"/>
                  <w:tcBorders>
                    <w:top w:val="nil"/>
                    <w:bottom w:val="nil"/>
                  </w:tcBorders>
                </w:tcPr>
                <w:p w:rsidR="001D0FDA" w:rsidRPr="00C5782C" w:rsidRDefault="001D0FDA" w:rsidP="00570FC8">
                  <w:pPr>
                    <w:pStyle w:val="Tabletext"/>
                    <w:framePr w:hSpace="180" w:wrap="around" w:vAnchor="text" w:hAnchor="text" w:y="1"/>
                    <w:jc w:val="center"/>
                  </w:pPr>
                  <w:r>
                    <w:t>19 (49%)</w:t>
                  </w:r>
                </w:p>
              </w:tc>
            </w:tr>
            <w:tr w:rsidR="001D0FDA" w:rsidRPr="001B3364" w:rsidTr="001D0FDA">
              <w:tc>
                <w:tcPr>
                  <w:tcW w:w="2161" w:type="dxa"/>
                  <w:tcBorders>
                    <w:top w:val="nil"/>
                    <w:bottom w:val="nil"/>
                  </w:tcBorders>
                  <w:shd w:val="clear" w:color="auto" w:fill="FFFFFF" w:themeFill="background1"/>
                </w:tcPr>
                <w:p w:rsidR="001D0FDA" w:rsidRDefault="001D0FDA" w:rsidP="00570FC8">
                  <w:pPr>
                    <w:pStyle w:val="Tabletext"/>
                    <w:framePr w:hSpace="180" w:wrap="around" w:vAnchor="text" w:hAnchor="text" w:y="1"/>
                    <w:ind w:left="262"/>
                  </w:pPr>
                  <w:r>
                    <w:t>III</w:t>
                  </w:r>
                </w:p>
              </w:tc>
              <w:tc>
                <w:tcPr>
                  <w:tcW w:w="1019" w:type="dxa"/>
                  <w:tcBorders>
                    <w:top w:val="nil"/>
                    <w:bottom w:val="nil"/>
                  </w:tcBorders>
                </w:tcPr>
                <w:p w:rsidR="001D0FDA" w:rsidRPr="00C5782C" w:rsidRDefault="001D0FDA" w:rsidP="00570FC8">
                  <w:pPr>
                    <w:pStyle w:val="Tabletext"/>
                    <w:framePr w:hSpace="180" w:wrap="around" w:vAnchor="text" w:hAnchor="text" w:y="1"/>
                    <w:jc w:val="center"/>
                  </w:pPr>
                  <w:r>
                    <w:t>64 (46%)</w:t>
                  </w:r>
                </w:p>
              </w:tc>
              <w:tc>
                <w:tcPr>
                  <w:tcW w:w="1108" w:type="dxa"/>
                  <w:tcBorders>
                    <w:top w:val="nil"/>
                    <w:bottom w:val="nil"/>
                  </w:tcBorders>
                </w:tcPr>
                <w:p w:rsidR="001D0FDA" w:rsidRPr="00C5782C" w:rsidRDefault="001D0FDA" w:rsidP="00570FC8">
                  <w:pPr>
                    <w:pStyle w:val="Tabletext"/>
                    <w:framePr w:hSpace="180" w:wrap="around" w:vAnchor="text" w:hAnchor="text" w:y="1"/>
                    <w:jc w:val="center"/>
                  </w:pPr>
                  <w:r>
                    <w:t>18 (46%)</w:t>
                  </w:r>
                </w:p>
              </w:tc>
            </w:tr>
            <w:tr w:rsidR="001D0FDA" w:rsidRPr="001B3364" w:rsidTr="001D0FDA">
              <w:tc>
                <w:tcPr>
                  <w:tcW w:w="2161" w:type="dxa"/>
                  <w:tcBorders>
                    <w:top w:val="nil"/>
                  </w:tcBorders>
                  <w:shd w:val="clear" w:color="auto" w:fill="FFFFFF" w:themeFill="background1"/>
                </w:tcPr>
                <w:p w:rsidR="001D0FDA" w:rsidRDefault="001D0FDA" w:rsidP="00570FC8">
                  <w:pPr>
                    <w:pStyle w:val="Tabletext"/>
                    <w:framePr w:hSpace="180" w:wrap="around" w:vAnchor="text" w:hAnchor="text" w:y="1"/>
                    <w:ind w:left="262"/>
                  </w:pPr>
                  <w:r>
                    <w:t>IV</w:t>
                  </w:r>
                </w:p>
              </w:tc>
              <w:tc>
                <w:tcPr>
                  <w:tcW w:w="1019" w:type="dxa"/>
                  <w:tcBorders>
                    <w:top w:val="nil"/>
                  </w:tcBorders>
                </w:tcPr>
                <w:p w:rsidR="001D0FDA" w:rsidRPr="00C5782C" w:rsidRDefault="001D0FDA" w:rsidP="00570FC8">
                  <w:pPr>
                    <w:pStyle w:val="Tabletext"/>
                    <w:framePr w:hSpace="180" w:wrap="around" w:vAnchor="text" w:hAnchor="text" w:y="1"/>
                    <w:jc w:val="center"/>
                  </w:pPr>
                  <w:r>
                    <w:t>15 (11%)</w:t>
                  </w:r>
                </w:p>
              </w:tc>
              <w:tc>
                <w:tcPr>
                  <w:tcW w:w="1108" w:type="dxa"/>
                  <w:tcBorders>
                    <w:top w:val="nil"/>
                  </w:tcBorders>
                </w:tcPr>
                <w:p w:rsidR="001D0FDA" w:rsidRPr="00C5782C" w:rsidRDefault="001D0FDA" w:rsidP="00570FC8">
                  <w:pPr>
                    <w:pStyle w:val="Tabletext"/>
                    <w:framePr w:hSpace="180" w:wrap="around" w:vAnchor="text" w:hAnchor="text" w:y="1"/>
                    <w:jc w:val="center"/>
                  </w:pPr>
                  <w:r>
                    <w:t>2 (5%)</w:t>
                  </w:r>
                </w:p>
              </w:tc>
            </w:tr>
            <w:tr w:rsidR="001D0FDA" w:rsidRPr="001B3364" w:rsidTr="001D0FDA">
              <w:tc>
                <w:tcPr>
                  <w:tcW w:w="2161" w:type="dxa"/>
                </w:tcPr>
                <w:p w:rsidR="001D0FDA" w:rsidRDefault="001D0FDA" w:rsidP="00570FC8">
                  <w:pPr>
                    <w:pStyle w:val="Tabletext"/>
                    <w:framePr w:hSpace="180" w:wrap="around" w:vAnchor="text" w:hAnchor="text" w:y="1"/>
                  </w:pPr>
                  <w:r>
                    <w:rPr>
                      <w:rFonts w:cs="Tahoma"/>
                      <w:szCs w:val="18"/>
                    </w:rPr>
                    <w:t>Systolic PAP,</w:t>
                  </w:r>
                  <w:r w:rsidRPr="00351FF5">
                    <w:rPr>
                      <w:rFonts w:cs="Tahoma"/>
                      <w:szCs w:val="18"/>
                    </w:rPr>
                    <w:t xml:space="preserve"> mean±SD (mmHg)</w:t>
                  </w:r>
                </w:p>
              </w:tc>
              <w:tc>
                <w:tcPr>
                  <w:tcW w:w="1019" w:type="dxa"/>
                  <w:vAlign w:val="center"/>
                </w:tcPr>
                <w:p w:rsidR="001D0FDA" w:rsidRPr="00C5782C" w:rsidRDefault="001D0FDA" w:rsidP="00570FC8">
                  <w:pPr>
                    <w:pStyle w:val="Tabletext"/>
                    <w:framePr w:hSpace="180" w:wrap="around" w:vAnchor="text" w:hAnchor="text" w:y="1"/>
                    <w:jc w:val="center"/>
                  </w:pPr>
                  <w:r>
                    <w:t>102±27</w:t>
                  </w:r>
                </w:p>
              </w:tc>
              <w:tc>
                <w:tcPr>
                  <w:tcW w:w="1108" w:type="dxa"/>
                  <w:vAlign w:val="center"/>
                </w:tcPr>
                <w:p w:rsidR="001D0FDA" w:rsidRPr="00C5782C" w:rsidRDefault="001D0FDA" w:rsidP="00570FC8">
                  <w:pPr>
                    <w:pStyle w:val="Tabletext"/>
                    <w:framePr w:hSpace="180" w:wrap="around" w:vAnchor="text" w:hAnchor="text" w:y="1"/>
                    <w:jc w:val="center"/>
                  </w:pPr>
                  <w:r>
                    <w:t>95±25</w:t>
                  </w:r>
                </w:p>
              </w:tc>
            </w:tr>
          </w:tbl>
          <w:p w:rsidR="001D0FDA" w:rsidRDefault="001D0FDA" w:rsidP="001D0FDA">
            <w:pPr>
              <w:pStyle w:val="Tabletext"/>
            </w:pPr>
          </w:p>
        </w:tc>
        <w:tc>
          <w:tcPr>
            <w:tcW w:w="811" w:type="pct"/>
          </w:tcPr>
          <w:p w:rsidR="001D0FDA" w:rsidRDefault="001D0FDA" w:rsidP="001D0FDA">
            <w:pPr>
              <w:pStyle w:val="Tabletext"/>
              <w:rPr>
                <w:i/>
              </w:rPr>
            </w:pPr>
            <w:r>
              <w:rPr>
                <w:i/>
              </w:rPr>
              <w:t>Intervention</w:t>
            </w:r>
          </w:p>
          <w:p w:rsidR="001D0FDA" w:rsidRDefault="001D0FDA" w:rsidP="001D0FDA">
            <w:pPr>
              <w:pStyle w:val="Tabletext"/>
            </w:pPr>
            <w:r>
              <w:t>Sildenafil: 25-50</w:t>
            </w:r>
            <w:r w:rsidR="00C90897">
              <w:t> </w:t>
            </w:r>
            <w:r>
              <w:t>mg tid</w:t>
            </w:r>
          </w:p>
          <w:p w:rsidR="001D0FDA" w:rsidRDefault="001D0FDA" w:rsidP="001D0FDA">
            <w:pPr>
              <w:pStyle w:val="Tabletext"/>
            </w:pPr>
          </w:p>
          <w:p w:rsidR="001D0FDA" w:rsidRDefault="001D0FDA" w:rsidP="001D0FDA">
            <w:pPr>
              <w:pStyle w:val="Tabletext"/>
              <w:rPr>
                <w:i/>
              </w:rPr>
            </w:pPr>
            <w:r>
              <w:rPr>
                <w:i/>
              </w:rPr>
              <w:t>Comparator</w:t>
            </w:r>
          </w:p>
          <w:p w:rsidR="001D0FDA" w:rsidRDefault="001D0FDA" w:rsidP="001D0FDA">
            <w:pPr>
              <w:pStyle w:val="Tabletext"/>
              <w:rPr>
                <w:i/>
              </w:rPr>
            </w:pPr>
            <w:r>
              <w:t>Conventional therapy</w:t>
            </w:r>
          </w:p>
        </w:tc>
        <w:tc>
          <w:tcPr>
            <w:tcW w:w="771" w:type="pct"/>
          </w:tcPr>
          <w:p w:rsidR="001D0FDA" w:rsidRPr="00EF6EEC" w:rsidRDefault="001D0FDA" w:rsidP="001D0FDA">
            <w:pPr>
              <w:pStyle w:val="Tabletext"/>
              <w:rPr>
                <w:rFonts w:cs="Tahoma"/>
                <w:i/>
                <w:szCs w:val="18"/>
              </w:rPr>
            </w:pPr>
            <w:r w:rsidRPr="00EF6EEC">
              <w:rPr>
                <w:rFonts w:cs="Tahoma"/>
                <w:i/>
                <w:szCs w:val="18"/>
              </w:rPr>
              <w:t>Effectiveness</w:t>
            </w:r>
          </w:p>
          <w:p w:rsidR="001D0FDA" w:rsidRPr="009246DC" w:rsidRDefault="001D0FDA" w:rsidP="00480FDF">
            <w:pPr>
              <w:pStyle w:val="Tabletext"/>
              <w:numPr>
                <w:ilvl w:val="0"/>
                <w:numId w:val="54"/>
              </w:numPr>
              <w:ind w:left="239" w:hanging="144"/>
              <w:rPr>
                <w:rFonts w:cs="Tahoma"/>
                <w:i/>
                <w:szCs w:val="18"/>
              </w:rPr>
            </w:pPr>
            <w:r>
              <w:rPr>
                <w:rFonts w:cs="Tahoma"/>
                <w:szCs w:val="18"/>
              </w:rPr>
              <w:t>Mortality</w:t>
            </w:r>
            <w:r w:rsidRPr="0043129C">
              <w:rPr>
                <w:rFonts w:cs="Tahoma"/>
                <w:szCs w:val="18"/>
                <w:vertAlign w:val="superscript"/>
              </w:rPr>
              <w:t>c</w:t>
            </w:r>
          </w:p>
          <w:p w:rsidR="001D0FDA" w:rsidRPr="0043129C" w:rsidRDefault="001D0FDA" w:rsidP="00480FDF">
            <w:pPr>
              <w:pStyle w:val="Tabletext"/>
              <w:numPr>
                <w:ilvl w:val="0"/>
                <w:numId w:val="54"/>
              </w:numPr>
              <w:ind w:left="239" w:hanging="144"/>
              <w:rPr>
                <w:rFonts w:cs="Tahoma"/>
                <w:i/>
                <w:szCs w:val="18"/>
              </w:rPr>
            </w:pPr>
            <w:r>
              <w:rPr>
                <w:rFonts w:cs="Tahoma"/>
                <w:szCs w:val="18"/>
              </w:rPr>
              <w:t>Change in WHO FC</w:t>
            </w:r>
          </w:p>
          <w:p w:rsidR="001D0FDA" w:rsidRPr="00EF6EEC" w:rsidRDefault="001D0FDA" w:rsidP="001D0FDA">
            <w:pPr>
              <w:pStyle w:val="Tabletext"/>
              <w:rPr>
                <w:rFonts w:cs="Tahoma"/>
                <w:szCs w:val="18"/>
              </w:rPr>
            </w:pPr>
          </w:p>
          <w:p w:rsidR="001D0FDA" w:rsidRPr="00EF6EEC" w:rsidRDefault="001D0FDA" w:rsidP="001D0FDA">
            <w:pPr>
              <w:pStyle w:val="Tabletext"/>
              <w:rPr>
                <w:rFonts w:cs="Tahoma"/>
                <w:i/>
                <w:szCs w:val="18"/>
              </w:rPr>
            </w:pPr>
            <w:r>
              <w:rPr>
                <w:rFonts w:cs="Tahoma"/>
                <w:i/>
                <w:szCs w:val="18"/>
              </w:rPr>
              <w:t>Safety</w:t>
            </w:r>
          </w:p>
          <w:p w:rsidR="001D0FDA" w:rsidRPr="00EF6EEC" w:rsidRDefault="001D0FDA" w:rsidP="00480FDF">
            <w:pPr>
              <w:pStyle w:val="Tabletext"/>
              <w:numPr>
                <w:ilvl w:val="0"/>
                <w:numId w:val="54"/>
              </w:numPr>
              <w:ind w:left="239" w:hanging="144"/>
              <w:rPr>
                <w:rFonts w:cs="Tahoma"/>
                <w:i/>
                <w:szCs w:val="18"/>
              </w:rPr>
            </w:pPr>
            <w:r w:rsidRPr="00EF6EEC">
              <w:rPr>
                <w:rFonts w:cs="Tahoma"/>
                <w:szCs w:val="18"/>
              </w:rPr>
              <w:t>Adverse events</w:t>
            </w:r>
          </w:p>
        </w:tc>
      </w:tr>
    </w:tbl>
    <w:p w:rsidR="00146880" w:rsidRPr="00EB1471" w:rsidRDefault="00146880" w:rsidP="00146880">
      <w:pPr>
        <w:pStyle w:val="Tablenote"/>
      </w:pPr>
      <w:proofErr w:type="gramStart"/>
      <w:r w:rsidRPr="00EB1471">
        <w:rPr>
          <w:vertAlign w:val="superscript"/>
        </w:rPr>
        <w:t>a</w:t>
      </w:r>
      <w:proofErr w:type="gramEnd"/>
      <w:r w:rsidRPr="00EB1471">
        <w:t xml:space="preserve"> Number of patients in the control arm and those in the active treatment arm where a </w:t>
      </w:r>
      <w:r>
        <w:t>PAH medicine</w:t>
      </w:r>
      <w:r w:rsidRPr="00EB1471">
        <w:t xml:space="preserve"> was given at the recommended dose regimen. </w:t>
      </w:r>
    </w:p>
    <w:p w:rsidR="00146880" w:rsidRPr="00EB1471" w:rsidRDefault="00146880" w:rsidP="00146880">
      <w:pPr>
        <w:pStyle w:val="Tablenote"/>
      </w:pPr>
      <w:proofErr w:type="gramStart"/>
      <w:r>
        <w:rPr>
          <w:vertAlign w:val="superscript"/>
        </w:rPr>
        <w:t>b</w:t>
      </w:r>
      <w:proofErr w:type="gramEnd"/>
      <w:r w:rsidRPr="00EB1471">
        <w:t xml:space="preserve"> Only including the active treatment arm where a </w:t>
      </w:r>
      <w:r>
        <w:t>PAH medicine</w:t>
      </w:r>
      <w:r w:rsidRPr="00EB1471">
        <w:t xml:space="preserve"> was given at the recommended dose regimen. </w:t>
      </w:r>
    </w:p>
    <w:p w:rsidR="00146880" w:rsidRDefault="00146880" w:rsidP="00146880">
      <w:pPr>
        <w:pStyle w:val="Tablenote"/>
      </w:pPr>
      <w:proofErr w:type="gramStart"/>
      <w:r>
        <w:rPr>
          <w:vertAlign w:val="superscript"/>
        </w:rPr>
        <w:t>c</w:t>
      </w:r>
      <w:proofErr w:type="gramEnd"/>
      <w:r>
        <w:t xml:space="preserve"> Outcomes reported in the literature review</w:t>
      </w:r>
    </w:p>
    <w:p w:rsidR="00146880" w:rsidRDefault="00146880" w:rsidP="00146880">
      <w:pPr>
        <w:pStyle w:val="Tablenote"/>
      </w:pPr>
      <w:proofErr w:type="gramStart"/>
      <w:r w:rsidRPr="0049122E">
        <w:rPr>
          <w:vertAlign w:val="superscript"/>
        </w:rPr>
        <w:t>d</w:t>
      </w:r>
      <w:proofErr w:type="gramEnd"/>
      <w:r w:rsidRPr="00026AAB">
        <w:t xml:space="preserve"> Publication year. Information on the study period was not available.</w:t>
      </w:r>
    </w:p>
    <w:p w:rsidR="00146880" w:rsidRPr="00493CB7" w:rsidRDefault="00146880" w:rsidP="00146880">
      <w:pPr>
        <w:pStyle w:val="Tablenote"/>
      </w:pPr>
      <w:proofErr w:type="gramStart"/>
      <w:r>
        <w:rPr>
          <w:vertAlign w:val="superscript"/>
        </w:rPr>
        <w:t>e</w:t>
      </w:r>
      <w:proofErr w:type="gramEnd"/>
      <w:r>
        <w:t xml:space="preserve"> </w:t>
      </w:r>
      <w:r w:rsidRPr="00EB1471">
        <w:t>The bosentan monotherapy arm was excluded from the review, given that a non-trivial proportion of patients (28.6% (2 out of 7)) in this treatment group had CTEPH, not PAH.</w:t>
      </w:r>
    </w:p>
    <w:p w:rsidR="001D0FDA" w:rsidRDefault="001D0FDA" w:rsidP="001D0FDA">
      <w:pPr>
        <w:pStyle w:val="Tablenote"/>
      </w:pPr>
      <w:proofErr w:type="gramStart"/>
      <w:r w:rsidRPr="00A53185">
        <w:t xml:space="preserve">6MWD = 6-minute </w:t>
      </w:r>
      <w:r w:rsidR="0082368E">
        <w:t>walk distance</w:t>
      </w:r>
      <w:r w:rsidRPr="00A53185">
        <w:t>; BDS = Borg dyspnoea sc</w:t>
      </w:r>
      <w:r>
        <w:t>ale</w:t>
      </w:r>
      <w:r w:rsidRPr="00A53185">
        <w:t xml:space="preserve">; bid = twice daily; CTEPH = chronic thromboembolic pulmonary hypertension; DB = double-blinded; </w:t>
      </w:r>
      <w:r>
        <w:t xml:space="preserve">DBP = </w:t>
      </w:r>
      <w:r w:rsidRPr="00FC35EB">
        <w:t>diastolic blood pressure</w:t>
      </w:r>
      <w:r>
        <w:t xml:space="preserve">; EOT = end of treatment; EOS = end of study; </w:t>
      </w:r>
      <w:r w:rsidRPr="00A53185">
        <w:t xml:space="preserve">EQ-5D = EuroQoL 5 dimensions; </w:t>
      </w:r>
      <w:r w:rsidR="00107963" w:rsidRPr="00107963">
        <w:t>EQ-VAS = EuroQoL visual analogue scale</w:t>
      </w:r>
      <w:r w:rsidR="00107963">
        <w:t xml:space="preserve">; </w:t>
      </w:r>
      <w:r w:rsidRPr="00A53185">
        <w:t xml:space="preserve">ERA = endothelin receptor antagonist; FC = functional class; </w:t>
      </w:r>
      <w:r>
        <w:t xml:space="preserve">IV = intravenous; </w:t>
      </w:r>
      <w:r w:rsidRPr="00A53185">
        <w:t xml:space="preserve">HPAH = heritable pulmonary arterial hypertension; IPAH = idiopathic pulmonary arterial hypertension; </w:t>
      </w:r>
      <w:r w:rsidR="001C295E" w:rsidRPr="001C295E">
        <w:t xml:space="preserve">LPH = Living with pulmonary hypertension; </w:t>
      </w:r>
      <w:r>
        <w:t xml:space="preserve">LVEF = </w:t>
      </w:r>
      <w:r w:rsidRPr="00F5467F">
        <w:t>left ventricular ejection fraction</w:t>
      </w:r>
      <w:r>
        <w:t xml:space="preserve">; </w:t>
      </w:r>
      <w:r w:rsidR="001C295E" w:rsidRPr="001C295E">
        <w:t xml:space="preserve">MLHF = Minnesota living with heart failure; </w:t>
      </w:r>
      <w:r>
        <w:t xml:space="preserve">mPAP = mean pulmonary artery pressure; mRAP = mean right atrial pressure; </w:t>
      </w:r>
      <w:r w:rsidRPr="00A53185">
        <w:t>od = once daily; PDE-5</w:t>
      </w:r>
      <w:r>
        <w:t>i</w:t>
      </w:r>
      <w:r w:rsidRPr="00A53185">
        <w:t xml:space="preserve"> = phosphodiesterase type 5</w:t>
      </w:r>
      <w:r>
        <w:t xml:space="preserve"> inhibitor</w:t>
      </w:r>
      <w:r w:rsidRPr="00A53185">
        <w:t xml:space="preserve">; OL = open-label; PAH = pulmonary arterial hypertension; PAH-CHD = pulmonary arterial hypertension associated with congenital heart disease; PAH-CTD = pulmonary arterial hypertension associated with connective tissue disease; PAH-DT = drug/toxin-induced pulmonary arterial hypertension; PAH-HIV = pulmonary arterial hypertension associated with human immunodeficiency virus infection; PAH-PH = pulmonary arterial hypertension associated with portal hypertension; </w:t>
      </w:r>
      <w:r>
        <w:t xml:space="preserve">PVR = pulmonary vascular resistance; </w:t>
      </w:r>
      <w:r w:rsidRPr="00A53185">
        <w:t xml:space="preserve">RCT = randomised controlled trial; </w:t>
      </w:r>
      <w:r>
        <w:t xml:space="preserve">SBP = systolic blood pressure; SD = standard deviation; </w:t>
      </w:r>
      <w:r w:rsidRPr="00A53185">
        <w:t xml:space="preserve">SF-36 = 36-Item Short Form Survey; tid = three times a day; </w:t>
      </w:r>
      <w:r>
        <w:t xml:space="preserve">TPR = total pulmonary resistance; </w:t>
      </w:r>
      <w:r w:rsidRPr="00A53185">
        <w:t>WHO = World Health Organization</w:t>
      </w:r>
      <w:proofErr w:type="gramEnd"/>
    </w:p>
    <w:p w:rsidR="009F1E35" w:rsidRDefault="009F1E35">
      <w:pPr>
        <w:spacing w:before="0" w:line="240" w:lineRule="auto"/>
        <w:rPr>
          <w:b/>
          <w:iCs/>
          <w:szCs w:val="18"/>
        </w:rPr>
      </w:pPr>
      <w:bookmarkStart w:id="496" w:name="_Toc38360442"/>
      <w:bookmarkEnd w:id="495"/>
      <w:r>
        <w:br w:type="page"/>
      </w:r>
    </w:p>
    <w:p w:rsidR="001D0FDA" w:rsidRPr="007B0AA0" w:rsidRDefault="001D0FDA" w:rsidP="001D0FDA">
      <w:pPr>
        <w:pStyle w:val="Caption"/>
      </w:pPr>
      <w:r>
        <w:t>Table 4.</w:t>
      </w:r>
      <w:r w:rsidR="003951FA">
        <w:rPr>
          <w:noProof/>
        </w:rPr>
        <w:t>145</w:t>
      </w:r>
      <w:r>
        <w:tab/>
        <w:t>Additional</w:t>
      </w:r>
      <w:r w:rsidRPr="00F673B8">
        <w:rPr>
          <w:vertAlign w:val="superscript"/>
        </w:rPr>
        <w:t>a</w:t>
      </w:r>
      <w:r>
        <w:t xml:space="preserve"> studies included for extended assessment of safety</w:t>
      </w:r>
      <w:bookmarkEnd w:id="496"/>
    </w:p>
    <w:tbl>
      <w:tblPr>
        <w:tblStyle w:val="TableGrid2"/>
        <w:tblpPr w:leftFromText="180" w:rightFromText="180" w:vertAnchor="text" w:tblpY="1"/>
        <w:tblW w:w="4977" w:type="pct"/>
        <w:tblLook w:val="04A0" w:firstRow="1" w:lastRow="0" w:firstColumn="1" w:lastColumn="0" w:noHBand="0" w:noVBand="1"/>
        <w:tblCaption w:val="Additional studies included for extended assessment of safety"/>
      </w:tblPr>
      <w:tblGrid>
        <w:gridCol w:w="1530"/>
        <w:gridCol w:w="1371"/>
        <w:gridCol w:w="3177"/>
        <w:gridCol w:w="5380"/>
        <w:gridCol w:w="3035"/>
      </w:tblGrid>
      <w:tr w:rsidR="001D0FDA" w:rsidRPr="00204000" w:rsidTr="001D0FDA">
        <w:trPr>
          <w:cnfStyle w:val="100000000000" w:firstRow="1" w:lastRow="0" w:firstColumn="0" w:lastColumn="0" w:oddVBand="0" w:evenVBand="0" w:oddHBand="0" w:evenHBand="0" w:firstRowFirstColumn="0" w:firstRowLastColumn="0" w:lastRowFirstColumn="0" w:lastRowLastColumn="0"/>
        </w:trPr>
        <w:tc>
          <w:tcPr>
            <w:tcW w:w="528" w:type="pct"/>
            <w:tcBorders>
              <w:bottom w:val="single" w:sz="4" w:space="0" w:color="auto"/>
            </w:tcBorders>
          </w:tcPr>
          <w:p w:rsidR="001D0FDA" w:rsidRDefault="001D0FDA" w:rsidP="001D0FDA">
            <w:pPr>
              <w:pStyle w:val="Tabletext"/>
              <w:rPr>
                <w:b/>
                <w:color w:val="auto"/>
                <w:szCs w:val="18"/>
              </w:rPr>
            </w:pPr>
            <w:r w:rsidRPr="00204000">
              <w:rPr>
                <w:b/>
                <w:color w:val="auto"/>
                <w:szCs w:val="18"/>
              </w:rPr>
              <w:t>Study ID</w:t>
            </w:r>
          </w:p>
          <w:p w:rsidR="001D0FDA" w:rsidRPr="00204000" w:rsidRDefault="001D0FDA" w:rsidP="001D0FDA">
            <w:pPr>
              <w:pStyle w:val="Tabletext"/>
              <w:rPr>
                <w:b/>
                <w:color w:val="auto"/>
                <w:szCs w:val="18"/>
              </w:rPr>
            </w:pPr>
            <w:r>
              <w:rPr>
                <w:b/>
                <w:color w:val="auto"/>
                <w:szCs w:val="18"/>
              </w:rPr>
              <w:t>Author year</w:t>
            </w:r>
          </w:p>
          <w:p w:rsidR="001D0FDA" w:rsidRPr="00204000" w:rsidRDefault="001D0FDA" w:rsidP="001D0FDA">
            <w:pPr>
              <w:pStyle w:val="Tabletext"/>
              <w:rPr>
                <w:b/>
                <w:color w:val="auto"/>
                <w:szCs w:val="18"/>
              </w:rPr>
            </w:pPr>
            <w:r>
              <w:rPr>
                <w:b/>
                <w:color w:val="auto"/>
                <w:szCs w:val="18"/>
              </w:rPr>
              <w:t>Study period</w:t>
            </w:r>
          </w:p>
          <w:p w:rsidR="001D0FDA" w:rsidRPr="00204000" w:rsidRDefault="001D0FDA" w:rsidP="001D0FDA">
            <w:pPr>
              <w:pStyle w:val="Tabletext"/>
              <w:rPr>
                <w:rFonts w:cs="Tahoma"/>
                <w:b/>
                <w:color w:val="auto"/>
                <w:szCs w:val="18"/>
              </w:rPr>
            </w:pPr>
            <w:r>
              <w:rPr>
                <w:rFonts w:cs="Tahoma"/>
                <w:b/>
                <w:color w:val="auto"/>
                <w:szCs w:val="18"/>
              </w:rPr>
              <w:t>Location</w:t>
            </w:r>
          </w:p>
        </w:tc>
        <w:tc>
          <w:tcPr>
            <w:tcW w:w="473" w:type="pct"/>
            <w:tcBorders>
              <w:bottom w:val="single" w:sz="4" w:space="0" w:color="auto"/>
            </w:tcBorders>
          </w:tcPr>
          <w:p w:rsidR="001D0FDA" w:rsidRPr="00204000" w:rsidRDefault="001D0FDA" w:rsidP="001D0FDA">
            <w:pPr>
              <w:pStyle w:val="Tabletext"/>
              <w:rPr>
                <w:rFonts w:cs="Tahoma"/>
                <w:b/>
                <w:color w:val="auto"/>
                <w:szCs w:val="18"/>
              </w:rPr>
            </w:pPr>
            <w:r w:rsidRPr="00204000">
              <w:rPr>
                <w:rFonts w:cs="Tahoma"/>
                <w:b/>
                <w:color w:val="auto"/>
                <w:szCs w:val="18"/>
              </w:rPr>
              <w:t>Study design</w:t>
            </w:r>
          </w:p>
          <w:p w:rsidR="001D0FDA" w:rsidRPr="00204000" w:rsidRDefault="001D0FDA" w:rsidP="001D0FDA">
            <w:pPr>
              <w:pStyle w:val="Tabletext"/>
              <w:rPr>
                <w:rFonts w:cs="Tahoma"/>
                <w:b/>
                <w:color w:val="auto"/>
                <w:szCs w:val="18"/>
              </w:rPr>
            </w:pPr>
            <w:r w:rsidRPr="00204000">
              <w:rPr>
                <w:rFonts w:cs="Tahoma"/>
                <w:b/>
                <w:color w:val="auto"/>
                <w:szCs w:val="18"/>
              </w:rPr>
              <w:t>Level of evidence</w:t>
            </w:r>
          </w:p>
          <w:p w:rsidR="001D0FDA" w:rsidRPr="00204000" w:rsidRDefault="001D0FDA" w:rsidP="001D0FDA">
            <w:pPr>
              <w:pStyle w:val="Tabletext"/>
              <w:rPr>
                <w:rFonts w:cs="Tahoma"/>
                <w:b/>
                <w:color w:val="auto"/>
                <w:szCs w:val="18"/>
              </w:rPr>
            </w:pPr>
            <w:r>
              <w:rPr>
                <w:rFonts w:cs="Tahoma"/>
                <w:b/>
                <w:color w:val="auto"/>
                <w:szCs w:val="18"/>
              </w:rPr>
              <w:t>Duration of follow-up</w:t>
            </w:r>
          </w:p>
        </w:tc>
        <w:tc>
          <w:tcPr>
            <w:tcW w:w="1096" w:type="pct"/>
            <w:tcBorders>
              <w:bottom w:val="single" w:sz="4" w:space="0" w:color="auto"/>
            </w:tcBorders>
          </w:tcPr>
          <w:p w:rsidR="001D0FDA" w:rsidRDefault="001D0FDA" w:rsidP="001D0FDA">
            <w:pPr>
              <w:pStyle w:val="Tabletext"/>
              <w:rPr>
                <w:b/>
                <w:szCs w:val="18"/>
              </w:rPr>
            </w:pPr>
            <w:r w:rsidRPr="00204000">
              <w:rPr>
                <w:rFonts w:cs="Tahoma"/>
                <w:b/>
                <w:color w:val="auto"/>
                <w:szCs w:val="18"/>
              </w:rPr>
              <w:t>Eligibility criteria</w:t>
            </w:r>
          </w:p>
        </w:tc>
        <w:tc>
          <w:tcPr>
            <w:tcW w:w="1856" w:type="pct"/>
            <w:tcBorders>
              <w:bottom w:val="single" w:sz="4" w:space="0" w:color="auto"/>
            </w:tcBorders>
          </w:tcPr>
          <w:p w:rsidR="001D0FDA" w:rsidRDefault="001D0FDA" w:rsidP="001D0FDA">
            <w:pPr>
              <w:pStyle w:val="Tabletext"/>
              <w:rPr>
                <w:b/>
                <w:color w:val="auto"/>
                <w:szCs w:val="18"/>
              </w:rPr>
            </w:pPr>
            <w:r>
              <w:rPr>
                <w:b/>
                <w:color w:val="auto"/>
                <w:szCs w:val="18"/>
              </w:rPr>
              <w:t>N</w:t>
            </w:r>
            <w:r>
              <w:rPr>
                <w:b/>
                <w:color w:val="auto"/>
                <w:szCs w:val="18"/>
                <w:vertAlign w:val="superscript"/>
              </w:rPr>
              <w:t>b</w:t>
            </w:r>
          </w:p>
          <w:p w:rsidR="001D0FDA" w:rsidRPr="00204000" w:rsidRDefault="001D0FDA" w:rsidP="001D0FDA">
            <w:pPr>
              <w:pStyle w:val="Tabletext"/>
              <w:rPr>
                <w:b/>
                <w:color w:val="auto"/>
                <w:szCs w:val="18"/>
              </w:rPr>
            </w:pPr>
            <w:r w:rsidRPr="00204000">
              <w:rPr>
                <w:b/>
                <w:color w:val="auto"/>
                <w:szCs w:val="18"/>
              </w:rPr>
              <w:t>Population characteristics</w:t>
            </w:r>
          </w:p>
        </w:tc>
        <w:tc>
          <w:tcPr>
            <w:tcW w:w="1047" w:type="pct"/>
            <w:tcBorders>
              <w:bottom w:val="single" w:sz="4" w:space="0" w:color="auto"/>
            </w:tcBorders>
          </w:tcPr>
          <w:p w:rsidR="001D0FDA" w:rsidRDefault="001D0FDA" w:rsidP="001D0FDA">
            <w:pPr>
              <w:pStyle w:val="Tabletext"/>
              <w:rPr>
                <w:rFonts w:cs="Tahoma"/>
                <w:b/>
                <w:color w:val="auto"/>
                <w:szCs w:val="18"/>
              </w:rPr>
            </w:pPr>
            <w:r w:rsidRPr="00204000">
              <w:rPr>
                <w:rFonts w:cs="Tahoma"/>
                <w:b/>
                <w:color w:val="auto"/>
                <w:szCs w:val="18"/>
              </w:rPr>
              <w:t>Intervention</w:t>
            </w:r>
            <w:r>
              <w:rPr>
                <w:rFonts w:cs="Tahoma"/>
                <w:b/>
                <w:color w:val="auto"/>
                <w:szCs w:val="18"/>
                <w:vertAlign w:val="superscript"/>
              </w:rPr>
              <w:t>c</w:t>
            </w:r>
          </w:p>
          <w:p w:rsidR="001D0FDA" w:rsidRDefault="001D0FDA" w:rsidP="001D0FDA">
            <w:pPr>
              <w:pStyle w:val="Tabletext"/>
              <w:rPr>
                <w:rFonts w:cs="Tahoma"/>
                <w:b/>
                <w:color w:val="auto"/>
                <w:szCs w:val="18"/>
              </w:rPr>
            </w:pPr>
            <w:r w:rsidRPr="00204000">
              <w:rPr>
                <w:rFonts w:cs="Tahoma"/>
                <w:b/>
                <w:color w:val="auto"/>
                <w:szCs w:val="18"/>
              </w:rPr>
              <w:t>Comparator</w:t>
            </w:r>
            <w:r>
              <w:rPr>
                <w:rFonts w:cs="Tahoma"/>
                <w:b/>
                <w:color w:val="auto"/>
                <w:szCs w:val="18"/>
              </w:rPr>
              <w:t xml:space="preserve"> (if any)</w:t>
            </w:r>
          </w:p>
          <w:p w:rsidR="001D0FDA" w:rsidRPr="00204000" w:rsidRDefault="001D0FDA" w:rsidP="001D0FDA">
            <w:pPr>
              <w:pStyle w:val="Tabletext"/>
              <w:rPr>
                <w:rFonts w:cs="Tahoma"/>
                <w:b/>
                <w:color w:val="auto"/>
                <w:szCs w:val="18"/>
              </w:rPr>
            </w:pPr>
            <w:r>
              <w:rPr>
                <w:rFonts w:cs="Tahoma"/>
                <w:b/>
                <w:color w:val="auto"/>
                <w:szCs w:val="18"/>
              </w:rPr>
              <w:t>Combination therapy (if any)</w:t>
            </w:r>
          </w:p>
        </w:tc>
      </w:tr>
      <w:tr w:rsidR="001D0FDA" w:rsidRPr="00204000" w:rsidTr="001D0FDA">
        <w:tc>
          <w:tcPr>
            <w:tcW w:w="1001" w:type="pct"/>
            <w:gridSpan w:val="2"/>
            <w:shd w:val="clear" w:color="auto" w:fill="000000" w:themeFill="text1"/>
          </w:tcPr>
          <w:p w:rsidR="001D0FDA" w:rsidRPr="00D53F84" w:rsidRDefault="001D0FDA" w:rsidP="001D0FDA">
            <w:pPr>
              <w:pStyle w:val="Tabletext"/>
              <w:ind w:right="-28"/>
              <w:rPr>
                <w:rFonts w:eastAsia="Times New Roman"/>
                <w:snapToGrid w:val="0"/>
                <w:lang w:eastAsia="en-US"/>
              </w:rPr>
            </w:pPr>
            <w:r>
              <w:rPr>
                <w:rFonts w:eastAsia="Times New Roman"/>
                <w:b/>
                <w:color w:val="FFFFFF" w:themeColor="background1"/>
                <w:lang w:eastAsia="en-US"/>
              </w:rPr>
              <w:t>Randomised controlled trials</w:t>
            </w:r>
          </w:p>
        </w:tc>
        <w:tc>
          <w:tcPr>
            <w:tcW w:w="1096" w:type="pct"/>
            <w:shd w:val="clear" w:color="auto" w:fill="000000" w:themeFill="text1"/>
          </w:tcPr>
          <w:p w:rsidR="001D0FDA" w:rsidRPr="00EA1FCD" w:rsidRDefault="001D0FDA" w:rsidP="001D0FDA">
            <w:pPr>
              <w:pStyle w:val="Tabletext"/>
              <w:rPr>
                <w:rFonts w:cs="Tahoma"/>
                <w:i/>
                <w:szCs w:val="18"/>
              </w:rPr>
            </w:pPr>
          </w:p>
        </w:tc>
        <w:tc>
          <w:tcPr>
            <w:tcW w:w="1856" w:type="pct"/>
            <w:shd w:val="clear" w:color="auto" w:fill="000000" w:themeFill="text1"/>
          </w:tcPr>
          <w:p w:rsidR="001D0FDA" w:rsidRDefault="001D0FDA" w:rsidP="001D0FDA">
            <w:pPr>
              <w:pStyle w:val="Tabletext"/>
              <w:rPr>
                <w:rFonts w:cs="Tahoma"/>
                <w:szCs w:val="18"/>
              </w:rPr>
            </w:pPr>
          </w:p>
        </w:tc>
        <w:tc>
          <w:tcPr>
            <w:tcW w:w="1047" w:type="pct"/>
            <w:shd w:val="clear" w:color="auto" w:fill="000000" w:themeFill="text1"/>
          </w:tcPr>
          <w:p w:rsidR="001D0FDA" w:rsidRDefault="001D0FDA" w:rsidP="001D0FDA">
            <w:pPr>
              <w:pStyle w:val="Tabletext"/>
              <w:rPr>
                <w:rFonts w:cs="Tahoma"/>
                <w:i/>
                <w:szCs w:val="18"/>
              </w:rPr>
            </w:pPr>
          </w:p>
        </w:tc>
      </w:tr>
      <w:tr w:rsidR="001D0FDA" w:rsidRPr="00204000" w:rsidTr="001D0FDA">
        <w:tc>
          <w:tcPr>
            <w:tcW w:w="528" w:type="pct"/>
          </w:tcPr>
          <w:p w:rsidR="001D0FDA" w:rsidRPr="00BB3D48" w:rsidRDefault="001D0FDA" w:rsidP="001D0FDA">
            <w:pPr>
              <w:pStyle w:val="Tabletext"/>
              <w:rPr>
                <w:rFonts w:cs="Tahoma"/>
                <w:szCs w:val="18"/>
              </w:rPr>
            </w:pPr>
            <w:r w:rsidRPr="00BB3D48">
              <w:rPr>
                <w:rFonts w:cs="Tahoma"/>
                <w:szCs w:val="18"/>
              </w:rPr>
              <w:t>STARTS-1</w:t>
            </w:r>
            <w:r w:rsidR="001D34EE" w:rsidRPr="001A1C44">
              <w:rPr>
                <w:rFonts w:cs="Tahoma"/>
                <w:noProof/>
                <w:szCs w:val="18"/>
                <w:vertAlign w:val="superscript"/>
              </w:rPr>
              <w:t>54</w:t>
            </w:r>
          </w:p>
          <w:p w:rsidR="001D0FDA" w:rsidRPr="00BB3D48" w:rsidRDefault="001D0FDA" w:rsidP="001D0FDA">
            <w:pPr>
              <w:pStyle w:val="Tabletext"/>
              <w:rPr>
                <w:rFonts w:cs="Tahoma"/>
                <w:szCs w:val="18"/>
              </w:rPr>
            </w:pPr>
            <w:r w:rsidRPr="00BB3D48">
              <w:rPr>
                <w:rFonts w:cs="Tahoma"/>
                <w:szCs w:val="18"/>
              </w:rPr>
              <w:t>2003-2008</w:t>
            </w:r>
          </w:p>
          <w:p w:rsidR="001D0FDA" w:rsidRDefault="001D0FDA" w:rsidP="001D0FDA">
            <w:pPr>
              <w:pStyle w:val="Tabletext"/>
              <w:rPr>
                <w:rFonts w:cs="Tahoma"/>
                <w:szCs w:val="18"/>
              </w:rPr>
            </w:pPr>
            <w:r w:rsidRPr="00BB3D48">
              <w:rPr>
                <w:rFonts w:cs="Tahoma"/>
                <w:szCs w:val="18"/>
              </w:rPr>
              <w:t>North, South, and Central America, Asia, Europe</w:t>
            </w:r>
          </w:p>
        </w:tc>
        <w:tc>
          <w:tcPr>
            <w:tcW w:w="473" w:type="pct"/>
          </w:tcPr>
          <w:p w:rsidR="001D0FDA" w:rsidRDefault="001D0FDA" w:rsidP="001D0FDA">
            <w:pPr>
              <w:pStyle w:val="Tabletext"/>
              <w:rPr>
                <w:rFonts w:cs="Tahoma"/>
                <w:szCs w:val="18"/>
              </w:rPr>
            </w:pPr>
            <w:r w:rsidRPr="00BB3D48">
              <w:rPr>
                <w:rFonts w:cs="Tahoma"/>
                <w:szCs w:val="18"/>
              </w:rPr>
              <w:t>RCT, DB</w:t>
            </w:r>
          </w:p>
          <w:p w:rsidR="001D0FDA" w:rsidRPr="00BB3D48" w:rsidRDefault="001D0FDA" w:rsidP="001D0FDA">
            <w:pPr>
              <w:pStyle w:val="Tabletext"/>
              <w:rPr>
                <w:rFonts w:cs="Tahoma"/>
                <w:szCs w:val="18"/>
              </w:rPr>
            </w:pPr>
            <w:r>
              <w:rPr>
                <w:rFonts w:cs="Tahoma"/>
                <w:szCs w:val="18"/>
              </w:rPr>
              <w:t>Level II evidence</w:t>
            </w:r>
          </w:p>
          <w:p w:rsidR="001D0FDA" w:rsidRPr="00351FF5" w:rsidRDefault="001D0FDA" w:rsidP="001D0FDA">
            <w:pPr>
              <w:pStyle w:val="Tabletext"/>
              <w:rPr>
                <w:rFonts w:cs="Tahoma"/>
                <w:szCs w:val="18"/>
              </w:rPr>
            </w:pPr>
            <w:r>
              <w:rPr>
                <w:rFonts w:cs="Tahoma"/>
                <w:szCs w:val="18"/>
              </w:rPr>
              <w:t xml:space="preserve">Follow-up: </w:t>
            </w:r>
            <w:r w:rsidRPr="00BB3D48">
              <w:rPr>
                <w:rFonts w:cs="Tahoma"/>
                <w:szCs w:val="18"/>
              </w:rPr>
              <w:t>16 weeks</w:t>
            </w:r>
          </w:p>
        </w:tc>
        <w:tc>
          <w:tcPr>
            <w:tcW w:w="1096" w:type="pct"/>
          </w:tcPr>
          <w:p w:rsidR="001D0FDA" w:rsidRPr="00BB3D48" w:rsidRDefault="001D0FDA" w:rsidP="001D0FDA">
            <w:pPr>
              <w:pStyle w:val="Tabletext"/>
              <w:rPr>
                <w:rFonts w:cs="Tahoma"/>
                <w:i/>
                <w:szCs w:val="18"/>
              </w:rPr>
            </w:pPr>
            <w:r w:rsidRPr="00BB3D48">
              <w:rPr>
                <w:rFonts w:cs="Tahoma"/>
                <w:i/>
                <w:szCs w:val="18"/>
              </w:rPr>
              <w:t>Inclusion criteria</w:t>
            </w:r>
          </w:p>
          <w:p w:rsidR="001D0FDA" w:rsidRPr="00BB3D48" w:rsidRDefault="001D0FDA" w:rsidP="00480FDF">
            <w:pPr>
              <w:pStyle w:val="Tabletext"/>
              <w:numPr>
                <w:ilvl w:val="0"/>
                <w:numId w:val="54"/>
              </w:numPr>
              <w:ind w:left="239" w:hanging="144"/>
              <w:rPr>
                <w:rFonts w:cs="Tahoma"/>
                <w:szCs w:val="18"/>
              </w:rPr>
            </w:pPr>
            <w:r>
              <w:rPr>
                <w:rFonts w:cs="Tahoma"/>
                <w:szCs w:val="18"/>
              </w:rPr>
              <w:t xml:space="preserve">Age of </w:t>
            </w:r>
            <w:r w:rsidRPr="00BB3D48">
              <w:rPr>
                <w:rFonts w:cs="Tahoma"/>
                <w:szCs w:val="18"/>
              </w:rPr>
              <w:t>1</w:t>
            </w:r>
            <w:r>
              <w:rPr>
                <w:rFonts w:cs="Tahoma"/>
                <w:szCs w:val="18"/>
              </w:rPr>
              <w:t xml:space="preserve">-17 years, </w:t>
            </w:r>
            <w:r w:rsidRPr="00BB3D48">
              <w:rPr>
                <w:rFonts w:cs="Tahoma"/>
                <w:szCs w:val="18"/>
              </w:rPr>
              <w:t>weighing ≥8</w:t>
            </w:r>
            <w:r w:rsidR="00C90897">
              <w:rPr>
                <w:rFonts w:cs="Tahoma"/>
                <w:szCs w:val="18"/>
              </w:rPr>
              <w:t> </w:t>
            </w:r>
            <w:r w:rsidRPr="00BB3D48">
              <w:rPr>
                <w:rFonts w:cs="Tahoma"/>
                <w:szCs w:val="18"/>
              </w:rPr>
              <w:t xml:space="preserve">kg </w:t>
            </w:r>
          </w:p>
          <w:p w:rsidR="001D0FDA" w:rsidRPr="00BB3D48" w:rsidRDefault="001D0FDA" w:rsidP="00480FDF">
            <w:pPr>
              <w:pStyle w:val="Tabletext"/>
              <w:numPr>
                <w:ilvl w:val="0"/>
                <w:numId w:val="54"/>
              </w:numPr>
              <w:ind w:left="239" w:hanging="144"/>
              <w:rPr>
                <w:rFonts w:cs="Tahoma"/>
                <w:szCs w:val="18"/>
              </w:rPr>
            </w:pPr>
            <w:r>
              <w:rPr>
                <w:rFonts w:cs="Tahoma"/>
                <w:szCs w:val="18"/>
              </w:rPr>
              <w:t>Patients w</w:t>
            </w:r>
            <w:r w:rsidRPr="00BB3D48">
              <w:rPr>
                <w:rFonts w:cs="Tahoma"/>
                <w:szCs w:val="18"/>
              </w:rPr>
              <w:t>ith IPAH, HPAH, PAH-CTD, or PAH-CHD (children with unrepaired shunts were enrolled only if their condition was considered inoperable because of their pulmonary vascular obstructive disease)</w:t>
            </w:r>
          </w:p>
          <w:p w:rsidR="001D0FDA" w:rsidRPr="00BB3D48" w:rsidRDefault="001D0FDA" w:rsidP="001D0FDA">
            <w:pPr>
              <w:pStyle w:val="Tabletext"/>
              <w:rPr>
                <w:rFonts w:cs="Tahoma"/>
                <w:i/>
                <w:szCs w:val="18"/>
              </w:rPr>
            </w:pPr>
          </w:p>
          <w:p w:rsidR="001D0FDA" w:rsidRPr="00BB3D48" w:rsidRDefault="001D0FDA" w:rsidP="001D0FDA">
            <w:pPr>
              <w:pStyle w:val="Tabletext"/>
              <w:rPr>
                <w:rFonts w:cs="Tahoma"/>
                <w:i/>
                <w:szCs w:val="18"/>
              </w:rPr>
            </w:pPr>
            <w:r w:rsidRPr="00BB3D48">
              <w:rPr>
                <w:rFonts w:cs="Tahoma"/>
                <w:i/>
                <w:szCs w:val="18"/>
              </w:rPr>
              <w:t>Exclusion criteria</w:t>
            </w:r>
          </w:p>
          <w:p w:rsidR="001D0FDA" w:rsidRPr="00351FF5" w:rsidRDefault="001D0FDA" w:rsidP="00480FDF">
            <w:pPr>
              <w:pStyle w:val="Tabletext"/>
              <w:numPr>
                <w:ilvl w:val="0"/>
                <w:numId w:val="54"/>
              </w:numPr>
              <w:ind w:left="239" w:hanging="144"/>
              <w:rPr>
                <w:rFonts w:cs="Tahoma"/>
                <w:i/>
                <w:szCs w:val="18"/>
              </w:rPr>
            </w:pPr>
            <w:r w:rsidRPr="00A53185">
              <w:rPr>
                <w:rFonts w:cs="Tahoma"/>
                <w:szCs w:val="18"/>
              </w:rPr>
              <w:t xml:space="preserve">Patients receiving </w:t>
            </w:r>
            <w:r>
              <w:rPr>
                <w:rFonts w:cs="Tahoma"/>
                <w:szCs w:val="18"/>
              </w:rPr>
              <w:t>prostanoid, ERA</w:t>
            </w:r>
            <w:r w:rsidRPr="00A53185">
              <w:rPr>
                <w:rFonts w:cs="Tahoma"/>
                <w:szCs w:val="18"/>
              </w:rPr>
              <w:t>, or PDE-5</w:t>
            </w:r>
            <w:r>
              <w:rPr>
                <w:rFonts w:cs="Tahoma"/>
                <w:szCs w:val="18"/>
              </w:rPr>
              <w:t>i</w:t>
            </w:r>
          </w:p>
        </w:tc>
        <w:tc>
          <w:tcPr>
            <w:tcW w:w="1856" w:type="pct"/>
          </w:tcPr>
          <w:p w:rsidR="001D0FDA" w:rsidRDefault="001D0FDA" w:rsidP="001D0FDA">
            <w:pPr>
              <w:pStyle w:val="Tabletext"/>
              <w:rPr>
                <w:rFonts w:cs="Tahoma"/>
                <w:szCs w:val="18"/>
              </w:rPr>
            </w:pPr>
            <w:r>
              <w:rPr>
                <w:rFonts w:cs="Tahoma"/>
                <w:szCs w:val="18"/>
              </w:rPr>
              <w:t>N=234</w:t>
            </w:r>
          </w:p>
          <w:tbl>
            <w:tblPr>
              <w:tblStyle w:val="TableGrid"/>
              <w:tblW w:w="51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rial STARTS-1"/>
            </w:tblPr>
            <w:tblGrid>
              <w:gridCol w:w="1353"/>
              <w:gridCol w:w="987"/>
              <w:gridCol w:w="926"/>
              <w:gridCol w:w="1019"/>
              <w:gridCol w:w="899"/>
            </w:tblGrid>
            <w:tr w:rsidR="001D0FDA" w:rsidRPr="00351FF5" w:rsidTr="006F74DA">
              <w:trPr>
                <w:cnfStyle w:val="100000000000" w:firstRow="1" w:lastRow="0" w:firstColumn="0" w:lastColumn="0" w:oddVBand="0" w:evenVBand="0" w:oddHBand="0" w:evenHBand="0" w:firstRowFirstColumn="0" w:firstRowLastColumn="0" w:lastRowFirstColumn="0" w:lastRowLastColumn="0"/>
              </w:trPr>
              <w:tc>
                <w:tcPr>
                  <w:tcW w:w="1353" w:type="dxa"/>
                  <w:tcBorders>
                    <w:bottom w:val="single" w:sz="4" w:space="0" w:color="BFBFBF" w:themeColor="background1" w:themeShade="BF"/>
                  </w:tcBorders>
                  <w:shd w:val="clear" w:color="auto" w:fill="FFFFFF" w:themeFill="background1"/>
                </w:tcPr>
                <w:p w:rsidR="001D0FDA" w:rsidRPr="00351FF5" w:rsidRDefault="001D0FDA" w:rsidP="00570FC8">
                  <w:pPr>
                    <w:pStyle w:val="Tabletext"/>
                    <w:framePr w:hSpace="180" w:wrap="around" w:vAnchor="text" w:hAnchor="text" w:y="1"/>
                  </w:pPr>
                </w:p>
              </w:tc>
              <w:tc>
                <w:tcPr>
                  <w:tcW w:w="987" w:type="dxa"/>
                  <w:tcBorders>
                    <w:bottom w:val="single" w:sz="4" w:space="0" w:color="BFBFBF" w:themeColor="background1" w:themeShade="BF"/>
                  </w:tcBorders>
                  <w:shd w:val="clear" w:color="auto" w:fill="FFFFFF" w:themeFill="background1"/>
                </w:tcPr>
                <w:p w:rsidR="001D0FDA" w:rsidRPr="007D4163" w:rsidRDefault="001D0FDA" w:rsidP="00570FC8">
                  <w:pPr>
                    <w:pStyle w:val="Tabletext"/>
                    <w:framePr w:hSpace="180" w:wrap="around" w:vAnchor="text" w:hAnchor="text" w:y="1"/>
                    <w:jc w:val="center"/>
                  </w:pPr>
                  <w:r w:rsidRPr="007D4163">
                    <w:t xml:space="preserve">Sildenafil </w:t>
                  </w:r>
                  <w:r>
                    <w:t>low dose</w:t>
                  </w:r>
                </w:p>
                <w:p w:rsidR="001D0FDA" w:rsidRPr="00802B85" w:rsidRDefault="001D0FDA" w:rsidP="00570FC8">
                  <w:pPr>
                    <w:pStyle w:val="Tabletext"/>
                    <w:framePr w:hSpace="180" w:wrap="around" w:vAnchor="text" w:hAnchor="text" w:y="1"/>
                    <w:jc w:val="center"/>
                  </w:pPr>
                  <w:r>
                    <w:t>(n=42)</w:t>
                  </w:r>
                </w:p>
              </w:tc>
              <w:tc>
                <w:tcPr>
                  <w:tcW w:w="926" w:type="dxa"/>
                  <w:tcBorders>
                    <w:bottom w:val="single" w:sz="4" w:space="0" w:color="BFBFBF" w:themeColor="background1" w:themeShade="BF"/>
                  </w:tcBorders>
                  <w:shd w:val="clear" w:color="auto" w:fill="FFFFFF" w:themeFill="background1"/>
                </w:tcPr>
                <w:p w:rsidR="001D0FDA" w:rsidRDefault="001D0FDA" w:rsidP="00570FC8">
                  <w:pPr>
                    <w:pStyle w:val="Tabletext"/>
                    <w:framePr w:hSpace="180" w:wrap="around" w:vAnchor="text" w:hAnchor="text" w:y="1"/>
                    <w:jc w:val="center"/>
                  </w:pPr>
                  <w:r>
                    <w:t>Sildenafil m</w:t>
                  </w:r>
                  <w:r w:rsidRPr="007D4163">
                    <w:t>edian</w:t>
                  </w:r>
                  <w:r>
                    <w:t xml:space="preserve"> dose</w:t>
                  </w:r>
                </w:p>
                <w:p w:rsidR="001D0FDA" w:rsidRPr="00411013" w:rsidRDefault="001D0FDA" w:rsidP="00570FC8">
                  <w:pPr>
                    <w:pStyle w:val="Tabletext"/>
                    <w:framePr w:hSpace="180" w:wrap="around" w:vAnchor="text" w:hAnchor="text" w:y="1"/>
                    <w:jc w:val="center"/>
                  </w:pPr>
                  <w:r w:rsidRPr="007D4163">
                    <w:t>(n=55)</w:t>
                  </w:r>
                </w:p>
              </w:tc>
              <w:tc>
                <w:tcPr>
                  <w:tcW w:w="1019" w:type="dxa"/>
                  <w:tcBorders>
                    <w:bottom w:val="single" w:sz="4" w:space="0" w:color="BFBFBF" w:themeColor="background1" w:themeShade="BF"/>
                  </w:tcBorders>
                  <w:shd w:val="clear" w:color="auto" w:fill="FFFFFF" w:themeFill="background1"/>
                </w:tcPr>
                <w:p w:rsidR="001D0FDA" w:rsidRPr="00802B85" w:rsidRDefault="001D0FDA" w:rsidP="00570FC8">
                  <w:pPr>
                    <w:pStyle w:val="Tabletext"/>
                    <w:framePr w:hSpace="180" w:wrap="around" w:vAnchor="text" w:hAnchor="text" w:y="1"/>
                    <w:jc w:val="center"/>
                  </w:pPr>
                  <w:r>
                    <w:t>Sildenafil h</w:t>
                  </w:r>
                  <w:r w:rsidRPr="007D4163">
                    <w:t xml:space="preserve">igh </w:t>
                  </w:r>
                  <w:r>
                    <w:t>dose (n=77)</w:t>
                  </w:r>
                </w:p>
              </w:tc>
              <w:tc>
                <w:tcPr>
                  <w:tcW w:w="899" w:type="dxa"/>
                  <w:tcBorders>
                    <w:bottom w:val="single" w:sz="4" w:space="0" w:color="BFBFBF" w:themeColor="background1" w:themeShade="BF"/>
                  </w:tcBorders>
                  <w:shd w:val="clear" w:color="auto" w:fill="FFFFFF" w:themeFill="background1"/>
                </w:tcPr>
                <w:p w:rsidR="001D0FDA" w:rsidRPr="007D4163" w:rsidRDefault="001D0FDA" w:rsidP="00570FC8">
                  <w:pPr>
                    <w:pStyle w:val="Tabletext"/>
                    <w:framePr w:hSpace="180" w:wrap="around" w:vAnchor="text" w:hAnchor="text" w:y="1"/>
                    <w:jc w:val="center"/>
                  </w:pPr>
                  <w:r w:rsidRPr="007D4163">
                    <w:t>Placebo</w:t>
                  </w:r>
                </w:p>
                <w:p w:rsidR="001D0FDA" w:rsidRPr="00802B85" w:rsidRDefault="001D0FDA" w:rsidP="00570FC8">
                  <w:pPr>
                    <w:pStyle w:val="Tabletext"/>
                    <w:framePr w:hSpace="180" w:wrap="around" w:vAnchor="text" w:hAnchor="text" w:y="1"/>
                    <w:jc w:val="center"/>
                  </w:pPr>
                  <w:r w:rsidRPr="007D4163">
                    <w:t>(n=60)</w:t>
                  </w:r>
                </w:p>
              </w:tc>
            </w:tr>
            <w:tr w:rsidR="001D0FDA" w:rsidRPr="00351FF5" w:rsidTr="006F74DA">
              <w:tc>
                <w:tcPr>
                  <w:tcW w:w="1353" w:type="dxa"/>
                  <w:tcBorders>
                    <w:bottom w:val="nil"/>
                  </w:tcBorders>
                </w:tcPr>
                <w:p w:rsidR="001D0FDA" w:rsidRPr="00351FF5" w:rsidRDefault="001D0FDA" w:rsidP="00570FC8">
                  <w:pPr>
                    <w:pStyle w:val="Tabletext"/>
                    <w:framePr w:hSpace="180" w:wrap="around" w:vAnchor="text" w:hAnchor="text" w:y="1"/>
                  </w:pPr>
                  <w:r w:rsidRPr="00351FF5">
                    <w:t xml:space="preserve">Age, </w:t>
                  </w:r>
                  <w:r>
                    <w:t>n (%)</w:t>
                  </w:r>
                  <w:r w:rsidRPr="00351FF5">
                    <w:t xml:space="preserve"> </w:t>
                  </w:r>
                </w:p>
              </w:tc>
              <w:tc>
                <w:tcPr>
                  <w:tcW w:w="987" w:type="dxa"/>
                  <w:tcBorders>
                    <w:bottom w:val="nil"/>
                  </w:tcBorders>
                  <w:vAlign w:val="center"/>
                </w:tcPr>
                <w:p w:rsidR="001D0FDA" w:rsidRPr="00411013" w:rsidRDefault="001D0FDA" w:rsidP="00570FC8">
                  <w:pPr>
                    <w:pStyle w:val="Tabletext"/>
                    <w:framePr w:hSpace="180" w:wrap="around" w:vAnchor="text" w:hAnchor="text" w:y="1"/>
                  </w:pPr>
                </w:p>
              </w:tc>
              <w:tc>
                <w:tcPr>
                  <w:tcW w:w="926" w:type="dxa"/>
                  <w:tcBorders>
                    <w:bottom w:val="nil"/>
                  </w:tcBorders>
                  <w:vAlign w:val="center"/>
                </w:tcPr>
                <w:p w:rsidR="001D0FDA" w:rsidRPr="00411013" w:rsidRDefault="001D0FDA" w:rsidP="00570FC8">
                  <w:pPr>
                    <w:pStyle w:val="Tabletext"/>
                    <w:framePr w:hSpace="180" w:wrap="around" w:vAnchor="text" w:hAnchor="text" w:y="1"/>
                  </w:pPr>
                </w:p>
              </w:tc>
              <w:tc>
                <w:tcPr>
                  <w:tcW w:w="1019" w:type="dxa"/>
                  <w:tcBorders>
                    <w:bottom w:val="nil"/>
                  </w:tcBorders>
                  <w:vAlign w:val="center"/>
                </w:tcPr>
                <w:p w:rsidR="001D0FDA" w:rsidRPr="00411013" w:rsidRDefault="001D0FDA" w:rsidP="00570FC8">
                  <w:pPr>
                    <w:pStyle w:val="Tabletext"/>
                    <w:framePr w:hSpace="180" w:wrap="around" w:vAnchor="text" w:hAnchor="text" w:y="1"/>
                  </w:pPr>
                </w:p>
              </w:tc>
              <w:tc>
                <w:tcPr>
                  <w:tcW w:w="899" w:type="dxa"/>
                  <w:tcBorders>
                    <w:bottom w:val="nil"/>
                  </w:tcBorders>
                  <w:vAlign w:val="center"/>
                </w:tcPr>
                <w:p w:rsidR="001D0FDA" w:rsidRPr="00411013" w:rsidRDefault="001D0FDA" w:rsidP="00570FC8">
                  <w:pPr>
                    <w:pStyle w:val="Tabletext"/>
                    <w:framePr w:hSpace="180" w:wrap="around" w:vAnchor="text" w:hAnchor="text" w:y="1"/>
                  </w:pPr>
                </w:p>
              </w:tc>
            </w:tr>
            <w:tr w:rsidR="001D0FDA" w:rsidRPr="00351FF5" w:rsidTr="006F74DA">
              <w:tc>
                <w:tcPr>
                  <w:tcW w:w="1353" w:type="dxa"/>
                  <w:tcBorders>
                    <w:top w:val="nil"/>
                    <w:bottom w:val="nil"/>
                  </w:tcBorders>
                </w:tcPr>
                <w:p w:rsidR="001D0FDA" w:rsidRPr="00351FF5" w:rsidRDefault="001D0FDA" w:rsidP="00570FC8">
                  <w:pPr>
                    <w:pStyle w:val="Tabletext"/>
                    <w:framePr w:hSpace="180" w:wrap="around" w:vAnchor="text" w:hAnchor="text" w:y="1"/>
                    <w:ind w:left="160"/>
                  </w:pPr>
                  <w:r>
                    <w:t>1-4 years</w:t>
                  </w:r>
                </w:p>
              </w:tc>
              <w:tc>
                <w:tcPr>
                  <w:tcW w:w="987" w:type="dxa"/>
                  <w:tcBorders>
                    <w:top w:val="nil"/>
                    <w:bottom w:val="nil"/>
                  </w:tcBorders>
                  <w:vAlign w:val="center"/>
                </w:tcPr>
                <w:p w:rsidR="001D0FDA" w:rsidRPr="00411013" w:rsidRDefault="001D0FDA" w:rsidP="00570FC8">
                  <w:pPr>
                    <w:pStyle w:val="Tabletext"/>
                    <w:framePr w:hSpace="180" w:wrap="around" w:vAnchor="text" w:hAnchor="text" w:y="1"/>
                    <w:jc w:val="center"/>
                  </w:pPr>
                  <w:r>
                    <w:t>0 (0%)</w:t>
                  </w:r>
                </w:p>
              </w:tc>
              <w:tc>
                <w:tcPr>
                  <w:tcW w:w="926" w:type="dxa"/>
                  <w:tcBorders>
                    <w:top w:val="nil"/>
                    <w:bottom w:val="nil"/>
                  </w:tcBorders>
                  <w:vAlign w:val="center"/>
                </w:tcPr>
                <w:p w:rsidR="001D0FDA" w:rsidRPr="00411013" w:rsidRDefault="001D0FDA" w:rsidP="00570FC8">
                  <w:pPr>
                    <w:pStyle w:val="Tabletext"/>
                    <w:framePr w:hSpace="180" w:wrap="around" w:vAnchor="text" w:hAnchor="text" w:y="1"/>
                    <w:jc w:val="center"/>
                  </w:pPr>
                  <w:r>
                    <w:t>9 (16%)</w:t>
                  </w:r>
                </w:p>
              </w:tc>
              <w:tc>
                <w:tcPr>
                  <w:tcW w:w="1019" w:type="dxa"/>
                  <w:tcBorders>
                    <w:top w:val="nil"/>
                    <w:bottom w:val="nil"/>
                  </w:tcBorders>
                  <w:vAlign w:val="center"/>
                </w:tcPr>
                <w:p w:rsidR="001D0FDA" w:rsidRPr="00411013" w:rsidRDefault="001D0FDA" w:rsidP="00570FC8">
                  <w:pPr>
                    <w:pStyle w:val="Tabletext"/>
                    <w:framePr w:hSpace="180" w:wrap="around" w:vAnchor="text" w:hAnchor="text" w:y="1"/>
                    <w:jc w:val="center"/>
                  </w:pPr>
                  <w:r>
                    <w:t>19 (25%)</w:t>
                  </w:r>
                </w:p>
              </w:tc>
              <w:tc>
                <w:tcPr>
                  <w:tcW w:w="899" w:type="dxa"/>
                  <w:tcBorders>
                    <w:top w:val="nil"/>
                    <w:bottom w:val="nil"/>
                  </w:tcBorders>
                  <w:vAlign w:val="center"/>
                </w:tcPr>
                <w:p w:rsidR="001D0FDA" w:rsidRPr="00411013" w:rsidRDefault="001D0FDA" w:rsidP="00570FC8">
                  <w:pPr>
                    <w:pStyle w:val="Tabletext"/>
                    <w:framePr w:hSpace="180" w:wrap="around" w:vAnchor="text" w:hAnchor="text" w:y="1"/>
                    <w:jc w:val="center"/>
                  </w:pPr>
                  <w:r>
                    <w:t>7 (12%)</w:t>
                  </w:r>
                </w:p>
              </w:tc>
            </w:tr>
            <w:tr w:rsidR="001D0FDA" w:rsidRPr="00351FF5" w:rsidTr="006F74DA">
              <w:tc>
                <w:tcPr>
                  <w:tcW w:w="1353" w:type="dxa"/>
                  <w:tcBorders>
                    <w:top w:val="nil"/>
                    <w:bottom w:val="nil"/>
                  </w:tcBorders>
                </w:tcPr>
                <w:p w:rsidR="001D0FDA" w:rsidRPr="00351FF5" w:rsidRDefault="001D0FDA" w:rsidP="00570FC8">
                  <w:pPr>
                    <w:pStyle w:val="Tabletext"/>
                    <w:framePr w:hSpace="180" w:wrap="around" w:vAnchor="text" w:hAnchor="text" w:y="1"/>
                    <w:ind w:left="160"/>
                  </w:pPr>
                  <w:r>
                    <w:t>4-12 years</w:t>
                  </w:r>
                </w:p>
              </w:tc>
              <w:tc>
                <w:tcPr>
                  <w:tcW w:w="987" w:type="dxa"/>
                  <w:tcBorders>
                    <w:top w:val="nil"/>
                    <w:bottom w:val="nil"/>
                  </w:tcBorders>
                  <w:vAlign w:val="center"/>
                </w:tcPr>
                <w:p w:rsidR="001D0FDA" w:rsidRPr="00411013" w:rsidRDefault="001D0FDA" w:rsidP="00570FC8">
                  <w:pPr>
                    <w:pStyle w:val="Tabletext"/>
                    <w:framePr w:hSpace="180" w:wrap="around" w:vAnchor="text" w:hAnchor="text" w:y="1"/>
                    <w:jc w:val="center"/>
                  </w:pPr>
                  <w:r>
                    <w:t>25 (60%)</w:t>
                  </w:r>
                </w:p>
              </w:tc>
              <w:tc>
                <w:tcPr>
                  <w:tcW w:w="926" w:type="dxa"/>
                  <w:tcBorders>
                    <w:top w:val="nil"/>
                    <w:bottom w:val="nil"/>
                  </w:tcBorders>
                  <w:vAlign w:val="center"/>
                </w:tcPr>
                <w:p w:rsidR="001D0FDA" w:rsidRPr="00411013" w:rsidRDefault="001D0FDA" w:rsidP="00570FC8">
                  <w:pPr>
                    <w:pStyle w:val="Tabletext"/>
                    <w:framePr w:hSpace="180" w:wrap="around" w:vAnchor="text" w:hAnchor="text" w:y="1"/>
                    <w:jc w:val="center"/>
                  </w:pPr>
                  <w:r>
                    <w:t>28 (51%)</w:t>
                  </w:r>
                </w:p>
              </w:tc>
              <w:tc>
                <w:tcPr>
                  <w:tcW w:w="1019" w:type="dxa"/>
                  <w:tcBorders>
                    <w:top w:val="nil"/>
                    <w:bottom w:val="nil"/>
                  </w:tcBorders>
                  <w:vAlign w:val="center"/>
                </w:tcPr>
                <w:p w:rsidR="001D0FDA" w:rsidRPr="00411013" w:rsidRDefault="001D0FDA" w:rsidP="00570FC8">
                  <w:pPr>
                    <w:pStyle w:val="Tabletext"/>
                    <w:framePr w:hSpace="180" w:wrap="around" w:vAnchor="text" w:hAnchor="text" w:y="1"/>
                    <w:jc w:val="center"/>
                  </w:pPr>
                  <w:r>
                    <w:t>36 (47%)</w:t>
                  </w:r>
                </w:p>
              </w:tc>
              <w:tc>
                <w:tcPr>
                  <w:tcW w:w="899" w:type="dxa"/>
                  <w:tcBorders>
                    <w:top w:val="nil"/>
                    <w:bottom w:val="nil"/>
                  </w:tcBorders>
                  <w:vAlign w:val="center"/>
                </w:tcPr>
                <w:p w:rsidR="001D0FDA" w:rsidRPr="00411013" w:rsidRDefault="001D0FDA" w:rsidP="00570FC8">
                  <w:pPr>
                    <w:pStyle w:val="Tabletext"/>
                    <w:framePr w:hSpace="180" w:wrap="around" w:vAnchor="text" w:hAnchor="text" w:y="1"/>
                    <w:jc w:val="center"/>
                  </w:pPr>
                  <w:r>
                    <w:t>37 (62%)</w:t>
                  </w:r>
                </w:p>
              </w:tc>
            </w:tr>
            <w:tr w:rsidR="001D0FDA" w:rsidRPr="00351FF5" w:rsidTr="006F74DA">
              <w:tc>
                <w:tcPr>
                  <w:tcW w:w="1353" w:type="dxa"/>
                  <w:tcBorders>
                    <w:top w:val="nil"/>
                  </w:tcBorders>
                </w:tcPr>
                <w:p w:rsidR="001D0FDA" w:rsidRPr="00351FF5" w:rsidRDefault="001D0FDA" w:rsidP="00570FC8">
                  <w:pPr>
                    <w:pStyle w:val="Tabletext"/>
                    <w:framePr w:hSpace="180" w:wrap="around" w:vAnchor="text" w:hAnchor="text" w:y="1"/>
                    <w:ind w:left="160"/>
                  </w:pPr>
                  <w:r>
                    <w:t>13-17 years</w:t>
                  </w:r>
                </w:p>
              </w:tc>
              <w:tc>
                <w:tcPr>
                  <w:tcW w:w="987" w:type="dxa"/>
                  <w:tcBorders>
                    <w:top w:val="nil"/>
                  </w:tcBorders>
                  <w:vAlign w:val="center"/>
                </w:tcPr>
                <w:p w:rsidR="001D0FDA" w:rsidRPr="00411013" w:rsidRDefault="001D0FDA" w:rsidP="00570FC8">
                  <w:pPr>
                    <w:pStyle w:val="Tabletext"/>
                    <w:framePr w:hSpace="180" w:wrap="around" w:vAnchor="text" w:hAnchor="text" w:y="1"/>
                    <w:jc w:val="center"/>
                  </w:pPr>
                  <w:r>
                    <w:t>17 (40%)</w:t>
                  </w:r>
                </w:p>
              </w:tc>
              <w:tc>
                <w:tcPr>
                  <w:tcW w:w="926" w:type="dxa"/>
                  <w:tcBorders>
                    <w:top w:val="nil"/>
                  </w:tcBorders>
                  <w:vAlign w:val="center"/>
                </w:tcPr>
                <w:p w:rsidR="001D0FDA" w:rsidRPr="00411013" w:rsidRDefault="001D0FDA" w:rsidP="00570FC8">
                  <w:pPr>
                    <w:pStyle w:val="Tabletext"/>
                    <w:framePr w:hSpace="180" w:wrap="around" w:vAnchor="text" w:hAnchor="text" w:y="1"/>
                    <w:jc w:val="center"/>
                  </w:pPr>
                  <w:r>
                    <w:t>18 (33%)</w:t>
                  </w:r>
                </w:p>
              </w:tc>
              <w:tc>
                <w:tcPr>
                  <w:tcW w:w="1019" w:type="dxa"/>
                  <w:tcBorders>
                    <w:top w:val="nil"/>
                  </w:tcBorders>
                  <w:vAlign w:val="center"/>
                </w:tcPr>
                <w:p w:rsidR="001D0FDA" w:rsidRPr="00411013" w:rsidRDefault="001D0FDA" w:rsidP="00570FC8">
                  <w:pPr>
                    <w:pStyle w:val="Tabletext"/>
                    <w:framePr w:hSpace="180" w:wrap="around" w:vAnchor="text" w:hAnchor="text" w:y="1"/>
                    <w:jc w:val="center"/>
                  </w:pPr>
                  <w:r>
                    <w:t>22 (29%)</w:t>
                  </w:r>
                </w:p>
              </w:tc>
              <w:tc>
                <w:tcPr>
                  <w:tcW w:w="899" w:type="dxa"/>
                  <w:tcBorders>
                    <w:top w:val="nil"/>
                  </w:tcBorders>
                  <w:vAlign w:val="center"/>
                </w:tcPr>
                <w:p w:rsidR="001D0FDA" w:rsidRPr="00411013" w:rsidRDefault="001D0FDA" w:rsidP="00570FC8">
                  <w:pPr>
                    <w:pStyle w:val="Tabletext"/>
                    <w:framePr w:hSpace="180" w:wrap="around" w:vAnchor="text" w:hAnchor="text" w:y="1"/>
                    <w:jc w:val="center"/>
                  </w:pPr>
                  <w:r>
                    <w:t>16 (27%)</w:t>
                  </w:r>
                </w:p>
              </w:tc>
            </w:tr>
            <w:tr w:rsidR="001D0FDA" w:rsidRPr="00351FF5" w:rsidTr="006F74DA">
              <w:tc>
                <w:tcPr>
                  <w:tcW w:w="1353" w:type="dxa"/>
                  <w:tcBorders>
                    <w:bottom w:val="single" w:sz="4" w:space="0" w:color="BFBFBF" w:themeColor="background1" w:themeShade="BF"/>
                  </w:tcBorders>
                </w:tcPr>
                <w:p w:rsidR="001D0FDA" w:rsidRPr="00351FF5" w:rsidRDefault="001D0FDA" w:rsidP="00570FC8">
                  <w:pPr>
                    <w:pStyle w:val="Tabletext"/>
                    <w:framePr w:hSpace="180" w:wrap="around" w:vAnchor="text" w:hAnchor="text" w:y="1"/>
                  </w:pPr>
                  <w:r w:rsidRPr="00351FF5">
                    <w:t>Gender, femal</w:t>
                  </w:r>
                  <w:r>
                    <w:t>e</w:t>
                  </w:r>
                  <w:r w:rsidRPr="00351FF5">
                    <w:t>, n (%)</w:t>
                  </w:r>
                </w:p>
              </w:tc>
              <w:tc>
                <w:tcPr>
                  <w:tcW w:w="987" w:type="dxa"/>
                  <w:tcBorders>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188 (74%)</w:t>
                  </w:r>
                </w:p>
              </w:tc>
              <w:tc>
                <w:tcPr>
                  <w:tcW w:w="926" w:type="dxa"/>
                  <w:tcBorders>
                    <w:bottom w:val="single" w:sz="4" w:space="0" w:color="BFBFBF" w:themeColor="background1" w:themeShade="BF"/>
                  </w:tcBorders>
                  <w:vAlign w:val="center"/>
                </w:tcPr>
                <w:p w:rsidR="001D0FDA" w:rsidRDefault="001D0FDA" w:rsidP="00570FC8">
                  <w:pPr>
                    <w:pStyle w:val="Tabletext"/>
                    <w:framePr w:hSpace="180" w:wrap="around" w:vAnchor="text" w:hAnchor="text" w:y="1"/>
                    <w:jc w:val="center"/>
                  </w:pPr>
                </w:p>
              </w:tc>
              <w:tc>
                <w:tcPr>
                  <w:tcW w:w="1019" w:type="dxa"/>
                  <w:tcBorders>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100 (79%)</w:t>
                  </w:r>
                </w:p>
              </w:tc>
              <w:tc>
                <w:tcPr>
                  <w:tcW w:w="899" w:type="dxa"/>
                  <w:tcBorders>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100 (83%)</w:t>
                  </w:r>
                </w:p>
              </w:tc>
            </w:tr>
            <w:tr w:rsidR="001D0FDA" w:rsidRPr="00351FF5" w:rsidTr="006F74DA">
              <w:tc>
                <w:tcPr>
                  <w:tcW w:w="1353" w:type="dxa"/>
                  <w:tcBorders>
                    <w:bottom w:val="nil"/>
                  </w:tcBorders>
                </w:tcPr>
                <w:p w:rsidR="001D0FDA" w:rsidRPr="00351FF5" w:rsidRDefault="001D0FDA" w:rsidP="00570FC8">
                  <w:pPr>
                    <w:pStyle w:val="Tabletext"/>
                    <w:framePr w:hSpace="180" w:wrap="around" w:vAnchor="text" w:hAnchor="text" w:y="1"/>
                  </w:pPr>
                  <w:r w:rsidRPr="00351FF5">
                    <w:t>PAH aetiology, n (%)</w:t>
                  </w:r>
                </w:p>
              </w:tc>
              <w:tc>
                <w:tcPr>
                  <w:tcW w:w="987" w:type="dxa"/>
                  <w:tcBorders>
                    <w:bottom w:val="nil"/>
                  </w:tcBorders>
                  <w:vAlign w:val="center"/>
                </w:tcPr>
                <w:p w:rsidR="001D0FDA" w:rsidRPr="00411013" w:rsidRDefault="001D0FDA" w:rsidP="00570FC8">
                  <w:pPr>
                    <w:pStyle w:val="Tabletext"/>
                    <w:framePr w:hSpace="180" w:wrap="around" w:vAnchor="text" w:hAnchor="text" w:y="1"/>
                    <w:jc w:val="center"/>
                  </w:pPr>
                </w:p>
              </w:tc>
              <w:tc>
                <w:tcPr>
                  <w:tcW w:w="926" w:type="dxa"/>
                  <w:tcBorders>
                    <w:bottom w:val="nil"/>
                  </w:tcBorders>
                  <w:vAlign w:val="center"/>
                </w:tcPr>
                <w:p w:rsidR="001D0FDA" w:rsidRPr="00411013" w:rsidRDefault="001D0FDA" w:rsidP="00570FC8">
                  <w:pPr>
                    <w:pStyle w:val="Tabletext"/>
                    <w:framePr w:hSpace="180" w:wrap="around" w:vAnchor="text" w:hAnchor="text" w:y="1"/>
                    <w:jc w:val="center"/>
                  </w:pPr>
                </w:p>
              </w:tc>
              <w:tc>
                <w:tcPr>
                  <w:tcW w:w="1019" w:type="dxa"/>
                  <w:tcBorders>
                    <w:bottom w:val="nil"/>
                  </w:tcBorders>
                  <w:vAlign w:val="center"/>
                </w:tcPr>
                <w:p w:rsidR="001D0FDA" w:rsidRPr="00411013" w:rsidRDefault="001D0FDA" w:rsidP="00570FC8">
                  <w:pPr>
                    <w:pStyle w:val="Tabletext"/>
                    <w:framePr w:hSpace="180" w:wrap="around" w:vAnchor="text" w:hAnchor="text" w:y="1"/>
                    <w:jc w:val="center"/>
                  </w:pPr>
                </w:p>
              </w:tc>
              <w:tc>
                <w:tcPr>
                  <w:tcW w:w="899" w:type="dxa"/>
                  <w:tcBorders>
                    <w:bottom w:val="nil"/>
                  </w:tcBorders>
                  <w:vAlign w:val="center"/>
                </w:tcPr>
                <w:p w:rsidR="001D0FDA" w:rsidRPr="00411013" w:rsidRDefault="001D0FDA" w:rsidP="00570FC8">
                  <w:pPr>
                    <w:pStyle w:val="Tabletext"/>
                    <w:framePr w:hSpace="180" w:wrap="around" w:vAnchor="text" w:hAnchor="text" w:y="1"/>
                    <w:jc w:val="center"/>
                  </w:pPr>
                </w:p>
              </w:tc>
            </w:tr>
            <w:tr w:rsidR="001D0FDA" w:rsidRPr="00351FF5" w:rsidTr="006F74DA">
              <w:tc>
                <w:tcPr>
                  <w:tcW w:w="1353" w:type="dxa"/>
                  <w:tcBorders>
                    <w:top w:val="nil"/>
                    <w:bottom w:val="nil"/>
                  </w:tcBorders>
                </w:tcPr>
                <w:p w:rsidR="001D0FDA" w:rsidRPr="00351FF5" w:rsidRDefault="001D0FDA" w:rsidP="00570FC8">
                  <w:pPr>
                    <w:pStyle w:val="Tabletext"/>
                    <w:framePr w:hSpace="180" w:wrap="around" w:vAnchor="text" w:hAnchor="text" w:y="1"/>
                    <w:ind w:left="160"/>
                  </w:pPr>
                  <w:r w:rsidRPr="00351FF5">
                    <w:t>IPAH</w:t>
                  </w:r>
                  <w:r>
                    <w:t>/HPAH</w:t>
                  </w:r>
                </w:p>
              </w:tc>
              <w:tc>
                <w:tcPr>
                  <w:tcW w:w="987" w:type="dxa"/>
                  <w:tcBorders>
                    <w:top w:val="nil"/>
                    <w:bottom w:val="nil"/>
                  </w:tcBorders>
                  <w:vAlign w:val="center"/>
                </w:tcPr>
                <w:p w:rsidR="001D0FDA" w:rsidRPr="00411013" w:rsidRDefault="001D0FDA" w:rsidP="00570FC8">
                  <w:pPr>
                    <w:pStyle w:val="Tabletext"/>
                    <w:framePr w:hSpace="180" w:wrap="around" w:vAnchor="text" w:hAnchor="text" w:y="1"/>
                    <w:jc w:val="center"/>
                  </w:pPr>
                  <w:r>
                    <w:t>12 (29%)</w:t>
                  </w:r>
                </w:p>
              </w:tc>
              <w:tc>
                <w:tcPr>
                  <w:tcW w:w="926" w:type="dxa"/>
                  <w:tcBorders>
                    <w:top w:val="nil"/>
                    <w:bottom w:val="nil"/>
                  </w:tcBorders>
                  <w:vAlign w:val="center"/>
                </w:tcPr>
                <w:p w:rsidR="001D0FDA" w:rsidRPr="005331C3" w:rsidRDefault="001D0FDA" w:rsidP="00570FC8">
                  <w:pPr>
                    <w:pStyle w:val="Tabletext"/>
                    <w:framePr w:hSpace="180" w:wrap="around" w:vAnchor="text" w:hAnchor="text" w:y="1"/>
                    <w:jc w:val="center"/>
                  </w:pPr>
                  <w:r>
                    <w:t>19 (35%)</w:t>
                  </w:r>
                </w:p>
              </w:tc>
              <w:tc>
                <w:tcPr>
                  <w:tcW w:w="1019" w:type="dxa"/>
                  <w:tcBorders>
                    <w:top w:val="nil"/>
                    <w:bottom w:val="nil"/>
                  </w:tcBorders>
                  <w:vAlign w:val="center"/>
                </w:tcPr>
                <w:p w:rsidR="001D0FDA" w:rsidRPr="00411013" w:rsidRDefault="001D0FDA" w:rsidP="00570FC8">
                  <w:pPr>
                    <w:pStyle w:val="Tabletext"/>
                    <w:framePr w:hSpace="180" w:wrap="around" w:vAnchor="text" w:hAnchor="text" w:y="1"/>
                    <w:jc w:val="center"/>
                  </w:pPr>
                  <w:r>
                    <w:t>26 (34%)</w:t>
                  </w:r>
                </w:p>
              </w:tc>
              <w:tc>
                <w:tcPr>
                  <w:tcW w:w="899" w:type="dxa"/>
                  <w:tcBorders>
                    <w:top w:val="nil"/>
                    <w:bottom w:val="nil"/>
                  </w:tcBorders>
                  <w:vAlign w:val="center"/>
                </w:tcPr>
                <w:p w:rsidR="001D0FDA" w:rsidRPr="00411013" w:rsidRDefault="001D0FDA" w:rsidP="00570FC8">
                  <w:pPr>
                    <w:pStyle w:val="Tabletext"/>
                    <w:framePr w:hSpace="180" w:wrap="around" w:vAnchor="text" w:hAnchor="text" w:y="1"/>
                    <w:jc w:val="center"/>
                  </w:pPr>
                  <w:r>
                    <w:t>21 (35%)</w:t>
                  </w:r>
                </w:p>
              </w:tc>
            </w:tr>
            <w:tr w:rsidR="001D0FDA" w:rsidRPr="00351FF5" w:rsidTr="006F74DA">
              <w:tc>
                <w:tcPr>
                  <w:tcW w:w="1353" w:type="dxa"/>
                  <w:tcBorders>
                    <w:top w:val="nil"/>
                    <w:bottom w:val="single" w:sz="4" w:space="0" w:color="BFBFBF" w:themeColor="background1" w:themeShade="BF"/>
                  </w:tcBorders>
                </w:tcPr>
                <w:p w:rsidR="001D0FDA" w:rsidRPr="00351FF5" w:rsidRDefault="001D0FDA" w:rsidP="00570FC8">
                  <w:pPr>
                    <w:pStyle w:val="Tabletext"/>
                    <w:framePr w:hSpace="180" w:wrap="around" w:vAnchor="text" w:hAnchor="text" w:y="1"/>
                    <w:ind w:left="160"/>
                  </w:pPr>
                  <w:r w:rsidRPr="00351FF5">
                    <w:t>PAH-CHD</w:t>
                  </w:r>
                </w:p>
              </w:tc>
              <w:tc>
                <w:tcPr>
                  <w:tcW w:w="987" w:type="dxa"/>
                  <w:tcBorders>
                    <w:top w:val="nil"/>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30 (71%)</w:t>
                  </w:r>
                </w:p>
              </w:tc>
              <w:tc>
                <w:tcPr>
                  <w:tcW w:w="926" w:type="dxa"/>
                  <w:tcBorders>
                    <w:top w:val="nil"/>
                    <w:bottom w:val="single" w:sz="4" w:space="0" w:color="BFBFBF" w:themeColor="background1" w:themeShade="BF"/>
                  </w:tcBorders>
                  <w:vAlign w:val="center"/>
                </w:tcPr>
                <w:p w:rsidR="001D0FDA" w:rsidRPr="005331C3" w:rsidRDefault="001D0FDA" w:rsidP="00570FC8">
                  <w:pPr>
                    <w:pStyle w:val="Tabletext"/>
                    <w:framePr w:hSpace="180" w:wrap="around" w:vAnchor="text" w:hAnchor="text" w:y="1"/>
                    <w:jc w:val="center"/>
                  </w:pPr>
                  <w:r>
                    <w:t>36 (65%)</w:t>
                  </w:r>
                </w:p>
              </w:tc>
              <w:tc>
                <w:tcPr>
                  <w:tcW w:w="1019" w:type="dxa"/>
                  <w:tcBorders>
                    <w:top w:val="nil"/>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51 (66%)</w:t>
                  </w:r>
                </w:p>
              </w:tc>
              <w:tc>
                <w:tcPr>
                  <w:tcW w:w="899" w:type="dxa"/>
                  <w:tcBorders>
                    <w:top w:val="nil"/>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39 (65%)</w:t>
                  </w:r>
                </w:p>
              </w:tc>
            </w:tr>
            <w:tr w:rsidR="001D0FDA" w:rsidRPr="00351FF5" w:rsidTr="006F74DA">
              <w:tc>
                <w:tcPr>
                  <w:tcW w:w="1353" w:type="dxa"/>
                  <w:tcBorders>
                    <w:top w:val="single" w:sz="4" w:space="0" w:color="BFBFBF" w:themeColor="background1" w:themeShade="BF"/>
                    <w:bottom w:val="nil"/>
                  </w:tcBorders>
                </w:tcPr>
                <w:p w:rsidR="001D0FDA" w:rsidRPr="00351FF5" w:rsidRDefault="001D0FDA" w:rsidP="00570FC8">
                  <w:pPr>
                    <w:pStyle w:val="Tabletext"/>
                    <w:framePr w:hSpace="180" w:wrap="around" w:vAnchor="text" w:hAnchor="text" w:y="1"/>
                  </w:pPr>
                  <w:proofErr w:type="gramStart"/>
                  <w:r w:rsidRPr="00351FF5">
                    <w:t>WHO</w:t>
                  </w:r>
                  <w:proofErr w:type="gramEnd"/>
                  <w:r w:rsidRPr="00351FF5">
                    <w:t xml:space="preserve"> FC</w:t>
                  </w:r>
                  <w:r>
                    <w:t>, n (%)</w:t>
                  </w:r>
                </w:p>
              </w:tc>
              <w:tc>
                <w:tcPr>
                  <w:tcW w:w="987" w:type="dxa"/>
                  <w:tcBorders>
                    <w:top w:val="single" w:sz="4" w:space="0" w:color="BFBFBF" w:themeColor="background1" w:themeShade="BF"/>
                    <w:bottom w:val="nil"/>
                  </w:tcBorders>
                  <w:vAlign w:val="center"/>
                </w:tcPr>
                <w:p w:rsidR="001D0FDA" w:rsidRPr="00411013" w:rsidRDefault="001D0FDA" w:rsidP="00570FC8">
                  <w:pPr>
                    <w:pStyle w:val="Tabletext"/>
                    <w:framePr w:hSpace="180" w:wrap="around" w:vAnchor="text" w:hAnchor="text" w:y="1"/>
                    <w:jc w:val="center"/>
                  </w:pPr>
                </w:p>
              </w:tc>
              <w:tc>
                <w:tcPr>
                  <w:tcW w:w="926" w:type="dxa"/>
                  <w:tcBorders>
                    <w:top w:val="single" w:sz="4" w:space="0" w:color="BFBFBF" w:themeColor="background1" w:themeShade="BF"/>
                    <w:bottom w:val="nil"/>
                  </w:tcBorders>
                  <w:vAlign w:val="center"/>
                </w:tcPr>
                <w:p w:rsidR="001D0FDA" w:rsidRPr="00411013" w:rsidRDefault="001D0FDA" w:rsidP="00570FC8">
                  <w:pPr>
                    <w:pStyle w:val="Tabletext"/>
                    <w:framePr w:hSpace="180" w:wrap="around" w:vAnchor="text" w:hAnchor="text" w:y="1"/>
                    <w:jc w:val="center"/>
                  </w:pPr>
                </w:p>
              </w:tc>
              <w:tc>
                <w:tcPr>
                  <w:tcW w:w="1019" w:type="dxa"/>
                  <w:tcBorders>
                    <w:top w:val="single" w:sz="4" w:space="0" w:color="BFBFBF" w:themeColor="background1" w:themeShade="BF"/>
                    <w:bottom w:val="nil"/>
                  </w:tcBorders>
                  <w:vAlign w:val="center"/>
                </w:tcPr>
                <w:p w:rsidR="001D0FDA" w:rsidRPr="00411013" w:rsidRDefault="001D0FDA" w:rsidP="00570FC8">
                  <w:pPr>
                    <w:pStyle w:val="Tabletext"/>
                    <w:framePr w:hSpace="180" w:wrap="around" w:vAnchor="text" w:hAnchor="text" w:y="1"/>
                    <w:jc w:val="center"/>
                  </w:pPr>
                </w:p>
              </w:tc>
              <w:tc>
                <w:tcPr>
                  <w:tcW w:w="899" w:type="dxa"/>
                  <w:tcBorders>
                    <w:top w:val="single" w:sz="4" w:space="0" w:color="BFBFBF" w:themeColor="background1" w:themeShade="BF"/>
                    <w:bottom w:val="nil"/>
                  </w:tcBorders>
                  <w:vAlign w:val="center"/>
                </w:tcPr>
                <w:p w:rsidR="001D0FDA" w:rsidRPr="00411013" w:rsidRDefault="001D0FDA" w:rsidP="00570FC8">
                  <w:pPr>
                    <w:pStyle w:val="Tabletext"/>
                    <w:framePr w:hSpace="180" w:wrap="around" w:vAnchor="text" w:hAnchor="text" w:y="1"/>
                    <w:jc w:val="center"/>
                  </w:pPr>
                </w:p>
              </w:tc>
            </w:tr>
            <w:tr w:rsidR="001D0FDA" w:rsidRPr="00351FF5" w:rsidTr="006F74DA">
              <w:tc>
                <w:tcPr>
                  <w:tcW w:w="1353" w:type="dxa"/>
                  <w:tcBorders>
                    <w:top w:val="nil"/>
                    <w:bottom w:val="nil"/>
                  </w:tcBorders>
                </w:tcPr>
                <w:p w:rsidR="001D0FDA" w:rsidRDefault="001D0FDA" w:rsidP="00570FC8">
                  <w:pPr>
                    <w:pStyle w:val="Tabletext"/>
                    <w:framePr w:hSpace="180" w:wrap="around" w:vAnchor="text" w:hAnchor="text" w:y="1"/>
                    <w:spacing w:before="0" w:after="0"/>
                    <w:ind w:left="160"/>
                  </w:pPr>
                  <w:r>
                    <w:t>I</w:t>
                  </w:r>
                </w:p>
              </w:tc>
              <w:tc>
                <w:tcPr>
                  <w:tcW w:w="987"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9 (21%)</w:t>
                  </w:r>
                </w:p>
              </w:tc>
              <w:tc>
                <w:tcPr>
                  <w:tcW w:w="926" w:type="dxa"/>
                  <w:tcBorders>
                    <w:top w:val="nil"/>
                    <w:bottom w:val="nil"/>
                  </w:tcBorders>
                  <w:vAlign w:val="center"/>
                </w:tcPr>
                <w:p w:rsidR="001D0FDA" w:rsidRPr="005331C3" w:rsidRDefault="001D0FDA" w:rsidP="00570FC8">
                  <w:pPr>
                    <w:pStyle w:val="Tabletext"/>
                    <w:framePr w:hSpace="180" w:wrap="around" w:vAnchor="text" w:hAnchor="text" w:y="1"/>
                    <w:spacing w:before="0" w:after="0"/>
                    <w:jc w:val="center"/>
                  </w:pPr>
                  <w:r>
                    <w:t>20 (36%)</w:t>
                  </w:r>
                </w:p>
              </w:tc>
              <w:tc>
                <w:tcPr>
                  <w:tcW w:w="1019"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21 (27%)</w:t>
                  </w:r>
                </w:p>
              </w:tc>
              <w:tc>
                <w:tcPr>
                  <w:tcW w:w="899"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25 (42%)</w:t>
                  </w:r>
                </w:p>
              </w:tc>
            </w:tr>
            <w:tr w:rsidR="001D0FDA" w:rsidRPr="00351FF5" w:rsidTr="006F74DA">
              <w:tc>
                <w:tcPr>
                  <w:tcW w:w="1353" w:type="dxa"/>
                  <w:tcBorders>
                    <w:top w:val="nil"/>
                    <w:bottom w:val="nil"/>
                  </w:tcBorders>
                </w:tcPr>
                <w:p w:rsidR="001D0FDA" w:rsidRDefault="001D0FDA" w:rsidP="00570FC8">
                  <w:pPr>
                    <w:pStyle w:val="Tabletext"/>
                    <w:framePr w:hSpace="180" w:wrap="around" w:vAnchor="text" w:hAnchor="text" w:y="1"/>
                    <w:spacing w:before="0" w:after="0"/>
                    <w:ind w:left="160"/>
                  </w:pPr>
                  <w:r>
                    <w:t>II</w:t>
                  </w:r>
                </w:p>
              </w:tc>
              <w:tc>
                <w:tcPr>
                  <w:tcW w:w="987"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23 (55%)</w:t>
                  </w:r>
                </w:p>
              </w:tc>
              <w:tc>
                <w:tcPr>
                  <w:tcW w:w="926" w:type="dxa"/>
                  <w:tcBorders>
                    <w:top w:val="nil"/>
                    <w:bottom w:val="nil"/>
                  </w:tcBorders>
                  <w:vAlign w:val="center"/>
                </w:tcPr>
                <w:p w:rsidR="001D0FDA" w:rsidRPr="005331C3" w:rsidRDefault="001D0FDA" w:rsidP="00570FC8">
                  <w:pPr>
                    <w:pStyle w:val="Tabletext"/>
                    <w:framePr w:hSpace="180" w:wrap="around" w:vAnchor="text" w:hAnchor="text" w:y="1"/>
                    <w:spacing w:before="0" w:after="0"/>
                    <w:jc w:val="center"/>
                  </w:pPr>
                  <w:r>
                    <w:t>25 (45%)</w:t>
                  </w:r>
                </w:p>
              </w:tc>
              <w:tc>
                <w:tcPr>
                  <w:tcW w:w="1019"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43 (56%)</w:t>
                  </w:r>
                </w:p>
              </w:tc>
              <w:tc>
                <w:tcPr>
                  <w:tcW w:w="899"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29 (48%)</w:t>
                  </w:r>
                </w:p>
              </w:tc>
            </w:tr>
            <w:tr w:rsidR="001D0FDA" w:rsidRPr="00351FF5" w:rsidTr="006F74DA">
              <w:tc>
                <w:tcPr>
                  <w:tcW w:w="1353" w:type="dxa"/>
                  <w:tcBorders>
                    <w:top w:val="nil"/>
                    <w:bottom w:val="nil"/>
                  </w:tcBorders>
                </w:tcPr>
                <w:p w:rsidR="001D0FDA" w:rsidRPr="00351FF5" w:rsidRDefault="001D0FDA" w:rsidP="00570FC8">
                  <w:pPr>
                    <w:pStyle w:val="Tabletext"/>
                    <w:framePr w:hSpace="180" w:wrap="around" w:vAnchor="text" w:hAnchor="text" w:y="1"/>
                    <w:spacing w:before="0" w:after="0"/>
                    <w:ind w:left="160"/>
                  </w:pPr>
                  <w:r>
                    <w:t>III</w:t>
                  </w:r>
                </w:p>
              </w:tc>
              <w:tc>
                <w:tcPr>
                  <w:tcW w:w="987"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9 (21%)</w:t>
                  </w:r>
                </w:p>
              </w:tc>
              <w:tc>
                <w:tcPr>
                  <w:tcW w:w="926" w:type="dxa"/>
                  <w:tcBorders>
                    <w:top w:val="nil"/>
                    <w:bottom w:val="nil"/>
                  </w:tcBorders>
                  <w:vAlign w:val="center"/>
                </w:tcPr>
                <w:p w:rsidR="001D0FDA" w:rsidRPr="005331C3" w:rsidRDefault="001D0FDA" w:rsidP="00570FC8">
                  <w:pPr>
                    <w:pStyle w:val="Tabletext"/>
                    <w:framePr w:hSpace="180" w:wrap="around" w:vAnchor="text" w:hAnchor="text" w:y="1"/>
                    <w:spacing w:before="0" w:after="0"/>
                    <w:jc w:val="center"/>
                  </w:pPr>
                  <w:r>
                    <w:t>8 (15%)</w:t>
                  </w:r>
                </w:p>
              </w:tc>
              <w:tc>
                <w:tcPr>
                  <w:tcW w:w="1019"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12 (16%)</w:t>
                  </w:r>
                </w:p>
              </w:tc>
              <w:tc>
                <w:tcPr>
                  <w:tcW w:w="899"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6 (10%)</w:t>
                  </w:r>
                </w:p>
              </w:tc>
            </w:tr>
            <w:tr w:rsidR="001D0FDA" w:rsidRPr="00351FF5" w:rsidTr="006F74DA">
              <w:tc>
                <w:tcPr>
                  <w:tcW w:w="1353" w:type="dxa"/>
                  <w:tcBorders>
                    <w:top w:val="nil"/>
                    <w:bottom w:val="nil"/>
                  </w:tcBorders>
                </w:tcPr>
                <w:p w:rsidR="001D0FDA" w:rsidRPr="00351FF5" w:rsidRDefault="001D0FDA" w:rsidP="00570FC8">
                  <w:pPr>
                    <w:pStyle w:val="Tabletext"/>
                    <w:framePr w:hSpace="180" w:wrap="around" w:vAnchor="text" w:hAnchor="text" w:y="1"/>
                    <w:spacing w:before="0" w:after="0"/>
                    <w:ind w:left="160"/>
                  </w:pPr>
                  <w:r>
                    <w:t>IV</w:t>
                  </w:r>
                </w:p>
              </w:tc>
              <w:tc>
                <w:tcPr>
                  <w:tcW w:w="987"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0 (0%)</w:t>
                  </w:r>
                </w:p>
              </w:tc>
              <w:tc>
                <w:tcPr>
                  <w:tcW w:w="926" w:type="dxa"/>
                  <w:tcBorders>
                    <w:top w:val="nil"/>
                    <w:bottom w:val="nil"/>
                  </w:tcBorders>
                  <w:vAlign w:val="center"/>
                </w:tcPr>
                <w:p w:rsidR="001D0FDA" w:rsidRPr="005331C3" w:rsidRDefault="001D0FDA" w:rsidP="00570FC8">
                  <w:pPr>
                    <w:pStyle w:val="Tabletext"/>
                    <w:framePr w:hSpace="180" w:wrap="around" w:vAnchor="text" w:hAnchor="text" w:y="1"/>
                    <w:spacing w:before="0" w:after="0"/>
                    <w:jc w:val="center"/>
                  </w:pPr>
                  <w:r>
                    <w:t>1 (2%)</w:t>
                  </w:r>
                </w:p>
              </w:tc>
              <w:tc>
                <w:tcPr>
                  <w:tcW w:w="1019"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0 (0%)</w:t>
                  </w:r>
                </w:p>
              </w:tc>
              <w:tc>
                <w:tcPr>
                  <w:tcW w:w="899"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pPr>
                  <w:r>
                    <w:t>0 (0%)</w:t>
                  </w:r>
                </w:p>
              </w:tc>
            </w:tr>
            <w:tr w:rsidR="001D0FDA" w:rsidRPr="00351FF5" w:rsidTr="006F74DA">
              <w:tc>
                <w:tcPr>
                  <w:tcW w:w="1353" w:type="dxa"/>
                  <w:tcBorders>
                    <w:top w:val="nil"/>
                  </w:tcBorders>
                </w:tcPr>
                <w:p w:rsidR="001D0FDA" w:rsidRDefault="001D0FDA" w:rsidP="00570FC8">
                  <w:pPr>
                    <w:pStyle w:val="Tabletext"/>
                    <w:framePr w:hSpace="180" w:wrap="around" w:vAnchor="text" w:hAnchor="text" w:y="1"/>
                    <w:spacing w:before="0" w:after="0"/>
                    <w:ind w:left="160"/>
                  </w:pPr>
                  <w:r>
                    <w:t>Missing</w:t>
                  </w:r>
                </w:p>
              </w:tc>
              <w:tc>
                <w:tcPr>
                  <w:tcW w:w="987" w:type="dxa"/>
                  <w:tcBorders>
                    <w:top w:val="nil"/>
                  </w:tcBorders>
                  <w:vAlign w:val="center"/>
                </w:tcPr>
                <w:p w:rsidR="001D0FDA" w:rsidRDefault="001D0FDA" w:rsidP="00570FC8">
                  <w:pPr>
                    <w:pStyle w:val="Tabletext"/>
                    <w:framePr w:hSpace="180" w:wrap="around" w:vAnchor="text" w:hAnchor="text" w:y="1"/>
                    <w:spacing w:before="0" w:after="0"/>
                    <w:jc w:val="center"/>
                  </w:pPr>
                  <w:r>
                    <w:t>1 (2%)</w:t>
                  </w:r>
                </w:p>
              </w:tc>
              <w:tc>
                <w:tcPr>
                  <w:tcW w:w="926" w:type="dxa"/>
                  <w:tcBorders>
                    <w:top w:val="nil"/>
                  </w:tcBorders>
                  <w:vAlign w:val="center"/>
                </w:tcPr>
                <w:p w:rsidR="001D0FDA" w:rsidRDefault="001D0FDA" w:rsidP="00570FC8">
                  <w:pPr>
                    <w:pStyle w:val="Tabletext"/>
                    <w:framePr w:hSpace="180" w:wrap="around" w:vAnchor="text" w:hAnchor="text" w:y="1"/>
                    <w:spacing w:before="0" w:after="0"/>
                    <w:jc w:val="center"/>
                  </w:pPr>
                  <w:r>
                    <w:t>1 (2%)</w:t>
                  </w:r>
                </w:p>
              </w:tc>
              <w:tc>
                <w:tcPr>
                  <w:tcW w:w="1019" w:type="dxa"/>
                  <w:tcBorders>
                    <w:top w:val="nil"/>
                  </w:tcBorders>
                  <w:vAlign w:val="center"/>
                </w:tcPr>
                <w:p w:rsidR="001D0FDA" w:rsidRDefault="001D0FDA" w:rsidP="00570FC8">
                  <w:pPr>
                    <w:pStyle w:val="Tabletext"/>
                    <w:framePr w:hSpace="180" w:wrap="around" w:vAnchor="text" w:hAnchor="text" w:y="1"/>
                    <w:spacing w:before="0" w:after="0"/>
                    <w:jc w:val="center"/>
                  </w:pPr>
                  <w:r>
                    <w:t>1 (1%)</w:t>
                  </w:r>
                </w:p>
              </w:tc>
              <w:tc>
                <w:tcPr>
                  <w:tcW w:w="899" w:type="dxa"/>
                  <w:tcBorders>
                    <w:top w:val="nil"/>
                  </w:tcBorders>
                  <w:vAlign w:val="center"/>
                </w:tcPr>
                <w:p w:rsidR="001D0FDA" w:rsidRDefault="001D0FDA" w:rsidP="00570FC8">
                  <w:pPr>
                    <w:pStyle w:val="Tabletext"/>
                    <w:framePr w:hSpace="180" w:wrap="around" w:vAnchor="text" w:hAnchor="text" w:y="1"/>
                    <w:spacing w:before="0" w:after="0"/>
                    <w:jc w:val="center"/>
                  </w:pPr>
                  <w:r>
                    <w:t>0 (0%)</w:t>
                  </w:r>
                </w:p>
              </w:tc>
            </w:tr>
            <w:tr w:rsidR="001D0FDA" w:rsidRPr="00351FF5" w:rsidTr="006F74DA">
              <w:tc>
                <w:tcPr>
                  <w:tcW w:w="1353" w:type="dxa"/>
                </w:tcPr>
                <w:p w:rsidR="001D0FDA" w:rsidRDefault="001D0FDA" w:rsidP="00570FC8">
                  <w:pPr>
                    <w:pStyle w:val="Tabletext"/>
                    <w:framePr w:hSpace="180" w:wrap="around" w:vAnchor="text" w:hAnchor="text" w:y="1"/>
                  </w:pPr>
                  <w:r w:rsidRPr="00351FF5">
                    <w:t>mPAP, mean±SD (mmHg)</w:t>
                  </w:r>
                </w:p>
                <w:p w:rsidR="006F74DA" w:rsidRPr="00351FF5" w:rsidRDefault="006F74DA" w:rsidP="00570FC8">
                  <w:pPr>
                    <w:pStyle w:val="Tabletext"/>
                    <w:framePr w:hSpace="180" w:wrap="around" w:vAnchor="text" w:hAnchor="text" w:y="1"/>
                  </w:pPr>
                </w:p>
              </w:tc>
              <w:tc>
                <w:tcPr>
                  <w:tcW w:w="987" w:type="dxa"/>
                  <w:vAlign w:val="center"/>
                </w:tcPr>
                <w:p w:rsidR="001D0FDA" w:rsidRPr="00411013" w:rsidRDefault="001D0FDA" w:rsidP="00570FC8">
                  <w:pPr>
                    <w:pStyle w:val="Tabletext"/>
                    <w:framePr w:hSpace="180" w:wrap="around" w:vAnchor="text" w:hAnchor="text" w:y="1"/>
                    <w:jc w:val="center"/>
                  </w:pPr>
                  <w:r>
                    <w:t>66±23</w:t>
                  </w:r>
                </w:p>
              </w:tc>
              <w:tc>
                <w:tcPr>
                  <w:tcW w:w="926" w:type="dxa"/>
                  <w:vAlign w:val="center"/>
                </w:tcPr>
                <w:p w:rsidR="001D0FDA" w:rsidRPr="005331C3" w:rsidRDefault="001D0FDA" w:rsidP="00570FC8">
                  <w:pPr>
                    <w:pStyle w:val="Tabletext"/>
                    <w:framePr w:hSpace="180" w:wrap="around" w:vAnchor="text" w:hAnchor="text" w:y="1"/>
                    <w:jc w:val="center"/>
                  </w:pPr>
                  <w:r>
                    <w:t>62±18</w:t>
                  </w:r>
                </w:p>
              </w:tc>
              <w:tc>
                <w:tcPr>
                  <w:tcW w:w="1019" w:type="dxa"/>
                  <w:vAlign w:val="center"/>
                </w:tcPr>
                <w:p w:rsidR="001D0FDA" w:rsidRPr="00411013" w:rsidRDefault="001D0FDA" w:rsidP="00570FC8">
                  <w:pPr>
                    <w:pStyle w:val="Tabletext"/>
                    <w:framePr w:hSpace="180" w:wrap="around" w:vAnchor="text" w:hAnchor="text" w:y="1"/>
                    <w:jc w:val="center"/>
                  </w:pPr>
                  <w:r>
                    <w:t>62±24</w:t>
                  </w:r>
                </w:p>
              </w:tc>
              <w:tc>
                <w:tcPr>
                  <w:tcW w:w="899" w:type="dxa"/>
                  <w:vAlign w:val="center"/>
                </w:tcPr>
                <w:p w:rsidR="001D0FDA" w:rsidRPr="00411013" w:rsidRDefault="001D0FDA" w:rsidP="00570FC8">
                  <w:pPr>
                    <w:pStyle w:val="Tabletext"/>
                    <w:framePr w:hSpace="180" w:wrap="around" w:vAnchor="text" w:hAnchor="text" w:y="1"/>
                    <w:jc w:val="center"/>
                  </w:pPr>
                  <w:r>
                    <w:t>59±22</w:t>
                  </w:r>
                </w:p>
              </w:tc>
            </w:tr>
          </w:tbl>
          <w:p w:rsidR="001D0FDA" w:rsidRPr="00351FF5" w:rsidRDefault="001D0FDA" w:rsidP="001D0FDA">
            <w:pPr>
              <w:pStyle w:val="Tabletext"/>
              <w:rPr>
                <w:rFonts w:cs="Tahoma"/>
                <w:szCs w:val="18"/>
              </w:rPr>
            </w:pPr>
          </w:p>
        </w:tc>
        <w:tc>
          <w:tcPr>
            <w:tcW w:w="1047" w:type="pct"/>
          </w:tcPr>
          <w:p w:rsidR="001D0FDA" w:rsidRDefault="001D0FDA" w:rsidP="001D0FDA">
            <w:pPr>
              <w:pStyle w:val="Tabletext"/>
              <w:rPr>
                <w:rFonts w:cs="Tahoma"/>
                <w:i/>
                <w:szCs w:val="18"/>
              </w:rPr>
            </w:pPr>
            <w:r>
              <w:rPr>
                <w:rFonts w:cs="Tahoma"/>
                <w:i/>
                <w:szCs w:val="18"/>
              </w:rPr>
              <w:t>Intervention</w:t>
            </w:r>
          </w:p>
          <w:p w:rsidR="001D0FDA" w:rsidRPr="005331C3" w:rsidRDefault="001D0FDA" w:rsidP="001D0FDA">
            <w:pPr>
              <w:pStyle w:val="Tabletext"/>
              <w:rPr>
                <w:rFonts w:cs="Tahoma"/>
                <w:szCs w:val="18"/>
              </w:rPr>
            </w:pPr>
            <w:r>
              <w:rPr>
                <w:rFonts w:cs="Tahoma"/>
                <w:szCs w:val="18"/>
              </w:rPr>
              <w:t>Sildenafil: at low, median or high doses</w:t>
            </w:r>
          </w:p>
          <w:tbl>
            <w:tblPr>
              <w:tblStyle w:val="TableGrid"/>
              <w:tblW w:w="291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Doses of sildenafil investigated in Trial STARTS-1"/>
            </w:tblPr>
            <w:tblGrid>
              <w:gridCol w:w="785"/>
              <w:gridCol w:w="709"/>
              <w:gridCol w:w="708"/>
              <w:gridCol w:w="709"/>
            </w:tblGrid>
            <w:tr w:rsidR="001D0FDA" w:rsidTr="001D0FDA">
              <w:trPr>
                <w:cnfStyle w:val="100000000000" w:firstRow="1" w:lastRow="0" w:firstColumn="0" w:lastColumn="0" w:oddVBand="0" w:evenVBand="0" w:oddHBand="0" w:evenHBand="0" w:firstRowFirstColumn="0" w:firstRowLastColumn="0" w:lastRowFirstColumn="0" w:lastRowLastColumn="0"/>
              </w:trPr>
              <w:tc>
                <w:tcPr>
                  <w:tcW w:w="785" w:type="dxa"/>
                  <w:vMerge w:val="restart"/>
                  <w:shd w:val="clear" w:color="auto" w:fill="FFFFFF" w:themeFill="background1"/>
                </w:tcPr>
                <w:p w:rsidR="001D0FDA" w:rsidRPr="003C0DFB" w:rsidRDefault="001D0FDA" w:rsidP="00570FC8">
                  <w:pPr>
                    <w:pStyle w:val="Tabletext"/>
                    <w:framePr w:hSpace="180" w:wrap="around" w:vAnchor="text" w:hAnchor="text" w:y="1"/>
                    <w:ind w:right="-57"/>
                  </w:pPr>
                  <w:r>
                    <w:t>Body weight (kg)</w:t>
                  </w:r>
                </w:p>
              </w:tc>
              <w:tc>
                <w:tcPr>
                  <w:tcW w:w="2126" w:type="dxa"/>
                  <w:gridSpan w:val="3"/>
                  <w:shd w:val="clear" w:color="auto" w:fill="FFFFFF" w:themeFill="background1"/>
                </w:tcPr>
                <w:p w:rsidR="001D0FDA" w:rsidRDefault="001D0FDA" w:rsidP="00570FC8">
                  <w:pPr>
                    <w:pStyle w:val="Tabletext"/>
                    <w:framePr w:hSpace="180" w:wrap="around" w:vAnchor="text" w:hAnchor="text" w:y="1"/>
                    <w:jc w:val="center"/>
                  </w:pPr>
                  <w:r>
                    <w:t>Sildenafil dose, mg*</w:t>
                  </w:r>
                </w:p>
              </w:tc>
            </w:tr>
            <w:tr w:rsidR="001D0FDA" w:rsidTr="001D0FDA">
              <w:tc>
                <w:tcPr>
                  <w:tcW w:w="785" w:type="dxa"/>
                  <w:vMerge/>
                </w:tcPr>
                <w:p w:rsidR="001D0FDA" w:rsidRDefault="001D0FDA" w:rsidP="00570FC8">
                  <w:pPr>
                    <w:pStyle w:val="Tabletext"/>
                    <w:framePr w:hSpace="180" w:wrap="around" w:vAnchor="text" w:hAnchor="text" w:y="1"/>
                    <w:jc w:val="center"/>
                  </w:pPr>
                </w:p>
              </w:tc>
              <w:tc>
                <w:tcPr>
                  <w:tcW w:w="709" w:type="dxa"/>
                </w:tcPr>
                <w:p w:rsidR="001D0FDA" w:rsidRPr="003C0DFB" w:rsidRDefault="001D0FDA" w:rsidP="00570FC8">
                  <w:pPr>
                    <w:pStyle w:val="Tabletext"/>
                    <w:framePr w:hSpace="180" w:wrap="around" w:vAnchor="text" w:hAnchor="text" w:y="1"/>
                    <w:jc w:val="center"/>
                  </w:pPr>
                  <w:r>
                    <w:t>Low</w:t>
                  </w:r>
                </w:p>
              </w:tc>
              <w:tc>
                <w:tcPr>
                  <w:tcW w:w="708" w:type="dxa"/>
                </w:tcPr>
                <w:p w:rsidR="001D0FDA" w:rsidRPr="00C5782C" w:rsidRDefault="001D0FDA" w:rsidP="00570FC8">
                  <w:pPr>
                    <w:pStyle w:val="Tabletext"/>
                    <w:framePr w:hSpace="180" w:wrap="around" w:vAnchor="text" w:hAnchor="text" w:y="1"/>
                    <w:jc w:val="center"/>
                  </w:pPr>
                  <w:r>
                    <w:t>Med</w:t>
                  </w:r>
                </w:p>
              </w:tc>
              <w:tc>
                <w:tcPr>
                  <w:tcW w:w="709" w:type="dxa"/>
                </w:tcPr>
                <w:p w:rsidR="001D0FDA" w:rsidRDefault="001D0FDA" w:rsidP="00570FC8">
                  <w:pPr>
                    <w:pStyle w:val="Tabletext"/>
                    <w:framePr w:hSpace="180" w:wrap="around" w:vAnchor="text" w:hAnchor="text" w:y="1"/>
                    <w:jc w:val="center"/>
                  </w:pPr>
                  <w:r>
                    <w:t>High</w:t>
                  </w:r>
                </w:p>
              </w:tc>
            </w:tr>
            <w:tr w:rsidR="001D0FDA" w:rsidRPr="00C5782C" w:rsidTr="001D0FDA">
              <w:tc>
                <w:tcPr>
                  <w:tcW w:w="785" w:type="dxa"/>
                </w:tcPr>
                <w:p w:rsidR="001D0FDA" w:rsidRPr="00C5782C" w:rsidRDefault="001D0FDA" w:rsidP="00570FC8">
                  <w:pPr>
                    <w:pStyle w:val="Tabletext"/>
                    <w:framePr w:hSpace="180" w:wrap="around" w:vAnchor="text" w:hAnchor="text" w:y="1"/>
                  </w:pPr>
                  <w:r>
                    <w:t>≥8-20</w:t>
                  </w:r>
                </w:p>
              </w:tc>
              <w:tc>
                <w:tcPr>
                  <w:tcW w:w="709" w:type="dxa"/>
                </w:tcPr>
                <w:p w:rsidR="001D0FDA" w:rsidRPr="00C5782C" w:rsidRDefault="001D0FDA" w:rsidP="00570FC8">
                  <w:pPr>
                    <w:pStyle w:val="Tabletext"/>
                    <w:framePr w:hSpace="180" w:wrap="around" w:vAnchor="text" w:hAnchor="text" w:y="1"/>
                    <w:jc w:val="center"/>
                  </w:pPr>
                  <w:r>
                    <w:t>NA</w:t>
                  </w:r>
                </w:p>
              </w:tc>
              <w:tc>
                <w:tcPr>
                  <w:tcW w:w="708" w:type="dxa"/>
                </w:tcPr>
                <w:p w:rsidR="001D0FDA" w:rsidRPr="00C5782C" w:rsidRDefault="001D0FDA" w:rsidP="00570FC8">
                  <w:pPr>
                    <w:pStyle w:val="Tabletext"/>
                    <w:framePr w:hSpace="180" w:wrap="around" w:vAnchor="text" w:hAnchor="text" w:y="1"/>
                    <w:jc w:val="center"/>
                  </w:pPr>
                  <w:r>
                    <w:t>10</w:t>
                  </w:r>
                </w:p>
              </w:tc>
              <w:tc>
                <w:tcPr>
                  <w:tcW w:w="709" w:type="dxa"/>
                </w:tcPr>
                <w:p w:rsidR="001D0FDA" w:rsidRPr="00C5782C" w:rsidRDefault="001D0FDA" w:rsidP="00570FC8">
                  <w:pPr>
                    <w:pStyle w:val="Tabletext"/>
                    <w:framePr w:hSpace="180" w:wrap="around" w:vAnchor="text" w:hAnchor="text" w:y="1"/>
                    <w:jc w:val="center"/>
                  </w:pPr>
                  <w:r>
                    <w:t>20</w:t>
                  </w:r>
                </w:p>
              </w:tc>
            </w:tr>
            <w:tr w:rsidR="001D0FDA" w:rsidTr="001D0FDA">
              <w:tc>
                <w:tcPr>
                  <w:tcW w:w="785" w:type="dxa"/>
                </w:tcPr>
                <w:p w:rsidR="001D0FDA" w:rsidRPr="00C5782C" w:rsidRDefault="001D0FDA" w:rsidP="00570FC8">
                  <w:pPr>
                    <w:pStyle w:val="Tabletext"/>
                    <w:framePr w:hSpace="180" w:wrap="around" w:vAnchor="text" w:hAnchor="text" w:y="1"/>
                  </w:pPr>
                  <w:r>
                    <w:t>&gt;20-45</w:t>
                  </w:r>
                </w:p>
              </w:tc>
              <w:tc>
                <w:tcPr>
                  <w:tcW w:w="709" w:type="dxa"/>
                </w:tcPr>
                <w:p w:rsidR="001D0FDA" w:rsidRPr="00C5782C" w:rsidRDefault="001D0FDA" w:rsidP="00570FC8">
                  <w:pPr>
                    <w:pStyle w:val="Tabletext"/>
                    <w:framePr w:hSpace="180" w:wrap="around" w:vAnchor="text" w:hAnchor="text" w:y="1"/>
                    <w:jc w:val="center"/>
                  </w:pPr>
                  <w:r>
                    <w:t>10</w:t>
                  </w:r>
                </w:p>
              </w:tc>
              <w:tc>
                <w:tcPr>
                  <w:tcW w:w="708" w:type="dxa"/>
                </w:tcPr>
                <w:p w:rsidR="001D0FDA" w:rsidRPr="00C5782C" w:rsidRDefault="001D0FDA" w:rsidP="00570FC8">
                  <w:pPr>
                    <w:pStyle w:val="Tabletext"/>
                    <w:framePr w:hSpace="180" w:wrap="around" w:vAnchor="text" w:hAnchor="text" w:y="1"/>
                    <w:jc w:val="center"/>
                  </w:pPr>
                  <w:r>
                    <w:t>20</w:t>
                  </w:r>
                </w:p>
              </w:tc>
              <w:tc>
                <w:tcPr>
                  <w:tcW w:w="709" w:type="dxa"/>
                </w:tcPr>
                <w:p w:rsidR="001D0FDA" w:rsidRDefault="001D0FDA" w:rsidP="00570FC8">
                  <w:pPr>
                    <w:pStyle w:val="Tabletext"/>
                    <w:framePr w:hSpace="180" w:wrap="around" w:vAnchor="text" w:hAnchor="text" w:y="1"/>
                    <w:jc w:val="center"/>
                  </w:pPr>
                  <w:r>
                    <w:t>40</w:t>
                  </w:r>
                </w:p>
              </w:tc>
            </w:tr>
            <w:tr w:rsidR="001D0FDA" w:rsidTr="001D0FDA">
              <w:tc>
                <w:tcPr>
                  <w:tcW w:w="785" w:type="dxa"/>
                </w:tcPr>
                <w:p w:rsidR="001D0FDA" w:rsidRPr="00C5782C" w:rsidRDefault="001D0FDA" w:rsidP="00570FC8">
                  <w:pPr>
                    <w:pStyle w:val="Tabletext"/>
                    <w:framePr w:hSpace="180" w:wrap="around" w:vAnchor="text" w:hAnchor="text" w:y="1"/>
                  </w:pPr>
                  <w:r>
                    <w:t>&gt;45</w:t>
                  </w:r>
                </w:p>
              </w:tc>
              <w:tc>
                <w:tcPr>
                  <w:tcW w:w="709" w:type="dxa"/>
                </w:tcPr>
                <w:p w:rsidR="001D0FDA" w:rsidRDefault="001D0FDA" w:rsidP="00570FC8">
                  <w:pPr>
                    <w:pStyle w:val="Tabletext"/>
                    <w:framePr w:hSpace="180" w:wrap="around" w:vAnchor="text" w:hAnchor="text" w:y="1"/>
                    <w:jc w:val="center"/>
                  </w:pPr>
                  <w:r>
                    <w:t>10</w:t>
                  </w:r>
                </w:p>
              </w:tc>
              <w:tc>
                <w:tcPr>
                  <w:tcW w:w="708" w:type="dxa"/>
                </w:tcPr>
                <w:p w:rsidR="001D0FDA" w:rsidRDefault="001D0FDA" w:rsidP="00570FC8">
                  <w:pPr>
                    <w:pStyle w:val="Tabletext"/>
                    <w:framePr w:hSpace="180" w:wrap="around" w:vAnchor="text" w:hAnchor="text" w:y="1"/>
                    <w:jc w:val="center"/>
                  </w:pPr>
                  <w:r>
                    <w:t>40</w:t>
                  </w:r>
                </w:p>
              </w:tc>
              <w:tc>
                <w:tcPr>
                  <w:tcW w:w="709" w:type="dxa"/>
                </w:tcPr>
                <w:p w:rsidR="001D0FDA" w:rsidRDefault="001D0FDA" w:rsidP="00570FC8">
                  <w:pPr>
                    <w:pStyle w:val="Tabletext"/>
                    <w:framePr w:hSpace="180" w:wrap="around" w:vAnchor="text" w:hAnchor="text" w:y="1"/>
                    <w:jc w:val="center"/>
                  </w:pPr>
                  <w:r>
                    <w:t>80</w:t>
                  </w:r>
                </w:p>
              </w:tc>
            </w:tr>
          </w:tbl>
          <w:p w:rsidR="001D0FDA" w:rsidRDefault="001D0FDA" w:rsidP="001D0FDA">
            <w:pPr>
              <w:pStyle w:val="Tablenote"/>
            </w:pPr>
            <w:r>
              <w:t>NA = not applicable</w:t>
            </w:r>
          </w:p>
          <w:p w:rsidR="001D0FDA" w:rsidRPr="00BE1A73" w:rsidRDefault="001D0FDA" w:rsidP="001D0FDA">
            <w:pPr>
              <w:pStyle w:val="Tablenote"/>
            </w:pPr>
            <w:r>
              <w:t>*</w:t>
            </w:r>
            <w:r w:rsidRPr="00BE1A73">
              <w:t xml:space="preserve">Sildenafil </w:t>
            </w:r>
            <w:r>
              <w:rPr>
                <w:i/>
              </w:rPr>
              <w:t xml:space="preserve">tid </w:t>
            </w:r>
            <w:r>
              <w:t>dose to achieve t</w:t>
            </w:r>
            <w:r w:rsidRPr="00BE1A73">
              <w:t>arget</w:t>
            </w:r>
            <w:r>
              <w:t xml:space="preserve"> s</w:t>
            </w:r>
            <w:r w:rsidRPr="00BE1A73">
              <w:t xml:space="preserve">ildenafil </w:t>
            </w:r>
            <w:r>
              <w:t>steady state maximum c</w:t>
            </w:r>
            <w:r w:rsidRPr="00BE1A73">
              <w:t>oncentrations of 47, 140,</w:t>
            </w:r>
          </w:p>
          <w:p w:rsidR="001D0FDA" w:rsidRDefault="001D0FDA" w:rsidP="001D0FDA">
            <w:pPr>
              <w:pStyle w:val="Tablenote"/>
            </w:pPr>
            <w:r w:rsidRPr="00BE1A73">
              <w:t>and 373 ng/mL</w:t>
            </w:r>
          </w:p>
          <w:p w:rsidR="001D0FDA" w:rsidRDefault="001D0FDA" w:rsidP="001D0FDA">
            <w:pPr>
              <w:pStyle w:val="Tablenote"/>
              <w:rPr>
                <w:rFonts w:cs="Tahoma"/>
                <w:szCs w:val="18"/>
              </w:rPr>
            </w:pPr>
          </w:p>
          <w:p w:rsidR="001D0FDA" w:rsidRDefault="001D0FDA" w:rsidP="001D0FDA">
            <w:pPr>
              <w:pStyle w:val="Tabletext"/>
              <w:rPr>
                <w:rFonts w:cs="Tahoma"/>
                <w:i/>
                <w:szCs w:val="18"/>
              </w:rPr>
            </w:pPr>
            <w:r>
              <w:rPr>
                <w:rFonts w:cs="Tahoma"/>
                <w:i/>
                <w:szCs w:val="18"/>
              </w:rPr>
              <w:t>Comparator</w:t>
            </w:r>
          </w:p>
          <w:p w:rsidR="001D0FDA" w:rsidRDefault="001D0FDA" w:rsidP="001D0FDA">
            <w:pPr>
              <w:pStyle w:val="Tabletext"/>
              <w:rPr>
                <w:rFonts w:cs="Tahoma"/>
                <w:szCs w:val="18"/>
              </w:rPr>
            </w:pPr>
            <w:r>
              <w:rPr>
                <w:rFonts w:cs="Tahoma"/>
                <w:szCs w:val="18"/>
              </w:rPr>
              <w:t>Placebo</w:t>
            </w:r>
          </w:p>
          <w:p w:rsidR="001D0FDA" w:rsidRPr="0007077E" w:rsidRDefault="001D0FDA" w:rsidP="001D0FDA">
            <w:pPr>
              <w:pStyle w:val="Tabletext"/>
              <w:rPr>
                <w:rFonts w:cs="Tahoma"/>
                <w:szCs w:val="18"/>
              </w:rPr>
            </w:pPr>
          </w:p>
        </w:tc>
      </w:tr>
      <w:tr w:rsidR="001D0FDA" w:rsidTr="001D0FDA">
        <w:tc>
          <w:tcPr>
            <w:tcW w:w="1001" w:type="pct"/>
            <w:gridSpan w:val="2"/>
            <w:shd w:val="clear" w:color="auto" w:fill="000000" w:themeFill="text1"/>
          </w:tcPr>
          <w:p w:rsidR="001D0FDA" w:rsidRPr="00D53F84" w:rsidRDefault="001D0FDA" w:rsidP="001D0FDA">
            <w:pPr>
              <w:pStyle w:val="Tabletext"/>
              <w:ind w:right="-28"/>
              <w:rPr>
                <w:rFonts w:eastAsia="Times New Roman"/>
                <w:snapToGrid w:val="0"/>
                <w:lang w:eastAsia="en-US"/>
              </w:rPr>
            </w:pPr>
            <w:r>
              <w:rPr>
                <w:rFonts w:eastAsia="Times New Roman"/>
                <w:b/>
                <w:color w:val="FFFFFF" w:themeColor="background1"/>
                <w:lang w:eastAsia="en-US"/>
              </w:rPr>
              <w:t>Observational studies</w:t>
            </w:r>
          </w:p>
        </w:tc>
        <w:tc>
          <w:tcPr>
            <w:tcW w:w="1096" w:type="pct"/>
            <w:shd w:val="clear" w:color="auto" w:fill="000000" w:themeFill="text1"/>
          </w:tcPr>
          <w:p w:rsidR="001D0FDA" w:rsidRPr="00EA1FCD" w:rsidRDefault="001D0FDA" w:rsidP="001D0FDA">
            <w:pPr>
              <w:pStyle w:val="Tabletext"/>
              <w:rPr>
                <w:rFonts w:cs="Tahoma"/>
                <w:i/>
                <w:szCs w:val="18"/>
              </w:rPr>
            </w:pPr>
          </w:p>
        </w:tc>
        <w:tc>
          <w:tcPr>
            <w:tcW w:w="1856" w:type="pct"/>
            <w:shd w:val="clear" w:color="auto" w:fill="000000" w:themeFill="text1"/>
          </w:tcPr>
          <w:p w:rsidR="001D0FDA" w:rsidRDefault="001D0FDA" w:rsidP="001D0FDA">
            <w:pPr>
              <w:pStyle w:val="Tabletext"/>
              <w:rPr>
                <w:rFonts w:cs="Tahoma"/>
                <w:szCs w:val="18"/>
              </w:rPr>
            </w:pPr>
          </w:p>
        </w:tc>
        <w:tc>
          <w:tcPr>
            <w:tcW w:w="1047" w:type="pct"/>
            <w:shd w:val="clear" w:color="auto" w:fill="000000" w:themeFill="text1"/>
          </w:tcPr>
          <w:p w:rsidR="001D0FDA" w:rsidRDefault="001D0FDA" w:rsidP="001D0FDA">
            <w:pPr>
              <w:pStyle w:val="Tabletext"/>
              <w:rPr>
                <w:rFonts w:cs="Tahoma"/>
                <w:i/>
                <w:szCs w:val="18"/>
              </w:rPr>
            </w:pP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ARIES extension study</w:t>
            </w:r>
            <w:r w:rsidR="001D34EE" w:rsidRPr="001A1C44">
              <w:rPr>
                <w:rFonts w:eastAsia="Times New Roman"/>
                <w:noProof/>
                <w:vertAlign w:val="superscript"/>
                <w:lang w:eastAsia="en-US"/>
              </w:rPr>
              <w:t>55</w:t>
            </w:r>
          </w:p>
          <w:p w:rsidR="001D0FDA" w:rsidRPr="008D73C9" w:rsidRDefault="001D0FDA" w:rsidP="001D0FDA">
            <w:pPr>
              <w:pStyle w:val="Tabletext"/>
              <w:ind w:right="-28"/>
              <w:rPr>
                <w:rFonts w:eastAsia="Times New Roman"/>
                <w:lang w:eastAsia="en-US"/>
              </w:rPr>
            </w:pPr>
            <w:r w:rsidRPr="008D73C9">
              <w:rPr>
                <w:rFonts w:eastAsia="Times New Roman"/>
                <w:lang w:eastAsia="en-US"/>
              </w:rPr>
              <w:t>No later than 2009</w:t>
            </w:r>
            <w:r>
              <w:rPr>
                <w:rFonts w:eastAsia="Times New Roman"/>
                <w:vertAlign w:val="superscript"/>
                <w:lang w:eastAsia="en-US"/>
              </w:rPr>
              <w:t>d</w:t>
            </w:r>
          </w:p>
          <w:p w:rsidR="001D0FDA" w:rsidRPr="00D53F84" w:rsidRDefault="001D0FDA" w:rsidP="001D0FDA">
            <w:pPr>
              <w:pStyle w:val="Tabletext"/>
              <w:ind w:right="-28"/>
              <w:rPr>
                <w:rFonts w:eastAsia="Times New Roman"/>
                <w:lang w:eastAsia="en-US"/>
              </w:rPr>
            </w:pPr>
            <w:r w:rsidRPr="008D73C9">
              <w:rPr>
                <w:rFonts w:eastAsia="Times New Roman"/>
                <w:lang w:eastAsia="en-US"/>
              </w:rPr>
              <w:t>US, Mexico, South America, Australia, Europe, Israel</w:t>
            </w:r>
          </w:p>
        </w:tc>
        <w:tc>
          <w:tcPr>
            <w:tcW w:w="473" w:type="pct"/>
          </w:tcPr>
          <w:p w:rsidR="001D0FDA" w:rsidRDefault="001D0FDA" w:rsidP="001D0FDA">
            <w:pPr>
              <w:pStyle w:val="Tabletext"/>
              <w:ind w:right="-28"/>
              <w:rPr>
                <w:rFonts w:eastAsia="Times New Roman"/>
                <w:lang w:eastAsia="en-US"/>
              </w:rPr>
            </w:pPr>
            <w:r w:rsidRPr="008D73C9">
              <w:rPr>
                <w:rFonts w:eastAsia="Times New Roman"/>
                <w:lang w:eastAsia="en-US"/>
              </w:rPr>
              <w:t xml:space="preserve">Prospective case series </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D53F84" w:rsidRDefault="001D0FDA" w:rsidP="001D0FDA">
            <w:pPr>
              <w:pStyle w:val="Tabletext"/>
              <w:ind w:right="-28"/>
              <w:rPr>
                <w:rFonts w:eastAsia="Times New Roman"/>
                <w:snapToGrid w:val="0"/>
                <w:lang w:eastAsia="en-US"/>
              </w:rPr>
            </w:pPr>
            <w:r>
              <w:rPr>
                <w:rFonts w:eastAsia="Times New Roman"/>
                <w:lang w:eastAsia="en-US"/>
              </w:rPr>
              <w:t xml:space="preserve">Follow-up: </w:t>
            </w:r>
            <w:r w:rsidRPr="008D73C9">
              <w:rPr>
                <w:rFonts w:eastAsia="Times New Roman"/>
                <w:lang w:eastAsia="en-US"/>
              </w:rPr>
              <w:t>2 years</w:t>
            </w:r>
          </w:p>
        </w:tc>
        <w:tc>
          <w:tcPr>
            <w:tcW w:w="1096" w:type="pct"/>
          </w:tcPr>
          <w:p w:rsidR="001D0FDA" w:rsidRPr="00C41328" w:rsidRDefault="001D0FDA" w:rsidP="001D0FDA">
            <w:pPr>
              <w:pStyle w:val="Tabletext"/>
              <w:rPr>
                <w:rFonts w:cs="Tahoma"/>
                <w:i/>
                <w:szCs w:val="18"/>
              </w:rPr>
            </w:pPr>
            <w:r w:rsidRPr="00C41328">
              <w:rPr>
                <w:rFonts w:cs="Tahoma"/>
                <w:i/>
                <w:szCs w:val="18"/>
              </w:rPr>
              <w:t>Inclusion criteria</w:t>
            </w:r>
          </w:p>
          <w:p w:rsidR="001D0FDA" w:rsidRPr="00EA1FCD" w:rsidRDefault="001D0FDA" w:rsidP="00480FDF">
            <w:pPr>
              <w:pStyle w:val="Tabletext"/>
              <w:numPr>
                <w:ilvl w:val="0"/>
                <w:numId w:val="54"/>
              </w:numPr>
              <w:ind w:left="239" w:hanging="144"/>
              <w:rPr>
                <w:rFonts w:cs="Tahoma"/>
                <w:i/>
                <w:szCs w:val="18"/>
              </w:rPr>
            </w:pPr>
            <w:r w:rsidRPr="00C41328">
              <w:rPr>
                <w:rFonts w:cs="Tahoma"/>
                <w:szCs w:val="18"/>
              </w:rPr>
              <w:t>Patients with IPAH or PAH-CTD, PAH-HIV or anorexigen-associated-PAH who completed Trials ARIES-1 and ARIES-2</w:t>
            </w:r>
          </w:p>
        </w:tc>
        <w:tc>
          <w:tcPr>
            <w:tcW w:w="1856" w:type="pct"/>
          </w:tcPr>
          <w:p w:rsidR="001D0FDA" w:rsidRPr="00C41328" w:rsidRDefault="001D0FDA" w:rsidP="001D0FDA">
            <w:pPr>
              <w:pStyle w:val="Tabletext"/>
              <w:rPr>
                <w:rFonts w:cs="Tahoma"/>
                <w:szCs w:val="18"/>
              </w:rPr>
            </w:pPr>
            <w:r w:rsidRPr="00C41328">
              <w:rPr>
                <w:rFonts w:cs="Tahoma"/>
                <w:szCs w:val="18"/>
              </w:rPr>
              <w:t>N=383</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51±15</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302 (79%)</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Pr="00C41328" w:rsidRDefault="001D0FDA" w:rsidP="001D0FDA">
            <w:pPr>
              <w:pStyle w:val="Tabletext"/>
              <w:ind w:left="239"/>
              <w:rPr>
                <w:rFonts w:cs="Tahoma"/>
                <w:szCs w:val="18"/>
              </w:rPr>
            </w:pPr>
            <w:r w:rsidRPr="00C41328">
              <w:rPr>
                <w:rFonts w:cs="Tahoma"/>
                <w:szCs w:val="18"/>
              </w:rPr>
              <w:t>IPAH: 241 (63%)</w:t>
            </w:r>
            <w:r>
              <w:rPr>
                <w:rFonts w:cs="Tahoma"/>
                <w:szCs w:val="18"/>
              </w:rPr>
              <w:t xml:space="preserve">; </w:t>
            </w:r>
            <w:r w:rsidRPr="00C41328">
              <w:rPr>
                <w:rFonts w:cs="Tahoma"/>
                <w:szCs w:val="18"/>
              </w:rPr>
              <w:t>PAH-CTD: 124 (32%)</w:t>
            </w:r>
            <w:r>
              <w:rPr>
                <w:rFonts w:cs="Tahoma"/>
                <w:szCs w:val="18"/>
              </w:rPr>
              <w:t xml:space="preserve">; </w:t>
            </w:r>
            <w:r w:rsidRPr="00C41328">
              <w:rPr>
                <w:rFonts w:cs="Tahoma"/>
                <w:szCs w:val="18"/>
              </w:rPr>
              <w:t>PAH-HIV: 11 (3%)</w:t>
            </w:r>
            <w:r>
              <w:rPr>
                <w:rFonts w:cs="Tahoma"/>
                <w:szCs w:val="18"/>
              </w:rPr>
              <w:t xml:space="preserve">; </w:t>
            </w:r>
            <w:r w:rsidRPr="00C41328">
              <w:rPr>
                <w:rFonts w:cs="Tahoma"/>
                <w:szCs w:val="18"/>
              </w:rPr>
              <w:t>PAH-DT: 6 (2%)</w:t>
            </w:r>
          </w:p>
          <w:p w:rsidR="001D0FDA" w:rsidRPr="00C41328"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Pr="00C41328" w:rsidRDefault="001D0FDA" w:rsidP="001D0FDA">
            <w:pPr>
              <w:pStyle w:val="Tabletext"/>
              <w:ind w:left="239"/>
              <w:rPr>
                <w:rFonts w:cs="Tahoma"/>
                <w:szCs w:val="18"/>
              </w:rPr>
            </w:pPr>
            <w:r w:rsidRPr="00C41328">
              <w:rPr>
                <w:rFonts w:cs="Tahoma"/>
                <w:szCs w:val="18"/>
              </w:rPr>
              <w:t>I: 12 (3%)</w:t>
            </w:r>
            <w:r>
              <w:rPr>
                <w:rFonts w:cs="Tahoma"/>
                <w:szCs w:val="18"/>
              </w:rPr>
              <w:t xml:space="preserve">; </w:t>
            </w:r>
            <w:r w:rsidRPr="00C41328">
              <w:rPr>
                <w:rFonts w:cs="Tahoma"/>
                <w:szCs w:val="18"/>
              </w:rPr>
              <w:t>II: 163 (43%)</w:t>
            </w:r>
            <w:r>
              <w:rPr>
                <w:rFonts w:cs="Tahoma"/>
                <w:szCs w:val="18"/>
              </w:rPr>
              <w:t xml:space="preserve">; </w:t>
            </w:r>
            <w:r w:rsidRPr="00C41328">
              <w:rPr>
                <w:rFonts w:cs="Tahoma"/>
                <w:szCs w:val="18"/>
              </w:rPr>
              <w:t>III: 178 (46%)</w:t>
            </w:r>
            <w:r>
              <w:rPr>
                <w:rFonts w:cs="Tahoma"/>
                <w:szCs w:val="18"/>
              </w:rPr>
              <w:t xml:space="preserve">; </w:t>
            </w:r>
            <w:r w:rsidRPr="00C41328">
              <w:rPr>
                <w:rFonts w:cs="Tahoma"/>
                <w:szCs w:val="18"/>
              </w:rPr>
              <w:t>IV: 30 (8%)</w:t>
            </w:r>
          </w:p>
          <w:p w:rsidR="001D0FDA" w:rsidRPr="00C41328" w:rsidRDefault="001D0FDA" w:rsidP="001D0FDA">
            <w:pPr>
              <w:pStyle w:val="Tabletext"/>
              <w:rPr>
                <w:rFonts w:cs="Tahoma"/>
                <w:szCs w:val="18"/>
              </w:rPr>
            </w:pPr>
            <w:r w:rsidRPr="00C41328">
              <w:rPr>
                <w:rFonts w:cs="Tahoma"/>
                <w:szCs w:val="18"/>
              </w:rPr>
              <w:t>mPAP</w:t>
            </w:r>
            <w:r>
              <w:rPr>
                <w:rFonts w:cs="Tahoma"/>
                <w:szCs w:val="18"/>
              </w:rPr>
              <w:t>, mean</w:t>
            </w:r>
            <w:r w:rsidRPr="00C41328">
              <w:rPr>
                <w:rFonts w:cs="Tahoma"/>
                <w:szCs w:val="18"/>
              </w:rPr>
              <w:t>±</w:t>
            </w:r>
            <w:r>
              <w:rPr>
                <w:rFonts w:cs="Tahoma"/>
                <w:szCs w:val="18"/>
              </w:rPr>
              <w:t xml:space="preserve">SD </w:t>
            </w:r>
            <w:r w:rsidRPr="00C41328">
              <w:rPr>
                <w:rFonts w:cs="Tahoma"/>
                <w:szCs w:val="18"/>
              </w:rPr>
              <w:t>(mmHg): 49±14</w:t>
            </w:r>
          </w:p>
          <w:p w:rsidR="001D0FDA" w:rsidRDefault="001D0FDA" w:rsidP="001D0FDA">
            <w:pPr>
              <w:pStyle w:val="Tabletext"/>
              <w:rPr>
                <w:rFonts w:cs="Tahoma"/>
                <w:szCs w:val="18"/>
              </w:rPr>
            </w:pPr>
            <w:r w:rsidRPr="00C41328">
              <w:rPr>
                <w:rFonts w:cs="Tahoma"/>
                <w:szCs w:val="18"/>
              </w:rPr>
              <w:t>PVR</w:t>
            </w:r>
            <w:r>
              <w:rPr>
                <w:rFonts w:cs="Tahoma"/>
                <w:szCs w:val="18"/>
              </w:rPr>
              <w:t>, mean</w:t>
            </w:r>
            <w:r w:rsidRPr="00C41328">
              <w:rPr>
                <w:rFonts w:cs="Tahoma"/>
                <w:szCs w:val="18"/>
              </w:rPr>
              <w:t>±</w:t>
            </w:r>
            <w:r>
              <w:rPr>
                <w:rFonts w:cs="Tahoma"/>
                <w:szCs w:val="18"/>
              </w:rPr>
              <w:t>SD</w:t>
            </w:r>
            <w:r w:rsidRPr="00C41328">
              <w:rPr>
                <w:rFonts w:cs="Tahoma"/>
                <w:szCs w:val="18"/>
              </w:rPr>
              <w:t xml:space="preserve"> (mmHg/L/min): 11.0±6.5</w:t>
            </w:r>
          </w:p>
        </w:tc>
        <w:tc>
          <w:tcPr>
            <w:tcW w:w="1047" w:type="pct"/>
          </w:tcPr>
          <w:p w:rsidR="001D0FDA" w:rsidRDefault="001D0FDA" w:rsidP="001D0FDA">
            <w:pPr>
              <w:pStyle w:val="Tabletext"/>
              <w:rPr>
                <w:rFonts w:cs="Tahoma"/>
                <w:i/>
                <w:szCs w:val="18"/>
              </w:rPr>
            </w:pPr>
            <w:r>
              <w:rPr>
                <w:rFonts w:cs="Tahoma"/>
                <w:i/>
                <w:szCs w:val="18"/>
              </w:rPr>
              <w:t>Intervention</w:t>
            </w:r>
          </w:p>
          <w:p w:rsidR="001D0FDA" w:rsidRPr="00C41328" w:rsidRDefault="001D0FDA" w:rsidP="001D0FDA">
            <w:pPr>
              <w:pStyle w:val="Tabletext"/>
              <w:rPr>
                <w:rFonts w:cs="Tahoma"/>
                <w:szCs w:val="18"/>
              </w:rPr>
            </w:pPr>
            <w:r>
              <w:rPr>
                <w:rFonts w:cs="Tahoma"/>
                <w:szCs w:val="18"/>
              </w:rPr>
              <w:t>Ambrisentan:</w:t>
            </w:r>
            <w:r w:rsidRPr="00C41328">
              <w:rPr>
                <w:rFonts w:cs="Tahoma"/>
                <w:szCs w:val="18"/>
              </w:rPr>
              <w:t xml:space="preserve"> 2.5</w:t>
            </w:r>
            <w:r w:rsidR="00C90897">
              <w:rPr>
                <w:rFonts w:cs="Tahoma"/>
                <w:szCs w:val="18"/>
              </w:rPr>
              <w:t> </w:t>
            </w:r>
            <w:r w:rsidRPr="00C41328">
              <w:rPr>
                <w:rFonts w:cs="Tahoma"/>
                <w:szCs w:val="18"/>
              </w:rPr>
              <w:t>mg, 5</w:t>
            </w:r>
            <w:r w:rsidR="00C90897">
              <w:rPr>
                <w:rFonts w:cs="Tahoma"/>
                <w:szCs w:val="18"/>
              </w:rPr>
              <w:t> </w:t>
            </w:r>
            <w:r w:rsidRPr="00C41328">
              <w:rPr>
                <w:rFonts w:cs="Tahoma"/>
                <w:szCs w:val="18"/>
              </w:rPr>
              <w:t>mg or 10</w:t>
            </w:r>
            <w:r w:rsidR="00C90897">
              <w:rPr>
                <w:rFonts w:cs="Tahoma"/>
                <w:szCs w:val="18"/>
              </w:rPr>
              <w:t> </w:t>
            </w:r>
            <w:r w:rsidRPr="00C41328">
              <w:rPr>
                <w:rFonts w:cs="Tahoma"/>
                <w:szCs w:val="18"/>
              </w:rPr>
              <w:t>mg od</w:t>
            </w:r>
          </w:p>
          <w:p w:rsidR="001D0FDA" w:rsidRPr="00C41328" w:rsidRDefault="001D0FDA" w:rsidP="001D0FDA">
            <w:pPr>
              <w:pStyle w:val="Tabletext"/>
              <w:rPr>
                <w:rFonts w:cs="Tahoma"/>
                <w:szCs w:val="18"/>
              </w:rPr>
            </w:pPr>
          </w:p>
          <w:p w:rsidR="001D0FDA" w:rsidRDefault="001D0FDA" w:rsidP="001D0FDA">
            <w:pPr>
              <w:pStyle w:val="Tabletext"/>
              <w:rPr>
                <w:rFonts w:cs="Tahoma"/>
                <w:szCs w:val="18"/>
              </w:rPr>
            </w:pPr>
            <w:r>
              <w:rPr>
                <w:rFonts w:cs="Tahoma"/>
                <w:szCs w:val="18"/>
              </w:rPr>
              <w:t>Combination therapy</w:t>
            </w:r>
          </w:p>
          <w:p w:rsidR="001D0FDA" w:rsidRDefault="001D0FDA" w:rsidP="001D0FDA">
            <w:pPr>
              <w:pStyle w:val="Tabletext"/>
              <w:rPr>
                <w:rFonts w:cs="Tahoma"/>
                <w:i/>
                <w:szCs w:val="18"/>
              </w:rPr>
            </w:pPr>
            <w:r>
              <w:rPr>
                <w:rFonts w:cs="Tahoma"/>
                <w:szCs w:val="18"/>
              </w:rPr>
              <w:t>Sildenafil</w:t>
            </w:r>
            <w:r w:rsidRPr="00C41328">
              <w:rPr>
                <w:rFonts w:cs="Tahoma"/>
                <w:szCs w:val="18"/>
              </w:rPr>
              <w:t xml:space="preserve"> and/or </w:t>
            </w:r>
            <w:r>
              <w:rPr>
                <w:rFonts w:cs="Tahoma"/>
                <w:szCs w:val="18"/>
              </w:rPr>
              <w:t xml:space="preserve">prostanoid </w:t>
            </w:r>
            <w:r w:rsidRPr="00C41328">
              <w:rPr>
                <w:rFonts w:cs="Tahoma"/>
                <w:szCs w:val="18"/>
              </w:rPr>
              <w:t>(18%)</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Dickinson 2009</w:t>
            </w:r>
            <w:r w:rsidR="001D34EE" w:rsidRPr="001A1C44">
              <w:rPr>
                <w:rFonts w:eastAsia="Times New Roman"/>
                <w:noProof/>
                <w:vertAlign w:val="superscript"/>
                <w:lang w:eastAsia="en-US"/>
              </w:rPr>
              <w:t>56</w:t>
            </w:r>
          </w:p>
          <w:p w:rsidR="001D0FDA" w:rsidRPr="008D73C9" w:rsidRDefault="001D0FDA" w:rsidP="001D0FDA">
            <w:pPr>
              <w:pStyle w:val="Tabletext"/>
              <w:ind w:right="-28"/>
              <w:rPr>
                <w:rFonts w:eastAsia="Times New Roman"/>
                <w:lang w:eastAsia="en-US"/>
              </w:rPr>
            </w:pPr>
            <w:r w:rsidRPr="008D73C9">
              <w:rPr>
                <w:rFonts w:eastAsia="Times New Roman"/>
                <w:lang w:eastAsia="en-US"/>
              </w:rPr>
              <w:t>1998-2006</w:t>
            </w:r>
          </w:p>
          <w:p w:rsidR="001D0FDA" w:rsidRPr="008D73C9" w:rsidRDefault="001D0FDA" w:rsidP="001D0FDA">
            <w:pPr>
              <w:pStyle w:val="Tabletext"/>
              <w:ind w:right="-28"/>
              <w:rPr>
                <w:rFonts w:eastAsia="Times New Roman"/>
                <w:lang w:eastAsia="en-US"/>
              </w:rPr>
            </w:pPr>
            <w:r w:rsidRPr="008D73C9">
              <w:rPr>
                <w:rFonts w:eastAsia="Times New Roman"/>
                <w:lang w:eastAsia="en-US"/>
              </w:rPr>
              <w:t>Netherlands</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2.6 years</w:t>
            </w:r>
          </w:p>
        </w:tc>
        <w:tc>
          <w:tcPr>
            <w:tcW w:w="1096" w:type="pct"/>
          </w:tcPr>
          <w:p w:rsidR="001D0FDA" w:rsidRPr="00BB51A1" w:rsidRDefault="001D0FDA" w:rsidP="001D0FDA">
            <w:pPr>
              <w:pStyle w:val="Tabletext"/>
              <w:rPr>
                <w:rFonts w:cs="Tahoma"/>
                <w:i/>
                <w:szCs w:val="18"/>
              </w:rPr>
            </w:pPr>
            <w:r w:rsidRPr="00BB51A1">
              <w:rPr>
                <w:rFonts w:cs="Tahoma"/>
                <w:i/>
                <w:szCs w:val="18"/>
              </w:rPr>
              <w:t>Inclusion criteria</w:t>
            </w:r>
          </w:p>
          <w:p w:rsidR="001D0FDA" w:rsidRPr="00C41328" w:rsidRDefault="001D0FDA" w:rsidP="00480FDF">
            <w:pPr>
              <w:pStyle w:val="Tabletext"/>
              <w:numPr>
                <w:ilvl w:val="0"/>
                <w:numId w:val="54"/>
              </w:numPr>
              <w:ind w:left="239" w:hanging="144"/>
              <w:rPr>
                <w:rFonts w:cs="Tahoma"/>
                <w:i/>
                <w:szCs w:val="18"/>
              </w:rPr>
            </w:pPr>
            <w:r>
              <w:rPr>
                <w:rFonts w:cs="Tahoma"/>
                <w:szCs w:val="18"/>
              </w:rPr>
              <w:t>P</w:t>
            </w:r>
            <w:r w:rsidRPr="00BB51A1">
              <w:rPr>
                <w:rFonts w:cs="Tahoma"/>
                <w:szCs w:val="18"/>
              </w:rPr>
              <w:t xml:space="preserve">atients </w:t>
            </w:r>
            <w:r>
              <w:rPr>
                <w:rFonts w:cs="Tahoma"/>
                <w:szCs w:val="18"/>
              </w:rPr>
              <w:t xml:space="preserve">with pulmonary hypertension who were </w:t>
            </w:r>
            <w:r w:rsidRPr="00BB51A1">
              <w:rPr>
                <w:rFonts w:cs="Tahoma"/>
                <w:szCs w:val="18"/>
              </w:rPr>
              <w:t xml:space="preserve">treated with epoprostenol through a totally implantable access port </w:t>
            </w:r>
          </w:p>
        </w:tc>
        <w:tc>
          <w:tcPr>
            <w:tcW w:w="1856" w:type="pct"/>
          </w:tcPr>
          <w:p w:rsidR="001D0FDA" w:rsidRPr="00C41328" w:rsidRDefault="001D0FDA" w:rsidP="001D0FDA">
            <w:pPr>
              <w:pStyle w:val="Tabletext"/>
              <w:rPr>
                <w:rFonts w:cs="Tahoma"/>
                <w:szCs w:val="18"/>
              </w:rPr>
            </w:pPr>
            <w:r w:rsidRPr="00C41328">
              <w:rPr>
                <w:rFonts w:cs="Tahoma"/>
                <w:szCs w:val="18"/>
              </w:rPr>
              <w:t>N=</w:t>
            </w:r>
            <w:r>
              <w:rPr>
                <w:rFonts w:cs="Tahoma"/>
                <w:szCs w:val="18"/>
              </w:rPr>
              <w:t>111</w:t>
            </w:r>
          </w:p>
          <w:p w:rsidR="001D0FDA" w:rsidRPr="00C41328" w:rsidRDefault="001D0FDA" w:rsidP="001D0FDA">
            <w:pPr>
              <w:pStyle w:val="Tabletext"/>
              <w:rPr>
                <w:rFonts w:cs="Tahoma"/>
                <w:szCs w:val="18"/>
              </w:rPr>
            </w:pPr>
            <w:r w:rsidRPr="00C41328">
              <w:rPr>
                <w:rFonts w:cs="Tahoma"/>
                <w:szCs w:val="18"/>
              </w:rPr>
              <w:t>Age</w:t>
            </w:r>
            <w:r>
              <w:rPr>
                <w:rFonts w:cs="Tahoma"/>
                <w:szCs w:val="18"/>
              </w:rPr>
              <w:t>, mean (range) (yrs)</w:t>
            </w:r>
            <w:r w:rsidRPr="00C41328">
              <w:rPr>
                <w:rFonts w:cs="Tahoma"/>
                <w:szCs w:val="18"/>
              </w:rPr>
              <w:t xml:space="preserve">: </w:t>
            </w:r>
            <w:r>
              <w:rPr>
                <w:rFonts w:cs="Tahoma"/>
                <w:szCs w:val="18"/>
              </w:rPr>
              <w:t>44 (2-74)</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86 (77%)</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BB51A1">
              <w:rPr>
                <w:rFonts w:cs="Tahoma"/>
                <w:szCs w:val="18"/>
              </w:rPr>
              <w:t>IPAH: 45 (41%)</w:t>
            </w:r>
            <w:r>
              <w:rPr>
                <w:rFonts w:cs="Tahoma"/>
                <w:szCs w:val="18"/>
              </w:rPr>
              <w:t xml:space="preserve">; </w:t>
            </w:r>
            <w:r w:rsidRPr="00BB51A1">
              <w:rPr>
                <w:rFonts w:cs="Tahoma"/>
                <w:szCs w:val="18"/>
              </w:rPr>
              <w:t>HPAH: 11 (10%)</w:t>
            </w:r>
            <w:r>
              <w:rPr>
                <w:rFonts w:cs="Tahoma"/>
                <w:szCs w:val="18"/>
              </w:rPr>
              <w:t xml:space="preserve">; </w:t>
            </w:r>
            <w:r w:rsidRPr="00BB51A1">
              <w:rPr>
                <w:rFonts w:cs="Tahoma"/>
                <w:szCs w:val="18"/>
              </w:rPr>
              <w:t>PAH-CTD: 16 (14%)</w:t>
            </w:r>
            <w:r>
              <w:rPr>
                <w:rFonts w:cs="Tahoma"/>
                <w:szCs w:val="18"/>
              </w:rPr>
              <w:t xml:space="preserve">; </w:t>
            </w:r>
            <w:r w:rsidRPr="00BB51A1">
              <w:rPr>
                <w:rFonts w:cs="Tahoma"/>
                <w:szCs w:val="18"/>
              </w:rPr>
              <w:t>PAH-CHD: 11 (10%)</w:t>
            </w:r>
            <w:r>
              <w:rPr>
                <w:rFonts w:cs="Tahoma"/>
                <w:szCs w:val="18"/>
              </w:rPr>
              <w:t xml:space="preserve">; </w:t>
            </w:r>
            <w:r w:rsidRPr="00BB51A1">
              <w:rPr>
                <w:rFonts w:cs="Tahoma"/>
                <w:szCs w:val="18"/>
              </w:rPr>
              <w:t>PAH-PH: 7 (6%)</w:t>
            </w:r>
            <w:r>
              <w:rPr>
                <w:rFonts w:cs="Tahoma"/>
                <w:szCs w:val="18"/>
              </w:rPr>
              <w:t xml:space="preserve">; </w:t>
            </w:r>
            <w:r w:rsidRPr="00BB51A1">
              <w:rPr>
                <w:rFonts w:cs="Tahoma"/>
                <w:szCs w:val="18"/>
              </w:rPr>
              <w:t>PAH-HIV: 1 (1%)</w:t>
            </w:r>
            <w:r>
              <w:rPr>
                <w:rFonts w:cs="Tahoma"/>
                <w:szCs w:val="18"/>
              </w:rPr>
              <w:t xml:space="preserve">; </w:t>
            </w:r>
            <w:r w:rsidRPr="00BB51A1">
              <w:rPr>
                <w:rFonts w:cs="Tahoma"/>
                <w:szCs w:val="18"/>
              </w:rPr>
              <w:t>PAH-DT: 1 (1%)</w:t>
            </w:r>
            <w:r>
              <w:rPr>
                <w:rFonts w:cs="Tahoma"/>
                <w:szCs w:val="18"/>
              </w:rPr>
              <w:t xml:space="preserve">; </w:t>
            </w:r>
            <w:r w:rsidRPr="00BB51A1">
              <w:rPr>
                <w:rFonts w:cs="Tahoma"/>
                <w:szCs w:val="18"/>
              </w:rPr>
              <w:t>PAH-Gaucher disease Type 1: 1(1%)</w:t>
            </w:r>
            <w:r>
              <w:rPr>
                <w:rFonts w:cs="Tahoma"/>
                <w:szCs w:val="18"/>
              </w:rPr>
              <w:t xml:space="preserve">; </w:t>
            </w:r>
            <w:r w:rsidRPr="00BB51A1">
              <w:rPr>
                <w:rFonts w:cs="Tahoma"/>
                <w:szCs w:val="18"/>
              </w:rPr>
              <w:t>CTEPH: 18 (16%)</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Pr="00C41328" w:rsidRDefault="001D0FDA" w:rsidP="001D0FDA">
            <w:pPr>
              <w:pStyle w:val="Tabletext"/>
              <w:ind w:left="239"/>
              <w:rPr>
                <w:rFonts w:cs="Tahoma"/>
                <w:szCs w:val="18"/>
              </w:rPr>
            </w:pPr>
            <w:r w:rsidRPr="00BB51A1">
              <w:rPr>
                <w:rFonts w:cs="Tahoma"/>
                <w:szCs w:val="18"/>
              </w:rPr>
              <w:t>II: 42 (4%)</w:t>
            </w:r>
            <w:r>
              <w:rPr>
                <w:rFonts w:cs="Tahoma"/>
                <w:szCs w:val="18"/>
              </w:rPr>
              <w:t xml:space="preserve">; </w:t>
            </w:r>
            <w:r w:rsidRPr="00BB51A1">
              <w:rPr>
                <w:rFonts w:cs="Tahoma"/>
                <w:szCs w:val="18"/>
              </w:rPr>
              <w:t>III: 53 (48%)</w:t>
            </w:r>
            <w:r>
              <w:rPr>
                <w:rFonts w:cs="Tahoma"/>
                <w:szCs w:val="18"/>
              </w:rPr>
              <w:t xml:space="preserve">; </w:t>
            </w:r>
            <w:r w:rsidRPr="00BB51A1">
              <w:rPr>
                <w:rFonts w:cs="Tahoma"/>
                <w:szCs w:val="18"/>
              </w:rPr>
              <w:t>IV: 54 (49%)</w:t>
            </w:r>
          </w:p>
        </w:tc>
        <w:tc>
          <w:tcPr>
            <w:tcW w:w="1047" w:type="pct"/>
          </w:tcPr>
          <w:p w:rsidR="001D0FDA" w:rsidRDefault="001D0FDA" w:rsidP="001D0FDA">
            <w:pPr>
              <w:pStyle w:val="Tabletext"/>
              <w:rPr>
                <w:rFonts w:cs="Tahoma"/>
                <w:i/>
                <w:szCs w:val="18"/>
              </w:rPr>
            </w:pPr>
            <w:r>
              <w:rPr>
                <w:rFonts w:cs="Tahoma"/>
                <w:i/>
                <w:szCs w:val="18"/>
              </w:rPr>
              <w:t>Intervention</w:t>
            </w:r>
          </w:p>
          <w:p w:rsidR="001D0FDA" w:rsidRPr="00C41328" w:rsidRDefault="001D0FDA" w:rsidP="001D0FDA">
            <w:pPr>
              <w:pStyle w:val="Tabletext"/>
              <w:rPr>
                <w:rFonts w:cs="Tahoma"/>
                <w:szCs w:val="18"/>
              </w:rPr>
            </w:pPr>
            <w:r w:rsidRPr="00C41328">
              <w:rPr>
                <w:rFonts w:cs="Tahoma"/>
                <w:szCs w:val="18"/>
              </w:rPr>
              <w:t>Epoprostenol (dose not stated)</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EARLY extension study</w:t>
            </w:r>
            <w:r w:rsidR="001D34EE" w:rsidRPr="001A1C44">
              <w:rPr>
                <w:rFonts w:eastAsia="Times New Roman"/>
                <w:noProof/>
                <w:vertAlign w:val="superscript"/>
                <w:lang w:eastAsia="en-US"/>
              </w:rPr>
              <w:t>57</w:t>
            </w:r>
          </w:p>
          <w:p w:rsidR="001D0FDA" w:rsidRPr="008D73C9" w:rsidRDefault="001D0FDA" w:rsidP="001D0FDA">
            <w:pPr>
              <w:pStyle w:val="Tabletext"/>
              <w:ind w:right="-28"/>
              <w:rPr>
                <w:rFonts w:eastAsia="Times New Roman"/>
                <w:lang w:eastAsia="en-US"/>
              </w:rPr>
            </w:pPr>
            <w:r w:rsidRPr="008D73C9">
              <w:rPr>
                <w:rFonts w:eastAsia="Times New Roman"/>
                <w:lang w:eastAsia="en-US"/>
              </w:rPr>
              <w:t>2004-2011</w:t>
            </w:r>
          </w:p>
          <w:p w:rsidR="001D0FDA" w:rsidRPr="008D73C9" w:rsidRDefault="001D0FDA" w:rsidP="001D0FDA">
            <w:pPr>
              <w:pStyle w:val="Tabletext"/>
              <w:ind w:right="-28"/>
              <w:rPr>
                <w:rFonts w:eastAsia="Times New Roman"/>
                <w:lang w:eastAsia="en-US"/>
              </w:rPr>
            </w:pPr>
            <w:r w:rsidRPr="008D73C9">
              <w:rPr>
                <w:rFonts w:eastAsia="Times New Roman"/>
                <w:lang w:eastAsia="en-US"/>
              </w:rPr>
              <w:t>US, Europe, Brazil</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Follow-up: 51.4 months</w:t>
            </w:r>
          </w:p>
        </w:tc>
        <w:tc>
          <w:tcPr>
            <w:tcW w:w="1096" w:type="pct"/>
          </w:tcPr>
          <w:p w:rsidR="001D0FDA" w:rsidRPr="00BB51A1" w:rsidRDefault="001D0FDA" w:rsidP="001D0FDA">
            <w:pPr>
              <w:pStyle w:val="Tabletext"/>
              <w:rPr>
                <w:rFonts w:cs="Tahoma"/>
                <w:i/>
                <w:szCs w:val="18"/>
              </w:rPr>
            </w:pPr>
            <w:r w:rsidRPr="00BB51A1">
              <w:rPr>
                <w:rFonts w:cs="Tahoma"/>
                <w:i/>
                <w:szCs w:val="18"/>
              </w:rPr>
              <w:t>Inclusion criteria</w:t>
            </w:r>
          </w:p>
          <w:p w:rsidR="001D0FDA" w:rsidRPr="00BB51A1" w:rsidRDefault="001D0FDA" w:rsidP="00480FDF">
            <w:pPr>
              <w:pStyle w:val="Tabletext"/>
              <w:numPr>
                <w:ilvl w:val="0"/>
                <w:numId w:val="54"/>
              </w:numPr>
              <w:ind w:left="239" w:hanging="144"/>
              <w:rPr>
                <w:rFonts w:cs="Tahoma"/>
                <w:i/>
                <w:szCs w:val="18"/>
              </w:rPr>
            </w:pPr>
            <w:r>
              <w:rPr>
                <w:rFonts w:cs="Tahoma"/>
                <w:szCs w:val="18"/>
              </w:rPr>
              <w:t xml:space="preserve">Patients with </w:t>
            </w:r>
            <w:r w:rsidRPr="00BB51A1">
              <w:rPr>
                <w:rFonts w:cs="Tahoma"/>
                <w:szCs w:val="18"/>
              </w:rPr>
              <w:t>WHO FC II IPAH, HPAH, PAH-CTD, PAH-CHD, PAH-HIV or anorexigen-associated PAH patients who entered the double-blinded phase of Trial EARLY, completed the trial and tolerated treatment</w:t>
            </w:r>
          </w:p>
        </w:tc>
        <w:tc>
          <w:tcPr>
            <w:tcW w:w="1856" w:type="pct"/>
          </w:tcPr>
          <w:p w:rsidR="001D0FDA" w:rsidRPr="00C41328" w:rsidRDefault="001D0FDA" w:rsidP="001D0FDA">
            <w:pPr>
              <w:pStyle w:val="Tabletext"/>
              <w:rPr>
                <w:rFonts w:cs="Tahoma"/>
                <w:szCs w:val="18"/>
              </w:rPr>
            </w:pPr>
            <w:r w:rsidRPr="00C41328">
              <w:rPr>
                <w:rFonts w:cs="Tahoma"/>
                <w:szCs w:val="18"/>
              </w:rPr>
              <w:t>N=</w:t>
            </w:r>
            <w:r>
              <w:rPr>
                <w:rFonts w:cs="Tahoma"/>
                <w:szCs w:val="18"/>
              </w:rPr>
              <w:t>111</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45±18</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120 (69%)</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BB51A1">
              <w:rPr>
                <w:rFonts w:cs="Tahoma"/>
                <w:szCs w:val="18"/>
              </w:rPr>
              <w:t>IPAH: 106 (61%)</w:t>
            </w:r>
            <w:r>
              <w:rPr>
                <w:rFonts w:cs="Tahoma"/>
                <w:szCs w:val="18"/>
              </w:rPr>
              <w:t xml:space="preserve">; </w:t>
            </w:r>
            <w:r w:rsidRPr="00BB51A1">
              <w:rPr>
                <w:rFonts w:cs="Tahoma"/>
                <w:szCs w:val="18"/>
              </w:rPr>
              <w:t>PAH-CHD: 31 (18%)</w:t>
            </w:r>
            <w:r>
              <w:rPr>
                <w:rFonts w:cs="Tahoma"/>
                <w:szCs w:val="18"/>
              </w:rPr>
              <w:t xml:space="preserve">; </w:t>
            </w:r>
            <w:r w:rsidRPr="00BB51A1">
              <w:rPr>
                <w:rFonts w:cs="Tahoma"/>
                <w:szCs w:val="18"/>
              </w:rPr>
              <w:t>PAH-CTD: 29 (17%)</w:t>
            </w:r>
            <w:r>
              <w:rPr>
                <w:rFonts w:cs="Tahoma"/>
                <w:szCs w:val="18"/>
              </w:rPr>
              <w:t xml:space="preserve">; </w:t>
            </w:r>
            <w:r w:rsidRPr="00BB51A1">
              <w:rPr>
                <w:rFonts w:cs="Tahoma"/>
                <w:szCs w:val="18"/>
              </w:rPr>
              <w:t>PAH-HIV: 7 (4%)</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Default="001D0FDA" w:rsidP="001D0FDA">
            <w:pPr>
              <w:pStyle w:val="Tabletext"/>
              <w:ind w:left="239"/>
              <w:rPr>
                <w:rFonts w:cs="Tahoma"/>
                <w:szCs w:val="18"/>
              </w:rPr>
            </w:pPr>
            <w:r w:rsidRPr="00BB51A1">
              <w:rPr>
                <w:rFonts w:cs="Tahoma"/>
                <w:szCs w:val="18"/>
              </w:rPr>
              <w:t>I: 6 (3%)</w:t>
            </w:r>
            <w:r>
              <w:rPr>
                <w:rFonts w:cs="Tahoma"/>
                <w:szCs w:val="18"/>
              </w:rPr>
              <w:t xml:space="preserve">; </w:t>
            </w:r>
            <w:r w:rsidRPr="00BB51A1">
              <w:rPr>
                <w:rFonts w:cs="Tahoma"/>
                <w:szCs w:val="18"/>
              </w:rPr>
              <w:t>II: 160 (92%)</w:t>
            </w:r>
            <w:r>
              <w:rPr>
                <w:rFonts w:cs="Tahoma"/>
                <w:szCs w:val="18"/>
              </w:rPr>
              <w:t xml:space="preserve">; </w:t>
            </w:r>
            <w:r w:rsidRPr="00BB51A1">
              <w:rPr>
                <w:rFonts w:cs="Tahoma"/>
                <w:szCs w:val="18"/>
              </w:rPr>
              <w:t>III: 7 (4%)</w:t>
            </w:r>
          </w:p>
          <w:p w:rsidR="001D0FDA" w:rsidRDefault="001D0FDA" w:rsidP="001D0FDA">
            <w:pPr>
              <w:pStyle w:val="Tabletext"/>
              <w:rPr>
                <w:rFonts w:cs="Tahoma"/>
                <w:szCs w:val="18"/>
              </w:rPr>
            </w:pPr>
            <w:r w:rsidRPr="00BB51A1">
              <w:rPr>
                <w:rFonts w:cs="Tahoma"/>
                <w:szCs w:val="18"/>
              </w:rPr>
              <w:t>Time from diagnosis</w:t>
            </w:r>
            <w:r>
              <w:rPr>
                <w:rFonts w:cs="Tahoma"/>
                <w:szCs w:val="18"/>
              </w:rPr>
              <w:t>, mean</w:t>
            </w:r>
            <w:r w:rsidRPr="00BB51A1">
              <w:rPr>
                <w:rFonts w:cs="Tahoma"/>
                <w:szCs w:val="18"/>
              </w:rPr>
              <w:t>±</w:t>
            </w:r>
            <w:r>
              <w:rPr>
                <w:rFonts w:cs="Tahoma"/>
                <w:szCs w:val="18"/>
              </w:rPr>
              <w:t>SD (yrs)</w:t>
            </w:r>
            <w:r w:rsidRPr="00BB51A1">
              <w:rPr>
                <w:rFonts w:cs="Tahoma"/>
                <w:szCs w:val="18"/>
              </w:rPr>
              <w:t>: 3.4±5.9</w:t>
            </w:r>
          </w:p>
          <w:p w:rsidR="001D0FDA" w:rsidRDefault="001D0FDA" w:rsidP="001D0FDA">
            <w:pPr>
              <w:pStyle w:val="Tabletext"/>
              <w:rPr>
                <w:rFonts w:cs="Tahoma"/>
                <w:szCs w:val="18"/>
              </w:rPr>
            </w:pPr>
            <w:r w:rsidRPr="00455DBB">
              <w:rPr>
                <w:rFonts w:cs="Tahoma"/>
                <w:szCs w:val="18"/>
              </w:rPr>
              <w:t>Concomitant use of sildenafil</w:t>
            </w:r>
            <w:r>
              <w:rPr>
                <w:rFonts w:cs="Tahoma"/>
                <w:szCs w:val="18"/>
              </w:rPr>
              <w:t>, n (%)</w:t>
            </w:r>
            <w:r w:rsidRPr="00455DBB">
              <w:rPr>
                <w:rFonts w:cs="Tahoma"/>
                <w:szCs w:val="18"/>
              </w:rPr>
              <w:t>: 19 (17%)</w:t>
            </w:r>
          </w:p>
          <w:p w:rsidR="001D0FDA" w:rsidRPr="00C41328" w:rsidRDefault="001D0FDA" w:rsidP="001D0FDA">
            <w:pPr>
              <w:pStyle w:val="Tabletext"/>
              <w:rPr>
                <w:rFonts w:cs="Tahoma"/>
                <w:szCs w:val="18"/>
              </w:rPr>
            </w:pPr>
            <w:r w:rsidRPr="00C41328">
              <w:rPr>
                <w:rFonts w:cs="Tahoma"/>
                <w:szCs w:val="18"/>
              </w:rPr>
              <w:t>mPAP</w:t>
            </w:r>
            <w:r>
              <w:rPr>
                <w:rFonts w:cs="Tahoma"/>
                <w:szCs w:val="18"/>
              </w:rPr>
              <w:t>, mean</w:t>
            </w:r>
            <w:r w:rsidRPr="00C41328">
              <w:rPr>
                <w:rFonts w:cs="Tahoma"/>
                <w:szCs w:val="18"/>
              </w:rPr>
              <w:t>±</w:t>
            </w:r>
            <w:r>
              <w:rPr>
                <w:rFonts w:cs="Tahoma"/>
                <w:szCs w:val="18"/>
              </w:rPr>
              <w:t xml:space="preserve">SD </w:t>
            </w:r>
            <w:r w:rsidRPr="00C41328">
              <w:rPr>
                <w:rFonts w:cs="Tahoma"/>
                <w:szCs w:val="18"/>
              </w:rPr>
              <w:t xml:space="preserve">(mmHg): </w:t>
            </w:r>
            <w:r>
              <w:rPr>
                <w:rFonts w:cs="Tahoma"/>
                <w:szCs w:val="18"/>
              </w:rPr>
              <w:t>53</w:t>
            </w:r>
            <w:r w:rsidRPr="00C41328">
              <w:rPr>
                <w:rFonts w:cs="Tahoma"/>
                <w:szCs w:val="18"/>
              </w:rPr>
              <w:t>±</w:t>
            </w:r>
            <w:r>
              <w:rPr>
                <w:rFonts w:cs="Tahoma"/>
                <w:szCs w:val="18"/>
              </w:rPr>
              <w:t>8</w:t>
            </w:r>
          </w:p>
          <w:p w:rsidR="001D0FDA" w:rsidRPr="00C41328" w:rsidRDefault="001D0FDA" w:rsidP="001D0FDA">
            <w:pPr>
              <w:pStyle w:val="Tabletext"/>
              <w:rPr>
                <w:rFonts w:cs="Tahoma"/>
                <w:szCs w:val="18"/>
              </w:rPr>
            </w:pPr>
            <w:r w:rsidRPr="00C41328">
              <w:rPr>
                <w:rFonts w:cs="Tahoma"/>
                <w:szCs w:val="18"/>
              </w:rPr>
              <w:t>PVR</w:t>
            </w:r>
            <w:r>
              <w:rPr>
                <w:rFonts w:cs="Tahoma"/>
                <w:szCs w:val="18"/>
              </w:rPr>
              <w:t>, mean</w:t>
            </w:r>
            <w:r w:rsidRPr="00C41328">
              <w:rPr>
                <w:rFonts w:cs="Tahoma"/>
                <w:szCs w:val="18"/>
              </w:rPr>
              <w:t>±</w:t>
            </w:r>
            <w:r>
              <w:rPr>
                <w:rFonts w:cs="Tahoma"/>
                <w:szCs w:val="18"/>
              </w:rPr>
              <w:t>SD</w:t>
            </w:r>
            <w:r w:rsidRPr="00C41328">
              <w:rPr>
                <w:rFonts w:cs="Tahoma"/>
                <w:szCs w:val="18"/>
              </w:rPr>
              <w:t xml:space="preserve"> (</w:t>
            </w:r>
            <w:r>
              <w:rPr>
                <w:rFonts w:cs="Tahoma"/>
                <w:szCs w:val="18"/>
              </w:rPr>
              <w:t>dyn*s*cm</w:t>
            </w:r>
            <w:r>
              <w:rPr>
                <w:rFonts w:cs="Tahoma"/>
                <w:szCs w:val="18"/>
                <w:vertAlign w:val="superscript"/>
              </w:rPr>
              <w:t>-5</w:t>
            </w:r>
            <w:r w:rsidRPr="00C41328">
              <w:rPr>
                <w:rFonts w:cs="Tahoma"/>
                <w:szCs w:val="18"/>
              </w:rPr>
              <w:t xml:space="preserve">): </w:t>
            </w:r>
            <w:r>
              <w:rPr>
                <w:rFonts w:cs="Tahoma"/>
                <w:szCs w:val="18"/>
              </w:rPr>
              <w:t>853</w:t>
            </w:r>
            <w:r w:rsidRPr="00C41328">
              <w:rPr>
                <w:rFonts w:cs="Tahoma"/>
                <w:szCs w:val="18"/>
              </w:rPr>
              <w:t>±</w:t>
            </w:r>
            <w:r>
              <w:rPr>
                <w:rFonts w:cs="Tahoma"/>
                <w:szCs w:val="18"/>
              </w:rPr>
              <w:t>505</w:t>
            </w:r>
          </w:p>
        </w:tc>
        <w:tc>
          <w:tcPr>
            <w:tcW w:w="1047" w:type="pct"/>
          </w:tcPr>
          <w:p w:rsidR="001D0FDA" w:rsidRDefault="001D0FDA" w:rsidP="001D0FDA">
            <w:pPr>
              <w:pStyle w:val="Tabletext"/>
              <w:rPr>
                <w:rFonts w:cs="Tahoma"/>
                <w:i/>
                <w:szCs w:val="18"/>
              </w:rPr>
            </w:pPr>
            <w:r>
              <w:rPr>
                <w:rFonts w:cs="Tahoma"/>
                <w:i/>
                <w:szCs w:val="18"/>
              </w:rPr>
              <w:t>Intervention</w:t>
            </w:r>
          </w:p>
          <w:p w:rsidR="001D0FDA" w:rsidRPr="008D73C9" w:rsidRDefault="001D0FDA" w:rsidP="001D0FDA">
            <w:pPr>
              <w:pStyle w:val="Tabletext"/>
              <w:rPr>
                <w:rFonts w:eastAsia="Times New Roman"/>
                <w:lang w:eastAsia="en-US"/>
              </w:rPr>
            </w:pPr>
            <w:r w:rsidRPr="008D73C9">
              <w:rPr>
                <w:rFonts w:eastAsia="Times New Roman"/>
                <w:lang w:eastAsia="en-US"/>
              </w:rPr>
              <w:t>B</w:t>
            </w:r>
            <w:r>
              <w:rPr>
                <w:rFonts w:eastAsia="Times New Roman"/>
                <w:lang w:eastAsia="en-US"/>
              </w:rPr>
              <w:t>osentan:</w:t>
            </w:r>
            <w:r w:rsidRPr="008D73C9">
              <w:rPr>
                <w:rFonts w:eastAsia="Times New Roman"/>
                <w:lang w:eastAsia="en-US"/>
              </w:rPr>
              <w:t xml:space="preserve"> 125</w:t>
            </w:r>
            <w:r w:rsidR="00C90897">
              <w:rPr>
                <w:rFonts w:eastAsia="Times New Roman"/>
                <w:lang w:eastAsia="en-US"/>
              </w:rPr>
              <w:t> </w:t>
            </w:r>
            <w:r w:rsidRPr="008D73C9">
              <w:rPr>
                <w:rFonts w:eastAsia="Times New Roman"/>
                <w:lang w:eastAsia="en-US"/>
              </w:rPr>
              <w:t>mg bid</w:t>
            </w:r>
          </w:p>
          <w:p w:rsidR="001D0FDA" w:rsidRPr="008D73C9" w:rsidRDefault="001D0FDA" w:rsidP="001D0FDA">
            <w:pPr>
              <w:pStyle w:val="Tabletext"/>
              <w:rPr>
                <w:rFonts w:eastAsia="Times New Roman"/>
                <w:lang w:eastAsia="en-US"/>
              </w:rPr>
            </w:pPr>
          </w:p>
          <w:p w:rsidR="001D0FDA" w:rsidRPr="00455DBB" w:rsidRDefault="001D0FDA" w:rsidP="001D0FDA">
            <w:pPr>
              <w:pStyle w:val="Tabletext"/>
              <w:rPr>
                <w:rFonts w:eastAsia="Times New Roman"/>
                <w:i/>
                <w:lang w:eastAsia="en-US"/>
              </w:rPr>
            </w:pPr>
            <w:r w:rsidRPr="00455DBB">
              <w:rPr>
                <w:rFonts w:eastAsia="Times New Roman"/>
                <w:i/>
                <w:lang w:eastAsia="en-US"/>
              </w:rPr>
              <w:t>Combination therapy</w:t>
            </w:r>
          </w:p>
          <w:p w:rsidR="001D0FDA" w:rsidRDefault="001D0FDA" w:rsidP="001D0FDA">
            <w:pPr>
              <w:pStyle w:val="Tabletext"/>
              <w:rPr>
                <w:rFonts w:cs="Tahoma"/>
                <w:i/>
                <w:szCs w:val="18"/>
              </w:rPr>
            </w:pPr>
            <w:r>
              <w:rPr>
                <w:rFonts w:eastAsia="Times New Roman"/>
                <w:lang w:eastAsia="en-US"/>
              </w:rPr>
              <w:t>Sildenafil</w:t>
            </w:r>
            <w:r w:rsidRPr="008D73C9">
              <w:rPr>
                <w:rFonts w:eastAsia="Times New Roman"/>
                <w:lang w:eastAsia="en-US"/>
              </w:rPr>
              <w:t xml:space="preserve"> and/or </w:t>
            </w:r>
            <w:r>
              <w:rPr>
                <w:rFonts w:eastAsia="Times New Roman"/>
                <w:lang w:eastAsia="en-US"/>
              </w:rPr>
              <w:t>prostanoid</w:t>
            </w:r>
            <w:r w:rsidRPr="008D73C9">
              <w:rPr>
                <w:rFonts w:eastAsia="Times New Roman"/>
                <w:lang w:eastAsia="en-US"/>
              </w:rPr>
              <w:t xml:space="preserve"> (17%-46%)</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Hislop 2011</w:t>
            </w:r>
            <w:r w:rsidR="001D34EE" w:rsidRPr="001A1C44">
              <w:rPr>
                <w:rFonts w:eastAsia="Times New Roman"/>
                <w:noProof/>
                <w:vertAlign w:val="superscript"/>
                <w:lang w:eastAsia="en-US"/>
              </w:rPr>
              <w:t>58</w:t>
            </w:r>
          </w:p>
          <w:p w:rsidR="001D0FDA" w:rsidRPr="008D73C9" w:rsidRDefault="001D0FDA" w:rsidP="001D0FDA">
            <w:pPr>
              <w:pStyle w:val="Tabletext"/>
              <w:ind w:right="-28"/>
              <w:rPr>
                <w:rFonts w:eastAsia="Times New Roman"/>
                <w:lang w:eastAsia="en-US"/>
              </w:rPr>
            </w:pPr>
            <w:r w:rsidRPr="008D73C9">
              <w:rPr>
                <w:rFonts w:eastAsia="Times New Roman"/>
                <w:lang w:eastAsia="en-US"/>
              </w:rPr>
              <w:t>2002-2008</w:t>
            </w:r>
          </w:p>
          <w:p w:rsidR="001D0FDA" w:rsidRPr="008D73C9" w:rsidRDefault="001D0FDA" w:rsidP="001D0FDA">
            <w:pPr>
              <w:pStyle w:val="Tabletext"/>
              <w:ind w:right="-28"/>
              <w:rPr>
                <w:rFonts w:eastAsia="Times New Roman"/>
                <w:lang w:eastAsia="en-US"/>
              </w:rPr>
            </w:pPr>
            <w:r w:rsidRPr="008D73C9">
              <w:rPr>
                <w:rFonts w:eastAsia="Times New Roman"/>
                <w:lang w:eastAsia="en-US"/>
              </w:rPr>
              <w:t>UK</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2.6 years</w:t>
            </w:r>
          </w:p>
        </w:tc>
        <w:tc>
          <w:tcPr>
            <w:tcW w:w="1096" w:type="pct"/>
          </w:tcPr>
          <w:p w:rsidR="001D0FDA" w:rsidRPr="00455DBB" w:rsidRDefault="001D0FDA" w:rsidP="001D0FDA">
            <w:pPr>
              <w:pStyle w:val="Tabletext"/>
              <w:rPr>
                <w:rFonts w:cs="Tahoma"/>
                <w:i/>
                <w:szCs w:val="18"/>
              </w:rPr>
            </w:pPr>
            <w:r w:rsidRPr="00455DBB">
              <w:rPr>
                <w:rFonts w:cs="Tahoma"/>
                <w:i/>
                <w:szCs w:val="18"/>
              </w:rPr>
              <w:t>Inclusion criteria:</w:t>
            </w:r>
          </w:p>
          <w:p w:rsidR="001D0FDA" w:rsidRPr="00BB51A1" w:rsidRDefault="001D0FDA" w:rsidP="00480FDF">
            <w:pPr>
              <w:pStyle w:val="Tabletext"/>
              <w:numPr>
                <w:ilvl w:val="0"/>
                <w:numId w:val="54"/>
              </w:numPr>
              <w:ind w:left="239" w:hanging="144"/>
              <w:rPr>
                <w:rFonts w:cs="Tahoma"/>
                <w:i/>
                <w:szCs w:val="18"/>
              </w:rPr>
            </w:pPr>
            <w:r w:rsidRPr="00455DBB">
              <w:rPr>
                <w:rFonts w:cs="Tahoma"/>
                <w:szCs w:val="18"/>
              </w:rPr>
              <w:t xml:space="preserve">Children with IPAH or PAH-CHD (either post-repair or with Eisenmenger syndrome) </w:t>
            </w:r>
            <w:r>
              <w:rPr>
                <w:rFonts w:cs="Tahoma"/>
                <w:szCs w:val="18"/>
              </w:rPr>
              <w:t>who were treat</w:t>
            </w:r>
            <w:r w:rsidRPr="00455DBB">
              <w:rPr>
                <w:rFonts w:cs="Tahoma"/>
                <w:szCs w:val="18"/>
              </w:rPr>
              <w:t>ed with bosentan</w:t>
            </w:r>
          </w:p>
        </w:tc>
        <w:tc>
          <w:tcPr>
            <w:tcW w:w="1856" w:type="pct"/>
          </w:tcPr>
          <w:p w:rsidR="001D0FDA" w:rsidRPr="00C41328" w:rsidRDefault="001D0FDA" w:rsidP="001D0FDA">
            <w:pPr>
              <w:pStyle w:val="Tabletext"/>
              <w:rPr>
                <w:rFonts w:cs="Tahoma"/>
                <w:szCs w:val="18"/>
              </w:rPr>
            </w:pPr>
            <w:r w:rsidRPr="00C41328">
              <w:rPr>
                <w:rFonts w:cs="Tahoma"/>
                <w:szCs w:val="18"/>
              </w:rPr>
              <w:t>N=</w:t>
            </w:r>
            <w:r>
              <w:rPr>
                <w:rFonts w:cs="Tahoma"/>
                <w:szCs w:val="18"/>
              </w:rPr>
              <w:t>101</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8.9±5.3</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58 (57%)</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455DBB">
              <w:rPr>
                <w:rFonts w:cs="Tahoma"/>
                <w:szCs w:val="18"/>
              </w:rPr>
              <w:t>IPAH: 42 (42%)</w:t>
            </w:r>
            <w:r>
              <w:rPr>
                <w:rFonts w:cs="Tahoma"/>
                <w:szCs w:val="18"/>
              </w:rPr>
              <w:t xml:space="preserve">; </w:t>
            </w:r>
            <w:r w:rsidRPr="00455DBB">
              <w:rPr>
                <w:rFonts w:cs="Tahoma"/>
                <w:szCs w:val="18"/>
              </w:rPr>
              <w:t>PAH-CHD: 59 (58%)</w:t>
            </w:r>
          </w:p>
          <w:p w:rsidR="001D0FDA" w:rsidRDefault="001D0FDA" w:rsidP="001D0FDA">
            <w:pPr>
              <w:pStyle w:val="Tabletext"/>
              <w:rPr>
                <w:rFonts w:cs="Tahoma"/>
                <w:szCs w:val="18"/>
              </w:rPr>
            </w:pPr>
            <w:r>
              <w:rPr>
                <w:rFonts w:cs="Tahoma"/>
                <w:szCs w:val="18"/>
              </w:rPr>
              <w:t xml:space="preserve">Bosentan monotherapy, n (%): </w:t>
            </w:r>
            <w:r w:rsidRPr="00455DBB">
              <w:rPr>
                <w:rFonts w:cs="Tahoma"/>
                <w:szCs w:val="18"/>
              </w:rPr>
              <w:t>67 (66%)</w:t>
            </w:r>
          </w:p>
          <w:p w:rsidR="001D0FDA" w:rsidRPr="00C41328" w:rsidRDefault="001D0FDA" w:rsidP="001D0FDA">
            <w:pPr>
              <w:pStyle w:val="Tabletext"/>
              <w:rPr>
                <w:rFonts w:cs="Tahoma"/>
                <w:szCs w:val="18"/>
              </w:rPr>
            </w:pPr>
            <w:r w:rsidRPr="00C41328">
              <w:rPr>
                <w:rFonts w:cs="Tahoma"/>
                <w:szCs w:val="18"/>
              </w:rPr>
              <w:t>mPAP</w:t>
            </w:r>
            <w:r>
              <w:rPr>
                <w:rFonts w:cs="Tahoma"/>
                <w:szCs w:val="18"/>
              </w:rPr>
              <w:t>, mean</w:t>
            </w:r>
            <w:r w:rsidRPr="00C41328">
              <w:rPr>
                <w:rFonts w:cs="Tahoma"/>
                <w:szCs w:val="18"/>
              </w:rPr>
              <w:t>±</w:t>
            </w:r>
            <w:r>
              <w:rPr>
                <w:rFonts w:cs="Tahoma"/>
                <w:szCs w:val="18"/>
              </w:rPr>
              <w:t xml:space="preserve">SD </w:t>
            </w:r>
            <w:r w:rsidRPr="00C41328">
              <w:rPr>
                <w:rFonts w:cs="Tahoma"/>
                <w:szCs w:val="18"/>
              </w:rPr>
              <w:t xml:space="preserve">(mmHg): </w:t>
            </w:r>
            <w:r>
              <w:rPr>
                <w:rFonts w:cs="Tahoma"/>
                <w:szCs w:val="18"/>
              </w:rPr>
              <w:t>56</w:t>
            </w:r>
            <w:r w:rsidRPr="00C41328">
              <w:rPr>
                <w:rFonts w:cs="Tahoma"/>
                <w:szCs w:val="18"/>
              </w:rPr>
              <w:t>±</w:t>
            </w:r>
            <w:r>
              <w:rPr>
                <w:rFonts w:cs="Tahoma"/>
                <w:szCs w:val="18"/>
              </w:rPr>
              <w:t>21</w:t>
            </w:r>
          </w:p>
          <w:p w:rsidR="001D0FDA" w:rsidRPr="00C41328" w:rsidRDefault="001D0FDA" w:rsidP="001D0FDA">
            <w:pPr>
              <w:pStyle w:val="Tabletext"/>
              <w:rPr>
                <w:rFonts w:cs="Tahoma"/>
                <w:szCs w:val="18"/>
              </w:rPr>
            </w:pPr>
            <w:r w:rsidRPr="00C41328">
              <w:rPr>
                <w:rFonts w:cs="Tahoma"/>
                <w:szCs w:val="18"/>
              </w:rPr>
              <w:t>PVR</w:t>
            </w:r>
            <w:r>
              <w:rPr>
                <w:rFonts w:cs="Tahoma"/>
                <w:szCs w:val="18"/>
              </w:rPr>
              <w:t>, mean</w:t>
            </w:r>
            <w:r w:rsidRPr="00C41328">
              <w:rPr>
                <w:rFonts w:cs="Tahoma"/>
                <w:szCs w:val="18"/>
              </w:rPr>
              <w:t>±</w:t>
            </w:r>
            <w:r>
              <w:rPr>
                <w:rFonts w:cs="Tahoma"/>
                <w:szCs w:val="18"/>
              </w:rPr>
              <w:t>SD</w:t>
            </w:r>
            <w:r w:rsidRPr="00C41328">
              <w:rPr>
                <w:rFonts w:cs="Tahoma"/>
                <w:szCs w:val="18"/>
              </w:rPr>
              <w:t xml:space="preserve"> (</w:t>
            </w:r>
            <w:r>
              <w:rPr>
                <w:rFonts w:cs="Tahoma"/>
                <w:szCs w:val="18"/>
              </w:rPr>
              <w:t>units*m</w:t>
            </w:r>
            <w:r>
              <w:rPr>
                <w:rFonts w:cs="Tahoma"/>
                <w:szCs w:val="18"/>
                <w:vertAlign w:val="superscript"/>
              </w:rPr>
              <w:t>2</w:t>
            </w:r>
            <w:r w:rsidRPr="00C41328">
              <w:rPr>
                <w:rFonts w:cs="Tahoma"/>
                <w:szCs w:val="18"/>
              </w:rPr>
              <w:t>):</w:t>
            </w:r>
            <w:r>
              <w:rPr>
                <w:rFonts w:cs="Tahoma"/>
                <w:szCs w:val="18"/>
              </w:rPr>
              <w:t xml:space="preserve"> 21</w:t>
            </w:r>
            <w:r w:rsidRPr="00C41328">
              <w:rPr>
                <w:rFonts w:cs="Tahoma"/>
                <w:szCs w:val="18"/>
              </w:rPr>
              <w:t>±</w:t>
            </w:r>
            <w:r>
              <w:rPr>
                <w:rFonts w:cs="Tahoma"/>
                <w:szCs w:val="18"/>
              </w:rPr>
              <w:t>14</w:t>
            </w:r>
          </w:p>
        </w:tc>
        <w:tc>
          <w:tcPr>
            <w:tcW w:w="1047" w:type="pct"/>
          </w:tcPr>
          <w:p w:rsidR="001D0FDA" w:rsidRDefault="001D0FDA" w:rsidP="001D0FDA">
            <w:pPr>
              <w:pStyle w:val="Tabletext"/>
              <w:rPr>
                <w:rFonts w:cs="Tahoma"/>
                <w:i/>
                <w:szCs w:val="18"/>
              </w:rPr>
            </w:pPr>
            <w:r>
              <w:rPr>
                <w:rFonts w:cs="Tahoma"/>
                <w:i/>
                <w:szCs w:val="18"/>
              </w:rPr>
              <w:t>Intervention</w:t>
            </w:r>
          </w:p>
          <w:p w:rsidR="001D0FDA" w:rsidRDefault="001D0FDA" w:rsidP="001D0FDA">
            <w:pPr>
              <w:pStyle w:val="Tabletext"/>
              <w:rPr>
                <w:rFonts w:eastAsia="Times New Roman"/>
                <w:lang w:eastAsia="en-US"/>
              </w:rPr>
            </w:pPr>
            <w:r>
              <w:rPr>
                <w:rFonts w:eastAsia="Times New Roman"/>
                <w:lang w:eastAsia="en-US"/>
              </w:rPr>
              <w:t>Bosentan:</w:t>
            </w:r>
            <w:r w:rsidRPr="008D73C9">
              <w:rPr>
                <w:rFonts w:eastAsia="Times New Roman"/>
                <w:lang w:eastAsia="en-US"/>
              </w:rPr>
              <w:t xml:space="preserve"> 15-125</w:t>
            </w:r>
            <w:r w:rsidR="00C90897">
              <w:rPr>
                <w:rFonts w:eastAsia="Times New Roman"/>
                <w:lang w:eastAsia="en-US"/>
              </w:rPr>
              <w:t> </w:t>
            </w:r>
            <w:r w:rsidRPr="008D73C9">
              <w:rPr>
                <w:rFonts w:eastAsia="Times New Roman"/>
                <w:lang w:eastAsia="en-US"/>
              </w:rPr>
              <w:t>mg bid, according to body weight</w:t>
            </w:r>
            <w:r>
              <w:rPr>
                <w:rFonts w:eastAsia="Times New Roman"/>
                <w:lang w:eastAsia="en-US"/>
              </w:rPr>
              <w:t xml:space="preserve">: </w:t>
            </w:r>
          </w:p>
          <w:p w:rsidR="001D0FDA" w:rsidRPr="00BA1F22" w:rsidRDefault="001D0FDA" w:rsidP="001D0FDA">
            <w:pPr>
              <w:pStyle w:val="Tabletext"/>
              <w:ind w:left="246"/>
              <w:rPr>
                <w:rFonts w:eastAsia="Times New Roman"/>
                <w:lang w:eastAsia="en-US"/>
              </w:rPr>
            </w:pPr>
            <w:r w:rsidRPr="00BA1F22">
              <w:rPr>
                <w:rFonts w:eastAsia="Times New Roman"/>
                <w:lang w:eastAsia="en-US"/>
              </w:rPr>
              <w:t>&lt;10</w:t>
            </w:r>
            <w:r w:rsidR="00C90897">
              <w:rPr>
                <w:rFonts w:eastAsia="Times New Roman"/>
                <w:lang w:eastAsia="en-US"/>
              </w:rPr>
              <w:t> </w:t>
            </w:r>
            <w:r w:rsidRPr="00BA1F22">
              <w:rPr>
                <w:rFonts w:eastAsia="Times New Roman"/>
                <w:lang w:eastAsia="en-US"/>
              </w:rPr>
              <w:t>kg: 15</w:t>
            </w:r>
            <w:r w:rsidR="00C90897">
              <w:rPr>
                <w:rFonts w:eastAsia="Times New Roman"/>
                <w:lang w:eastAsia="en-US"/>
              </w:rPr>
              <w:t> </w:t>
            </w:r>
            <w:r w:rsidRPr="00BA1F22">
              <w:rPr>
                <w:rFonts w:eastAsia="Times New Roman"/>
                <w:lang w:eastAsia="en-US"/>
              </w:rPr>
              <w:t>mg bid</w:t>
            </w:r>
          </w:p>
          <w:p w:rsidR="001D0FDA" w:rsidRPr="00BA1F22" w:rsidRDefault="001D0FDA" w:rsidP="001D0FDA">
            <w:pPr>
              <w:pStyle w:val="Tabletext"/>
              <w:ind w:left="246"/>
              <w:rPr>
                <w:rFonts w:eastAsia="Times New Roman"/>
                <w:lang w:eastAsia="en-US"/>
              </w:rPr>
            </w:pPr>
            <w:r w:rsidRPr="00BA1F22">
              <w:rPr>
                <w:rFonts w:eastAsia="Times New Roman"/>
                <w:lang w:eastAsia="en-US"/>
              </w:rPr>
              <w:t>10-20</w:t>
            </w:r>
            <w:r w:rsidR="00C90897">
              <w:rPr>
                <w:rFonts w:eastAsia="Times New Roman"/>
                <w:lang w:eastAsia="en-US"/>
              </w:rPr>
              <w:t> </w:t>
            </w:r>
            <w:r w:rsidRPr="00BA1F22">
              <w:rPr>
                <w:rFonts w:eastAsia="Times New Roman"/>
                <w:lang w:eastAsia="en-US"/>
              </w:rPr>
              <w:t>kg: 31.5</w:t>
            </w:r>
            <w:r w:rsidR="00C90897">
              <w:rPr>
                <w:rFonts w:eastAsia="Times New Roman"/>
                <w:lang w:eastAsia="en-US"/>
              </w:rPr>
              <w:t> </w:t>
            </w:r>
            <w:r w:rsidRPr="00BA1F22">
              <w:rPr>
                <w:rFonts w:eastAsia="Times New Roman"/>
                <w:lang w:eastAsia="en-US"/>
              </w:rPr>
              <w:t>mg bid</w:t>
            </w:r>
          </w:p>
          <w:p w:rsidR="001D0FDA" w:rsidRPr="00BA1F22" w:rsidRDefault="001D0FDA" w:rsidP="001D0FDA">
            <w:pPr>
              <w:pStyle w:val="Tabletext"/>
              <w:ind w:left="246"/>
              <w:rPr>
                <w:rFonts w:eastAsia="Times New Roman"/>
                <w:lang w:eastAsia="en-US"/>
              </w:rPr>
            </w:pPr>
            <w:r w:rsidRPr="00BA1F22">
              <w:rPr>
                <w:rFonts w:eastAsia="Times New Roman"/>
                <w:lang w:eastAsia="en-US"/>
              </w:rPr>
              <w:t>20-40</w:t>
            </w:r>
            <w:r w:rsidR="00C90897">
              <w:rPr>
                <w:rFonts w:eastAsia="Times New Roman"/>
                <w:lang w:eastAsia="en-US"/>
              </w:rPr>
              <w:t> </w:t>
            </w:r>
            <w:r w:rsidRPr="00BA1F22">
              <w:rPr>
                <w:rFonts w:eastAsia="Times New Roman"/>
                <w:lang w:eastAsia="en-US"/>
              </w:rPr>
              <w:t>kg: 62.5</w:t>
            </w:r>
            <w:r w:rsidR="00C90897">
              <w:rPr>
                <w:rFonts w:eastAsia="Times New Roman"/>
                <w:lang w:eastAsia="en-US"/>
              </w:rPr>
              <w:t> </w:t>
            </w:r>
            <w:r w:rsidRPr="00BA1F22">
              <w:rPr>
                <w:rFonts w:eastAsia="Times New Roman"/>
                <w:lang w:eastAsia="en-US"/>
              </w:rPr>
              <w:t>mg bid</w:t>
            </w:r>
          </w:p>
          <w:p w:rsidR="001D0FDA" w:rsidRPr="008D73C9" w:rsidRDefault="001D0FDA" w:rsidP="001D0FDA">
            <w:pPr>
              <w:pStyle w:val="Tabletext"/>
              <w:ind w:left="246"/>
              <w:rPr>
                <w:rFonts w:eastAsia="Times New Roman"/>
                <w:lang w:eastAsia="en-US"/>
              </w:rPr>
            </w:pPr>
            <w:r w:rsidRPr="00BA1F22">
              <w:rPr>
                <w:rFonts w:eastAsia="Times New Roman"/>
                <w:lang w:eastAsia="en-US"/>
              </w:rPr>
              <w:t>&gt;40</w:t>
            </w:r>
            <w:r w:rsidR="00C90897">
              <w:rPr>
                <w:rFonts w:eastAsia="Times New Roman"/>
                <w:lang w:eastAsia="en-US"/>
              </w:rPr>
              <w:t> </w:t>
            </w:r>
            <w:r w:rsidRPr="00BA1F22">
              <w:rPr>
                <w:rFonts w:eastAsia="Times New Roman"/>
                <w:lang w:eastAsia="en-US"/>
              </w:rPr>
              <w:t>mg: 125</w:t>
            </w:r>
            <w:r w:rsidR="00C90897">
              <w:rPr>
                <w:rFonts w:eastAsia="Times New Roman"/>
                <w:lang w:eastAsia="en-US"/>
              </w:rPr>
              <w:t> </w:t>
            </w:r>
            <w:r w:rsidRPr="00BA1F22">
              <w:rPr>
                <w:rFonts w:eastAsia="Times New Roman"/>
                <w:lang w:eastAsia="en-US"/>
              </w:rPr>
              <w:t>mg bid</w:t>
            </w:r>
          </w:p>
          <w:p w:rsidR="001D0FDA" w:rsidRPr="008D73C9" w:rsidRDefault="001D0FDA" w:rsidP="001D0FDA">
            <w:pPr>
              <w:pStyle w:val="Tabletext"/>
              <w:rPr>
                <w:rFonts w:eastAsia="Times New Roman"/>
                <w:lang w:eastAsia="en-US"/>
              </w:rPr>
            </w:pPr>
          </w:p>
          <w:p w:rsidR="001D0FDA" w:rsidRPr="00455DBB" w:rsidRDefault="001D0FDA" w:rsidP="001D0FDA">
            <w:pPr>
              <w:pStyle w:val="Tabletext"/>
              <w:rPr>
                <w:rFonts w:eastAsia="Times New Roman"/>
                <w:i/>
                <w:lang w:eastAsia="en-US"/>
              </w:rPr>
            </w:pPr>
            <w:r w:rsidRPr="00455DBB">
              <w:rPr>
                <w:rFonts w:eastAsia="Times New Roman"/>
                <w:i/>
                <w:lang w:eastAsia="en-US"/>
              </w:rPr>
              <w:t>Combination therapy</w:t>
            </w:r>
          </w:p>
          <w:p w:rsidR="001D0FDA" w:rsidRDefault="001D0FDA" w:rsidP="001D0FDA">
            <w:pPr>
              <w:pStyle w:val="Tabletext"/>
              <w:rPr>
                <w:rFonts w:cs="Tahoma"/>
                <w:i/>
                <w:szCs w:val="18"/>
              </w:rPr>
            </w:pPr>
            <w:r>
              <w:rPr>
                <w:rFonts w:eastAsia="Times New Roman"/>
                <w:lang w:eastAsia="en-US"/>
              </w:rPr>
              <w:t>Sildenafil</w:t>
            </w:r>
            <w:r w:rsidRPr="008D73C9">
              <w:rPr>
                <w:rFonts w:eastAsia="Times New Roman"/>
                <w:lang w:eastAsia="en-US"/>
              </w:rPr>
              <w:t xml:space="preserve"> and/or EPO (34%-63%)</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Kallen 2008</w:t>
            </w:r>
            <w:r w:rsidR="001D34EE" w:rsidRPr="001A1C44">
              <w:rPr>
                <w:rFonts w:eastAsia="Times New Roman"/>
                <w:noProof/>
                <w:vertAlign w:val="superscript"/>
                <w:lang w:eastAsia="en-US"/>
              </w:rPr>
              <w:t>59</w:t>
            </w:r>
          </w:p>
          <w:p w:rsidR="001D0FDA" w:rsidRPr="008D73C9" w:rsidRDefault="001D0FDA" w:rsidP="001D0FDA">
            <w:pPr>
              <w:pStyle w:val="Tabletext"/>
              <w:ind w:right="-28"/>
              <w:rPr>
                <w:rFonts w:eastAsia="Times New Roman"/>
                <w:lang w:eastAsia="en-US"/>
              </w:rPr>
            </w:pPr>
            <w:r w:rsidRPr="008D73C9">
              <w:rPr>
                <w:rFonts w:eastAsia="Times New Roman"/>
                <w:lang w:eastAsia="en-US"/>
              </w:rPr>
              <w:t>2004-2006</w:t>
            </w:r>
          </w:p>
          <w:p w:rsidR="001D0FDA" w:rsidRPr="008D73C9" w:rsidRDefault="001D0FDA" w:rsidP="001D0FDA">
            <w:pPr>
              <w:pStyle w:val="Tabletext"/>
              <w:ind w:right="-28"/>
              <w:rPr>
                <w:rFonts w:eastAsia="Times New Roman"/>
                <w:lang w:eastAsia="en-US"/>
              </w:rPr>
            </w:pPr>
            <w:r w:rsidRPr="008D73C9">
              <w:rPr>
                <w:rFonts w:eastAsia="Times New Roman"/>
                <w:lang w:eastAsia="en-US"/>
              </w:rPr>
              <w:t>US</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4 years</w:t>
            </w:r>
          </w:p>
        </w:tc>
        <w:tc>
          <w:tcPr>
            <w:tcW w:w="1096" w:type="pct"/>
          </w:tcPr>
          <w:p w:rsidR="001D0FDA" w:rsidRPr="00BA1F22" w:rsidRDefault="001D0FDA" w:rsidP="001D0FDA">
            <w:pPr>
              <w:pStyle w:val="Tabletext"/>
              <w:rPr>
                <w:rFonts w:cs="Tahoma"/>
                <w:i/>
                <w:szCs w:val="18"/>
              </w:rPr>
            </w:pPr>
            <w:r w:rsidRPr="00BA1F22">
              <w:rPr>
                <w:rFonts w:cs="Tahoma"/>
                <w:i/>
                <w:szCs w:val="18"/>
              </w:rPr>
              <w:t>Inclusion criteria</w:t>
            </w:r>
          </w:p>
          <w:p w:rsidR="001D0FDA" w:rsidRPr="00BB51A1" w:rsidRDefault="001D0FDA" w:rsidP="00480FDF">
            <w:pPr>
              <w:pStyle w:val="Tabletext"/>
              <w:numPr>
                <w:ilvl w:val="0"/>
                <w:numId w:val="54"/>
              </w:numPr>
              <w:ind w:left="239" w:hanging="144"/>
              <w:rPr>
                <w:rFonts w:cs="Tahoma"/>
                <w:i/>
                <w:szCs w:val="18"/>
              </w:rPr>
            </w:pPr>
            <w:r w:rsidRPr="00BA1F22">
              <w:rPr>
                <w:rFonts w:cs="Tahoma"/>
                <w:szCs w:val="18"/>
              </w:rPr>
              <w:t>Patients given treatment with IV prostanoid for PAH</w:t>
            </w:r>
          </w:p>
        </w:tc>
        <w:tc>
          <w:tcPr>
            <w:tcW w:w="1856" w:type="pct"/>
          </w:tcPr>
          <w:p w:rsidR="001D0FDA" w:rsidRDefault="001D0FDA" w:rsidP="001D0FDA">
            <w:pPr>
              <w:pStyle w:val="Tabletext"/>
              <w:rPr>
                <w:rFonts w:cs="Tahoma"/>
                <w:szCs w:val="18"/>
              </w:rPr>
            </w:pPr>
            <w:r>
              <w:rPr>
                <w:rFonts w:cs="Tahoma"/>
                <w:szCs w:val="18"/>
              </w:rPr>
              <w:t xml:space="preserve">N=195 </w:t>
            </w:r>
          </w:p>
          <w:p w:rsidR="001D0FDA" w:rsidRDefault="001D0FDA" w:rsidP="001D0FDA">
            <w:pPr>
              <w:pStyle w:val="Tabletext"/>
              <w:rPr>
                <w:rFonts w:cs="Tahoma"/>
                <w:szCs w:val="18"/>
              </w:rPr>
            </w:pPr>
            <w:r>
              <w:rPr>
                <w:rFonts w:cs="Tahoma"/>
                <w:szCs w:val="18"/>
              </w:rPr>
              <w:t xml:space="preserve">(data on baseline characteristics only available for 158 patients) </w:t>
            </w:r>
          </w:p>
          <w:p w:rsidR="001D0FDA" w:rsidRDefault="001D0FDA" w:rsidP="001D0FDA">
            <w:pPr>
              <w:pStyle w:val="Tabletext"/>
              <w:rPr>
                <w:rFonts w:cs="Tahoma"/>
                <w:szCs w:val="18"/>
              </w:rPr>
            </w:pPr>
            <w:r>
              <w:rPr>
                <w:rFonts w:cs="Tahoma"/>
                <w:szCs w:val="18"/>
              </w:rPr>
              <w:t>Age, median (yrs): 47</w:t>
            </w:r>
          </w:p>
          <w:p w:rsidR="001D0FDA" w:rsidRDefault="001D0FDA" w:rsidP="001D0FDA">
            <w:pPr>
              <w:pStyle w:val="Tabletext"/>
              <w:rPr>
                <w:rFonts w:cs="Tahoma"/>
                <w:szCs w:val="18"/>
              </w:rPr>
            </w:pPr>
            <w:r w:rsidRPr="00351FF5">
              <w:rPr>
                <w:rFonts w:cs="Tahoma"/>
                <w:szCs w:val="18"/>
              </w:rPr>
              <w:t xml:space="preserve">Gender, </w:t>
            </w:r>
            <w:r>
              <w:rPr>
                <w:rFonts w:cs="Tahoma"/>
                <w:szCs w:val="18"/>
              </w:rPr>
              <w:t>female, n (%): 124 (78%)</w:t>
            </w:r>
          </w:p>
          <w:p w:rsidR="001D0FDA" w:rsidRPr="00C41328" w:rsidRDefault="001D0FDA" w:rsidP="001D0FDA">
            <w:pPr>
              <w:pStyle w:val="Tabletext"/>
              <w:rPr>
                <w:rFonts w:cs="Tahoma"/>
                <w:szCs w:val="18"/>
              </w:rPr>
            </w:pPr>
            <w:r w:rsidRPr="005800C5">
              <w:rPr>
                <w:rFonts w:cs="Tahoma"/>
                <w:szCs w:val="18"/>
              </w:rPr>
              <w:t>Duration of IV prostanoid treatment</w:t>
            </w:r>
            <w:r>
              <w:rPr>
                <w:rFonts w:cs="Tahoma"/>
                <w:szCs w:val="18"/>
              </w:rPr>
              <w:t xml:space="preserve">, median (yrs): 4 </w:t>
            </w:r>
          </w:p>
        </w:tc>
        <w:tc>
          <w:tcPr>
            <w:tcW w:w="1047" w:type="pct"/>
          </w:tcPr>
          <w:p w:rsidR="001D0FDA" w:rsidRDefault="001D0FDA" w:rsidP="001D0FDA">
            <w:pPr>
              <w:pStyle w:val="Tabletext"/>
              <w:rPr>
                <w:rFonts w:cs="Tahoma"/>
                <w:i/>
                <w:szCs w:val="18"/>
              </w:rPr>
            </w:pPr>
            <w:r>
              <w:rPr>
                <w:rFonts w:cs="Tahoma"/>
                <w:i/>
                <w:szCs w:val="18"/>
              </w:rPr>
              <w:t>Intervention</w:t>
            </w:r>
          </w:p>
          <w:p w:rsidR="001D0FDA" w:rsidRPr="005800C5" w:rsidRDefault="001D0FDA" w:rsidP="001D0FDA">
            <w:pPr>
              <w:pStyle w:val="Tabletext"/>
              <w:rPr>
                <w:rFonts w:cs="Tahoma"/>
                <w:szCs w:val="18"/>
              </w:rPr>
            </w:pPr>
            <w:r>
              <w:rPr>
                <w:rFonts w:cs="Tahoma"/>
                <w:szCs w:val="18"/>
              </w:rPr>
              <w:t xml:space="preserve">Epoprostenol </w:t>
            </w:r>
            <w:r w:rsidRPr="00C41328">
              <w:rPr>
                <w:rFonts w:cs="Tahoma"/>
                <w:szCs w:val="18"/>
              </w:rPr>
              <w:t>(dose not stated)</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Keogh 2011</w:t>
            </w:r>
            <w:r w:rsidR="001D34EE" w:rsidRPr="001A1C44">
              <w:rPr>
                <w:rFonts w:eastAsia="Times New Roman"/>
                <w:noProof/>
                <w:vertAlign w:val="superscript"/>
                <w:lang w:eastAsia="en-US"/>
              </w:rPr>
              <w:t>60</w:t>
            </w:r>
          </w:p>
          <w:p w:rsidR="001D0FDA" w:rsidRPr="008D73C9" w:rsidRDefault="001D0FDA" w:rsidP="001D0FDA">
            <w:pPr>
              <w:pStyle w:val="Tabletext"/>
              <w:ind w:right="-28"/>
              <w:rPr>
                <w:rFonts w:eastAsia="Times New Roman"/>
                <w:lang w:eastAsia="en-US"/>
              </w:rPr>
            </w:pPr>
            <w:r w:rsidRPr="008D73C9">
              <w:rPr>
                <w:rFonts w:eastAsia="Times New Roman"/>
                <w:lang w:eastAsia="en-US"/>
              </w:rPr>
              <w:t>2004-2007</w:t>
            </w:r>
          </w:p>
          <w:p w:rsidR="001D0FDA" w:rsidRPr="008D73C9" w:rsidRDefault="001D0FDA" w:rsidP="001D0FDA">
            <w:pPr>
              <w:pStyle w:val="Tabletext"/>
              <w:ind w:right="-28"/>
              <w:rPr>
                <w:rFonts w:eastAsia="Times New Roman"/>
                <w:lang w:eastAsia="en-US"/>
              </w:rPr>
            </w:pPr>
            <w:r w:rsidRPr="008D73C9">
              <w:rPr>
                <w:rFonts w:eastAsia="Times New Roman"/>
                <w:lang w:eastAsia="en-US"/>
              </w:rPr>
              <w:t>Australia</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Prospective case series </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2.1 years</w:t>
            </w:r>
          </w:p>
        </w:tc>
        <w:tc>
          <w:tcPr>
            <w:tcW w:w="1096" w:type="pct"/>
          </w:tcPr>
          <w:p w:rsidR="001D0FDA" w:rsidRPr="004625EC" w:rsidRDefault="001D0FDA" w:rsidP="001D0FDA">
            <w:pPr>
              <w:pStyle w:val="Tabletext"/>
              <w:rPr>
                <w:rFonts w:cs="Tahoma"/>
                <w:i/>
                <w:szCs w:val="18"/>
              </w:rPr>
            </w:pPr>
            <w:r w:rsidRPr="004625EC">
              <w:rPr>
                <w:rFonts w:cs="Tahoma"/>
                <w:i/>
                <w:szCs w:val="18"/>
              </w:rPr>
              <w:t>Inclusion criteria</w:t>
            </w:r>
          </w:p>
          <w:p w:rsidR="001D0FDA" w:rsidRPr="004625EC" w:rsidRDefault="001D0FDA" w:rsidP="00480FDF">
            <w:pPr>
              <w:pStyle w:val="Tabletext"/>
              <w:numPr>
                <w:ilvl w:val="0"/>
                <w:numId w:val="54"/>
              </w:numPr>
              <w:ind w:left="239" w:hanging="144"/>
              <w:rPr>
                <w:rFonts w:cs="Tahoma"/>
                <w:szCs w:val="18"/>
              </w:rPr>
            </w:pPr>
            <w:r w:rsidRPr="004625EC">
              <w:rPr>
                <w:rFonts w:cs="Tahoma"/>
                <w:szCs w:val="18"/>
              </w:rPr>
              <w:t>Patients with IPAH or PAH-CTD who were already on bosentan or newly started bosentan therapy</w:t>
            </w:r>
          </w:p>
        </w:tc>
        <w:tc>
          <w:tcPr>
            <w:tcW w:w="1856"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N=528</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59±17</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406 (77%)</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4625EC">
              <w:rPr>
                <w:rFonts w:cs="Tahoma"/>
                <w:szCs w:val="18"/>
              </w:rPr>
              <w:t>IPAH: 306 (58%)</w:t>
            </w:r>
            <w:r>
              <w:rPr>
                <w:rFonts w:cs="Tahoma"/>
                <w:szCs w:val="18"/>
              </w:rPr>
              <w:t xml:space="preserve">; </w:t>
            </w:r>
            <w:r w:rsidRPr="004625EC">
              <w:rPr>
                <w:rFonts w:cs="Tahoma"/>
                <w:szCs w:val="18"/>
              </w:rPr>
              <w:t>PAH-CTD: 220 (42%)</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Default="001D0FDA" w:rsidP="001D0FDA">
            <w:pPr>
              <w:pStyle w:val="Tabletext"/>
              <w:ind w:left="239"/>
              <w:rPr>
                <w:rFonts w:cs="Tahoma"/>
                <w:szCs w:val="18"/>
              </w:rPr>
            </w:pPr>
            <w:r w:rsidRPr="004625EC">
              <w:rPr>
                <w:rFonts w:cs="Tahoma"/>
                <w:szCs w:val="18"/>
              </w:rPr>
              <w:t>II: 32 (6%)</w:t>
            </w:r>
            <w:r>
              <w:rPr>
                <w:rFonts w:cs="Tahoma"/>
                <w:szCs w:val="18"/>
              </w:rPr>
              <w:t xml:space="preserve">; </w:t>
            </w:r>
            <w:r w:rsidRPr="004625EC">
              <w:rPr>
                <w:rFonts w:cs="Tahoma"/>
                <w:szCs w:val="18"/>
              </w:rPr>
              <w:t>III: 370 (70%)</w:t>
            </w:r>
            <w:r>
              <w:rPr>
                <w:rFonts w:cs="Tahoma"/>
                <w:szCs w:val="18"/>
              </w:rPr>
              <w:t xml:space="preserve">; </w:t>
            </w:r>
            <w:r w:rsidRPr="004625EC">
              <w:rPr>
                <w:rFonts w:cs="Tahoma"/>
                <w:szCs w:val="18"/>
              </w:rPr>
              <w:t>IV 102 (19%)</w:t>
            </w:r>
          </w:p>
        </w:tc>
        <w:tc>
          <w:tcPr>
            <w:tcW w:w="1047" w:type="pct"/>
          </w:tcPr>
          <w:p w:rsidR="001D0FDA" w:rsidRDefault="001D0FDA" w:rsidP="001D0FDA">
            <w:pPr>
              <w:pStyle w:val="Tabletext"/>
              <w:rPr>
                <w:rFonts w:cs="Tahoma"/>
                <w:i/>
                <w:szCs w:val="18"/>
              </w:rPr>
            </w:pPr>
            <w:r>
              <w:rPr>
                <w:rFonts w:cs="Tahoma"/>
                <w:i/>
                <w:szCs w:val="18"/>
              </w:rPr>
              <w:t>Intervention</w:t>
            </w:r>
          </w:p>
          <w:p w:rsidR="001D0FDA" w:rsidRPr="008D73C9" w:rsidRDefault="001D0FDA" w:rsidP="001D0FDA">
            <w:pPr>
              <w:pStyle w:val="Tabletext"/>
              <w:rPr>
                <w:rFonts w:eastAsia="Times New Roman"/>
                <w:lang w:eastAsia="en-US"/>
              </w:rPr>
            </w:pPr>
            <w:r w:rsidRPr="008D73C9">
              <w:rPr>
                <w:rFonts w:eastAsia="Times New Roman"/>
                <w:lang w:eastAsia="en-US"/>
              </w:rPr>
              <w:t>B</w:t>
            </w:r>
            <w:r>
              <w:rPr>
                <w:rFonts w:eastAsia="Times New Roman"/>
                <w:lang w:eastAsia="en-US"/>
              </w:rPr>
              <w:t>osentan (dose not stated)</w:t>
            </w:r>
          </w:p>
          <w:p w:rsidR="001D0FDA" w:rsidRPr="008D73C9" w:rsidRDefault="001D0FDA" w:rsidP="001D0FDA">
            <w:pPr>
              <w:pStyle w:val="Tabletext"/>
              <w:rPr>
                <w:rFonts w:eastAsia="Times New Roman"/>
                <w:lang w:eastAsia="en-US"/>
              </w:rPr>
            </w:pPr>
          </w:p>
          <w:p w:rsidR="001D0FDA" w:rsidRPr="00455DBB" w:rsidRDefault="001D0FDA" w:rsidP="001D0FDA">
            <w:pPr>
              <w:pStyle w:val="Tabletext"/>
              <w:rPr>
                <w:rFonts w:eastAsia="Times New Roman"/>
                <w:i/>
                <w:lang w:eastAsia="en-US"/>
              </w:rPr>
            </w:pPr>
            <w:r w:rsidRPr="00455DBB">
              <w:rPr>
                <w:rFonts w:eastAsia="Times New Roman"/>
                <w:i/>
                <w:lang w:eastAsia="en-US"/>
              </w:rPr>
              <w:t>Combination therapy</w:t>
            </w:r>
          </w:p>
          <w:p w:rsidR="001D0FDA" w:rsidRDefault="001D0FDA" w:rsidP="001D0FDA">
            <w:pPr>
              <w:pStyle w:val="Tabletext"/>
              <w:rPr>
                <w:rFonts w:cs="Tahoma"/>
                <w:i/>
                <w:szCs w:val="18"/>
              </w:rPr>
            </w:pPr>
            <w:r>
              <w:rPr>
                <w:rFonts w:eastAsia="Times New Roman"/>
                <w:lang w:eastAsia="en-US"/>
              </w:rPr>
              <w:t>Sildenafil or prostanoid</w:t>
            </w:r>
            <w:r w:rsidRPr="008D73C9">
              <w:rPr>
                <w:rFonts w:eastAsia="Times New Roman"/>
                <w:lang w:eastAsia="en-US"/>
              </w:rPr>
              <w:t xml:space="preserve"> (11%)</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Kitterman 2012</w:t>
            </w:r>
            <w:r w:rsidR="001D34EE" w:rsidRPr="001A1C44">
              <w:rPr>
                <w:rFonts w:eastAsia="Times New Roman"/>
                <w:noProof/>
                <w:vertAlign w:val="superscript"/>
                <w:lang w:eastAsia="en-US"/>
              </w:rPr>
              <w:t>61</w:t>
            </w:r>
          </w:p>
          <w:p w:rsidR="001D0FDA" w:rsidRPr="008D73C9" w:rsidRDefault="001D0FDA" w:rsidP="001D0FDA">
            <w:pPr>
              <w:pStyle w:val="Tabletext"/>
              <w:ind w:right="-28"/>
              <w:rPr>
                <w:rFonts w:eastAsia="Times New Roman"/>
                <w:lang w:eastAsia="en-US"/>
              </w:rPr>
            </w:pPr>
            <w:r w:rsidRPr="008D73C9">
              <w:rPr>
                <w:rFonts w:eastAsia="Times New Roman"/>
                <w:lang w:eastAsia="en-US"/>
              </w:rPr>
              <w:t>2006-2010</w:t>
            </w:r>
          </w:p>
          <w:p w:rsidR="001D0FDA" w:rsidRPr="008D73C9" w:rsidRDefault="001D0FDA" w:rsidP="001D0FDA">
            <w:pPr>
              <w:pStyle w:val="Tabletext"/>
              <w:ind w:right="-28"/>
              <w:rPr>
                <w:rFonts w:eastAsia="Times New Roman"/>
                <w:lang w:eastAsia="en-US"/>
              </w:rPr>
            </w:pPr>
            <w:r w:rsidRPr="008D73C9">
              <w:rPr>
                <w:rFonts w:eastAsia="Times New Roman"/>
                <w:lang w:eastAsia="en-US"/>
              </w:rPr>
              <w:t>US</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2 years</w:t>
            </w:r>
          </w:p>
        </w:tc>
        <w:tc>
          <w:tcPr>
            <w:tcW w:w="1096" w:type="pct"/>
          </w:tcPr>
          <w:p w:rsidR="001D0FDA" w:rsidRPr="004625EC" w:rsidRDefault="001D0FDA" w:rsidP="001D0FDA">
            <w:pPr>
              <w:pStyle w:val="Tabletext"/>
              <w:rPr>
                <w:rFonts w:cs="Tahoma"/>
                <w:i/>
                <w:szCs w:val="18"/>
              </w:rPr>
            </w:pPr>
            <w:r w:rsidRPr="004625EC">
              <w:rPr>
                <w:rFonts w:cs="Tahoma"/>
                <w:i/>
                <w:szCs w:val="18"/>
              </w:rPr>
              <w:t>Inclusion criteria</w:t>
            </w:r>
          </w:p>
          <w:p w:rsidR="001D0FDA" w:rsidRPr="00BA1F22" w:rsidRDefault="001D0FDA" w:rsidP="00480FDF">
            <w:pPr>
              <w:pStyle w:val="Tabletext"/>
              <w:numPr>
                <w:ilvl w:val="0"/>
                <w:numId w:val="54"/>
              </w:numPr>
              <w:ind w:left="239" w:hanging="144"/>
              <w:rPr>
                <w:rFonts w:cs="Tahoma"/>
                <w:i/>
                <w:szCs w:val="18"/>
              </w:rPr>
            </w:pPr>
            <w:r w:rsidRPr="004625EC">
              <w:rPr>
                <w:rFonts w:cs="Tahoma"/>
                <w:szCs w:val="18"/>
              </w:rPr>
              <w:t xml:space="preserve">PAH patients </w:t>
            </w:r>
            <w:r>
              <w:rPr>
                <w:rFonts w:cs="Tahoma"/>
                <w:szCs w:val="18"/>
              </w:rPr>
              <w:t xml:space="preserve">who </w:t>
            </w:r>
            <w:r w:rsidRPr="004625EC">
              <w:rPr>
                <w:rFonts w:cs="Tahoma"/>
                <w:szCs w:val="18"/>
              </w:rPr>
              <w:t xml:space="preserve">either </w:t>
            </w:r>
            <w:r>
              <w:rPr>
                <w:rFonts w:cs="Tahoma"/>
                <w:szCs w:val="18"/>
              </w:rPr>
              <w:t>had</w:t>
            </w:r>
            <w:r w:rsidRPr="004625EC">
              <w:rPr>
                <w:rFonts w:cs="Tahoma"/>
                <w:szCs w:val="18"/>
              </w:rPr>
              <w:t xml:space="preserve"> already receiv</w:t>
            </w:r>
            <w:r>
              <w:rPr>
                <w:rFonts w:cs="Tahoma"/>
                <w:szCs w:val="18"/>
              </w:rPr>
              <w:t>ed</w:t>
            </w:r>
            <w:r w:rsidRPr="004625EC">
              <w:rPr>
                <w:rFonts w:cs="Tahoma"/>
                <w:szCs w:val="18"/>
              </w:rPr>
              <w:t xml:space="preserve"> or initiat</w:t>
            </w:r>
            <w:r>
              <w:rPr>
                <w:rFonts w:cs="Tahoma"/>
                <w:szCs w:val="18"/>
              </w:rPr>
              <w:t>ed</w:t>
            </w:r>
            <w:r w:rsidRPr="004625EC">
              <w:rPr>
                <w:rFonts w:cs="Tahoma"/>
                <w:szCs w:val="18"/>
              </w:rPr>
              <w:t xml:space="preserve"> IV prostanoid (epoprostenol or treprostinil</w:t>
            </w:r>
            <w:r>
              <w:rPr>
                <w:rFonts w:cs="Tahoma"/>
                <w:szCs w:val="18"/>
              </w:rPr>
              <w:t>)</w:t>
            </w:r>
          </w:p>
        </w:tc>
        <w:tc>
          <w:tcPr>
            <w:tcW w:w="1856"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N=1,146</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sidRPr="004625EC">
              <w:rPr>
                <w:rFonts w:cs="Tahoma"/>
                <w:szCs w:val="18"/>
              </w:rPr>
              <w:t>48±16</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w:t>
            </w:r>
            <w:r w:rsidRPr="004625EC">
              <w:rPr>
                <w:rFonts w:cs="Tahoma"/>
                <w:szCs w:val="18"/>
              </w:rPr>
              <w:t>905 (79%)</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76072C">
              <w:rPr>
                <w:rFonts w:cs="Tahoma"/>
                <w:szCs w:val="18"/>
              </w:rPr>
              <w:t>IPAH: 585 (51%)</w:t>
            </w:r>
            <w:r>
              <w:rPr>
                <w:rFonts w:cs="Tahoma"/>
                <w:szCs w:val="18"/>
              </w:rPr>
              <w:t xml:space="preserve">; </w:t>
            </w:r>
            <w:r w:rsidRPr="0076072C">
              <w:rPr>
                <w:rFonts w:cs="Tahoma"/>
                <w:szCs w:val="18"/>
              </w:rPr>
              <w:t>HPAH: 50 (4%)</w:t>
            </w:r>
            <w:r>
              <w:rPr>
                <w:rFonts w:cs="Tahoma"/>
                <w:szCs w:val="18"/>
              </w:rPr>
              <w:t xml:space="preserve">; </w:t>
            </w:r>
            <w:r w:rsidRPr="0076072C">
              <w:rPr>
                <w:rFonts w:cs="Tahoma"/>
                <w:szCs w:val="18"/>
              </w:rPr>
              <w:t>PAH-CTD: 258 (23%)</w:t>
            </w:r>
            <w:r>
              <w:rPr>
                <w:rFonts w:cs="Tahoma"/>
                <w:szCs w:val="18"/>
              </w:rPr>
              <w:t xml:space="preserve">; </w:t>
            </w:r>
            <w:r w:rsidRPr="0076072C">
              <w:rPr>
                <w:rFonts w:cs="Tahoma"/>
                <w:szCs w:val="18"/>
              </w:rPr>
              <w:t>PAH-CHD: 89 (8%)</w:t>
            </w:r>
            <w:r>
              <w:rPr>
                <w:rFonts w:cs="Tahoma"/>
                <w:szCs w:val="18"/>
              </w:rPr>
              <w:t xml:space="preserve">; </w:t>
            </w:r>
            <w:r w:rsidRPr="0076072C">
              <w:rPr>
                <w:rFonts w:cs="Tahoma"/>
                <w:szCs w:val="18"/>
              </w:rPr>
              <w:t>PAH-PH: 67 (6%)</w:t>
            </w:r>
            <w:r>
              <w:rPr>
                <w:rFonts w:cs="Tahoma"/>
                <w:szCs w:val="18"/>
              </w:rPr>
              <w:t xml:space="preserve">; </w:t>
            </w:r>
            <w:r w:rsidRPr="0076072C">
              <w:rPr>
                <w:rFonts w:cs="Tahoma"/>
                <w:szCs w:val="18"/>
              </w:rPr>
              <w:t>PAH-DT: 61 (5%)</w:t>
            </w:r>
            <w:r>
              <w:rPr>
                <w:rFonts w:cs="Tahoma"/>
                <w:szCs w:val="18"/>
              </w:rPr>
              <w:t xml:space="preserve">; </w:t>
            </w:r>
            <w:r w:rsidRPr="0076072C">
              <w:rPr>
                <w:rFonts w:cs="Tahoma"/>
                <w:szCs w:val="18"/>
              </w:rPr>
              <w:t>PAH-HIV: 23 (2%)</w:t>
            </w:r>
            <w:r>
              <w:rPr>
                <w:rFonts w:cs="Tahoma"/>
                <w:szCs w:val="18"/>
              </w:rPr>
              <w:t xml:space="preserve">; </w:t>
            </w:r>
            <w:r w:rsidRPr="0076072C">
              <w:rPr>
                <w:rFonts w:cs="Tahoma"/>
                <w:szCs w:val="18"/>
              </w:rPr>
              <w:t>Other associated PAH: 2 (1%)</w:t>
            </w:r>
            <w:r>
              <w:rPr>
                <w:rFonts w:cs="Tahoma"/>
                <w:szCs w:val="18"/>
              </w:rPr>
              <w:t xml:space="preserve">; </w:t>
            </w:r>
            <w:r w:rsidRPr="0076072C">
              <w:rPr>
                <w:rFonts w:cs="Tahoma"/>
                <w:szCs w:val="18"/>
              </w:rPr>
              <w:t>Pulmonary veno-occlusive disease: 2 (0.2%)</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Default="001D0FDA" w:rsidP="001D0FDA">
            <w:pPr>
              <w:pStyle w:val="Tabletext"/>
              <w:ind w:left="239"/>
              <w:rPr>
                <w:rFonts w:cs="Tahoma"/>
                <w:szCs w:val="18"/>
              </w:rPr>
            </w:pPr>
            <w:r w:rsidRPr="0076072C">
              <w:rPr>
                <w:rFonts w:cs="Tahoma"/>
                <w:szCs w:val="18"/>
              </w:rPr>
              <w:t>I: 65 (6%)</w:t>
            </w:r>
            <w:r>
              <w:rPr>
                <w:rFonts w:cs="Tahoma"/>
                <w:szCs w:val="18"/>
              </w:rPr>
              <w:t xml:space="preserve">; </w:t>
            </w:r>
            <w:r w:rsidRPr="0076072C">
              <w:rPr>
                <w:rFonts w:cs="Tahoma"/>
                <w:szCs w:val="18"/>
              </w:rPr>
              <w:t>II: 318 (30%)</w:t>
            </w:r>
            <w:r>
              <w:rPr>
                <w:rFonts w:cs="Tahoma"/>
                <w:szCs w:val="18"/>
              </w:rPr>
              <w:t xml:space="preserve">; </w:t>
            </w:r>
            <w:r w:rsidRPr="0076072C">
              <w:rPr>
                <w:rFonts w:cs="Tahoma"/>
                <w:szCs w:val="18"/>
              </w:rPr>
              <w:t>III: 542 (52%)</w:t>
            </w:r>
            <w:r>
              <w:rPr>
                <w:rFonts w:cs="Tahoma"/>
                <w:szCs w:val="18"/>
              </w:rPr>
              <w:t xml:space="preserve">; </w:t>
            </w:r>
            <w:r w:rsidRPr="0076072C">
              <w:rPr>
                <w:rFonts w:cs="Tahoma"/>
                <w:szCs w:val="18"/>
              </w:rPr>
              <w:t>IV: 123 (12%)</w:t>
            </w:r>
          </w:p>
          <w:p w:rsidR="001D0FDA" w:rsidRDefault="001D0FDA" w:rsidP="001D0FDA">
            <w:pPr>
              <w:pStyle w:val="Tabletext"/>
              <w:rPr>
                <w:rFonts w:cs="Tahoma"/>
                <w:szCs w:val="18"/>
              </w:rPr>
            </w:pPr>
            <w:r>
              <w:rPr>
                <w:rFonts w:cs="Tahoma"/>
                <w:szCs w:val="18"/>
              </w:rPr>
              <w:t>Time from diagnosis to enrolment, mean</w:t>
            </w:r>
            <w:r w:rsidRPr="00C41328">
              <w:rPr>
                <w:rFonts w:cs="Tahoma"/>
                <w:szCs w:val="18"/>
              </w:rPr>
              <w:t>±</w:t>
            </w:r>
            <w:r>
              <w:rPr>
                <w:rFonts w:cs="Tahoma"/>
                <w:szCs w:val="18"/>
              </w:rPr>
              <w:t>SD (mths)</w:t>
            </w:r>
            <w:r w:rsidRPr="00C41328">
              <w:rPr>
                <w:rFonts w:cs="Tahoma"/>
                <w:szCs w:val="18"/>
              </w:rPr>
              <w:t>:</w:t>
            </w:r>
            <w:r>
              <w:rPr>
                <w:rFonts w:cs="Tahoma"/>
                <w:szCs w:val="18"/>
              </w:rPr>
              <w:t xml:space="preserve"> </w:t>
            </w:r>
            <w:r w:rsidRPr="0076072C">
              <w:rPr>
                <w:rFonts w:cs="Tahoma"/>
                <w:szCs w:val="18"/>
              </w:rPr>
              <w:t>38±42</w:t>
            </w:r>
          </w:p>
        </w:tc>
        <w:tc>
          <w:tcPr>
            <w:tcW w:w="1047" w:type="pct"/>
          </w:tcPr>
          <w:p w:rsidR="001D0FDA" w:rsidRDefault="001D0FDA" w:rsidP="001D0FDA">
            <w:pPr>
              <w:pStyle w:val="Tabletext"/>
              <w:rPr>
                <w:rFonts w:cs="Tahoma"/>
                <w:i/>
                <w:szCs w:val="18"/>
              </w:rPr>
            </w:pPr>
            <w:r>
              <w:rPr>
                <w:rFonts w:cs="Tahoma"/>
                <w:i/>
                <w:szCs w:val="18"/>
              </w:rPr>
              <w:t>Intervention</w:t>
            </w:r>
          </w:p>
          <w:p w:rsidR="001D0FDA" w:rsidRDefault="001D0FDA" w:rsidP="001D0FDA">
            <w:pPr>
              <w:pStyle w:val="Tabletext"/>
              <w:rPr>
                <w:rFonts w:cs="Tahoma"/>
                <w:i/>
                <w:szCs w:val="18"/>
              </w:rPr>
            </w:pPr>
            <w:r>
              <w:rPr>
                <w:rFonts w:eastAsia="Times New Roman"/>
                <w:lang w:eastAsia="en-US"/>
              </w:rPr>
              <w:t>E</w:t>
            </w:r>
            <w:r w:rsidRPr="0076072C">
              <w:rPr>
                <w:rFonts w:eastAsia="Times New Roman"/>
                <w:lang w:eastAsia="en-US"/>
              </w:rPr>
              <w:t xml:space="preserve">poprostenol or treprostinil </w:t>
            </w:r>
            <w:r>
              <w:rPr>
                <w:rFonts w:eastAsia="Times New Roman"/>
                <w:lang w:eastAsia="en-US"/>
              </w:rPr>
              <w:t>(dose not stated)</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McLaughlin 2002</w:t>
            </w:r>
            <w:r w:rsidR="001D34EE" w:rsidRPr="001A1C44">
              <w:rPr>
                <w:rFonts w:eastAsia="Times New Roman"/>
                <w:noProof/>
                <w:vertAlign w:val="superscript"/>
                <w:lang w:eastAsia="en-US"/>
              </w:rPr>
              <w:t>62</w:t>
            </w:r>
          </w:p>
          <w:p w:rsidR="001D0FDA" w:rsidRPr="008D73C9" w:rsidRDefault="001D0FDA" w:rsidP="001D0FDA">
            <w:pPr>
              <w:pStyle w:val="Tabletext"/>
              <w:ind w:right="-28"/>
              <w:rPr>
                <w:rFonts w:eastAsia="Times New Roman"/>
                <w:lang w:eastAsia="en-US"/>
              </w:rPr>
            </w:pPr>
            <w:r w:rsidRPr="008D73C9">
              <w:rPr>
                <w:rFonts w:eastAsia="Times New Roman"/>
                <w:lang w:eastAsia="en-US"/>
              </w:rPr>
              <w:t>1991-2001</w:t>
            </w:r>
          </w:p>
          <w:p w:rsidR="001D0FDA" w:rsidRPr="008D73C9" w:rsidRDefault="001D0FDA" w:rsidP="001D0FDA">
            <w:pPr>
              <w:pStyle w:val="Tabletext"/>
              <w:ind w:right="-28"/>
              <w:rPr>
                <w:rFonts w:eastAsia="Times New Roman"/>
                <w:lang w:eastAsia="en-US"/>
              </w:rPr>
            </w:pPr>
            <w:r w:rsidRPr="008D73C9">
              <w:rPr>
                <w:rFonts w:eastAsia="Times New Roman"/>
                <w:lang w:eastAsia="en-US"/>
              </w:rPr>
              <w:t>US</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Case series (unclear if retrospective or prospective)</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Follow-up: 31 months</w:t>
            </w:r>
          </w:p>
        </w:tc>
        <w:tc>
          <w:tcPr>
            <w:tcW w:w="1096" w:type="pct"/>
          </w:tcPr>
          <w:p w:rsidR="001D0FDA" w:rsidRPr="00323BBF" w:rsidRDefault="001D0FDA" w:rsidP="001D0FDA">
            <w:pPr>
              <w:pStyle w:val="Tabletext"/>
              <w:rPr>
                <w:rFonts w:cs="Tahoma"/>
                <w:i/>
                <w:szCs w:val="18"/>
              </w:rPr>
            </w:pPr>
            <w:r w:rsidRPr="00323BBF">
              <w:rPr>
                <w:rFonts w:cs="Tahoma"/>
                <w:i/>
                <w:szCs w:val="18"/>
              </w:rPr>
              <w:t>Inclusion criteria</w:t>
            </w:r>
          </w:p>
          <w:p w:rsidR="001D0FDA" w:rsidRPr="00BA1F22" w:rsidRDefault="001D0FDA" w:rsidP="00480FDF">
            <w:pPr>
              <w:pStyle w:val="Tabletext"/>
              <w:numPr>
                <w:ilvl w:val="0"/>
                <w:numId w:val="54"/>
              </w:numPr>
              <w:ind w:left="239" w:hanging="144"/>
              <w:rPr>
                <w:rFonts w:cs="Tahoma"/>
                <w:i/>
                <w:szCs w:val="18"/>
              </w:rPr>
            </w:pPr>
            <w:r w:rsidRPr="00323BBF">
              <w:rPr>
                <w:rFonts w:cs="Tahoma"/>
                <w:szCs w:val="18"/>
              </w:rPr>
              <w:t xml:space="preserve">Patients with primary PAH </w:t>
            </w:r>
            <w:r>
              <w:rPr>
                <w:rFonts w:cs="Tahoma"/>
                <w:szCs w:val="18"/>
              </w:rPr>
              <w:t xml:space="preserve">who were </w:t>
            </w:r>
            <w:r w:rsidRPr="00323BBF">
              <w:rPr>
                <w:rFonts w:cs="Tahoma"/>
                <w:szCs w:val="18"/>
              </w:rPr>
              <w:t>treated with epoprostenol</w:t>
            </w:r>
          </w:p>
        </w:tc>
        <w:tc>
          <w:tcPr>
            <w:tcW w:w="1856"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N=162</w:t>
            </w:r>
          </w:p>
          <w:p w:rsidR="001D0FDA" w:rsidRPr="00C41328" w:rsidRDefault="001D0FDA" w:rsidP="001D0FDA">
            <w:pPr>
              <w:pStyle w:val="Tabletext"/>
              <w:rPr>
                <w:rFonts w:cs="Tahoma"/>
                <w:szCs w:val="18"/>
              </w:rPr>
            </w:pPr>
            <w:r w:rsidRPr="00C41328">
              <w:rPr>
                <w:rFonts w:cs="Tahoma"/>
                <w:szCs w:val="18"/>
              </w:rPr>
              <w:t>Age</w:t>
            </w:r>
            <w:r>
              <w:rPr>
                <w:rFonts w:cs="Tahoma"/>
                <w:szCs w:val="18"/>
              </w:rPr>
              <w:t>, mean (yrs)</w:t>
            </w:r>
            <w:r w:rsidRPr="00C41328">
              <w:rPr>
                <w:rFonts w:cs="Tahoma"/>
                <w:szCs w:val="18"/>
              </w:rPr>
              <w:t xml:space="preserve">: </w:t>
            </w:r>
            <w:r w:rsidRPr="004625EC">
              <w:rPr>
                <w:rFonts w:cs="Tahoma"/>
                <w:szCs w:val="18"/>
              </w:rPr>
              <w:t>4</w:t>
            </w:r>
            <w:r>
              <w:rPr>
                <w:rFonts w:cs="Tahoma"/>
                <w:szCs w:val="18"/>
              </w:rPr>
              <w:t>2</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:male ratio: 3:1</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323BBF">
              <w:rPr>
                <w:rFonts w:cs="Tahoma"/>
                <w:szCs w:val="18"/>
              </w:rPr>
              <w:t>IPAH: 127 (78%)</w:t>
            </w:r>
            <w:r>
              <w:rPr>
                <w:rFonts w:cs="Tahoma"/>
                <w:szCs w:val="18"/>
              </w:rPr>
              <w:t xml:space="preserve">; </w:t>
            </w:r>
            <w:r w:rsidRPr="00323BBF">
              <w:rPr>
                <w:rFonts w:cs="Tahoma"/>
                <w:szCs w:val="18"/>
              </w:rPr>
              <w:t>HPAH: 22 (14%)</w:t>
            </w:r>
            <w:r>
              <w:rPr>
                <w:rFonts w:cs="Tahoma"/>
                <w:szCs w:val="18"/>
              </w:rPr>
              <w:t xml:space="preserve">; </w:t>
            </w:r>
            <w:r w:rsidRPr="00323BBF">
              <w:rPr>
                <w:rFonts w:cs="Tahoma"/>
                <w:szCs w:val="18"/>
              </w:rPr>
              <w:t>PAH-DT: 13 (8%)</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Default="001D0FDA" w:rsidP="001D0FDA">
            <w:pPr>
              <w:pStyle w:val="Tabletext"/>
              <w:ind w:left="239"/>
              <w:rPr>
                <w:rFonts w:cs="Tahoma"/>
                <w:szCs w:val="18"/>
              </w:rPr>
            </w:pPr>
            <w:r w:rsidRPr="00323BBF">
              <w:rPr>
                <w:rFonts w:cs="Tahoma"/>
                <w:szCs w:val="18"/>
              </w:rPr>
              <w:t>III: 75 (46%)</w:t>
            </w:r>
            <w:r>
              <w:rPr>
                <w:rFonts w:cs="Tahoma"/>
                <w:szCs w:val="18"/>
              </w:rPr>
              <w:t xml:space="preserve">; </w:t>
            </w:r>
            <w:r w:rsidRPr="00323BBF">
              <w:rPr>
                <w:rFonts w:cs="Tahoma"/>
                <w:szCs w:val="18"/>
              </w:rPr>
              <w:t>IV: 87 (54%)</w:t>
            </w:r>
          </w:p>
        </w:tc>
        <w:tc>
          <w:tcPr>
            <w:tcW w:w="1047" w:type="pct"/>
          </w:tcPr>
          <w:p w:rsidR="001D0FDA" w:rsidRDefault="001D0FDA" w:rsidP="001D0FDA">
            <w:pPr>
              <w:pStyle w:val="Tabletext"/>
              <w:rPr>
                <w:rFonts w:cs="Tahoma"/>
                <w:i/>
                <w:szCs w:val="18"/>
              </w:rPr>
            </w:pPr>
            <w:r>
              <w:rPr>
                <w:rFonts w:cs="Tahoma"/>
                <w:i/>
                <w:szCs w:val="18"/>
              </w:rPr>
              <w:t>Intervention</w:t>
            </w:r>
          </w:p>
          <w:p w:rsidR="001D0FDA" w:rsidRDefault="001D0FDA" w:rsidP="001D0FDA">
            <w:pPr>
              <w:pStyle w:val="Tabletext"/>
              <w:rPr>
                <w:rFonts w:eastAsia="Times New Roman"/>
                <w:lang w:eastAsia="en-US"/>
              </w:rPr>
            </w:pPr>
            <w:r>
              <w:rPr>
                <w:rFonts w:eastAsia="Times New Roman"/>
                <w:lang w:eastAsia="en-US"/>
              </w:rPr>
              <w:t>E</w:t>
            </w:r>
            <w:r w:rsidRPr="0076072C">
              <w:rPr>
                <w:rFonts w:eastAsia="Times New Roman"/>
                <w:lang w:eastAsia="en-US"/>
              </w:rPr>
              <w:t>poprostenol</w:t>
            </w:r>
            <w:r>
              <w:rPr>
                <w:rFonts w:eastAsia="Times New Roman"/>
                <w:lang w:eastAsia="en-US"/>
              </w:rPr>
              <w:t>: initial dose of</w:t>
            </w:r>
            <w:r w:rsidRPr="007273D8">
              <w:rPr>
                <w:rFonts w:eastAsia="Times New Roman"/>
                <w:lang w:eastAsia="en-US"/>
              </w:rPr>
              <w:t xml:space="preserve"> 2</w:t>
            </w:r>
            <w:r w:rsidR="00C90897">
              <w:rPr>
                <w:rFonts w:eastAsia="Times New Roman"/>
                <w:lang w:eastAsia="en-US"/>
              </w:rPr>
              <w:t> </w:t>
            </w:r>
            <w:r w:rsidRPr="007273D8">
              <w:rPr>
                <w:rFonts w:eastAsia="Times New Roman"/>
                <w:lang w:eastAsia="en-US"/>
              </w:rPr>
              <w:t xml:space="preserve">ng/kg/min, gradually increased to a maximum tolerated dose, depending on the symptoms of </w:t>
            </w:r>
            <w:r>
              <w:rPr>
                <w:rFonts w:eastAsia="Times New Roman"/>
                <w:lang w:eastAsia="en-US"/>
              </w:rPr>
              <w:t>pulmonary hypertension</w:t>
            </w:r>
            <w:r w:rsidRPr="007273D8">
              <w:rPr>
                <w:rFonts w:eastAsia="Times New Roman"/>
                <w:lang w:eastAsia="en-US"/>
              </w:rPr>
              <w:t xml:space="preserve"> and side effects of epoprostenol</w:t>
            </w:r>
          </w:p>
          <w:p w:rsidR="001D0FDA" w:rsidRDefault="001D0FDA" w:rsidP="001D0FDA">
            <w:pPr>
              <w:pStyle w:val="Tabletext"/>
              <w:rPr>
                <w:rFonts w:eastAsia="Times New Roman"/>
                <w:lang w:eastAsia="en-US"/>
              </w:rPr>
            </w:pPr>
          </w:p>
          <w:p w:rsidR="001D0FDA" w:rsidRDefault="001D0FDA" w:rsidP="001D0FDA">
            <w:pPr>
              <w:pStyle w:val="Tabletext"/>
              <w:rPr>
                <w:rFonts w:cs="Tahoma"/>
                <w:i/>
                <w:szCs w:val="18"/>
              </w:rPr>
            </w:pP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Oudiz 2004</w:t>
            </w:r>
            <w:r w:rsidR="001D34EE" w:rsidRPr="001A1C44">
              <w:rPr>
                <w:rFonts w:eastAsia="Times New Roman"/>
                <w:noProof/>
                <w:vertAlign w:val="superscript"/>
                <w:lang w:eastAsia="en-US"/>
              </w:rPr>
              <w:t>63</w:t>
            </w:r>
          </w:p>
          <w:p w:rsidR="001D0FDA" w:rsidRPr="008D73C9" w:rsidRDefault="001D0FDA" w:rsidP="001D0FDA">
            <w:pPr>
              <w:pStyle w:val="Tabletext"/>
              <w:ind w:right="-28"/>
              <w:rPr>
                <w:rFonts w:eastAsia="Times New Roman"/>
                <w:lang w:eastAsia="en-US"/>
              </w:rPr>
            </w:pPr>
            <w:r w:rsidRPr="008D73C9">
              <w:rPr>
                <w:rFonts w:eastAsia="Times New Roman"/>
                <w:lang w:eastAsia="en-US"/>
              </w:rPr>
              <w:t>1987-2000</w:t>
            </w:r>
          </w:p>
          <w:p w:rsidR="001D0FDA" w:rsidRPr="008D73C9" w:rsidRDefault="001D0FDA" w:rsidP="001D0FDA">
            <w:pPr>
              <w:pStyle w:val="Tabletext"/>
              <w:ind w:right="-28"/>
              <w:rPr>
                <w:rFonts w:eastAsia="Times New Roman"/>
                <w:lang w:eastAsia="en-US"/>
              </w:rPr>
            </w:pPr>
            <w:r w:rsidRPr="008D73C9">
              <w:rPr>
                <w:rFonts w:eastAsia="Times New Roman"/>
                <w:lang w:eastAsia="en-US"/>
              </w:rPr>
              <w:t>US</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Retrospective and prospective case series </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3.6 years</w:t>
            </w:r>
          </w:p>
        </w:tc>
        <w:tc>
          <w:tcPr>
            <w:tcW w:w="1096" w:type="pct"/>
          </w:tcPr>
          <w:p w:rsidR="001D0FDA" w:rsidRPr="00BC2AD3" w:rsidRDefault="001D0FDA" w:rsidP="001D0FDA">
            <w:pPr>
              <w:pStyle w:val="Tabletext"/>
              <w:rPr>
                <w:rFonts w:cs="Tahoma"/>
                <w:i/>
                <w:szCs w:val="18"/>
              </w:rPr>
            </w:pPr>
            <w:r w:rsidRPr="00BC2AD3">
              <w:rPr>
                <w:rFonts w:cs="Tahoma"/>
                <w:i/>
                <w:szCs w:val="18"/>
              </w:rPr>
              <w:t>Inclusion criteria</w:t>
            </w:r>
          </w:p>
          <w:p w:rsidR="001D0FDA" w:rsidRPr="00323BBF" w:rsidRDefault="001D0FDA" w:rsidP="00480FDF">
            <w:pPr>
              <w:pStyle w:val="Tabletext"/>
              <w:numPr>
                <w:ilvl w:val="0"/>
                <w:numId w:val="54"/>
              </w:numPr>
              <w:ind w:left="239" w:hanging="144"/>
              <w:rPr>
                <w:rFonts w:cs="Tahoma"/>
                <w:i/>
                <w:szCs w:val="18"/>
              </w:rPr>
            </w:pPr>
            <w:r w:rsidRPr="00BC2AD3">
              <w:rPr>
                <w:rFonts w:cs="Tahoma"/>
                <w:szCs w:val="18"/>
              </w:rPr>
              <w:t>Patients with IPAH, PAH-CTD, PAH-CHD, PAH-HIV or PAH-PH</w:t>
            </w:r>
            <w:r>
              <w:rPr>
                <w:rFonts w:cs="Tahoma"/>
                <w:szCs w:val="18"/>
              </w:rPr>
              <w:t xml:space="preserve"> who were t</w:t>
            </w:r>
            <w:r w:rsidRPr="00BC2AD3">
              <w:rPr>
                <w:rFonts w:cs="Tahoma"/>
                <w:szCs w:val="18"/>
              </w:rPr>
              <w:t>reated with infusion of epoprostenol via a peripheral vein, with a right heart catheter in place</w:t>
            </w:r>
          </w:p>
        </w:tc>
        <w:tc>
          <w:tcPr>
            <w:tcW w:w="1856" w:type="pct"/>
          </w:tcPr>
          <w:p w:rsidR="001D0FDA" w:rsidRDefault="001D0FDA" w:rsidP="001D0FDA">
            <w:pPr>
              <w:pStyle w:val="Tabletext"/>
              <w:ind w:right="-28"/>
              <w:rPr>
                <w:rFonts w:eastAsia="Times New Roman"/>
                <w:lang w:eastAsia="en-US"/>
              </w:rPr>
            </w:pPr>
            <w:r w:rsidRPr="008D73C9">
              <w:rPr>
                <w:rFonts w:eastAsia="Times New Roman"/>
                <w:lang w:eastAsia="en-US"/>
              </w:rPr>
              <w:t>N=192</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40±22</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w:t>
            </w:r>
            <w:r w:rsidRPr="00C41328">
              <w:rPr>
                <w:rFonts w:cs="Tahoma"/>
                <w:szCs w:val="18"/>
              </w:rPr>
              <w:t xml:space="preserve">: </w:t>
            </w:r>
            <w:r>
              <w:rPr>
                <w:rFonts w:cs="Tahoma"/>
                <w:szCs w:val="18"/>
              </w:rPr>
              <w:t>79%</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 </w:t>
            </w:r>
          </w:p>
          <w:p w:rsidR="001D0FDA" w:rsidRPr="0088786E" w:rsidRDefault="001D0FDA" w:rsidP="001D0FDA">
            <w:pPr>
              <w:pStyle w:val="Tabletext"/>
              <w:ind w:left="239"/>
              <w:rPr>
                <w:rFonts w:cs="Tahoma"/>
                <w:szCs w:val="18"/>
              </w:rPr>
            </w:pPr>
            <w:r w:rsidRPr="0088786E">
              <w:rPr>
                <w:rFonts w:cs="Tahoma"/>
                <w:szCs w:val="18"/>
              </w:rPr>
              <w:t>IPAH: 65%</w:t>
            </w:r>
            <w:r>
              <w:rPr>
                <w:rFonts w:cs="Tahoma"/>
                <w:szCs w:val="18"/>
              </w:rPr>
              <w:t xml:space="preserve">; </w:t>
            </w:r>
            <w:r w:rsidRPr="0088786E">
              <w:rPr>
                <w:rFonts w:cs="Tahoma"/>
                <w:szCs w:val="18"/>
              </w:rPr>
              <w:t>PAH-CHD: 19%</w:t>
            </w:r>
            <w:r>
              <w:rPr>
                <w:rFonts w:cs="Tahoma"/>
                <w:szCs w:val="18"/>
              </w:rPr>
              <w:t xml:space="preserve">; </w:t>
            </w:r>
            <w:r w:rsidRPr="0088786E">
              <w:rPr>
                <w:rFonts w:cs="Tahoma"/>
                <w:szCs w:val="18"/>
              </w:rPr>
              <w:t>PAH-CTD: 12%</w:t>
            </w:r>
            <w:r>
              <w:rPr>
                <w:rFonts w:cs="Tahoma"/>
                <w:szCs w:val="18"/>
              </w:rPr>
              <w:t xml:space="preserve">; </w:t>
            </w:r>
            <w:r w:rsidRPr="0088786E">
              <w:rPr>
                <w:rFonts w:cs="Tahoma"/>
                <w:szCs w:val="18"/>
              </w:rPr>
              <w:t>PAH-PH: 2%</w:t>
            </w:r>
            <w:r>
              <w:rPr>
                <w:rFonts w:cs="Tahoma"/>
                <w:szCs w:val="18"/>
              </w:rPr>
              <w:t xml:space="preserve">; </w:t>
            </w:r>
            <w:r w:rsidRPr="0088786E">
              <w:rPr>
                <w:rFonts w:cs="Tahoma"/>
                <w:szCs w:val="18"/>
              </w:rPr>
              <w:t>PAH-HIV: 2%</w:t>
            </w:r>
          </w:p>
        </w:tc>
        <w:tc>
          <w:tcPr>
            <w:tcW w:w="1047" w:type="pct"/>
          </w:tcPr>
          <w:p w:rsidR="001D0FDA" w:rsidRDefault="001D0FDA" w:rsidP="001D0FDA">
            <w:pPr>
              <w:pStyle w:val="Tabletext"/>
              <w:rPr>
                <w:rFonts w:cs="Tahoma"/>
                <w:i/>
                <w:szCs w:val="18"/>
              </w:rPr>
            </w:pPr>
            <w:r>
              <w:rPr>
                <w:rFonts w:cs="Tahoma"/>
                <w:i/>
                <w:szCs w:val="18"/>
              </w:rPr>
              <w:t>Intervention</w:t>
            </w:r>
          </w:p>
          <w:p w:rsidR="001D0FDA" w:rsidRDefault="001D0FDA" w:rsidP="001D0FDA">
            <w:pPr>
              <w:pStyle w:val="Tabletext"/>
              <w:rPr>
                <w:rFonts w:cs="Tahoma"/>
                <w:i/>
                <w:szCs w:val="18"/>
              </w:rPr>
            </w:pPr>
            <w:r>
              <w:rPr>
                <w:rFonts w:eastAsia="Times New Roman"/>
                <w:lang w:eastAsia="en-US"/>
              </w:rPr>
              <w:t>E</w:t>
            </w:r>
            <w:r w:rsidRPr="0076072C">
              <w:rPr>
                <w:rFonts w:eastAsia="Times New Roman"/>
                <w:lang w:eastAsia="en-US"/>
              </w:rPr>
              <w:t>poprostenol</w:t>
            </w:r>
            <w:r>
              <w:rPr>
                <w:rFonts w:eastAsia="Times New Roman"/>
                <w:lang w:eastAsia="en-US"/>
              </w:rPr>
              <w:t xml:space="preserve"> (dose not stated)</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PACES extension study</w:t>
            </w:r>
            <w:r w:rsidR="001D34EE" w:rsidRPr="001A1C44">
              <w:rPr>
                <w:rFonts w:eastAsia="Times New Roman"/>
                <w:noProof/>
                <w:vertAlign w:val="superscript"/>
                <w:lang w:eastAsia="en-US"/>
              </w:rPr>
              <w:t>64</w:t>
            </w:r>
          </w:p>
          <w:p w:rsidR="001D0FDA" w:rsidRPr="008D73C9" w:rsidRDefault="001D0FDA" w:rsidP="001D0FDA">
            <w:pPr>
              <w:pStyle w:val="Tabletext"/>
              <w:ind w:right="-28"/>
              <w:rPr>
                <w:rFonts w:eastAsia="Times New Roman"/>
                <w:lang w:eastAsia="en-US"/>
              </w:rPr>
            </w:pPr>
            <w:r w:rsidRPr="008D73C9">
              <w:rPr>
                <w:rFonts w:eastAsia="Times New Roman"/>
                <w:lang w:eastAsia="en-US"/>
              </w:rPr>
              <w:t>2003-2009</w:t>
            </w:r>
          </w:p>
          <w:p w:rsidR="001D0FDA" w:rsidRPr="008D73C9" w:rsidRDefault="001D0FDA" w:rsidP="001D0FDA">
            <w:pPr>
              <w:pStyle w:val="Tabletext"/>
              <w:ind w:right="-28"/>
              <w:rPr>
                <w:rFonts w:eastAsia="Times New Roman"/>
                <w:lang w:eastAsia="en-US"/>
              </w:rPr>
            </w:pPr>
            <w:r w:rsidRPr="008D73C9">
              <w:rPr>
                <w:rFonts w:eastAsia="Times New Roman"/>
                <w:lang w:eastAsia="en-US"/>
              </w:rPr>
              <w:t>US, Canada, Europe, Israel</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 xml:space="preserve">3.2 years </w:t>
            </w:r>
          </w:p>
        </w:tc>
        <w:tc>
          <w:tcPr>
            <w:tcW w:w="1096" w:type="pct"/>
          </w:tcPr>
          <w:p w:rsidR="001D0FDA" w:rsidRPr="0088786E" w:rsidRDefault="001D0FDA" w:rsidP="001D0FDA">
            <w:pPr>
              <w:pStyle w:val="Tabletext"/>
              <w:rPr>
                <w:rFonts w:cs="Tahoma"/>
                <w:i/>
                <w:szCs w:val="18"/>
              </w:rPr>
            </w:pPr>
            <w:r>
              <w:rPr>
                <w:rFonts w:cs="Tahoma"/>
                <w:i/>
                <w:szCs w:val="18"/>
              </w:rPr>
              <w:t>Inclusion criteria</w:t>
            </w:r>
          </w:p>
          <w:p w:rsidR="001D0FDA" w:rsidRPr="0088786E" w:rsidRDefault="001D0FDA" w:rsidP="00480FDF">
            <w:pPr>
              <w:pStyle w:val="Tabletext"/>
              <w:numPr>
                <w:ilvl w:val="0"/>
                <w:numId w:val="54"/>
              </w:numPr>
              <w:ind w:left="239" w:hanging="144"/>
              <w:rPr>
                <w:rFonts w:cs="Tahoma"/>
                <w:szCs w:val="18"/>
              </w:rPr>
            </w:pPr>
            <w:r w:rsidRPr="0088786E">
              <w:rPr>
                <w:rFonts w:cs="Tahoma"/>
                <w:szCs w:val="18"/>
              </w:rPr>
              <w:t>Patients with IPAH, HPAH, PAH-CTD, PAH-CHD who completed Trial PACES</w:t>
            </w:r>
            <w:r>
              <w:rPr>
                <w:rFonts w:cs="Tahoma"/>
                <w:szCs w:val="18"/>
              </w:rPr>
              <w:t>-1</w:t>
            </w:r>
            <w:r w:rsidRPr="0088786E">
              <w:rPr>
                <w:rFonts w:cs="Tahoma"/>
                <w:szCs w:val="18"/>
              </w:rPr>
              <w:t xml:space="preserve"> </w:t>
            </w:r>
          </w:p>
          <w:p w:rsidR="001D0FDA" w:rsidRPr="0088786E" w:rsidRDefault="001D0FDA" w:rsidP="001D0FDA">
            <w:pPr>
              <w:pStyle w:val="Tabletext"/>
              <w:rPr>
                <w:rFonts w:cs="Tahoma"/>
                <w:i/>
                <w:szCs w:val="18"/>
              </w:rPr>
            </w:pPr>
          </w:p>
          <w:p w:rsidR="001D0FDA" w:rsidRPr="0088786E" w:rsidRDefault="001D0FDA" w:rsidP="001D0FDA">
            <w:pPr>
              <w:pStyle w:val="Tabletext"/>
              <w:rPr>
                <w:rFonts w:cs="Tahoma"/>
                <w:i/>
                <w:szCs w:val="18"/>
              </w:rPr>
            </w:pPr>
            <w:r>
              <w:rPr>
                <w:rFonts w:cs="Tahoma"/>
                <w:i/>
                <w:szCs w:val="18"/>
              </w:rPr>
              <w:t>Exclusion criteria</w:t>
            </w:r>
          </w:p>
          <w:p w:rsidR="001D0FDA" w:rsidRPr="00323BBF" w:rsidRDefault="001D0FDA" w:rsidP="00480FDF">
            <w:pPr>
              <w:pStyle w:val="Tabletext"/>
              <w:numPr>
                <w:ilvl w:val="0"/>
                <w:numId w:val="54"/>
              </w:numPr>
              <w:ind w:left="239" w:hanging="144"/>
              <w:rPr>
                <w:rFonts w:cs="Tahoma"/>
                <w:i/>
                <w:szCs w:val="18"/>
              </w:rPr>
            </w:pPr>
            <w:r>
              <w:rPr>
                <w:rFonts w:cs="Tahoma"/>
                <w:szCs w:val="18"/>
              </w:rPr>
              <w:t>U</w:t>
            </w:r>
            <w:r w:rsidRPr="0088786E">
              <w:rPr>
                <w:rFonts w:cs="Tahoma"/>
                <w:szCs w:val="18"/>
              </w:rPr>
              <w:t xml:space="preserve">se </w:t>
            </w:r>
            <w:r>
              <w:rPr>
                <w:rFonts w:cs="Tahoma"/>
                <w:szCs w:val="18"/>
              </w:rPr>
              <w:t xml:space="preserve">of </w:t>
            </w:r>
            <w:r w:rsidRPr="0088786E">
              <w:rPr>
                <w:rFonts w:cs="Tahoma"/>
                <w:szCs w:val="18"/>
              </w:rPr>
              <w:t xml:space="preserve">nitrates or </w:t>
            </w:r>
            <w:r>
              <w:rPr>
                <w:rFonts w:cs="Tahoma"/>
                <w:szCs w:val="18"/>
              </w:rPr>
              <w:t xml:space="preserve">nitric oxide </w:t>
            </w:r>
            <w:r w:rsidRPr="0088786E">
              <w:rPr>
                <w:rFonts w:cs="Tahoma"/>
                <w:szCs w:val="18"/>
              </w:rPr>
              <w:t>donors, protease inhibit</w:t>
            </w:r>
            <w:r>
              <w:rPr>
                <w:rFonts w:cs="Tahoma"/>
                <w:szCs w:val="18"/>
              </w:rPr>
              <w:t>ors, or α-blockers</w:t>
            </w:r>
          </w:p>
        </w:tc>
        <w:tc>
          <w:tcPr>
            <w:tcW w:w="1856" w:type="pct"/>
          </w:tcPr>
          <w:p w:rsidR="001D0FDA" w:rsidRPr="00AE1F16" w:rsidRDefault="001D0FDA" w:rsidP="001D0FDA">
            <w:pPr>
              <w:pStyle w:val="Tabletext"/>
              <w:ind w:right="-28"/>
              <w:rPr>
                <w:rFonts w:eastAsia="Times New Roman"/>
                <w:lang w:eastAsia="en-US"/>
              </w:rPr>
            </w:pPr>
            <w:r w:rsidRPr="008D73C9">
              <w:rPr>
                <w:rFonts w:eastAsia="Times New Roman"/>
                <w:lang w:eastAsia="en-US"/>
              </w:rPr>
              <w:t>N=265</w:t>
            </w:r>
            <w:r>
              <w:rPr>
                <w:rFonts w:eastAsia="Times New Roman"/>
                <w:lang w:eastAsia="en-US"/>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he PACES extension study"/>
            </w:tblPr>
            <w:tblGrid>
              <w:gridCol w:w="2502"/>
              <w:gridCol w:w="1393"/>
              <w:gridCol w:w="1134"/>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2502" w:type="dxa"/>
                  <w:shd w:val="clear" w:color="auto" w:fill="FFFFFF" w:themeFill="background1"/>
                </w:tcPr>
                <w:p w:rsidR="001D0FDA" w:rsidRPr="00351FF5" w:rsidRDefault="001D0FDA" w:rsidP="00570FC8">
                  <w:pPr>
                    <w:pStyle w:val="Tabletext"/>
                    <w:framePr w:hSpace="180" w:wrap="around" w:vAnchor="text" w:hAnchor="text" w:y="1"/>
                    <w:spacing w:before="0" w:after="0"/>
                    <w:rPr>
                      <w:rFonts w:cs="Tahoma"/>
                      <w:b/>
                      <w:szCs w:val="18"/>
                    </w:rPr>
                  </w:pPr>
                </w:p>
              </w:tc>
              <w:tc>
                <w:tcPr>
                  <w:tcW w:w="1393" w:type="dxa"/>
                  <w:shd w:val="clear" w:color="auto" w:fill="FFFFFF" w:themeFill="background1"/>
                </w:tcPr>
                <w:p w:rsidR="001D0FDA" w:rsidRPr="00802B85" w:rsidRDefault="001D0FDA" w:rsidP="00570FC8">
                  <w:pPr>
                    <w:pStyle w:val="Tabletext"/>
                    <w:framePr w:hSpace="180" w:wrap="around" w:vAnchor="text" w:hAnchor="text" w:y="1"/>
                    <w:spacing w:before="0" w:after="0"/>
                    <w:jc w:val="center"/>
                    <w:rPr>
                      <w:rFonts w:cs="Tahoma"/>
                      <w:szCs w:val="18"/>
                    </w:rPr>
                  </w:pPr>
                  <w:r>
                    <w:rPr>
                      <w:rFonts w:cs="Tahoma"/>
                      <w:szCs w:val="18"/>
                    </w:rPr>
                    <w:t>Sildenafil</w:t>
                  </w:r>
                </w:p>
                <w:p w:rsidR="001D0FDA" w:rsidRPr="00802B85" w:rsidRDefault="001D0FDA" w:rsidP="00570FC8">
                  <w:pPr>
                    <w:pStyle w:val="Tabletext"/>
                    <w:framePr w:hSpace="180" w:wrap="around" w:vAnchor="text" w:hAnchor="text" w:y="1"/>
                    <w:spacing w:before="0" w:after="0"/>
                    <w:jc w:val="center"/>
                    <w:rPr>
                      <w:rFonts w:cs="Tahoma"/>
                      <w:szCs w:val="18"/>
                    </w:rPr>
                  </w:pPr>
                  <w:r w:rsidRPr="00802B85">
                    <w:rPr>
                      <w:rFonts w:cs="Tahoma"/>
                      <w:szCs w:val="18"/>
                    </w:rPr>
                    <w:t>(N=</w:t>
                  </w:r>
                  <w:r>
                    <w:rPr>
                      <w:rFonts w:cs="Tahoma"/>
                      <w:szCs w:val="18"/>
                    </w:rPr>
                    <w:t>134</w:t>
                  </w:r>
                  <w:r w:rsidRPr="00802B85">
                    <w:rPr>
                      <w:rFonts w:cs="Tahoma"/>
                      <w:szCs w:val="18"/>
                    </w:rPr>
                    <w:t>)</w:t>
                  </w:r>
                </w:p>
              </w:tc>
              <w:tc>
                <w:tcPr>
                  <w:tcW w:w="1134" w:type="dxa"/>
                  <w:shd w:val="clear" w:color="auto" w:fill="FFFFFF" w:themeFill="background1"/>
                </w:tcPr>
                <w:p w:rsidR="001D0FDA" w:rsidRPr="00802B85" w:rsidRDefault="001D0FDA" w:rsidP="00570FC8">
                  <w:pPr>
                    <w:pStyle w:val="Tabletext"/>
                    <w:framePr w:hSpace="180" w:wrap="around" w:vAnchor="text" w:hAnchor="text" w:y="1"/>
                    <w:spacing w:before="0" w:after="0"/>
                    <w:jc w:val="center"/>
                    <w:rPr>
                      <w:rFonts w:cs="Tahoma"/>
                      <w:szCs w:val="18"/>
                    </w:rPr>
                  </w:pPr>
                  <w:r w:rsidRPr="00802B85">
                    <w:rPr>
                      <w:rFonts w:cs="Tahoma"/>
                      <w:szCs w:val="18"/>
                    </w:rPr>
                    <w:t>Placebo</w:t>
                  </w:r>
                </w:p>
                <w:p w:rsidR="001D0FDA" w:rsidRPr="00802B85" w:rsidRDefault="001D0FDA" w:rsidP="00570FC8">
                  <w:pPr>
                    <w:pStyle w:val="Tabletext"/>
                    <w:framePr w:hSpace="180" w:wrap="around" w:vAnchor="text" w:hAnchor="text" w:y="1"/>
                    <w:spacing w:before="0" w:after="0"/>
                    <w:jc w:val="center"/>
                    <w:rPr>
                      <w:rFonts w:cs="Tahoma"/>
                      <w:szCs w:val="18"/>
                    </w:rPr>
                  </w:pPr>
                  <w:r w:rsidRPr="00802B85">
                    <w:rPr>
                      <w:rFonts w:cs="Tahoma"/>
                      <w:szCs w:val="18"/>
                    </w:rPr>
                    <w:t>(N=</w:t>
                  </w:r>
                  <w:r>
                    <w:rPr>
                      <w:rFonts w:cs="Tahoma"/>
                      <w:szCs w:val="18"/>
                    </w:rPr>
                    <w:t>131**</w:t>
                  </w:r>
                  <w:r w:rsidRPr="00802B85">
                    <w:rPr>
                      <w:rFonts w:cs="Tahoma"/>
                      <w:szCs w:val="18"/>
                    </w:rPr>
                    <w:t>)</w:t>
                  </w:r>
                </w:p>
              </w:tc>
            </w:tr>
            <w:tr w:rsidR="001D0FDA" w:rsidRPr="00351FF5" w:rsidTr="001D0FDA">
              <w:tc>
                <w:tcPr>
                  <w:tcW w:w="2502" w:type="dxa"/>
                </w:tcPr>
                <w:p w:rsidR="001D0FDA" w:rsidRPr="00351FF5" w:rsidRDefault="001D0FDA" w:rsidP="00570FC8">
                  <w:pPr>
                    <w:pStyle w:val="Tabletext"/>
                    <w:framePr w:hSpace="180" w:wrap="around" w:vAnchor="text" w:hAnchor="text" w:y="1"/>
                    <w:spacing w:before="0" w:after="0"/>
                    <w:rPr>
                      <w:rFonts w:cs="Tahoma"/>
                      <w:szCs w:val="18"/>
                    </w:rPr>
                  </w:pPr>
                  <w:r w:rsidRPr="00351FF5">
                    <w:rPr>
                      <w:rFonts w:cs="Tahoma"/>
                      <w:szCs w:val="18"/>
                    </w:rPr>
                    <w:t xml:space="preserve">Age, mean±SD (yrs) </w:t>
                  </w:r>
                </w:p>
              </w:tc>
              <w:tc>
                <w:tcPr>
                  <w:tcW w:w="1393" w:type="dxa"/>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48±13</w:t>
                  </w:r>
                </w:p>
              </w:tc>
              <w:tc>
                <w:tcPr>
                  <w:tcW w:w="1134" w:type="dxa"/>
                </w:tcPr>
                <w:p w:rsidR="001D0FDA" w:rsidRPr="00351FF5" w:rsidRDefault="001D0FDA" w:rsidP="00570FC8">
                  <w:pPr>
                    <w:pStyle w:val="Tabletext"/>
                    <w:framePr w:hSpace="180" w:wrap="around" w:vAnchor="text" w:hAnchor="text" w:y="1"/>
                    <w:spacing w:before="0" w:after="0"/>
                    <w:jc w:val="center"/>
                    <w:rPr>
                      <w:rFonts w:cs="Tahoma"/>
                      <w:szCs w:val="18"/>
                    </w:rPr>
                  </w:pPr>
                  <w:r w:rsidRPr="00351FF5">
                    <w:rPr>
                      <w:rFonts w:cs="Tahoma"/>
                      <w:szCs w:val="18"/>
                    </w:rPr>
                    <w:t>4</w:t>
                  </w:r>
                  <w:r>
                    <w:rPr>
                      <w:rFonts w:cs="Tahoma"/>
                      <w:szCs w:val="18"/>
                    </w:rPr>
                    <w:t>8±13</w:t>
                  </w:r>
                </w:p>
              </w:tc>
            </w:tr>
            <w:tr w:rsidR="001D0FDA" w:rsidRPr="00351FF5" w:rsidTr="001D0FDA">
              <w:tc>
                <w:tcPr>
                  <w:tcW w:w="2502" w:type="dxa"/>
                  <w:tcBorders>
                    <w:bottom w:val="single" w:sz="4" w:space="0" w:color="BFBFBF" w:themeColor="background1" w:themeShade="BF"/>
                  </w:tcBorders>
                </w:tcPr>
                <w:p w:rsidR="001D0FDA" w:rsidRPr="00351FF5" w:rsidRDefault="001D0FDA" w:rsidP="00570FC8">
                  <w:pPr>
                    <w:pStyle w:val="Tabletext"/>
                    <w:framePr w:hSpace="180" w:wrap="around" w:vAnchor="text" w:hAnchor="text" w:y="1"/>
                    <w:spacing w:before="0" w:after="0"/>
                    <w:rPr>
                      <w:rFonts w:cs="Tahoma"/>
                      <w:szCs w:val="18"/>
                    </w:rPr>
                  </w:pPr>
                  <w:r w:rsidRPr="00351FF5">
                    <w:rPr>
                      <w:rFonts w:cs="Tahoma"/>
                      <w:szCs w:val="18"/>
                    </w:rPr>
                    <w:t>Gender, femal</w:t>
                  </w:r>
                  <w:r>
                    <w:rPr>
                      <w:rFonts w:cs="Tahoma"/>
                      <w:szCs w:val="18"/>
                    </w:rPr>
                    <w:t>e</w:t>
                  </w:r>
                  <w:r w:rsidRPr="00351FF5">
                    <w:rPr>
                      <w:rFonts w:cs="Tahoma"/>
                      <w:szCs w:val="18"/>
                    </w:rPr>
                    <w:t>, n (%)</w:t>
                  </w:r>
                </w:p>
              </w:tc>
              <w:tc>
                <w:tcPr>
                  <w:tcW w:w="1393" w:type="dxa"/>
                  <w:tcBorders>
                    <w:bottom w:val="single" w:sz="4" w:space="0" w:color="BFBFBF" w:themeColor="background1" w:themeShade="BF"/>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110 (82%)</w:t>
                  </w:r>
                </w:p>
              </w:tc>
              <w:tc>
                <w:tcPr>
                  <w:tcW w:w="1134" w:type="dxa"/>
                  <w:tcBorders>
                    <w:bottom w:val="single" w:sz="4" w:space="0" w:color="BFBFBF" w:themeColor="background1" w:themeShade="BF"/>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102 (78%)</w:t>
                  </w:r>
                </w:p>
              </w:tc>
            </w:tr>
            <w:tr w:rsidR="001D0FDA" w:rsidRPr="00351FF5" w:rsidTr="001D0FDA">
              <w:tc>
                <w:tcPr>
                  <w:tcW w:w="2502" w:type="dxa"/>
                  <w:tcBorders>
                    <w:bottom w:val="nil"/>
                  </w:tcBorders>
                </w:tcPr>
                <w:p w:rsidR="001D0FDA" w:rsidRPr="00351FF5" w:rsidRDefault="001D0FDA" w:rsidP="00570FC8">
                  <w:pPr>
                    <w:pStyle w:val="Tabletext"/>
                    <w:framePr w:hSpace="180" w:wrap="around" w:vAnchor="text" w:hAnchor="text" w:y="1"/>
                    <w:spacing w:before="0" w:after="0"/>
                    <w:rPr>
                      <w:rFonts w:cs="Tahoma"/>
                      <w:szCs w:val="18"/>
                    </w:rPr>
                  </w:pPr>
                  <w:r w:rsidRPr="00351FF5">
                    <w:rPr>
                      <w:rFonts w:cs="Tahoma"/>
                      <w:szCs w:val="18"/>
                    </w:rPr>
                    <w:t>PAH aetiology, n (%)</w:t>
                  </w:r>
                </w:p>
              </w:tc>
              <w:tc>
                <w:tcPr>
                  <w:tcW w:w="1393" w:type="dxa"/>
                  <w:tcBorders>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p>
              </w:tc>
              <w:tc>
                <w:tcPr>
                  <w:tcW w:w="1134" w:type="dxa"/>
                  <w:tcBorders>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p>
              </w:tc>
            </w:tr>
            <w:tr w:rsidR="001D0FDA" w:rsidRPr="00351FF5" w:rsidTr="001D0FDA">
              <w:tc>
                <w:tcPr>
                  <w:tcW w:w="2502" w:type="dxa"/>
                  <w:tcBorders>
                    <w:top w:val="nil"/>
                    <w:bottom w:val="nil"/>
                  </w:tcBorders>
                </w:tcPr>
                <w:p w:rsidR="001D0FDA" w:rsidRPr="00351FF5" w:rsidRDefault="001D0FDA" w:rsidP="00570FC8">
                  <w:pPr>
                    <w:pStyle w:val="Tabletext"/>
                    <w:framePr w:hSpace="180" w:wrap="around" w:vAnchor="text" w:hAnchor="text" w:y="1"/>
                    <w:spacing w:before="0" w:after="0"/>
                    <w:ind w:left="196"/>
                    <w:rPr>
                      <w:rFonts w:cs="Tahoma"/>
                      <w:szCs w:val="18"/>
                    </w:rPr>
                  </w:pPr>
                  <w:r w:rsidRPr="00351FF5">
                    <w:rPr>
                      <w:rFonts w:cs="Tahoma"/>
                      <w:szCs w:val="18"/>
                    </w:rPr>
                    <w:t>IPAH</w:t>
                  </w:r>
                </w:p>
              </w:tc>
              <w:tc>
                <w:tcPr>
                  <w:tcW w:w="1393"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107 (80%)</w:t>
                  </w:r>
                </w:p>
              </w:tc>
              <w:tc>
                <w:tcPr>
                  <w:tcW w:w="1134"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104 (79%)</w:t>
                  </w:r>
                </w:p>
              </w:tc>
            </w:tr>
            <w:tr w:rsidR="001D0FDA" w:rsidRPr="00351FF5" w:rsidTr="001D0FDA">
              <w:tc>
                <w:tcPr>
                  <w:tcW w:w="2502" w:type="dxa"/>
                  <w:tcBorders>
                    <w:top w:val="nil"/>
                    <w:bottom w:val="nil"/>
                  </w:tcBorders>
                </w:tcPr>
                <w:p w:rsidR="001D0FDA" w:rsidRPr="00351FF5" w:rsidRDefault="001D0FDA" w:rsidP="00570FC8">
                  <w:pPr>
                    <w:pStyle w:val="Tabletext"/>
                    <w:framePr w:hSpace="180" w:wrap="around" w:vAnchor="text" w:hAnchor="text" w:y="1"/>
                    <w:spacing w:before="0" w:after="0"/>
                    <w:ind w:left="196"/>
                    <w:rPr>
                      <w:rFonts w:cs="Tahoma"/>
                      <w:szCs w:val="18"/>
                    </w:rPr>
                  </w:pPr>
                  <w:r w:rsidRPr="00351FF5">
                    <w:rPr>
                      <w:rFonts w:cs="Tahoma"/>
                      <w:szCs w:val="18"/>
                    </w:rPr>
                    <w:t>PAH-CTD</w:t>
                  </w:r>
                </w:p>
              </w:tc>
              <w:tc>
                <w:tcPr>
                  <w:tcW w:w="1393"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27 (20%)</w:t>
                  </w:r>
                </w:p>
              </w:tc>
              <w:tc>
                <w:tcPr>
                  <w:tcW w:w="1134"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27 (21%)</w:t>
                  </w:r>
                </w:p>
              </w:tc>
            </w:tr>
            <w:tr w:rsidR="001D0FDA" w:rsidRPr="00351FF5" w:rsidTr="001D0FDA">
              <w:tc>
                <w:tcPr>
                  <w:tcW w:w="2502" w:type="dxa"/>
                  <w:tcBorders>
                    <w:bottom w:val="nil"/>
                  </w:tcBorders>
                </w:tcPr>
                <w:p w:rsidR="001D0FDA" w:rsidRPr="00351FF5" w:rsidRDefault="001D0FDA" w:rsidP="00570FC8">
                  <w:pPr>
                    <w:pStyle w:val="Tabletext"/>
                    <w:framePr w:hSpace="180" w:wrap="around" w:vAnchor="text" w:hAnchor="text" w:y="1"/>
                    <w:spacing w:before="0" w:after="0"/>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393" w:type="dxa"/>
                  <w:tcBorders>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p>
              </w:tc>
              <w:tc>
                <w:tcPr>
                  <w:tcW w:w="1134" w:type="dxa"/>
                  <w:tcBorders>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p>
              </w:tc>
            </w:tr>
            <w:tr w:rsidR="001D0FDA" w:rsidRPr="00351FF5" w:rsidTr="001D0FDA">
              <w:tc>
                <w:tcPr>
                  <w:tcW w:w="2502" w:type="dxa"/>
                  <w:tcBorders>
                    <w:top w:val="nil"/>
                    <w:bottom w:val="nil"/>
                  </w:tcBorders>
                </w:tcPr>
                <w:p w:rsidR="001D0FDA" w:rsidRPr="00351FF5" w:rsidRDefault="001D0FDA" w:rsidP="00570FC8">
                  <w:pPr>
                    <w:pStyle w:val="Tabletext"/>
                    <w:framePr w:hSpace="180" w:wrap="around" w:vAnchor="text" w:hAnchor="text" w:y="1"/>
                    <w:spacing w:before="0" w:after="0"/>
                    <w:ind w:left="196"/>
                    <w:rPr>
                      <w:rFonts w:cs="Tahoma"/>
                      <w:szCs w:val="18"/>
                    </w:rPr>
                  </w:pPr>
                  <w:r>
                    <w:rPr>
                      <w:rFonts w:cs="Tahoma"/>
                      <w:szCs w:val="18"/>
                    </w:rPr>
                    <w:t>I</w:t>
                  </w:r>
                </w:p>
              </w:tc>
              <w:tc>
                <w:tcPr>
                  <w:tcW w:w="1393"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1 (1%)</w:t>
                  </w:r>
                </w:p>
              </w:tc>
              <w:tc>
                <w:tcPr>
                  <w:tcW w:w="1134"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2 (2%)</w:t>
                  </w:r>
                </w:p>
              </w:tc>
            </w:tr>
            <w:tr w:rsidR="001D0FDA" w:rsidRPr="00351FF5" w:rsidTr="001D0FDA">
              <w:tc>
                <w:tcPr>
                  <w:tcW w:w="2502" w:type="dxa"/>
                  <w:tcBorders>
                    <w:top w:val="nil"/>
                    <w:bottom w:val="nil"/>
                  </w:tcBorders>
                </w:tcPr>
                <w:p w:rsidR="001D0FDA" w:rsidRPr="00351FF5" w:rsidRDefault="001D0FDA" w:rsidP="00570FC8">
                  <w:pPr>
                    <w:pStyle w:val="Tabletext"/>
                    <w:framePr w:hSpace="180" w:wrap="around" w:vAnchor="text" w:hAnchor="text" w:y="1"/>
                    <w:spacing w:before="0" w:after="0"/>
                    <w:ind w:left="196"/>
                    <w:rPr>
                      <w:rFonts w:cs="Tahoma"/>
                      <w:szCs w:val="18"/>
                    </w:rPr>
                  </w:pPr>
                  <w:r w:rsidRPr="00351FF5">
                    <w:rPr>
                      <w:rFonts w:cs="Tahoma"/>
                      <w:szCs w:val="18"/>
                    </w:rPr>
                    <w:t>II</w:t>
                  </w:r>
                </w:p>
              </w:tc>
              <w:tc>
                <w:tcPr>
                  <w:tcW w:w="1393"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34 (25%)</w:t>
                  </w:r>
                </w:p>
              </w:tc>
              <w:tc>
                <w:tcPr>
                  <w:tcW w:w="1134"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35 (27%)</w:t>
                  </w:r>
                </w:p>
              </w:tc>
            </w:tr>
            <w:tr w:rsidR="001D0FDA" w:rsidRPr="00351FF5" w:rsidTr="001D0FDA">
              <w:tc>
                <w:tcPr>
                  <w:tcW w:w="2502" w:type="dxa"/>
                  <w:tcBorders>
                    <w:top w:val="nil"/>
                    <w:bottom w:val="nil"/>
                  </w:tcBorders>
                </w:tcPr>
                <w:p w:rsidR="001D0FDA" w:rsidRPr="00351FF5" w:rsidRDefault="001D0FDA" w:rsidP="00570FC8">
                  <w:pPr>
                    <w:pStyle w:val="Tabletext"/>
                    <w:framePr w:hSpace="180" w:wrap="around" w:vAnchor="text" w:hAnchor="text" w:y="1"/>
                    <w:spacing w:before="0" w:after="0"/>
                    <w:ind w:left="196"/>
                    <w:rPr>
                      <w:rFonts w:cs="Tahoma"/>
                      <w:szCs w:val="18"/>
                    </w:rPr>
                  </w:pPr>
                  <w:r>
                    <w:rPr>
                      <w:rFonts w:cs="Tahoma"/>
                      <w:szCs w:val="18"/>
                    </w:rPr>
                    <w:t>III</w:t>
                  </w:r>
                </w:p>
              </w:tc>
              <w:tc>
                <w:tcPr>
                  <w:tcW w:w="1393"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89 (66%)</w:t>
                  </w:r>
                </w:p>
              </w:tc>
              <w:tc>
                <w:tcPr>
                  <w:tcW w:w="1134" w:type="dxa"/>
                  <w:tcBorders>
                    <w:top w:val="nil"/>
                    <w:bottom w:val="nil"/>
                  </w:tcBorders>
                </w:tcPr>
                <w:p w:rsidR="001D0FDA" w:rsidRPr="00351FF5" w:rsidRDefault="001D0FDA" w:rsidP="00570FC8">
                  <w:pPr>
                    <w:pStyle w:val="Tabletext"/>
                    <w:framePr w:hSpace="180" w:wrap="around" w:vAnchor="text" w:hAnchor="text" w:y="1"/>
                    <w:spacing w:before="0" w:after="0"/>
                    <w:jc w:val="center"/>
                    <w:rPr>
                      <w:rFonts w:cs="Tahoma"/>
                      <w:szCs w:val="18"/>
                    </w:rPr>
                  </w:pPr>
                  <w:r>
                    <w:rPr>
                      <w:rFonts w:cs="Tahoma"/>
                      <w:szCs w:val="18"/>
                    </w:rPr>
                    <w:t>88 (67%)</w:t>
                  </w:r>
                </w:p>
              </w:tc>
            </w:tr>
            <w:tr w:rsidR="001D0FDA" w:rsidRPr="00351FF5" w:rsidTr="001D0FDA">
              <w:tc>
                <w:tcPr>
                  <w:tcW w:w="2502" w:type="dxa"/>
                  <w:tcBorders>
                    <w:top w:val="nil"/>
                    <w:bottom w:val="nil"/>
                  </w:tcBorders>
                </w:tcPr>
                <w:p w:rsidR="001D0FDA" w:rsidRDefault="001D0FDA" w:rsidP="00570FC8">
                  <w:pPr>
                    <w:pStyle w:val="Tabletext"/>
                    <w:framePr w:hSpace="180" w:wrap="around" w:vAnchor="text" w:hAnchor="text" w:y="1"/>
                    <w:spacing w:before="0" w:after="0"/>
                    <w:ind w:left="196"/>
                    <w:rPr>
                      <w:rFonts w:cs="Tahoma"/>
                      <w:szCs w:val="18"/>
                    </w:rPr>
                  </w:pPr>
                  <w:r>
                    <w:rPr>
                      <w:rFonts w:cs="Tahoma"/>
                      <w:szCs w:val="18"/>
                    </w:rPr>
                    <w:t>IV</w:t>
                  </w:r>
                </w:p>
              </w:tc>
              <w:tc>
                <w:tcPr>
                  <w:tcW w:w="1393" w:type="dxa"/>
                  <w:tcBorders>
                    <w:top w:val="nil"/>
                    <w:bottom w:val="nil"/>
                  </w:tcBorders>
                </w:tcPr>
                <w:p w:rsidR="001D0FDA" w:rsidRDefault="001D0FDA" w:rsidP="00570FC8">
                  <w:pPr>
                    <w:pStyle w:val="Tabletext"/>
                    <w:framePr w:hSpace="180" w:wrap="around" w:vAnchor="text" w:hAnchor="text" w:y="1"/>
                    <w:spacing w:before="0" w:after="0"/>
                    <w:jc w:val="center"/>
                    <w:rPr>
                      <w:rFonts w:cs="Tahoma"/>
                      <w:szCs w:val="18"/>
                    </w:rPr>
                  </w:pPr>
                  <w:r>
                    <w:rPr>
                      <w:rFonts w:cs="Tahoma"/>
                      <w:szCs w:val="18"/>
                    </w:rPr>
                    <w:t>10 (7%)</w:t>
                  </w:r>
                </w:p>
              </w:tc>
              <w:tc>
                <w:tcPr>
                  <w:tcW w:w="1134" w:type="dxa"/>
                  <w:tcBorders>
                    <w:top w:val="nil"/>
                    <w:bottom w:val="nil"/>
                  </w:tcBorders>
                </w:tcPr>
                <w:p w:rsidR="001D0FDA" w:rsidRDefault="001D0FDA" w:rsidP="00570FC8">
                  <w:pPr>
                    <w:pStyle w:val="Tabletext"/>
                    <w:framePr w:hSpace="180" w:wrap="around" w:vAnchor="text" w:hAnchor="text" w:y="1"/>
                    <w:spacing w:before="0" w:after="0"/>
                    <w:jc w:val="center"/>
                    <w:rPr>
                      <w:rFonts w:cs="Tahoma"/>
                      <w:szCs w:val="18"/>
                    </w:rPr>
                  </w:pPr>
                  <w:r>
                    <w:rPr>
                      <w:rFonts w:cs="Tahoma"/>
                      <w:szCs w:val="18"/>
                    </w:rPr>
                    <w:t>6 (5%)</w:t>
                  </w:r>
                </w:p>
              </w:tc>
            </w:tr>
            <w:tr w:rsidR="001D0FDA" w:rsidRPr="00351FF5" w:rsidTr="001D0FDA">
              <w:tc>
                <w:tcPr>
                  <w:tcW w:w="2502" w:type="dxa"/>
                </w:tcPr>
                <w:p w:rsidR="001D0FDA" w:rsidRPr="00351FF5" w:rsidRDefault="001D0FDA" w:rsidP="00570FC8">
                  <w:pPr>
                    <w:pStyle w:val="Tabletext"/>
                    <w:framePr w:hSpace="180" w:wrap="around" w:vAnchor="text" w:hAnchor="text" w:y="1"/>
                    <w:spacing w:before="0" w:after="0"/>
                    <w:rPr>
                      <w:rFonts w:cs="Tahoma"/>
                      <w:szCs w:val="18"/>
                    </w:rPr>
                  </w:pPr>
                  <w:r>
                    <w:rPr>
                      <w:rFonts w:cs="Tahoma"/>
                      <w:szCs w:val="18"/>
                    </w:rPr>
                    <w:t xml:space="preserve">Epoprostenol dose, </w:t>
                  </w:r>
                  <w:r w:rsidRPr="00351FF5">
                    <w:rPr>
                      <w:rFonts w:cs="Tahoma"/>
                      <w:szCs w:val="18"/>
                    </w:rPr>
                    <w:t xml:space="preserve">mean±SD </w:t>
                  </w:r>
                  <w:r>
                    <w:rPr>
                      <w:rFonts w:cs="Tahoma"/>
                      <w:szCs w:val="18"/>
                    </w:rPr>
                    <w:t>(ng/kg/min)</w:t>
                  </w:r>
                </w:p>
              </w:tc>
              <w:tc>
                <w:tcPr>
                  <w:tcW w:w="1393" w:type="dxa"/>
                  <w:vAlign w:val="center"/>
                </w:tcPr>
                <w:p w:rsidR="001D0FDA" w:rsidRDefault="001D0FDA" w:rsidP="00570FC8">
                  <w:pPr>
                    <w:pStyle w:val="Tabletext"/>
                    <w:framePr w:hSpace="180" w:wrap="around" w:vAnchor="text" w:hAnchor="text" w:y="1"/>
                    <w:spacing w:before="0" w:after="0"/>
                    <w:jc w:val="center"/>
                    <w:rPr>
                      <w:rFonts w:cs="Tahoma"/>
                      <w:szCs w:val="18"/>
                    </w:rPr>
                  </w:pPr>
                  <w:r>
                    <w:rPr>
                      <w:rFonts w:cs="Tahoma"/>
                      <w:szCs w:val="18"/>
                    </w:rPr>
                    <w:t>32.9±22.1</w:t>
                  </w:r>
                </w:p>
              </w:tc>
              <w:tc>
                <w:tcPr>
                  <w:tcW w:w="1134" w:type="dxa"/>
                  <w:vAlign w:val="center"/>
                </w:tcPr>
                <w:p w:rsidR="001D0FDA" w:rsidRDefault="001D0FDA" w:rsidP="00570FC8">
                  <w:pPr>
                    <w:pStyle w:val="Tabletext"/>
                    <w:framePr w:hSpace="180" w:wrap="around" w:vAnchor="text" w:hAnchor="text" w:y="1"/>
                    <w:spacing w:before="0" w:after="0"/>
                    <w:jc w:val="center"/>
                    <w:rPr>
                      <w:rFonts w:cs="Tahoma"/>
                      <w:szCs w:val="18"/>
                    </w:rPr>
                  </w:pPr>
                  <w:r w:rsidRPr="00AE1F16">
                    <w:rPr>
                      <w:rFonts w:cs="Tahoma"/>
                      <w:szCs w:val="18"/>
                    </w:rPr>
                    <w:t>32.0±22.4</w:t>
                  </w:r>
                </w:p>
              </w:tc>
            </w:tr>
            <w:tr w:rsidR="001D0FDA" w:rsidRPr="00351FF5" w:rsidTr="001D0FDA">
              <w:tc>
                <w:tcPr>
                  <w:tcW w:w="2502" w:type="dxa"/>
                </w:tcPr>
                <w:p w:rsidR="001D0FDA" w:rsidRDefault="001D0FDA" w:rsidP="00570FC8">
                  <w:pPr>
                    <w:pStyle w:val="Tabletext"/>
                    <w:framePr w:hSpace="180" w:wrap="around" w:vAnchor="text" w:hAnchor="text" w:y="1"/>
                    <w:spacing w:before="0" w:after="0"/>
                    <w:rPr>
                      <w:rFonts w:cs="Tahoma"/>
                      <w:szCs w:val="18"/>
                    </w:rPr>
                  </w:pPr>
                  <w:r w:rsidRPr="00AE1F16">
                    <w:rPr>
                      <w:rFonts w:cs="Tahoma"/>
                      <w:szCs w:val="18"/>
                    </w:rPr>
                    <w:t>Epoprostenol treatment duration,</w:t>
                  </w:r>
                  <w:r>
                    <w:rPr>
                      <w:rFonts w:cs="Tahoma"/>
                      <w:szCs w:val="18"/>
                    </w:rPr>
                    <w:t xml:space="preserve"> mean (range) (yrs)</w:t>
                  </w:r>
                </w:p>
              </w:tc>
              <w:tc>
                <w:tcPr>
                  <w:tcW w:w="1393" w:type="dxa"/>
                  <w:vAlign w:val="center"/>
                </w:tcPr>
                <w:p w:rsidR="001D0FDA" w:rsidRDefault="001D0FDA" w:rsidP="00570FC8">
                  <w:pPr>
                    <w:pStyle w:val="Tabletext"/>
                    <w:framePr w:hSpace="180" w:wrap="around" w:vAnchor="text" w:hAnchor="text" w:y="1"/>
                    <w:spacing w:before="0" w:after="0"/>
                    <w:jc w:val="center"/>
                    <w:rPr>
                      <w:rFonts w:cs="Tahoma"/>
                      <w:szCs w:val="18"/>
                    </w:rPr>
                  </w:pPr>
                  <w:r w:rsidRPr="00AE1F16">
                    <w:rPr>
                      <w:rFonts w:cs="Tahoma"/>
                      <w:szCs w:val="18"/>
                    </w:rPr>
                    <w:t>2.8 (0.2-10.5)</w:t>
                  </w:r>
                </w:p>
              </w:tc>
              <w:tc>
                <w:tcPr>
                  <w:tcW w:w="1134" w:type="dxa"/>
                  <w:vAlign w:val="center"/>
                </w:tcPr>
                <w:p w:rsidR="001D0FDA" w:rsidRPr="00AE1F16" w:rsidRDefault="001D0FDA" w:rsidP="00570FC8">
                  <w:pPr>
                    <w:pStyle w:val="Tabletext"/>
                    <w:framePr w:hSpace="180" w:wrap="around" w:vAnchor="text" w:hAnchor="text" w:y="1"/>
                    <w:spacing w:before="0" w:after="0"/>
                    <w:jc w:val="center"/>
                    <w:rPr>
                      <w:rFonts w:cs="Tahoma"/>
                      <w:szCs w:val="18"/>
                    </w:rPr>
                  </w:pPr>
                  <w:r w:rsidRPr="00AE1F16">
                    <w:rPr>
                      <w:rFonts w:cs="Tahoma"/>
                      <w:szCs w:val="18"/>
                    </w:rPr>
                    <w:t>2.9 (0.3-11.7)</w:t>
                  </w:r>
                </w:p>
              </w:tc>
            </w:tr>
          </w:tbl>
          <w:p w:rsidR="001D0FDA" w:rsidRDefault="001D0FDA" w:rsidP="001D0FDA">
            <w:pPr>
              <w:pStyle w:val="Tablenote"/>
              <w:rPr>
                <w:rFonts w:eastAsia="Times New Roman"/>
              </w:rPr>
            </w:pPr>
            <w:r w:rsidRPr="00AE1F16">
              <w:rPr>
                <w:rFonts w:eastAsia="Times New Roman" w:cs="Calibri"/>
              </w:rPr>
              <w:t>*</w:t>
            </w:r>
            <w:r>
              <w:rPr>
                <w:rFonts w:eastAsia="Times New Roman"/>
              </w:rPr>
              <w:t xml:space="preserve"> </w:t>
            </w:r>
            <w:r w:rsidRPr="00AE1F16">
              <w:rPr>
                <w:rFonts w:eastAsia="Times New Roman"/>
              </w:rPr>
              <w:t>Data on demographic and disease characteristics when patients started the PACES extension study were not available. Instead, the published paper presented the baseline characteristics for the Trial PACES-1</w:t>
            </w:r>
          </w:p>
          <w:p w:rsidR="001D0FDA" w:rsidRPr="008D73C9" w:rsidRDefault="001D0FDA" w:rsidP="001D0FDA">
            <w:pPr>
              <w:pStyle w:val="Tablenote"/>
              <w:spacing w:after="0"/>
              <w:rPr>
                <w:rFonts w:eastAsia="Times New Roman"/>
              </w:rPr>
            </w:pPr>
            <w:r>
              <w:rPr>
                <w:rFonts w:eastAsia="Times New Roman"/>
              </w:rPr>
              <w:t xml:space="preserve">** Two patients who did not receive placebo </w:t>
            </w:r>
            <w:proofErr w:type="gramStart"/>
            <w:r>
              <w:rPr>
                <w:rFonts w:eastAsia="Times New Roman"/>
              </w:rPr>
              <w:t>were excluded</w:t>
            </w:r>
            <w:proofErr w:type="gramEnd"/>
            <w:r>
              <w:rPr>
                <w:rFonts w:eastAsia="Times New Roman"/>
              </w:rPr>
              <w:t xml:space="preserve">. </w:t>
            </w:r>
          </w:p>
        </w:tc>
        <w:tc>
          <w:tcPr>
            <w:tcW w:w="1047" w:type="pct"/>
          </w:tcPr>
          <w:p w:rsidR="001D0FDA" w:rsidRDefault="001D0FDA" w:rsidP="001D0FDA">
            <w:pPr>
              <w:pStyle w:val="Tabletext"/>
              <w:rPr>
                <w:rFonts w:cs="Tahoma"/>
                <w:i/>
                <w:szCs w:val="18"/>
              </w:rPr>
            </w:pPr>
            <w:r>
              <w:rPr>
                <w:rFonts w:cs="Tahoma"/>
                <w:i/>
                <w:szCs w:val="18"/>
              </w:rPr>
              <w:t>Intervention</w:t>
            </w:r>
          </w:p>
          <w:p w:rsidR="001D0FDA" w:rsidRDefault="001D0FDA" w:rsidP="001D0FDA">
            <w:pPr>
              <w:pStyle w:val="Tabletext"/>
              <w:rPr>
                <w:rFonts w:eastAsia="Times New Roman"/>
                <w:i/>
                <w:lang w:eastAsia="en-US"/>
              </w:rPr>
            </w:pPr>
            <w:r>
              <w:rPr>
                <w:rFonts w:eastAsia="Times New Roman"/>
                <w:lang w:eastAsia="en-US"/>
              </w:rPr>
              <w:t xml:space="preserve">Sildenafil: initial dose of </w:t>
            </w:r>
            <w:r w:rsidRPr="003A755E">
              <w:rPr>
                <w:rFonts w:eastAsia="Times New Roman"/>
                <w:lang w:eastAsia="en-US"/>
              </w:rPr>
              <w:t>20</w:t>
            </w:r>
            <w:r w:rsidR="00C90897">
              <w:rPr>
                <w:rFonts w:eastAsia="Times New Roman"/>
                <w:lang w:eastAsia="en-US"/>
              </w:rPr>
              <w:t> </w:t>
            </w:r>
            <w:r w:rsidRPr="003A755E">
              <w:rPr>
                <w:rFonts w:eastAsia="Times New Roman"/>
                <w:lang w:eastAsia="en-US"/>
              </w:rPr>
              <w:t>mg tid, then titrated to 40</w:t>
            </w:r>
            <w:r w:rsidR="00C90897">
              <w:rPr>
                <w:rFonts w:eastAsia="Times New Roman"/>
                <w:lang w:eastAsia="en-US"/>
              </w:rPr>
              <w:t> </w:t>
            </w:r>
            <w:r w:rsidRPr="003A755E">
              <w:rPr>
                <w:rFonts w:eastAsia="Times New Roman"/>
                <w:lang w:eastAsia="en-US"/>
              </w:rPr>
              <w:t>mg tid, and then to 80</w:t>
            </w:r>
            <w:r w:rsidR="00C90897">
              <w:rPr>
                <w:rFonts w:eastAsia="Times New Roman"/>
                <w:lang w:eastAsia="en-US"/>
              </w:rPr>
              <w:t> </w:t>
            </w:r>
            <w:r w:rsidRPr="003A755E">
              <w:rPr>
                <w:rFonts w:eastAsia="Times New Roman"/>
                <w:lang w:eastAsia="en-US"/>
              </w:rPr>
              <w:t>mg tid, as tolerated. Patients could reduce the dose of sildenafil to a minimum of 20</w:t>
            </w:r>
            <w:r w:rsidR="00C90897">
              <w:rPr>
                <w:rFonts w:eastAsia="Times New Roman"/>
                <w:lang w:eastAsia="en-US"/>
              </w:rPr>
              <w:t> </w:t>
            </w:r>
            <w:r w:rsidRPr="003A755E">
              <w:rPr>
                <w:rFonts w:eastAsia="Times New Roman"/>
                <w:lang w:eastAsia="en-US"/>
              </w:rPr>
              <w:t>mg tid</w:t>
            </w:r>
            <w:r w:rsidRPr="00455DBB">
              <w:rPr>
                <w:rFonts w:eastAsia="Times New Roman"/>
                <w:i/>
                <w:lang w:eastAsia="en-US"/>
              </w:rPr>
              <w:t xml:space="preserve"> </w:t>
            </w:r>
          </w:p>
          <w:p w:rsidR="001D0FDA" w:rsidRDefault="001D0FDA" w:rsidP="001D0FDA">
            <w:pPr>
              <w:pStyle w:val="Tabletext"/>
              <w:rPr>
                <w:rFonts w:eastAsia="Times New Roman"/>
                <w:i/>
                <w:lang w:eastAsia="en-US"/>
              </w:rPr>
            </w:pPr>
          </w:p>
          <w:p w:rsidR="001D0FDA" w:rsidRPr="00455DBB" w:rsidRDefault="001D0FDA" w:rsidP="001D0FDA">
            <w:pPr>
              <w:pStyle w:val="Tabletext"/>
              <w:rPr>
                <w:rFonts w:eastAsia="Times New Roman"/>
                <w:i/>
                <w:lang w:eastAsia="en-US"/>
              </w:rPr>
            </w:pPr>
            <w:r w:rsidRPr="00455DBB">
              <w:rPr>
                <w:rFonts w:eastAsia="Times New Roman"/>
                <w:i/>
                <w:lang w:eastAsia="en-US"/>
              </w:rPr>
              <w:t>Combination therapy</w:t>
            </w:r>
          </w:p>
          <w:p w:rsidR="001D0FDA" w:rsidRDefault="001D0FDA" w:rsidP="001D0FDA">
            <w:pPr>
              <w:pStyle w:val="Tabletext"/>
              <w:rPr>
                <w:rFonts w:cs="Tahoma"/>
                <w:i/>
                <w:szCs w:val="18"/>
              </w:rPr>
            </w:pPr>
            <w:r>
              <w:rPr>
                <w:rFonts w:eastAsia="Times New Roman"/>
                <w:lang w:eastAsia="en-US"/>
              </w:rPr>
              <w:t>Epoprostenol (100%)</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PATENT extension study</w:t>
            </w:r>
            <w:r w:rsidR="001D34EE" w:rsidRPr="001A1C44">
              <w:rPr>
                <w:rFonts w:eastAsia="Times New Roman"/>
                <w:noProof/>
                <w:vertAlign w:val="superscript"/>
                <w:lang w:eastAsia="en-US"/>
              </w:rPr>
              <w:t>65</w:t>
            </w:r>
          </w:p>
          <w:p w:rsidR="001D0FDA" w:rsidRPr="008D73C9" w:rsidRDefault="001D0FDA" w:rsidP="001D0FDA">
            <w:pPr>
              <w:pStyle w:val="Tabletext"/>
              <w:ind w:right="-28"/>
              <w:rPr>
                <w:rFonts w:eastAsia="Times New Roman"/>
                <w:lang w:eastAsia="en-US"/>
              </w:rPr>
            </w:pPr>
            <w:r w:rsidRPr="008D73C9">
              <w:rPr>
                <w:rFonts w:eastAsia="Times New Roman"/>
                <w:lang w:eastAsia="en-US"/>
              </w:rPr>
              <w:t>2009-2014</w:t>
            </w:r>
          </w:p>
          <w:p w:rsidR="001D0FDA" w:rsidRPr="008D73C9" w:rsidRDefault="001D0FDA" w:rsidP="001D0FDA">
            <w:pPr>
              <w:pStyle w:val="Tabletext"/>
              <w:ind w:right="-28"/>
              <w:rPr>
                <w:rFonts w:eastAsia="Times New Roman"/>
                <w:lang w:eastAsia="en-US"/>
              </w:rPr>
            </w:pPr>
            <w:r w:rsidRPr="008D73C9">
              <w:rPr>
                <w:rFonts w:eastAsia="Times New Roman"/>
                <w:lang w:eastAsia="en-US"/>
              </w:rPr>
              <w:t>North America,</w:t>
            </w:r>
            <w:r w:rsidR="002449DC">
              <w:rPr>
                <w:rFonts w:eastAsia="Times New Roman"/>
                <w:lang w:eastAsia="en-US"/>
              </w:rPr>
              <w:t xml:space="preserve"> </w:t>
            </w:r>
            <w:r w:rsidRPr="008D73C9">
              <w:rPr>
                <w:rFonts w:eastAsia="Times New Roman"/>
                <w:lang w:eastAsia="en-US"/>
              </w:rPr>
              <w:t>South A</w:t>
            </w:r>
            <w:r>
              <w:rPr>
                <w:rFonts w:eastAsia="Times New Roman"/>
                <w:lang w:eastAsia="en-US"/>
              </w:rPr>
              <w:t>merica, Asia, Europe, Australia</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Follow-up: 139 week</w:t>
            </w:r>
            <w:r w:rsidRPr="008D73C9">
              <w:rPr>
                <w:rFonts w:eastAsia="Times New Roman"/>
                <w:lang w:eastAsia="en-US"/>
              </w:rPr>
              <w:t>s</w:t>
            </w:r>
          </w:p>
        </w:tc>
        <w:tc>
          <w:tcPr>
            <w:tcW w:w="1096" w:type="pct"/>
          </w:tcPr>
          <w:p w:rsidR="001D0FDA" w:rsidRPr="000E47CF" w:rsidRDefault="001D0FDA" w:rsidP="001D0FDA">
            <w:pPr>
              <w:pStyle w:val="Tabletext"/>
              <w:rPr>
                <w:rFonts w:cs="Tahoma"/>
                <w:i/>
                <w:szCs w:val="18"/>
              </w:rPr>
            </w:pPr>
            <w:r w:rsidRPr="000E47CF">
              <w:rPr>
                <w:rFonts w:cs="Tahoma"/>
                <w:i/>
                <w:szCs w:val="18"/>
              </w:rPr>
              <w:t>Inclusion criteria:</w:t>
            </w:r>
          </w:p>
          <w:p w:rsidR="001D0FDA" w:rsidRPr="000E47CF" w:rsidRDefault="001D0FDA" w:rsidP="00480FDF">
            <w:pPr>
              <w:pStyle w:val="Tabletext"/>
              <w:numPr>
                <w:ilvl w:val="0"/>
                <w:numId w:val="54"/>
              </w:numPr>
              <w:ind w:left="239" w:hanging="144"/>
              <w:rPr>
                <w:rFonts w:cs="Tahoma"/>
                <w:szCs w:val="18"/>
              </w:rPr>
            </w:pPr>
            <w:r w:rsidRPr="000E47CF">
              <w:rPr>
                <w:rFonts w:cs="Tahoma"/>
                <w:szCs w:val="18"/>
              </w:rPr>
              <w:t xml:space="preserve">Patients with symptomatic PAH who completed Trial PATENT-1 without ongoing study drug-related </w:t>
            </w:r>
            <w:r>
              <w:rPr>
                <w:rFonts w:cs="Tahoma"/>
                <w:szCs w:val="18"/>
              </w:rPr>
              <w:t>serious adverse events</w:t>
            </w:r>
          </w:p>
          <w:p w:rsidR="001D0FDA" w:rsidRPr="000E47CF" w:rsidRDefault="001D0FDA" w:rsidP="001D0FDA">
            <w:pPr>
              <w:pStyle w:val="Tabletext"/>
              <w:rPr>
                <w:rFonts w:cs="Tahoma"/>
                <w:i/>
                <w:szCs w:val="18"/>
              </w:rPr>
            </w:pPr>
          </w:p>
          <w:p w:rsidR="001D0FDA" w:rsidRPr="000E47CF" w:rsidRDefault="001D0FDA" w:rsidP="001D0FDA">
            <w:pPr>
              <w:pStyle w:val="Tabletext"/>
              <w:rPr>
                <w:rFonts w:cs="Tahoma"/>
                <w:i/>
                <w:szCs w:val="18"/>
              </w:rPr>
            </w:pPr>
            <w:r w:rsidRPr="000E47CF">
              <w:rPr>
                <w:rFonts w:cs="Tahoma"/>
                <w:i/>
                <w:szCs w:val="18"/>
              </w:rPr>
              <w:t>Exclusion criteria:</w:t>
            </w:r>
          </w:p>
          <w:p w:rsidR="001D0FDA" w:rsidRPr="00323BBF" w:rsidRDefault="001D0FDA" w:rsidP="00480FDF">
            <w:pPr>
              <w:pStyle w:val="Tabletext"/>
              <w:numPr>
                <w:ilvl w:val="0"/>
                <w:numId w:val="54"/>
              </w:numPr>
              <w:ind w:left="239" w:hanging="144"/>
              <w:rPr>
                <w:rFonts w:cs="Tahoma"/>
                <w:i/>
                <w:szCs w:val="18"/>
              </w:rPr>
            </w:pPr>
            <w:r w:rsidRPr="000E47CF">
              <w:rPr>
                <w:rFonts w:cs="Tahoma"/>
                <w:szCs w:val="18"/>
              </w:rPr>
              <w:t xml:space="preserve">Patients who withdrew from PATENT-1, due to </w:t>
            </w:r>
            <w:r>
              <w:rPr>
                <w:rFonts w:cs="Tahoma"/>
                <w:szCs w:val="18"/>
              </w:rPr>
              <w:t>pulmonary hypertension</w:t>
            </w:r>
            <w:r w:rsidRPr="000E47CF">
              <w:rPr>
                <w:rFonts w:cs="Tahoma"/>
                <w:szCs w:val="18"/>
              </w:rPr>
              <w:t>-related clinical worsening</w:t>
            </w:r>
          </w:p>
        </w:tc>
        <w:tc>
          <w:tcPr>
            <w:tcW w:w="1856" w:type="pct"/>
          </w:tcPr>
          <w:p w:rsidR="001D0FDA" w:rsidRDefault="001D0FDA" w:rsidP="001D0FDA">
            <w:pPr>
              <w:pStyle w:val="Tabletext"/>
              <w:ind w:right="-28"/>
              <w:rPr>
                <w:rFonts w:eastAsia="Times New Roman"/>
                <w:lang w:eastAsia="en-US"/>
              </w:rPr>
            </w:pPr>
            <w:r w:rsidRPr="008D73C9">
              <w:rPr>
                <w:rFonts w:eastAsia="Times New Roman"/>
                <w:lang w:eastAsia="en-US"/>
              </w:rPr>
              <w:t>N=396</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50±16</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317 (80%)</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097998">
              <w:rPr>
                <w:rFonts w:cs="Tahoma"/>
                <w:szCs w:val="18"/>
              </w:rPr>
              <w:t>IPAH: 245 (62%)</w:t>
            </w:r>
            <w:r>
              <w:rPr>
                <w:rFonts w:cs="Tahoma"/>
                <w:szCs w:val="18"/>
              </w:rPr>
              <w:t xml:space="preserve">; </w:t>
            </w:r>
            <w:r w:rsidRPr="00097998">
              <w:rPr>
                <w:rFonts w:cs="Tahoma"/>
                <w:szCs w:val="18"/>
              </w:rPr>
              <w:t>HPAH: 9 (2%)</w:t>
            </w:r>
            <w:r>
              <w:rPr>
                <w:rFonts w:cs="Tahoma"/>
                <w:szCs w:val="18"/>
              </w:rPr>
              <w:t xml:space="preserve">; </w:t>
            </w:r>
            <w:r w:rsidRPr="00097998">
              <w:rPr>
                <w:rFonts w:cs="Tahoma"/>
                <w:szCs w:val="18"/>
              </w:rPr>
              <w:t>PAH-CTD: 94 (24%)</w:t>
            </w:r>
            <w:r>
              <w:rPr>
                <w:rFonts w:cs="Tahoma"/>
                <w:szCs w:val="18"/>
              </w:rPr>
              <w:t xml:space="preserve">; </w:t>
            </w:r>
            <w:r w:rsidRPr="00097998">
              <w:rPr>
                <w:rFonts w:cs="Tahoma"/>
                <w:szCs w:val="18"/>
              </w:rPr>
              <w:t>PAH-CHD: 33 (8%)</w:t>
            </w:r>
            <w:r>
              <w:rPr>
                <w:rFonts w:cs="Tahoma"/>
                <w:szCs w:val="18"/>
              </w:rPr>
              <w:t xml:space="preserve">; </w:t>
            </w:r>
            <w:r w:rsidRPr="00097998">
              <w:rPr>
                <w:rFonts w:cs="Tahoma"/>
                <w:szCs w:val="18"/>
              </w:rPr>
              <w:t>PAH-DT: 3 (1%)</w:t>
            </w:r>
            <w:r>
              <w:rPr>
                <w:rFonts w:cs="Tahoma"/>
                <w:szCs w:val="18"/>
              </w:rPr>
              <w:t xml:space="preserve">; </w:t>
            </w:r>
            <w:r w:rsidRPr="00097998">
              <w:rPr>
                <w:rFonts w:cs="Tahoma"/>
                <w:szCs w:val="18"/>
              </w:rPr>
              <w:t>PAH-PH: 12 (3%)</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Pr="00097998" w:rsidRDefault="001D0FDA" w:rsidP="001D0FDA">
            <w:pPr>
              <w:pStyle w:val="Tabletext"/>
              <w:ind w:left="239"/>
              <w:rPr>
                <w:rFonts w:cs="Tahoma"/>
                <w:szCs w:val="18"/>
              </w:rPr>
            </w:pPr>
            <w:r w:rsidRPr="00097998">
              <w:rPr>
                <w:rFonts w:cs="Tahoma"/>
                <w:szCs w:val="18"/>
              </w:rPr>
              <w:t>I: 12 (3%)</w:t>
            </w:r>
            <w:r>
              <w:rPr>
                <w:rFonts w:cs="Tahoma"/>
                <w:szCs w:val="18"/>
              </w:rPr>
              <w:t xml:space="preserve">; </w:t>
            </w:r>
            <w:r w:rsidRPr="00097998">
              <w:rPr>
                <w:rFonts w:cs="Tahoma"/>
                <w:szCs w:val="18"/>
              </w:rPr>
              <w:t>II: 169 (43%)</w:t>
            </w:r>
            <w:r>
              <w:rPr>
                <w:rFonts w:cs="Tahoma"/>
                <w:szCs w:val="18"/>
              </w:rPr>
              <w:t xml:space="preserve">; </w:t>
            </w:r>
            <w:r w:rsidRPr="00097998">
              <w:rPr>
                <w:rFonts w:cs="Tahoma"/>
                <w:szCs w:val="18"/>
              </w:rPr>
              <w:t>III: 212 (54%)</w:t>
            </w:r>
            <w:r>
              <w:rPr>
                <w:rFonts w:cs="Tahoma"/>
                <w:szCs w:val="18"/>
              </w:rPr>
              <w:t xml:space="preserve">; </w:t>
            </w:r>
            <w:r w:rsidRPr="00097998">
              <w:rPr>
                <w:rFonts w:cs="Tahoma"/>
                <w:szCs w:val="18"/>
              </w:rPr>
              <w:t>IV: 2 (1%)</w:t>
            </w:r>
          </w:p>
        </w:tc>
        <w:tc>
          <w:tcPr>
            <w:tcW w:w="1047" w:type="pct"/>
          </w:tcPr>
          <w:p w:rsidR="001D0FDA" w:rsidRDefault="001D0FDA" w:rsidP="001D0FDA">
            <w:pPr>
              <w:pStyle w:val="Tabletext"/>
              <w:rPr>
                <w:rFonts w:cs="Tahoma"/>
                <w:i/>
                <w:szCs w:val="18"/>
              </w:rPr>
            </w:pPr>
            <w:r>
              <w:rPr>
                <w:rFonts w:cs="Tahoma"/>
                <w:i/>
                <w:szCs w:val="18"/>
              </w:rPr>
              <w:t>Intervention</w:t>
            </w:r>
          </w:p>
          <w:p w:rsidR="001D0FDA" w:rsidRPr="008D73C9" w:rsidRDefault="001D0FDA" w:rsidP="001D0FDA">
            <w:pPr>
              <w:pStyle w:val="Tabletext"/>
              <w:rPr>
                <w:rFonts w:eastAsia="Times New Roman"/>
                <w:lang w:eastAsia="en-US"/>
              </w:rPr>
            </w:pPr>
            <w:r>
              <w:rPr>
                <w:rFonts w:eastAsia="Times New Roman"/>
                <w:lang w:eastAsia="en-US"/>
              </w:rPr>
              <w:t xml:space="preserve">Riociguat: </w:t>
            </w:r>
            <w:r w:rsidRPr="008D73C9">
              <w:rPr>
                <w:rFonts w:eastAsia="Times New Roman"/>
                <w:lang w:eastAsia="en-US"/>
              </w:rPr>
              <w:t>up to 2.5</w:t>
            </w:r>
            <w:r w:rsidR="00C90897">
              <w:rPr>
                <w:rFonts w:eastAsia="Times New Roman"/>
                <w:lang w:eastAsia="en-US"/>
              </w:rPr>
              <w:t> </w:t>
            </w:r>
            <w:r w:rsidRPr="008D73C9">
              <w:rPr>
                <w:rFonts w:eastAsia="Times New Roman"/>
                <w:lang w:eastAsia="en-US"/>
              </w:rPr>
              <w:t>mg tid</w:t>
            </w:r>
          </w:p>
          <w:p w:rsidR="001D0FDA" w:rsidRPr="008D73C9" w:rsidRDefault="001D0FDA" w:rsidP="001D0FDA">
            <w:pPr>
              <w:pStyle w:val="Tabletext"/>
              <w:rPr>
                <w:rFonts w:eastAsia="Times New Roman"/>
                <w:lang w:eastAsia="en-US"/>
              </w:rPr>
            </w:pPr>
          </w:p>
          <w:p w:rsidR="001D0FDA" w:rsidRPr="00455DBB" w:rsidRDefault="001D0FDA" w:rsidP="001D0FDA">
            <w:pPr>
              <w:pStyle w:val="Tabletext"/>
              <w:rPr>
                <w:rFonts w:eastAsia="Times New Roman"/>
                <w:i/>
                <w:lang w:eastAsia="en-US"/>
              </w:rPr>
            </w:pPr>
            <w:r w:rsidRPr="00455DBB">
              <w:rPr>
                <w:rFonts w:eastAsia="Times New Roman"/>
                <w:i/>
                <w:lang w:eastAsia="en-US"/>
              </w:rPr>
              <w:t>Combination therapy</w:t>
            </w:r>
          </w:p>
          <w:p w:rsidR="001D0FDA" w:rsidRDefault="001D0FDA" w:rsidP="001D0FDA">
            <w:pPr>
              <w:pStyle w:val="Tabletext"/>
              <w:rPr>
                <w:rFonts w:cs="Tahoma"/>
                <w:i/>
                <w:szCs w:val="18"/>
              </w:rPr>
            </w:pPr>
            <w:r w:rsidRPr="008D73C9">
              <w:rPr>
                <w:rFonts w:eastAsia="Times New Roman"/>
                <w:lang w:eastAsia="en-US"/>
              </w:rPr>
              <w:t xml:space="preserve">ERA and/or </w:t>
            </w:r>
            <w:r>
              <w:rPr>
                <w:rFonts w:eastAsia="Times New Roman"/>
                <w:lang w:eastAsia="en-US"/>
              </w:rPr>
              <w:t>prostanoid</w:t>
            </w:r>
            <w:r w:rsidRPr="008D73C9">
              <w:rPr>
                <w:rFonts w:eastAsia="Times New Roman"/>
                <w:lang w:eastAsia="en-US"/>
              </w:rPr>
              <w:t xml:space="preserve"> (50%-55%)</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Provencher 2006</w:t>
            </w:r>
            <w:r w:rsidR="001D34EE" w:rsidRPr="001A1C44">
              <w:rPr>
                <w:rFonts w:eastAsia="Times New Roman"/>
                <w:noProof/>
                <w:vertAlign w:val="superscript"/>
                <w:lang w:eastAsia="en-US"/>
              </w:rPr>
              <w:t>66</w:t>
            </w:r>
          </w:p>
          <w:p w:rsidR="001D0FDA" w:rsidRPr="008D73C9" w:rsidRDefault="001D0FDA" w:rsidP="001D0FDA">
            <w:pPr>
              <w:pStyle w:val="Tabletext"/>
              <w:ind w:right="-28"/>
              <w:rPr>
                <w:rFonts w:eastAsia="Times New Roman"/>
                <w:lang w:eastAsia="en-US"/>
              </w:rPr>
            </w:pPr>
            <w:r w:rsidRPr="008D73C9">
              <w:rPr>
                <w:rFonts w:eastAsia="Times New Roman"/>
                <w:lang w:eastAsia="en-US"/>
              </w:rPr>
              <w:t>1999-2004</w:t>
            </w:r>
          </w:p>
          <w:p w:rsidR="001D0FDA" w:rsidRPr="008D73C9" w:rsidRDefault="001D0FDA" w:rsidP="001D0FDA">
            <w:pPr>
              <w:pStyle w:val="Tabletext"/>
              <w:ind w:right="-28"/>
              <w:rPr>
                <w:rFonts w:eastAsia="Times New Roman"/>
                <w:lang w:eastAsia="en-US"/>
              </w:rPr>
            </w:pPr>
            <w:r w:rsidRPr="008D73C9">
              <w:rPr>
                <w:rFonts w:eastAsia="Times New Roman"/>
                <w:lang w:eastAsia="en-US"/>
              </w:rPr>
              <w:t>France</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Follow-up: 24 month</w:t>
            </w:r>
            <w:r w:rsidRPr="008D73C9">
              <w:rPr>
                <w:rFonts w:eastAsia="Times New Roman"/>
                <w:lang w:eastAsia="en-US"/>
              </w:rPr>
              <w:t>s</w:t>
            </w:r>
          </w:p>
        </w:tc>
        <w:tc>
          <w:tcPr>
            <w:tcW w:w="1096" w:type="pct"/>
          </w:tcPr>
          <w:p w:rsidR="001D0FDA" w:rsidRPr="00097998" w:rsidRDefault="001D0FDA" w:rsidP="001D0FDA">
            <w:pPr>
              <w:pStyle w:val="Tabletext"/>
              <w:rPr>
                <w:rFonts w:cs="Tahoma"/>
                <w:i/>
                <w:szCs w:val="18"/>
              </w:rPr>
            </w:pPr>
            <w:r w:rsidRPr="00097998">
              <w:rPr>
                <w:rFonts w:cs="Tahoma"/>
                <w:i/>
                <w:szCs w:val="18"/>
              </w:rPr>
              <w:t>Inclusion criteria</w:t>
            </w:r>
          </w:p>
          <w:p w:rsidR="001D0FDA" w:rsidRPr="00097998" w:rsidRDefault="001D0FDA" w:rsidP="00480FDF">
            <w:pPr>
              <w:pStyle w:val="Tabletext"/>
              <w:numPr>
                <w:ilvl w:val="0"/>
                <w:numId w:val="54"/>
              </w:numPr>
              <w:ind w:left="239" w:hanging="144"/>
              <w:rPr>
                <w:rFonts w:cs="Tahoma"/>
                <w:szCs w:val="18"/>
              </w:rPr>
            </w:pPr>
            <w:r w:rsidRPr="00097998">
              <w:rPr>
                <w:rFonts w:cs="Tahoma"/>
                <w:szCs w:val="18"/>
              </w:rPr>
              <w:t xml:space="preserve">Age </w:t>
            </w:r>
            <w:r>
              <w:rPr>
                <w:rFonts w:cs="Tahoma"/>
                <w:szCs w:val="18"/>
              </w:rPr>
              <w:t xml:space="preserve">of </w:t>
            </w:r>
            <w:r w:rsidRPr="00097998">
              <w:rPr>
                <w:rFonts w:cs="Tahoma"/>
                <w:szCs w:val="18"/>
              </w:rPr>
              <w:t>&gt;15 years</w:t>
            </w:r>
          </w:p>
          <w:p w:rsidR="001D0FDA" w:rsidRPr="000C5DDE" w:rsidRDefault="001D0FDA" w:rsidP="00480FDF">
            <w:pPr>
              <w:pStyle w:val="Tabletext"/>
              <w:numPr>
                <w:ilvl w:val="0"/>
                <w:numId w:val="54"/>
              </w:numPr>
              <w:ind w:left="239" w:hanging="144"/>
              <w:rPr>
                <w:rFonts w:cs="Tahoma"/>
                <w:szCs w:val="18"/>
              </w:rPr>
            </w:pPr>
            <w:r w:rsidRPr="000C5DDE">
              <w:rPr>
                <w:rFonts w:cs="Tahoma"/>
                <w:szCs w:val="18"/>
              </w:rPr>
              <w:t xml:space="preserve">Patients with WHO FC III or IV IPAH who were </w:t>
            </w:r>
            <w:r>
              <w:rPr>
                <w:rFonts w:cs="Tahoma"/>
                <w:szCs w:val="18"/>
              </w:rPr>
              <w:t>t</w:t>
            </w:r>
            <w:r w:rsidRPr="000C5DDE">
              <w:rPr>
                <w:rFonts w:cs="Tahoma"/>
                <w:szCs w:val="18"/>
              </w:rPr>
              <w:t>reated with first-line bosentan</w:t>
            </w:r>
          </w:p>
          <w:p w:rsidR="001D0FDA" w:rsidRDefault="001D0FDA" w:rsidP="001D0FDA">
            <w:pPr>
              <w:pStyle w:val="Tabletext"/>
              <w:rPr>
                <w:rFonts w:cs="Tahoma"/>
                <w:i/>
                <w:szCs w:val="18"/>
              </w:rPr>
            </w:pPr>
          </w:p>
          <w:p w:rsidR="001D0FDA" w:rsidRPr="00097998" w:rsidRDefault="001D0FDA" w:rsidP="001D0FDA">
            <w:pPr>
              <w:pStyle w:val="Tabletext"/>
              <w:rPr>
                <w:rFonts w:cs="Tahoma"/>
                <w:i/>
                <w:szCs w:val="18"/>
              </w:rPr>
            </w:pPr>
            <w:r w:rsidRPr="00097998">
              <w:rPr>
                <w:rFonts w:cs="Tahoma"/>
                <w:i/>
                <w:szCs w:val="18"/>
              </w:rPr>
              <w:t>Exclusion criteria</w:t>
            </w:r>
          </w:p>
          <w:p w:rsidR="001D0FDA" w:rsidRPr="00097998" w:rsidRDefault="001D0FDA" w:rsidP="00480FDF">
            <w:pPr>
              <w:pStyle w:val="Tabletext"/>
              <w:numPr>
                <w:ilvl w:val="0"/>
                <w:numId w:val="54"/>
              </w:numPr>
              <w:ind w:left="239" w:hanging="144"/>
              <w:rPr>
                <w:rFonts w:cs="Tahoma"/>
                <w:szCs w:val="18"/>
              </w:rPr>
            </w:pPr>
            <w:r w:rsidRPr="00097998">
              <w:rPr>
                <w:rFonts w:cs="Tahoma"/>
                <w:szCs w:val="18"/>
              </w:rPr>
              <w:t>PAH related with an associated condition</w:t>
            </w:r>
          </w:p>
          <w:p w:rsidR="001D0FDA" w:rsidRPr="00323BBF" w:rsidRDefault="001D0FDA" w:rsidP="00480FDF">
            <w:pPr>
              <w:pStyle w:val="Tabletext"/>
              <w:numPr>
                <w:ilvl w:val="0"/>
                <w:numId w:val="54"/>
              </w:numPr>
              <w:ind w:left="239" w:hanging="144"/>
              <w:rPr>
                <w:rFonts w:cs="Tahoma"/>
                <w:i/>
                <w:szCs w:val="18"/>
              </w:rPr>
            </w:pPr>
            <w:r>
              <w:rPr>
                <w:rFonts w:cs="Tahoma"/>
                <w:szCs w:val="18"/>
              </w:rPr>
              <w:t>Patients w</w:t>
            </w:r>
            <w:r w:rsidRPr="00097998">
              <w:rPr>
                <w:rFonts w:cs="Tahoma"/>
                <w:szCs w:val="18"/>
              </w:rPr>
              <w:t>ith an acute response during acute vasoreactivity testing</w:t>
            </w:r>
          </w:p>
        </w:tc>
        <w:tc>
          <w:tcPr>
            <w:tcW w:w="1856" w:type="pct"/>
          </w:tcPr>
          <w:p w:rsidR="001D0FDA" w:rsidRDefault="001D0FDA" w:rsidP="001D0FDA">
            <w:pPr>
              <w:pStyle w:val="Tabletext"/>
              <w:ind w:right="-28"/>
              <w:rPr>
                <w:rFonts w:eastAsia="Times New Roman"/>
                <w:lang w:eastAsia="en-US"/>
              </w:rPr>
            </w:pPr>
            <w:r w:rsidRPr="008D73C9">
              <w:rPr>
                <w:rFonts w:eastAsia="Times New Roman"/>
                <w:lang w:eastAsia="en-US"/>
              </w:rPr>
              <w:t>N=103</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54±16</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75 (73%)</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Pr>
                <w:rFonts w:cs="Tahoma"/>
                <w:szCs w:val="18"/>
              </w:rPr>
              <w:t>IPAH: 103</w:t>
            </w:r>
            <w:r w:rsidRPr="00BB51A1">
              <w:rPr>
                <w:rFonts w:cs="Tahoma"/>
                <w:szCs w:val="18"/>
              </w:rPr>
              <w:t xml:space="preserve"> (</w:t>
            </w:r>
            <w:r>
              <w:rPr>
                <w:rFonts w:cs="Tahoma"/>
                <w:szCs w:val="18"/>
              </w:rPr>
              <w:t>100</w:t>
            </w:r>
            <w:r w:rsidRPr="00BB51A1">
              <w:rPr>
                <w:rFonts w:cs="Tahoma"/>
                <w:szCs w:val="18"/>
              </w:rPr>
              <w:t>%)</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Default="001D0FDA" w:rsidP="001D0FDA">
            <w:pPr>
              <w:pStyle w:val="Tabletext"/>
              <w:ind w:left="239"/>
              <w:rPr>
                <w:rFonts w:cs="Tahoma"/>
                <w:szCs w:val="18"/>
              </w:rPr>
            </w:pPr>
            <w:r w:rsidRPr="00EE4351">
              <w:rPr>
                <w:rFonts w:cs="Tahoma"/>
                <w:szCs w:val="18"/>
              </w:rPr>
              <w:t>III: 91 (88%)</w:t>
            </w:r>
            <w:r>
              <w:rPr>
                <w:rFonts w:cs="Tahoma"/>
                <w:szCs w:val="18"/>
              </w:rPr>
              <w:t xml:space="preserve">; </w:t>
            </w:r>
            <w:r w:rsidRPr="00EE4351">
              <w:rPr>
                <w:rFonts w:cs="Tahoma"/>
                <w:szCs w:val="18"/>
              </w:rPr>
              <w:t>IV: 12 (12%)</w:t>
            </w:r>
          </w:p>
          <w:p w:rsidR="001D0FDA" w:rsidRDefault="001D0FDA" w:rsidP="001D0FDA">
            <w:pPr>
              <w:pStyle w:val="Tabletext"/>
              <w:rPr>
                <w:rFonts w:cs="Tahoma"/>
                <w:szCs w:val="18"/>
              </w:rPr>
            </w:pPr>
            <w:r w:rsidRPr="00BB51A1">
              <w:rPr>
                <w:rFonts w:cs="Tahoma"/>
                <w:szCs w:val="18"/>
              </w:rPr>
              <w:t>Time from diagnosis</w:t>
            </w:r>
            <w:r>
              <w:rPr>
                <w:rFonts w:cs="Tahoma"/>
                <w:szCs w:val="18"/>
              </w:rPr>
              <w:t>, median (range) (mths)</w:t>
            </w:r>
            <w:r w:rsidRPr="00BB51A1">
              <w:rPr>
                <w:rFonts w:cs="Tahoma"/>
                <w:szCs w:val="18"/>
              </w:rPr>
              <w:t xml:space="preserve">: </w:t>
            </w:r>
            <w:r>
              <w:rPr>
                <w:rFonts w:cs="Tahoma"/>
                <w:szCs w:val="18"/>
              </w:rPr>
              <w:t>4 (1-22)</w:t>
            </w:r>
          </w:p>
          <w:p w:rsidR="001D0FDA" w:rsidRDefault="001D0FDA" w:rsidP="001D0FDA">
            <w:pPr>
              <w:pStyle w:val="Tabletext"/>
              <w:rPr>
                <w:rFonts w:cs="Tahoma"/>
                <w:szCs w:val="18"/>
              </w:rPr>
            </w:pPr>
            <w:r w:rsidRPr="00455DBB">
              <w:rPr>
                <w:rFonts w:cs="Tahoma"/>
                <w:szCs w:val="18"/>
              </w:rPr>
              <w:t>Concomitant use of sildenafil</w:t>
            </w:r>
            <w:r>
              <w:rPr>
                <w:rFonts w:cs="Tahoma"/>
                <w:szCs w:val="18"/>
              </w:rPr>
              <w:t>, n (%)</w:t>
            </w:r>
            <w:r w:rsidRPr="00455DBB">
              <w:rPr>
                <w:rFonts w:cs="Tahoma"/>
                <w:szCs w:val="18"/>
              </w:rPr>
              <w:t>: 19 (17%)</w:t>
            </w:r>
          </w:p>
          <w:p w:rsidR="001D0FDA" w:rsidRPr="00EE4351" w:rsidRDefault="001D0FDA" w:rsidP="001D0FDA">
            <w:pPr>
              <w:pStyle w:val="Tabletext"/>
              <w:rPr>
                <w:rFonts w:cs="Tahoma"/>
                <w:szCs w:val="18"/>
              </w:rPr>
            </w:pPr>
            <w:r w:rsidRPr="00C41328">
              <w:rPr>
                <w:rFonts w:cs="Tahoma"/>
                <w:szCs w:val="18"/>
              </w:rPr>
              <w:t>mPAP</w:t>
            </w:r>
            <w:r>
              <w:rPr>
                <w:rFonts w:cs="Tahoma"/>
                <w:szCs w:val="18"/>
              </w:rPr>
              <w:t>, mean</w:t>
            </w:r>
            <w:r w:rsidRPr="00C41328">
              <w:rPr>
                <w:rFonts w:cs="Tahoma"/>
                <w:szCs w:val="18"/>
              </w:rPr>
              <w:t>±</w:t>
            </w:r>
            <w:r>
              <w:rPr>
                <w:rFonts w:cs="Tahoma"/>
                <w:szCs w:val="18"/>
              </w:rPr>
              <w:t xml:space="preserve">SD </w:t>
            </w:r>
            <w:r w:rsidRPr="00C41328">
              <w:rPr>
                <w:rFonts w:cs="Tahoma"/>
                <w:szCs w:val="18"/>
              </w:rPr>
              <w:t xml:space="preserve">(mmHg): </w:t>
            </w:r>
            <w:r>
              <w:rPr>
                <w:rFonts w:cs="Tahoma"/>
                <w:szCs w:val="18"/>
              </w:rPr>
              <w:t>58</w:t>
            </w:r>
            <w:r w:rsidRPr="00C41328">
              <w:rPr>
                <w:rFonts w:cs="Tahoma"/>
                <w:szCs w:val="18"/>
              </w:rPr>
              <w:t>±</w:t>
            </w:r>
            <w:r>
              <w:rPr>
                <w:rFonts w:cs="Tahoma"/>
                <w:szCs w:val="18"/>
              </w:rPr>
              <w:t>12</w:t>
            </w:r>
          </w:p>
        </w:tc>
        <w:tc>
          <w:tcPr>
            <w:tcW w:w="1047" w:type="pct"/>
          </w:tcPr>
          <w:p w:rsidR="001D0FDA" w:rsidRDefault="001D0FDA" w:rsidP="001D0FDA">
            <w:pPr>
              <w:pStyle w:val="Tabletext"/>
              <w:rPr>
                <w:rFonts w:cs="Tahoma"/>
                <w:i/>
                <w:szCs w:val="18"/>
              </w:rPr>
            </w:pPr>
            <w:r>
              <w:rPr>
                <w:rFonts w:cs="Tahoma"/>
                <w:i/>
                <w:szCs w:val="18"/>
              </w:rPr>
              <w:t>Intervention</w:t>
            </w:r>
          </w:p>
          <w:p w:rsidR="001D0FDA" w:rsidRPr="008D73C9" w:rsidRDefault="001D0FDA" w:rsidP="001D0FDA">
            <w:pPr>
              <w:pStyle w:val="Tabletext"/>
              <w:rPr>
                <w:rFonts w:eastAsia="Times New Roman"/>
                <w:lang w:eastAsia="en-US"/>
              </w:rPr>
            </w:pPr>
            <w:r w:rsidRPr="00EE4351">
              <w:rPr>
                <w:rFonts w:eastAsia="Times New Roman"/>
                <w:lang w:eastAsia="en-US"/>
              </w:rPr>
              <w:t>Bosentan</w:t>
            </w:r>
            <w:r>
              <w:rPr>
                <w:rFonts w:eastAsia="Times New Roman"/>
                <w:lang w:eastAsia="en-US"/>
              </w:rPr>
              <w:t>: initial dose of</w:t>
            </w:r>
            <w:r w:rsidRPr="00EE4351">
              <w:rPr>
                <w:rFonts w:eastAsia="Times New Roman"/>
                <w:lang w:eastAsia="en-US"/>
              </w:rPr>
              <w:t xml:space="preserve"> 62.5</w:t>
            </w:r>
            <w:r w:rsidR="00C90897">
              <w:rPr>
                <w:rFonts w:eastAsia="Times New Roman"/>
                <w:lang w:eastAsia="en-US"/>
              </w:rPr>
              <w:t> </w:t>
            </w:r>
            <w:r w:rsidRPr="00EE4351">
              <w:rPr>
                <w:rFonts w:eastAsia="Times New Roman"/>
                <w:lang w:eastAsia="en-US"/>
              </w:rPr>
              <w:t xml:space="preserve">mg bid for 4 weeks, </w:t>
            </w:r>
            <w:r>
              <w:rPr>
                <w:rFonts w:eastAsia="Times New Roman"/>
                <w:lang w:eastAsia="en-US"/>
              </w:rPr>
              <w:t>then</w:t>
            </w:r>
            <w:r w:rsidRPr="00EE4351">
              <w:rPr>
                <w:rFonts w:eastAsia="Times New Roman"/>
                <w:lang w:eastAsia="en-US"/>
              </w:rPr>
              <w:t xml:space="preserve"> 125</w:t>
            </w:r>
            <w:r w:rsidR="00C90897">
              <w:rPr>
                <w:rFonts w:eastAsia="Times New Roman"/>
                <w:lang w:eastAsia="en-US"/>
              </w:rPr>
              <w:t> </w:t>
            </w:r>
            <w:r w:rsidRPr="00EE4351">
              <w:rPr>
                <w:rFonts w:eastAsia="Times New Roman"/>
                <w:lang w:eastAsia="en-US"/>
              </w:rPr>
              <w:t xml:space="preserve">mg bid </w:t>
            </w:r>
          </w:p>
          <w:p w:rsidR="001D0FDA" w:rsidRDefault="001D0FDA" w:rsidP="001D0FDA">
            <w:pPr>
              <w:pStyle w:val="Tabletext"/>
              <w:rPr>
                <w:rFonts w:eastAsia="Times New Roman"/>
                <w:lang w:eastAsia="en-US"/>
              </w:rPr>
            </w:pPr>
          </w:p>
          <w:p w:rsidR="001D0FDA" w:rsidRPr="00EE4351" w:rsidRDefault="001D0FDA" w:rsidP="001D0FDA">
            <w:pPr>
              <w:pStyle w:val="Tabletext"/>
              <w:rPr>
                <w:rFonts w:eastAsia="Times New Roman"/>
                <w:i/>
                <w:lang w:eastAsia="en-US"/>
              </w:rPr>
            </w:pPr>
            <w:r>
              <w:rPr>
                <w:rFonts w:eastAsia="Times New Roman"/>
                <w:i/>
                <w:lang w:eastAsia="en-US"/>
              </w:rPr>
              <w:t>Combination therapy</w:t>
            </w:r>
          </w:p>
          <w:p w:rsidR="001D0FDA" w:rsidRDefault="001D0FDA" w:rsidP="001D0FDA">
            <w:pPr>
              <w:pStyle w:val="Tabletext"/>
              <w:rPr>
                <w:rFonts w:cs="Tahoma"/>
                <w:i/>
                <w:szCs w:val="18"/>
              </w:rPr>
            </w:pPr>
            <w:r>
              <w:rPr>
                <w:rFonts w:eastAsia="Times New Roman"/>
                <w:lang w:eastAsia="en-US"/>
              </w:rPr>
              <w:t>Prostanoid</w:t>
            </w:r>
            <w:r w:rsidRPr="008D73C9">
              <w:rPr>
                <w:rFonts w:eastAsia="Times New Roman"/>
                <w:lang w:eastAsia="en-US"/>
              </w:rPr>
              <w:t xml:space="preserve"> (44%)</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Sitbon 2002</w:t>
            </w:r>
            <w:r w:rsidR="001D34EE" w:rsidRPr="001A1C44">
              <w:rPr>
                <w:rFonts w:eastAsia="Times New Roman"/>
                <w:noProof/>
                <w:vertAlign w:val="superscript"/>
                <w:lang w:eastAsia="en-US"/>
              </w:rPr>
              <w:t>67</w:t>
            </w:r>
          </w:p>
          <w:p w:rsidR="001D0FDA" w:rsidRPr="008D73C9" w:rsidRDefault="001D0FDA" w:rsidP="001D0FDA">
            <w:pPr>
              <w:pStyle w:val="Tabletext"/>
              <w:ind w:right="-28"/>
              <w:rPr>
                <w:rFonts w:eastAsia="Times New Roman"/>
                <w:lang w:eastAsia="en-US"/>
              </w:rPr>
            </w:pPr>
            <w:r w:rsidRPr="008D73C9">
              <w:rPr>
                <w:rFonts w:eastAsia="Times New Roman"/>
                <w:lang w:eastAsia="en-US"/>
              </w:rPr>
              <w:t>1992-2001</w:t>
            </w:r>
          </w:p>
          <w:p w:rsidR="001D0FDA" w:rsidRPr="008D73C9" w:rsidRDefault="001D0FDA" w:rsidP="001D0FDA">
            <w:pPr>
              <w:pStyle w:val="Tabletext"/>
              <w:ind w:right="-28"/>
              <w:rPr>
                <w:rFonts w:eastAsia="Times New Roman"/>
                <w:lang w:eastAsia="en-US"/>
              </w:rPr>
            </w:pPr>
            <w:r w:rsidRPr="008D73C9">
              <w:rPr>
                <w:rFonts w:eastAsia="Times New Roman"/>
                <w:lang w:eastAsia="en-US"/>
              </w:rPr>
              <w:t>France</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Follow-up: 26 month</w:t>
            </w:r>
            <w:r w:rsidRPr="008D73C9">
              <w:rPr>
                <w:rFonts w:eastAsia="Times New Roman"/>
                <w:lang w:eastAsia="en-US"/>
              </w:rPr>
              <w:t>s</w:t>
            </w:r>
          </w:p>
        </w:tc>
        <w:tc>
          <w:tcPr>
            <w:tcW w:w="1096" w:type="pct"/>
          </w:tcPr>
          <w:p w:rsidR="001D0FDA" w:rsidRPr="0002497B" w:rsidRDefault="001D0FDA" w:rsidP="001D0FDA">
            <w:pPr>
              <w:pStyle w:val="Tabletext"/>
              <w:rPr>
                <w:rFonts w:cs="Tahoma"/>
                <w:i/>
                <w:szCs w:val="18"/>
              </w:rPr>
            </w:pPr>
            <w:r w:rsidRPr="0002497B">
              <w:rPr>
                <w:rFonts w:cs="Tahoma"/>
                <w:i/>
                <w:szCs w:val="18"/>
              </w:rPr>
              <w:t>Inclusion criteria</w:t>
            </w:r>
          </w:p>
          <w:p w:rsidR="001D0FDA" w:rsidRPr="0002497B" w:rsidRDefault="001D0FDA" w:rsidP="00480FDF">
            <w:pPr>
              <w:pStyle w:val="Tabletext"/>
              <w:numPr>
                <w:ilvl w:val="0"/>
                <w:numId w:val="54"/>
              </w:numPr>
              <w:ind w:left="239" w:hanging="144"/>
              <w:rPr>
                <w:rFonts w:cs="Tahoma"/>
                <w:szCs w:val="18"/>
              </w:rPr>
            </w:pPr>
            <w:r>
              <w:rPr>
                <w:rFonts w:cs="Tahoma"/>
                <w:szCs w:val="18"/>
              </w:rPr>
              <w:t>Age of</w:t>
            </w:r>
            <w:r w:rsidRPr="0002497B">
              <w:rPr>
                <w:rFonts w:cs="Tahoma"/>
                <w:szCs w:val="18"/>
              </w:rPr>
              <w:t xml:space="preserve"> &gt; 15 years </w:t>
            </w:r>
          </w:p>
          <w:p w:rsidR="001D0FDA" w:rsidRPr="000C5DDE" w:rsidRDefault="001D0FDA" w:rsidP="00480FDF">
            <w:pPr>
              <w:pStyle w:val="Tabletext"/>
              <w:numPr>
                <w:ilvl w:val="0"/>
                <w:numId w:val="54"/>
              </w:numPr>
              <w:ind w:left="239" w:hanging="144"/>
              <w:rPr>
                <w:rFonts w:cs="Tahoma"/>
                <w:szCs w:val="18"/>
              </w:rPr>
            </w:pPr>
            <w:r w:rsidRPr="000C5DDE">
              <w:rPr>
                <w:rFonts w:cs="Tahoma"/>
                <w:szCs w:val="18"/>
              </w:rPr>
              <w:t xml:space="preserve">Patients with severe primary pulmonary hypertension who were </w:t>
            </w:r>
            <w:r>
              <w:rPr>
                <w:rFonts w:cs="Tahoma"/>
                <w:szCs w:val="18"/>
              </w:rPr>
              <w:t>t</w:t>
            </w:r>
            <w:r w:rsidRPr="000C5DDE">
              <w:rPr>
                <w:rFonts w:cs="Tahoma"/>
                <w:szCs w:val="18"/>
              </w:rPr>
              <w:t>reated with long-term epoprostenol</w:t>
            </w:r>
          </w:p>
          <w:p w:rsidR="001D0FDA" w:rsidRPr="0002497B" w:rsidRDefault="001D0FDA" w:rsidP="001D0FDA">
            <w:pPr>
              <w:pStyle w:val="Tabletext"/>
              <w:rPr>
                <w:rFonts w:cs="Tahoma"/>
                <w:i/>
                <w:szCs w:val="18"/>
              </w:rPr>
            </w:pPr>
          </w:p>
          <w:p w:rsidR="001D0FDA" w:rsidRPr="0002497B" w:rsidRDefault="001D0FDA" w:rsidP="001D0FDA">
            <w:pPr>
              <w:pStyle w:val="Tabletext"/>
              <w:rPr>
                <w:rFonts w:cs="Tahoma"/>
                <w:i/>
                <w:szCs w:val="18"/>
              </w:rPr>
            </w:pPr>
            <w:r w:rsidRPr="0002497B">
              <w:rPr>
                <w:rFonts w:cs="Tahoma"/>
                <w:i/>
                <w:szCs w:val="18"/>
              </w:rPr>
              <w:t>Exclusion criteria</w:t>
            </w:r>
          </w:p>
          <w:p w:rsidR="001D0FDA" w:rsidRPr="0002497B" w:rsidRDefault="001D0FDA" w:rsidP="00480FDF">
            <w:pPr>
              <w:pStyle w:val="Tabletext"/>
              <w:numPr>
                <w:ilvl w:val="0"/>
                <w:numId w:val="54"/>
              </w:numPr>
              <w:ind w:left="239" w:hanging="144"/>
              <w:rPr>
                <w:rFonts w:cs="Tahoma"/>
                <w:szCs w:val="18"/>
              </w:rPr>
            </w:pPr>
            <w:r>
              <w:rPr>
                <w:rFonts w:cs="Tahoma"/>
                <w:szCs w:val="18"/>
              </w:rPr>
              <w:t xml:space="preserve">Patients with </w:t>
            </w:r>
            <w:r w:rsidRPr="0002497B">
              <w:rPr>
                <w:rFonts w:cs="Tahoma"/>
                <w:szCs w:val="18"/>
              </w:rPr>
              <w:t>PAH-CTD, PAH-CHD, PAH-PH, PAH-HIV, or distal CTEPH</w:t>
            </w:r>
          </w:p>
          <w:p w:rsidR="001D0FDA" w:rsidRPr="0002497B" w:rsidRDefault="001D0FDA" w:rsidP="00480FDF">
            <w:pPr>
              <w:pStyle w:val="Tabletext"/>
              <w:numPr>
                <w:ilvl w:val="0"/>
                <w:numId w:val="54"/>
              </w:numPr>
              <w:ind w:left="239" w:hanging="144"/>
              <w:rPr>
                <w:rFonts w:cs="Tahoma"/>
                <w:szCs w:val="18"/>
              </w:rPr>
            </w:pPr>
            <w:r>
              <w:rPr>
                <w:rFonts w:cs="Tahoma"/>
                <w:szCs w:val="18"/>
              </w:rPr>
              <w:t>C</w:t>
            </w:r>
            <w:r w:rsidRPr="0002497B">
              <w:rPr>
                <w:rFonts w:cs="Tahoma"/>
                <w:szCs w:val="18"/>
              </w:rPr>
              <w:t>hronic pulmonary disease</w:t>
            </w:r>
          </w:p>
          <w:p w:rsidR="001D0FDA" w:rsidRPr="00097998" w:rsidRDefault="001D0FDA" w:rsidP="00480FDF">
            <w:pPr>
              <w:pStyle w:val="Tabletext"/>
              <w:numPr>
                <w:ilvl w:val="0"/>
                <w:numId w:val="54"/>
              </w:numPr>
              <w:ind w:left="239" w:hanging="144"/>
              <w:rPr>
                <w:rFonts w:cs="Tahoma"/>
                <w:i/>
                <w:szCs w:val="18"/>
              </w:rPr>
            </w:pPr>
            <w:r w:rsidRPr="0002497B">
              <w:rPr>
                <w:rFonts w:cs="Tahoma"/>
                <w:szCs w:val="18"/>
              </w:rPr>
              <w:t>Patients with an acute pulmonary vasodilator response that predicted a clinical response to oral calcium channel blockers</w:t>
            </w:r>
          </w:p>
        </w:tc>
        <w:tc>
          <w:tcPr>
            <w:tcW w:w="1856" w:type="pct"/>
          </w:tcPr>
          <w:p w:rsidR="001D0FDA" w:rsidRDefault="001D0FDA" w:rsidP="001D0FDA">
            <w:pPr>
              <w:pStyle w:val="Tabletext"/>
              <w:ind w:right="-28"/>
              <w:rPr>
                <w:rFonts w:eastAsia="Times New Roman"/>
                <w:lang w:eastAsia="en-US"/>
              </w:rPr>
            </w:pPr>
            <w:r w:rsidRPr="008D73C9">
              <w:rPr>
                <w:rFonts w:eastAsia="Times New Roman"/>
                <w:lang w:eastAsia="en-US"/>
              </w:rPr>
              <w:t>N=178</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43±13</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135 (76%)</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0C5DDE">
              <w:rPr>
                <w:rFonts w:cs="Tahoma"/>
                <w:szCs w:val="18"/>
              </w:rPr>
              <w:t>IPAH/HPAH/PAH-DT: 178 (100%)</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Default="001D0FDA" w:rsidP="001D0FDA">
            <w:pPr>
              <w:pStyle w:val="Tabletext"/>
              <w:ind w:left="239"/>
              <w:rPr>
                <w:rFonts w:cs="Tahoma"/>
                <w:szCs w:val="18"/>
              </w:rPr>
            </w:pPr>
            <w:r w:rsidRPr="000C5DDE">
              <w:rPr>
                <w:rFonts w:cs="Tahoma"/>
                <w:szCs w:val="18"/>
              </w:rPr>
              <w:t>III: 120 (67%)</w:t>
            </w:r>
            <w:r>
              <w:rPr>
                <w:rFonts w:cs="Tahoma"/>
                <w:szCs w:val="18"/>
              </w:rPr>
              <w:t xml:space="preserve">; </w:t>
            </w:r>
            <w:r w:rsidRPr="000C5DDE">
              <w:rPr>
                <w:rFonts w:cs="Tahoma"/>
                <w:szCs w:val="18"/>
              </w:rPr>
              <w:t>IV: 58 (33%)</w:t>
            </w:r>
          </w:p>
          <w:p w:rsidR="001D0FDA" w:rsidRDefault="001D0FDA" w:rsidP="001D0FDA">
            <w:pPr>
              <w:pStyle w:val="Tabletext"/>
              <w:rPr>
                <w:rFonts w:cs="Tahoma"/>
                <w:szCs w:val="18"/>
              </w:rPr>
            </w:pPr>
            <w:r w:rsidRPr="00BB51A1">
              <w:rPr>
                <w:rFonts w:cs="Tahoma"/>
                <w:szCs w:val="18"/>
              </w:rPr>
              <w:t xml:space="preserve">Time </w:t>
            </w:r>
            <w:r>
              <w:rPr>
                <w:rFonts w:cs="Tahoma"/>
                <w:szCs w:val="18"/>
              </w:rPr>
              <w:t>since onset of symptoms, mean</w:t>
            </w:r>
            <w:r w:rsidRPr="00C41328">
              <w:rPr>
                <w:rFonts w:cs="Tahoma"/>
                <w:szCs w:val="18"/>
              </w:rPr>
              <w:t>±</w:t>
            </w:r>
            <w:r>
              <w:rPr>
                <w:rFonts w:cs="Tahoma"/>
                <w:szCs w:val="18"/>
              </w:rPr>
              <w:t>SD (mths)</w:t>
            </w:r>
            <w:r w:rsidRPr="00BB51A1">
              <w:rPr>
                <w:rFonts w:cs="Tahoma"/>
                <w:szCs w:val="18"/>
              </w:rPr>
              <w:t xml:space="preserve">: </w:t>
            </w:r>
            <w:r>
              <w:rPr>
                <w:rFonts w:cs="Tahoma"/>
                <w:szCs w:val="18"/>
              </w:rPr>
              <w:t>34</w:t>
            </w:r>
            <w:r w:rsidRPr="00C41328">
              <w:rPr>
                <w:rFonts w:cs="Tahoma"/>
                <w:szCs w:val="18"/>
              </w:rPr>
              <w:t>±</w:t>
            </w:r>
            <w:r>
              <w:rPr>
                <w:rFonts w:cs="Tahoma"/>
                <w:szCs w:val="18"/>
              </w:rPr>
              <w:t>34</w:t>
            </w:r>
          </w:p>
          <w:p w:rsidR="001D0FDA" w:rsidRPr="000C5DDE" w:rsidRDefault="001D0FDA" w:rsidP="001D0FDA">
            <w:pPr>
              <w:pStyle w:val="Tabletext"/>
              <w:rPr>
                <w:rFonts w:cs="Tahoma"/>
                <w:szCs w:val="18"/>
              </w:rPr>
            </w:pPr>
            <w:r>
              <w:rPr>
                <w:rFonts w:cs="Tahoma"/>
                <w:szCs w:val="18"/>
              </w:rPr>
              <w:t>mPAP, mean±SD (mmHg): 67±14</w:t>
            </w:r>
          </w:p>
        </w:tc>
        <w:tc>
          <w:tcPr>
            <w:tcW w:w="1047" w:type="pct"/>
          </w:tcPr>
          <w:p w:rsidR="001D0FDA" w:rsidRDefault="001D0FDA" w:rsidP="001D0FDA">
            <w:pPr>
              <w:pStyle w:val="Tabletext"/>
              <w:rPr>
                <w:rFonts w:cs="Tahoma"/>
                <w:i/>
                <w:szCs w:val="18"/>
              </w:rPr>
            </w:pPr>
            <w:r>
              <w:rPr>
                <w:rFonts w:cs="Tahoma"/>
                <w:i/>
                <w:szCs w:val="18"/>
              </w:rPr>
              <w:t>Intervention</w:t>
            </w:r>
          </w:p>
          <w:p w:rsidR="001D0FDA" w:rsidRDefault="001D0FDA" w:rsidP="00C90897">
            <w:pPr>
              <w:pStyle w:val="Tabletext"/>
              <w:rPr>
                <w:rFonts w:cs="Tahoma"/>
                <w:i/>
                <w:szCs w:val="18"/>
              </w:rPr>
            </w:pPr>
            <w:r>
              <w:rPr>
                <w:rFonts w:eastAsia="Times New Roman"/>
                <w:lang w:eastAsia="en-US"/>
              </w:rPr>
              <w:t>Epoprostenol: i</w:t>
            </w:r>
            <w:r w:rsidRPr="007273D8">
              <w:rPr>
                <w:rFonts w:eastAsia="Times New Roman"/>
                <w:lang w:eastAsia="en-US"/>
              </w:rPr>
              <w:t>nitial dose of 1</w:t>
            </w:r>
            <w:r w:rsidR="00C90897">
              <w:rPr>
                <w:rFonts w:eastAsia="Times New Roman"/>
                <w:lang w:eastAsia="en-US"/>
              </w:rPr>
              <w:t> </w:t>
            </w:r>
            <w:r w:rsidRPr="007273D8">
              <w:rPr>
                <w:rFonts w:eastAsia="Times New Roman"/>
                <w:lang w:eastAsia="en-US"/>
              </w:rPr>
              <w:t>ng/kg/min, then increased by 1 ng/kg/min every 12</w:t>
            </w:r>
            <w:r>
              <w:rPr>
                <w:rFonts w:eastAsia="Times New Roman"/>
                <w:lang w:eastAsia="en-US"/>
              </w:rPr>
              <w:t xml:space="preserve"> hours up to 10 ng/kg/min, </w:t>
            </w:r>
            <w:proofErr w:type="gramStart"/>
            <w:r>
              <w:rPr>
                <w:rFonts w:eastAsia="Times New Roman"/>
                <w:lang w:eastAsia="en-US"/>
              </w:rPr>
              <w:t>then</w:t>
            </w:r>
            <w:proofErr w:type="gramEnd"/>
            <w:r>
              <w:rPr>
                <w:rFonts w:eastAsia="Times New Roman"/>
                <w:lang w:eastAsia="en-US"/>
              </w:rPr>
              <w:t xml:space="preserve"> adjusted</w:t>
            </w:r>
            <w:r w:rsidRPr="007273D8">
              <w:rPr>
                <w:rFonts w:eastAsia="Times New Roman"/>
                <w:lang w:eastAsia="en-US"/>
              </w:rPr>
              <w:t xml:space="preserve"> </w:t>
            </w:r>
            <w:r>
              <w:rPr>
                <w:rFonts w:eastAsia="Times New Roman"/>
                <w:lang w:eastAsia="en-US"/>
              </w:rPr>
              <w:t>s</w:t>
            </w:r>
            <w:r w:rsidRPr="007273D8">
              <w:rPr>
                <w:rFonts w:eastAsia="Times New Roman"/>
                <w:lang w:eastAsia="en-US"/>
              </w:rPr>
              <w:t xml:space="preserve">ystematically </w:t>
            </w:r>
            <w:r>
              <w:rPr>
                <w:rFonts w:eastAsia="Times New Roman"/>
                <w:lang w:eastAsia="en-US"/>
              </w:rPr>
              <w:t xml:space="preserve">to </w:t>
            </w:r>
            <w:r w:rsidRPr="007273D8">
              <w:rPr>
                <w:rFonts w:eastAsia="Times New Roman"/>
                <w:lang w:eastAsia="en-US"/>
              </w:rPr>
              <w:t>reach a mean level of 14±4 ng/kg/min at 3 months. Thereafter, dose adjustments were based on clinical symptoms consistent with clinical deterioration or the occurrence of adverse events, distance walked during exercise testin</w:t>
            </w:r>
            <w:r>
              <w:rPr>
                <w:rFonts w:eastAsia="Times New Roman"/>
                <w:lang w:eastAsia="en-US"/>
              </w:rPr>
              <w:t>g, and hemodynamic measurements</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Sitbon 2016</w:t>
            </w:r>
            <w:r w:rsidR="001D34EE" w:rsidRPr="001A1C44">
              <w:rPr>
                <w:rFonts w:eastAsia="Times New Roman"/>
                <w:noProof/>
                <w:vertAlign w:val="superscript"/>
                <w:lang w:eastAsia="en-US"/>
              </w:rPr>
              <w:t>68</w:t>
            </w:r>
          </w:p>
          <w:p w:rsidR="001D0FDA" w:rsidRPr="008D73C9" w:rsidRDefault="001D0FDA" w:rsidP="001D0FDA">
            <w:pPr>
              <w:pStyle w:val="Tabletext"/>
              <w:ind w:right="-28"/>
              <w:rPr>
                <w:rFonts w:eastAsia="Times New Roman"/>
                <w:lang w:eastAsia="en-US"/>
              </w:rPr>
            </w:pPr>
            <w:r w:rsidRPr="008D73C9">
              <w:rPr>
                <w:rFonts w:eastAsia="Times New Roman"/>
                <w:lang w:eastAsia="en-US"/>
              </w:rPr>
              <w:t>2007-2013</w:t>
            </w:r>
          </w:p>
          <w:p w:rsidR="001D0FDA" w:rsidRPr="008D73C9" w:rsidRDefault="001D0FDA" w:rsidP="001D0FDA">
            <w:pPr>
              <w:pStyle w:val="Tabletext"/>
              <w:ind w:right="-28"/>
              <w:rPr>
                <w:rFonts w:eastAsia="Times New Roman"/>
                <w:lang w:eastAsia="en-US"/>
              </w:rPr>
            </w:pPr>
            <w:r w:rsidRPr="008D73C9">
              <w:rPr>
                <w:rFonts w:eastAsia="Times New Roman"/>
                <w:lang w:eastAsia="en-US"/>
              </w:rPr>
              <w:t>France</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Retrospective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Follow-up: 30 month</w:t>
            </w:r>
            <w:r w:rsidRPr="008D73C9">
              <w:rPr>
                <w:rFonts w:eastAsia="Times New Roman"/>
                <w:lang w:eastAsia="en-US"/>
              </w:rPr>
              <w:t>s</w:t>
            </w:r>
          </w:p>
        </w:tc>
        <w:tc>
          <w:tcPr>
            <w:tcW w:w="1096" w:type="pct"/>
          </w:tcPr>
          <w:p w:rsidR="001D0FDA" w:rsidRPr="00C8004D" w:rsidRDefault="001D0FDA" w:rsidP="001D0FDA">
            <w:pPr>
              <w:pStyle w:val="Tabletext"/>
              <w:rPr>
                <w:rFonts w:cs="Tahoma"/>
                <w:i/>
                <w:szCs w:val="18"/>
              </w:rPr>
            </w:pPr>
            <w:r w:rsidRPr="00C8004D">
              <w:rPr>
                <w:rFonts w:cs="Tahoma"/>
                <w:i/>
                <w:szCs w:val="18"/>
              </w:rPr>
              <w:t>Inclusion criteria</w:t>
            </w:r>
          </w:p>
          <w:p w:rsidR="001D0FDA" w:rsidRDefault="001D0FDA" w:rsidP="00480FDF">
            <w:pPr>
              <w:pStyle w:val="Tabletext"/>
              <w:numPr>
                <w:ilvl w:val="0"/>
                <w:numId w:val="54"/>
              </w:numPr>
              <w:ind w:left="239" w:hanging="144"/>
              <w:rPr>
                <w:rFonts w:cs="Tahoma"/>
                <w:szCs w:val="18"/>
              </w:rPr>
            </w:pPr>
            <w:r>
              <w:rPr>
                <w:rFonts w:cs="Tahoma"/>
                <w:szCs w:val="18"/>
              </w:rPr>
              <w:t>A</w:t>
            </w:r>
            <w:r w:rsidRPr="00C8004D">
              <w:rPr>
                <w:rFonts w:cs="Tahoma"/>
                <w:szCs w:val="18"/>
              </w:rPr>
              <w:t>ge</w:t>
            </w:r>
            <w:r>
              <w:rPr>
                <w:rFonts w:cs="Tahoma"/>
                <w:szCs w:val="18"/>
              </w:rPr>
              <w:t xml:space="preserve"> of</w:t>
            </w:r>
            <w:r w:rsidRPr="00C8004D">
              <w:rPr>
                <w:rFonts w:cs="Tahoma"/>
                <w:szCs w:val="18"/>
              </w:rPr>
              <w:t xml:space="preserve"> &gt;18 years </w:t>
            </w:r>
          </w:p>
          <w:p w:rsidR="001D0FDA" w:rsidRPr="00C8004D" w:rsidRDefault="001D0FDA" w:rsidP="00480FDF">
            <w:pPr>
              <w:pStyle w:val="Tabletext"/>
              <w:numPr>
                <w:ilvl w:val="0"/>
                <w:numId w:val="54"/>
              </w:numPr>
              <w:ind w:left="239" w:hanging="144"/>
              <w:rPr>
                <w:rFonts w:cs="Tahoma"/>
                <w:szCs w:val="18"/>
              </w:rPr>
            </w:pPr>
            <w:r>
              <w:rPr>
                <w:rFonts w:cs="Tahoma"/>
                <w:szCs w:val="18"/>
              </w:rPr>
              <w:t xml:space="preserve">Patients </w:t>
            </w:r>
            <w:r w:rsidRPr="00C8004D">
              <w:rPr>
                <w:rFonts w:cs="Tahoma"/>
                <w:szCs w:val="18"/>
              </w:rPr>
              <w:t>with newly diagnosed PAH of any aetiology and in WHO FC II-IV who were initiated on first-line dual oral combination treatment with ERA (bosentan or ambrisentan) and PDE-5i (sildenafil or tadalafil)</w:t>
            </w:r>
          </w:p>
          <w:p w:rsidR="001D0FDA" w:rsidRPr="00C8004D" w:rsidRDefault="001D0FDA" w:rsidP="001D0FDA">
            <w:pPr>
              <w:pStyle w:val="Tabletext"/>
              <w:rPr>
                <w:rFonts w:cs="Tahoma"/>
                <w:i/>
                <w:szCs w:val="18"/>
              </w:rPr>
            </w:pPr>
          </w:p>
          <w:p w:rsidR="001D0FDA" w:rsidRPr="00C8004D" w:rsidRDefault="001D0FDA" w:rsidP="001D0FDA">
            <w:pPr>
              <w:pStyle w:val="Tabletext"/>
              <w:rPr>
                <w:rFonts w:cs="Tahoma"/>
                <w:i/>
                <w:szCs w:val="18"/>
              </w:rPr>
            </w:pPr>
            <w:r w:rsidRPr="00C8004D">
              <w:rPr>
                <w:rFonts w:cs="Tahoma"/>
                <w:i/>
                <w:szCs w:val="18"/>
              </w:rPr>
              <w:t>Inclusion criteria</w:t>
            </w:r>
          </w:p>
          <w:p w:rsidR="001D0FDA" w:rsidRPr="00C8004D" w:rsidRDefault="001D0FDA" w:rsidP="00480FDF">
            <w:pPr>
              <w:pStyle w:val="Tabletext"/>
              <w:numPr>
                <w:ilvl w:val="0"/>
                <w:numId w:val="54"/>
              </w:numPr>
              <w:ind w:left="239" w:hanging="144"/>
              <w:rPr>
                <w:rFonts w:cs="Tahoma"/>
                <w:szCs w:val="18"/>
              </w:rPr>
            </w:pPr>
            <w:r w:rsidRPr="00C8004D">
              <w:rPr>
                <w:rFonts w:cs="Tahoma"/>
                <w:szCs w:val="18"/>
              </w:rPr>
              <w:t xml:space="preserve">Patients with non-group 1 </w:t>
            </w:r>
            <w:r>
              <w:rPr>
                <w:rFonts w:cs="Tahoma"/>
                <w:szCs w:val="18"/>
              </w:rPr>
              <w:t>pulmonary hypertension and pulmonary veno-occlusive</w:t>
            </w:r>
            <w:r w:rsidRPr="00C8004D">
              <w:rPr>
                <w:rFonts w:cs="Tahoma"/>
                <w:szCs w:val="18"/>
              </w:rPr>
              <w:t xml:space="preserve"> disease </w:t>
            </w:r>
          </w:p>
          <w:p w:rsidR="001D0FDA" w:rsidRPr="00097998" w:rsidRDefault="001D0FDA" w:rsidP="00480FDF">
            <w:pPr>
              <w:pStyle w:val="Tabletext"/>
              <w:numPr>
                <w:ilvl w:val="0"/>
                <w:numId w:val="54"/>
              </w:numPr>
              <w:ind w:left="239" w:hanging="144"/>
              <w:rPr>
                <w:rFonts w:cs="Tahoma"/>
                <w:i/>
                <w:szCs w:val="18"/>
              </w:rPr>
            </w:pPr>
            <w:r w:rsidRPr="00C8004D">
              <w:rPr>
                <w:rFonts w:cs="Tahoma"/>
                <w:szCs w:val="18"/>
              </w:rPr>
              <w:t>Unstable patients in need of parenteral prostacyclin and those for whom ERAs were contraindicated</w:t>
            </w:r>
          </w:p>
        </w:tc>
        <w:tc>
          <w:tcPr>
            <w:tcW w:w="1856" w:type="pct"/>
          </w:tcPr>
          <w:p w:rsidR="001D0FDA" w:rsidRDefault="001D0FDA" w:rsidP="001D0FDA">
            <w:pPr>
              <w:pStyle w:val="Tabletext"/>
              <w:ind w:right="-28"/>
              <w:rPr>
                <w:rFonts w:eastAsia="Times New Roman"/>
                <w:lang w:eastAsia="en-US"/>
              </w:rPr>
            </w:pPr>
            <w:r w:rsidRPr="008D73C9">
              <w:rPr>
                <w:rFonts w:eastAsia="Times New Roman"/>
                <w:lang w:eastAsia="en-US"/>
              </w:rPr>
              <w:t>N=97</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54±17</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63 (65%)</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C8004D">
              <w:rPr>
                <w:rFonts w:cs="Tahoma"/>
                <w:szCs w:val="18"/>
              </w:rPr>
              <w:t>IPAH: 52 (54%)</w:t>
            </w:r>
            <w:r>
              <w:rPr>
                <w:rFonts w:cs="Tahoma"/>
                <w:szCs w:val="18"/>
              </w:rPr>
              <w:t xml:space="preserve">; </w:t>
            </w:r>
            <w:r w:rsidRPr="00C8004D">
              <w:rPr>
                <w:rFonts w:cs="Tahoma"/>
                <w:szCs w:val="18"/>
              </w:rPr>
              <w:t>HPAH: 15 (15%)</w:t>
            </w:r>
            <w:r>
              <w:rPr>
                <w:rFonts w:cs="Tahoma"/>
                <w:szCs w:val="18"/>
              </w:rPr>
              <w:t xml:space="preserve">; </w:t>
            </w:r>
            <w:r w:rsidRPr="00C8004D">
              <w:rPr>
                <w:rFonts w:cs="Tahoma"/>
                <w:szCs w:val="18"/>
              </w:rPr>
              <w:t>PAH-CTD: 12 (12%)</w:t>
            </w:r>
            <w:r>
              <w:rPr>
                <w:rFonts w:cs="Tahoma"/>
                <w:szCs w:val="18"/>
              </w:rPr>
              <w:t xml:space="preserve">; </w:t>
            </w:r>
            <w:r w:rsidRPr="00C8004D">
              <w:rPr>
                <w:rFonts w:cs="Tahoma"/>
                <w:szCs w:val="18"/>
              </w:rPr>
              <w:t>PAH-DT: 7 (7%)</w:t>
            </w:r>
            <w:r>
              <w:rPr>
                <w:rFonts w:cs="Tahoma"/>
                <w:szCs w:val="18"/>
              </w:rPr>
              <w:t xml:space="preserve">; </w:t>
            </w:r>
            <w:r w:rsidRPr="00C8004D">
              <w:rPr>
                <w:rFonts w:cs="Tahoma"/>
                <w:szCs w:val="18"/>
              </w:rPr>
              <w:t>PAH-PH: 9 (9%)</w:t>
            </w:r>
            <w:r>
              <w:rPr>
                <w:rFonts w:cs="Tahoma"/>
                <w:szCs w:val="18"/>
              </w:rPr>
              <w:t xml:space="preserve">; </w:t>
            </w:r>
            <w:r w:rsidRPr="00C8004D">
              <w:rPr>
                <w:rFonts w:cs="Tahoma"/>
                <w:szCs w:val="18"/>
              </w:rPr>
              <w:t>PAH-CHD: 1 (1%)</w:t>
            </w:r>
            <w:r>
              <w:rPr>
                <w:rFonts w:cs="Tahoma"/>
                <w:szCs w:val="18"/>
              </w:rPr>
              <w:t xml:space="preserve">; </w:t>
            </w:r>
            <w:r w:rsidRPr="00C8004D">
              <w:rPr>
                <w:rFonts w:cs="Tahoma"/>
                <w:szCs w:val="18"/>
              </w:rPr>
              <w:t>PAH-HIV: 1 (1%)</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Default="001D0FDA" w:rsidP="001D0FDA">
            <w:pPr>
              <w:pStyle w:val="Tabletext"/>
              <w:ind w:left="239"/>
              <w:rPr>
                <w:rFonts w:cs="Tahoma"/>
                <w:szCs w:val="18"/>
              </w:rPr>
            </w:pPr>
            <w:r w:rsidRPr="00C8004D">
              <w:rPr>
                <w:rFonts w:cs="Tahoma"/>
                <w:szCs w:val="18"/>
              </w:rPr>
              <w:t>II: 15 (15%)</w:t>
            </w:r>
            <w:r>
              <w:rPr>
                <w:rFonts w:cs="Tahoma"/>
                <w:szCs w:val="18"/>
              </w:rPr>
              <w:t xml:space="preserve">; </w:t>
            </w:r>
            <w:r w:rsidRPr="00C8004D">
              <w:rPr>
                <w:rFonts w:cs="Tahoma"/>
                <w:szCs w:val="18"/>
              </w:rPr>
              <w:t>III: 70 (72%)</w:t>
            </w:r>
            <w:r>
              <w:rPr>
                <w:rFonts w:cs="Tahoma"/>
                <w:szCs w:val="18"/>
              </w:rPr>
              <w:t xml:space="preserve">; </w:t>
            </w:r>
            <w:r w:rsidRPr="00C8004D">
              <w:rPr>
                <w:rFonts w:cs="Tahoma"/>
                <w:szCs w:val="18"/>
              </w:rPr>
              <w:t>IV: 12 (12%)</w:t>
            </w:r>
          </w:p>
          <w:p w:rsidR="001D0FDA" w:rsidRDefault="001D0FDA" w:rsidP="001D0FDA">
            <w:pPr>
              <w:pStyle w:val="Tabletext"/>
              <w:rPr>
                <w:rFonts w:cs="Tahoma"/>
                <w:szCs w:val="18"/>
              </w:rPr>
            </w:pPr>
            <w:r w:rsidRPr="00BB51A1">
              <w:rPr>
                <w:rFonts w:cs="Tahoma"/>
                <w:szCs w:val="18"/>
              </w:rPr>
              <w:t xml:space="preserve">Time </w:t>
            </w:r>
            <w:r>
              <w:rPr>
                <w:rFonts w:cs="Tahoma"/>
                <w:szCs w:val="18"/>
              </w:rPr>
              <w:t>since onset of symptoms, mean</w:t>
            </w:r>
            <w:r w:rsidRPr="00C41328">
              <w:rPr>
                <w:rFonts w:cs="Tahoma"/>
                <w:szCs w:val="18"/>
              </w:rPr>
              <w:t>±</w:t>
            </w:r>
            <w:r>
              <w:rPr>
                <w:rFonts w:cs="Tahoma"/>
                <w:szCs w:val="18"/>
              </w:rPr>
              <w:t>SD (mths)</w:t>
            </w:r>
            <w:r w:rsidRPr="00BB51A1">
              <w:rPr>
                <w:rFonts w:cs="Tahoma"/>
                <w:szCs w:val="18"/>
              </w:rPr>
              <w:t xml:space="preserve">: </w:t>
            </w:r>
            <w:r>
              <w:rPr>
                <w:rFonts w:cs="Tahoma"/>
                <w:szCs w:val="18"/>
              </w:rPr>
              <w:t>34</w:t>
            </w:r>
            <w:r w:rsidRPr="00C41328">
              <w:rPr>
                <w:rFonts w:cs="Tahoma"/>
                <w:szCs w:val="18"/>
              </w:rPr>
              <w:t>±</w:t>
            </w:r>
            <w:r>
              <w:rPr>
                <w:rFonts w:cs="Tahoma"/>
                <w:szCs w:val="18"/>
              </w:rPr>
              <w:t>34</w:t>
            </w:r>
          </w:p>
          <w:p w:rsidR="001D0FDA" w:rsidRDefault="001D0FDA" w:rsidP="001D0FDA">
            <w:pPr>
              <w:pStyle w:val="Tabletext"/>
              <w:ind w:right="-28"/>
              <w:rPr>
                <w:rFonts w:cs="Tahoma"/>
                <w:szCs w:val="18"/>
              </w:rPr>
            </w:pPr>
            <w:r>
              <w:rPr>
                <w:rFonts w:cs="Tahoma"/>
                <w:szCs w:val="18"/>
              </w:rPr>
              <w:t>mPAP, mean±SD (mmHg): 54±10</w:t>
            </w:r>
          </w:p>
          <w:p w:rsidR="001D0FDA" w:rsidRPr="008D73C9" w:rsidRDefault="001D0FDA" w:rsidP="001D0FDA">
            <w:pPr>
              <w:pStyle w:val="Tabletext"/>
              <w:ind w:right="-28"/>
              <w:rPr>
                <w:rFonts w:eastAsia="Times New Roman"/>
                <w:lang w:eastAsia="en-US"/>
              </w:rPr>
            </w:pPr>
            <w:r w:rsidRPr="00C41328">
              <w:rPr>
                <w:rFonts w:cs="Tahoma"/>
                <w:szCs w:val="18"/>
              </w:rPr>
              <w:t>PVR</w:t>
            </w:r>
            <w:r>
              <w:rPr>
                <w:rFonts w:cs="Tahoma"/>
                <w:szCs w:val="18"/>
              </w:rPr>
              <w:t>, mean</w:t>
            </w:r>
            <w:r w:rsidRPr="00C41328">
              <w:rPr>
                <w:rFonts w:cs="Tahoma"/>
                <w:szCs w:val="18"/>
              </w:rPr>
              <w:t>±</w:t>
            </w:r>
            <w:r>
              <w:rPr>
                <w:rFonts w:cs="Tahoma"/>
                <w:szCs w:val="18"/>
              </w:rPr>
              <w:t>SD</w:t>
            </w:r>
            <w:r w:rsidRPr="00C41328">
              <w:rPr>
                <w:rFonts w:cs="Tahoma"/>
                <w:szCs w:val="18"/>
              </w:rPr>
              <w:t xml:space="preserve"> (</w:t>
            </w:r>
            <w:r>
              <w:rPr>
                <w:rFonts w:cs="Tahoma"/>
                <w:szCs w:val="18"/>
              </w:rPr>
              <w:t>dyn*s*</w:t>
            </w:r>
            <w:r w:rsidRPr="00C8004D">
              <w:rPr>
                <w:rFonts w:cs="Tahoma"/>
                <w:szCs w:val="18"/>
              </w:rPr>
              <w:t>m</w:t>
            </w:r>
            <w:r>
              <w:rPr>
                <w:rFonts w:cs="Tahoma"/>
                <w:szCs w:val="18"/>
                <w:vertAlign w:val="superscript"/>
              </w:rPr>
              <w:t>-5</w:t>
            </w:r>
            <w:r w:rsidRPr="00C41328">
              <w:rPr>
                <w:rFonts w:cs="Tahoma"/>
                <w:szCs w:val="18"/>
              </w:rPr>
              <w:t>):</w:t>
            </w:r>
            <w:r>
              <w:rPr>
                <w:rFonts w:cs="Tahoma"/>
                <w:szCs w:val="18"/>
              </w:rPr>
              <w:t xml:space="preserve"> 1021</w:t>
            </w:r>
            <w:r w:rsidRPr="00C41328">
              <w:rPr>
                <w:rFonts w:cs="Tahoma"/>
                <w:szCs w:val="18"/>
              </w:rPr>
              <w:t>±</w:t>
            </w:r>
            <w:r>
              <w:rPr>
                <w:rFonts w:cs="Tahoma"/>
                <w:szCs w:val="18"/>
              </w:rPr>
              <w:t>357</w:t>
            </w:r>
          </w:p>
        </w:tc>
        <w:tc>
          <w:tcPr>
            <w:tcW w:w="1047" w:type="pct"/>
          </w:tcPr>
          <w:p w:rsidR="001D0FDA" w:rsidRPr="00943A74" w:rsidRDefault="001D0FDA" w:rsidP="001D0FDA">
            <w:pPr>
              <w:pStyle w:val="Tabletext"/>
              <w:rPr>
                <w:rFonts w:eastAsia="Times New Roman"/>
                <w:i/>
                <w:lang w:eastAsia="en-US"/>
              </w:rPr>
            </w:pPr>
            <w:r>
              <w:rPr>
                <w:rFonts w:eastAsia="Times New Roman"/>
                <w:i/>
                <w:lang w:eastAsia="en-US"/>
              </w:rPr>
              <w:t>Intervention</w:t>
            </w:r>
          </w:p>
          <w:p w:rsidR="001D0FDA" w:rsidRPr="008D73C9" w:rsidRDefault="001D0FDA" w:rsidP="001D0FDA">
            <w:pPr>
              <w:pStyle w:val="Tabletext"/>
              <w:rPr>
                <w:rFonts w:eastAsia="Times New Roman"/>
                <w:lang w:eastAsia="en-US"/>
              </w:rPr>
            </w:pPr>
            <w:r>
              <w:rPr>
                <w:rFonts w:eastAsia="Times New Roman"/>
                <w:lang w:eastAsia="en-US"/>
              </w:rPr>
              <w:t>Bosentan or ambrisentan + sildenafil or tadalafil</w:t>
            </w:r>
          </w:p>
          <w:p w:rsidR="001D0FDA" w:rsidRPr="00C8004D" w:rsidRDefault="001D0FDA" w:rsidP="001D0FDA">
            <w:pPr>
              <w:pStyle w:val="Tabletext"/>
              <w:rPr>
                <w:rFonts w:eastAsia="Times New Roman"/>
                <w:lang w:eastAsia="en-US"/>
              </w:rPr>
            </w:pPr>
            <w:r w:rsidRPr="00C8004D">
              <w:rPr>
                <w:rFonts w:eastAsia="Times New Roman"/>
                <w:lang w:eastAsia="en-US"/>
              </w:rPr>
              <w:t xml:space="preserve">Bosentan: </w:t>
            </w:r>
            <w:r>
              <w:rPr>
                <w:rFonts w:eastAsia="Times New Roman"/>
                <w:lang w:eastAsia="en-US"/>
              </w:rPr>
              <w:t xml:space="preserve">initial dose of </w:t>
            </w:r>
            <w:r w:rsidRPr="00C8004D">
              <w:rPr>
                <w:rFonts w:eastAsia="Times New Roman"/>
                <w:lang w:eastAsia="en-US"/>
              </w:rPr>
              <w:t>62.5</w:t>
            </w:r>
            <w:r w:rsidR="00C90897">
              <w:rPr>
                <w:rFonts w:eastAsia="Times New Roman"/>
                <w:lang w:eastAsia="en-US"/>
              </w:rPr>
              <w:t> </w:t>
            </w:r>
            <w:r w:rsidRPr="00C8004D">
              <w:rPr>
                <w:rFonts w:eastAsia="Times New Roman"/>
                <w:lang w:eastAsia="en-US"/>
              </w:rPr>
              <w:t xml:space="preserve">mg bid, </w:t>
            </w:r>
            <w:r>
              <w:rPr>
                <w:rFonts w:eastAsia="Times New Roman"/>
                <w:lang w:eastAsia="en-US"/>
              </w:rPr>
              <w:t xml:space="preserve">then </w:t>
            </w:r>
            <w:r w:rsidRPr="00C8004D">
              <w:rPr>
                <w:rFonts w:eastAsia="Times New Roman"/>
                <w:lang w:eastAsia="en-US"/>
              </w:rPr>
              <w:t>increas</w:t>
            </w:r>
            <w:r>
              <w:rPr>
                <w:rFonts w:eastAsia="Times New Roman"/>
                <w:lang w:eastAsia="en-US"/>
              </w:rPr>
              <w:t>ed to 125</w:t>
            </w:r>
            <w:r w:rsidR="00C90897">
              <w:rPr>
                <w:rFonts w:eastAsia="Times New Roman"/>
                <w:lang w:eastAsia="en-US"/>
              </w:rPr>
              <w:t> </w:t>
            </w:r>
            <w:r>
              <w:rPr>
                <w:rFonts w:eastAsia="Times New Roman"/>
                <w:lang w:eastAsia="en-US"/>
              </w:rPr>
              <w:t>mg bid after 4 weeks</w:t>
            </w:r>
          </w:p>
          <w:p w:rsidR="001D0FDA" w:rsidRPr="00C8004D" w:rsidRDefault="001D0FDA" w:rsidP="001D0FDA">
            <w:pPr>
              <w:pStyle w:val="Tabletext"/>
              <w:rPr>
                <w:rFonts w:eastAsia="Times New Roman"/>
                <w:lang w:eastAsia="en-US"/>
              </w:rPr>
            </w:pPr>
            <w:r w:rsidRPr="00C8004D">
              <w:rPr>
                <w:rFonts w:eastAsia="Times New Roman"/>
                <w:lang w:eastAsia="en-US"/>
              </w:rPr>
              <w:t xml:space="preserve">Ambrisentan: </w:t>
            </w:r>
            <w:r>
              <w:rPr>
                <w:rFonts w:eastAsia="Times New Roman"/>
                <w:lang w:eastAsia="en-US"/>
              </w:rPr>
              <w:t xml:space="preserve">initial dose of </w:t>
            </w:r>
            <w:r w:rsidRPr="00C8004D">
              <w:rPr>
                <w:rFonts w:eastAsia="Times New Roman"/>
                <w:lang w:eastAsia="en-US"/>
              </w:rPr>
              <w:t>5</w:t>
            </w:r>
            <w:r w:rsidR="00C90897">
              <w:rPr>
                <w:rFonts w:eastAsia="Times New Roman"/>
                <w:lang w:eastAsia="en-US"/>
              </w:rPr>
              <w:t> </w:t>
            </w:r>
            <w:r w:rsidRPr="00C8004D">
              <w:rPr>
                <w:rFonts w:eastAsia="Times New Roman"/>
                <w:lang w:eastAsia="en-US"/>
              </w:rPr>
              <w:t xml:space="preserve">mg od, </w:t>
            </w:r>
            <w:r>
              <w:rPr>
                <w:rFonts w:eastAsia="Times New Roman"/>
                <w:lang w:eastAsia="en-US"/>
              </w:rPr>
              <w:t>then increased</w:t>
            </w:r>
            <w:r w:rsidRPr="00C8004D">
              <w:rPr>
                <w:rFonts w:eastAsia="Times New Roman"/>
                <w:lang w:eastAsia="en-US"/>
              </w:rPr>
              <w:t xml:space="preserve"> to 10</w:t>
            </w:r>
            <w:r w:rsidR="00C90897">
              <w:rPr>
                <w:rFonts w:eastAsia="Times New Roman"/>
                <w:lang w:eastAsia="en-US"/>
              </w:rPr>
              <w:t> </w:t>
            </w:r>
            <w:r w:rsidRPr="00C8004D">
              <w:rPr>
                <w:rFonts w:eastAsia="Times New Roman"/>
                <w:lang w:eastAsia="en-US"/>
              </w:rPr>
              <w:t xml:space="preserve">mg od if needed </w:t>
            </w:r>
          </w:p>
          <w:p w:rsidR="001D0FDA" w:rsidRPr="00C8004D" w:rsidRDefault="001D0FDA" w:rsidP="001D0FDA">
            <w:pPr>
              <w:pStyle w:val="Tabletext"/>
              <w:rPr>
                <w:rFonts w:eastAsia="Times New Roman"/>
                <w:lang w:eastAsia="en-US"/>
              </w:rPr>
            </w:pPr>
            <w:r w:rsidRPr="00C8004D">
              <w:rPr>
                <w:rFonts w:eastAsia="Times New Roman"/>
                <w:lang w:eastAsia="en-US"/>
              </w:rPr>
              <w:t>Sildenafil</w:t>
            </w:r>
            <w:r>
              <w:rPr>
                <w:rFonts w:eastAsia="Times New Roman"/>
                <w:lang w:eastAsia="en-US"/>
              </w:rPr>
              <w:t>: initial dose of</w:t>
            </w:r>
            <w:r w:rsidRPr="00C8004D">
              <w:rPr>
                <w:rFonts w:eastAsia="Times New Roman"/>
                <w:lang w:eastAsia="en-US"/>
              </w:rPr>
              <w:t xml:space="preserve"> 20</w:t>
            </w:r>
            <w:r w:rsidR="00C90897">
              <w:rPr>
                <w:rFonts w:eastAsia="Times New Roman"/>
                <w:lang w:eastAsia="en-US"/>
              </w:rPr>
              <w:t> </w:t>
            </w:r>
            <w:r w:rsidRPr="00C8004D">
              <w:rPr>
                <w:rFonts w:eastAsia="Times New Roman"/>
                <w:lang w:eastAsia="en-US"/>
              </w:rPr>
              <w:t xml:space="preserve">mg tid, </w:t>
            </w:r>
            <w:r>
              <w:rPr>
                <w:rFonts w:eastAsia="Times New Roman"/>
                <w:lang w:eastAsia="en-US"/>
              </w:rPr>
              <w:t xml:space="preserve">then increased </w:t>
            </w:r>
            <w:r w:rsidRPr="00C8004D">
              <w:rPr>
                <w:rFonts w:eastAsia="Times New Roman"/>
                <w:lang w:eastAsia="en-US"/>
              </w:rPr>
              <w:t>to 40</w:t>
            </w:r>
            <w:r w:rsidR="00C90897">
              <w:rPr>
                <w:rFonts w:eastAsia="Times New Roman"/>
                <w:lang w:eastAsia="en-US"/>
              </w:rPr>
              <w:t> </w:t>
            </w:r>
            <w:r w:rsidRPr="00C8004D">
              <w:rPr>
                <w:rFonts w:eastAsia="Times New Roman"/>
                <w:lang w:eastAsia="en-US"/>
              </w:rPr>
              <w:t xml:space="preserve">mg tid if needed </w:t>
            </w:r>
          </w:p>
          <w:p w:rsidR="001D0FDA" w:rsidRDefault="001D0FDA" w:rsidP="001D0FDA">
            <w:pPr>
              <w:pStyle w:val="Tabletext"/>
              <w:rPr>
                <w:rFonts w:eastAsia="Times New Roman"/>
                <w:lang w:eastAsia="en-US"/>
              </w:rPr>
            </w:pPr>
            <w:r>
              <w:rPr>
                <w:rFonts w:eastAsia="Times New Roman"/>
                <w:lang w:eastAsia="en-US"/>
              </w:rPr>
              <w:t xml:space="preserve">Tadalafil: initial dose of </w:t>
            </w:r>
            <w:r w:rsidRPr="00C8004D">
              <w:rPr>
                <w:rFonts w:eastAsia="Times New Roman"/>
                <w:lang w:eastAsia="en-US"/>
              </w:rPr>
              <w:t>20</w:t>
            </w:r>
            <w:r w:rsidR="00C90897">
              <w:rPr>
                <w:rFonts w:eastAsia="Times New Roman"/>
                <w:lang w:eastAsia="en-US"/>
              </w:rPr>
              <w:t> </w:t>
            </w:r>
            <w:r w:rsidRPr="00C8004D">
              <w:rPr>
                <w:rFonts w:eastAsia="Times New Roman"/>
                <w:lang w:eastAsia="en-US"/>
              </w:rPr>
              <w:t>mg od</w:t>
            </w:r>
            <w:r>
              <w:rPr>
                <w:rFonts w:eastAsia="Times New Roman"/>
                <w:lang w:eastAsia="en-US"/>
              </w:rPr>
              <w:t xml:space="preserve">, then up-titrated </w:t>
            </w:r>
            <w:r w:rsidRPr="00C8004D">
              <w:rPr>
                <w:rFonts w:eastAsia="Times New Roman"/>
                <w:lang w:eastAsia="en-US"/>
              </w:rPr>
              <w:t>to 40</w:t>
            </w:r>
            <w:r w:rsidR="00C90897">
              <w:rPr>
                <w:rFonts w:eastAsia="Times New Roman"/>
                <w:lang w:eastAsia="en-US"/>
              </w:rPr>
              <w:t> </w:t>
            </w:r>
            <w:r w:rsidRPr="00C8004D">
              <w:rPr>
                <w:rFonts w:eastAsia="Times New Roman"/>
                <w:lang w:eastAsia="en-US"/>
              </w:rPr>
              <w:t>mg od after 3</w:t>
            </w:r>
            <w:r>
              <w:rPr>
                <w:rFonts w:eastAsia="Times New Roman"/>
                <w:lang w:eastAsia="en-US"/>
              </w:rPr>
              <w:t>-</w:t>
            </w:r>
            <w:r w:rsidRPr="00C8004D">
              <w:rPr>
                <w:rFonts w:eastAsia="Times New Roman"/>
                <w:lang w:eastAsia="en-US"/>
              </w:rPr>
              <w:t>7 days, according to tolerability</w:t>
            </w:r>
          </w:p>
          <w:p w:rsidR="001D0FDA" w:rsidRDefault="001D0FDA" w:rsidP="001D0FDA">
            <w:pPr>
              <w:pStyle w:val="Tabletext"/>
              <w:rPr>
                <w:rFonts w:eastAsia="Times New Roman"/>
                <w:lang w:eastAsia="en-US"/>
              </w:rPr>
            </w:pPr>
          </w:p>
          <w:p w:rsidR="001D0FDA" w:rsidRPr="00C8004D" w:rsidRDefault="001D0FDA" w:rsidP="001D0FDA">
            <w:pPr>
              <w:pStyle w:val="Tabletext"/>
              <w:rPr>
                <w:rFonts w:eastAsia="Times New Roman"/>
                <w:i/>
                <w:lang w:eastAsia="en-US"/>
              </w:rPr>
            </w:pPr>
            <w:r w:rsidRPr="00C8004D">
              <w:rPr>
                <w:rFonts w:eastAsia="Times New Roman"/>
                <w:i/>
                <w:lang w:eastAsia="en-US"/>
              </w:rPr>
              <w:t>Combination therapy</w:t>
            </w:r>
          </w:p>
          <w:p w:rsidR="001D0FDA" w:rsidRDefault="001D0FDA" w:rsidP="001D0FDA">
            <w:pPr>
              <w:pStyle w:val="Tabletext"/>
              <w:rPr>
                <w:rFonts w:cs="Tahoma"/>
                <w:i/>
                <w:szCs w:val="18"/>
              </w:rPr>
            </w:pPr>
            <w:r>
              <w:rPr>
                <w:rFonts w:eastAsia="Times New Roman"/>
                <w:lang w:eastAsia="en-US"/>
              </w:rPr>
              <w:t>Prostanoid or selexipag</w:t>
            </w:r>
            <w:r w:rsidRPr="008D73C9">
              <w:rPr>
                <w:rFonts w:eastAsia="Times New Roman"/>
                <w:lang w:eastAsia="en-US"/>
              </w:rPr>
              <w:t xml:space="preserve"> (29%)</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STARTS extension study </w:t>
            </w:r>
            <w:r w:rsidR="001D34EE" w:rsidRPr="001A1C44">
              <w:rPr>
                <w:rFonts w:eastAsia="Times New Roman"/>
                <w:noProof/>
                <w:vertAlign w:val="superscript"/>
                <w:lang w:eastAsia="en-US"/>
              </w:rPr>
              <w:t>69</w:t>
            </w:r>
          </w:p>
          <w:p w:rsidR="001D0FDA" w:rsidRPr="008D73C9" w:rsidRDefault="001D0FDA" w:rsidP="001D0FDA">
            <w:pPr>
              <w:pStyle w:val="Tabletext"/>
              <w:ind w:right="-28"/>
              <w:rPr>
                <w:rFonts w:eastAsia="Times New Roman"/>
                <w:lang w:eastAsia="en-US"/>
              </w:rPr>
            </w:pPr>
            <w:r w:rsidRPr="008D73C9">
              <w:rPr>
                <w:rFonts w:eastAsia="Times New Roman"/>
                <w:lang w:eastAsia="en-US"/>
              </w:rPr>
              <w:t>2004-2011</w:t>
            </w:r>
          </w:p>
          <w:p w:rsidR="001D0FDA" w:rsidRPr="008D73C9" w:rsidRDefault="001D0FDA" w:rsidP="001D0FDA">
            <w:pPr>
              <w:pStyle w:val="Tabletext"/>
              <w:ind w:right="-28"/>
              <w:rPr>
                <w:rFonts w:eastAsia="Times New Roman"/>
                <w:lang w:eastAsia="en-US"/>
              </w:rPr>
            </w:pPr>
            <w:r w:rsidRPr="008D73C9">
              <w:rPr>
                <w:rFonts w:eastAsia="Times New Roman"/>
                <w:lang w:eastAsia="en-US"/>
              </w:rPr>
              <w:t>North, South, and Central America, Asia and Europe</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4.1 years</w:t>
            </w:r>
          </w:p>
        </w:tc>
        <w:tc>
          <w:tcPr>
            <w:tcW w:w="1096" w:type="pct"/>
          </w:tcPr>
          <w:p w:rsidR="001D0FDA" w:rsidRPr="00850EB5" w:rsidRDefault="001D0FDA" w:rsidP="001D0FDA">
            <w:pPr>
              <w:pStyle w:val="Tabletext"/>
              <w:rPr>
                <w:rFonts w:cs="Tahoma"/>
                <w:i/>
                <w:szCs w:val="18"/>
              </w:rPr>
            </w:pPr>
            <w:r w:rsidRPr="00850EB5">
              <w:rPr>
                <w:rFonts w:cs="Tahoma"/>
                <w:i/>
                <w:szCs w:val="18"/>
              </w:rPr>
              <w:t>Inclusion criteria</w:t>
            </w:r>
          </w:p>
          <w:p w:rsidR="001D0FDA" w:rsidRPr="00850EB5" w:rsidRDefault="001D0FDA" w:rsidP="00480FDF">
            <w:pPr>
              <w:pStyle w:val="Tabletext"/>
              <w:numPr>
                <w:ilvl w:val="0"/>
                <w:numId w:val="54"/>
              </w:numPr>
              <w:ind w:left="239" w:hanging="144"/>
              <w:rPr>
                <w:rFonts w:cs="Tahoma"/>
                <w:i/>
                <w:szCs w:val="18"/>
              </w:rPr>
            </w:pPr>
            <w:r>
              <w:rPr>
                <w:rFonts w:cs="Tahoma"/>
                <w:szCs w:val="18"/>
              </w:rPr>
              <w:t>Children weighing ≥8 kg</w:t>
            </w:r>
          </w:p>
          <w:p w:rsidR="001D0FDA" w:rsidRPr="00097998" w:rsidRDefault="001D0FDA" w:rsidP="00480FDF">
            <w:pPr>
              <w:pStyle w:val="Tabletext"/>
              <w:numPr>
                <w:ilvl w:val="0"/>
                <w:numId w:val="54"/>
              </w:numPr>
              <w:ind w:left="239" w:hanging="144"/>
              <w:rPr>
                <w:rFonts w:cs="Tahoma"/>
                <w:i/>
                <w:szCs w:val="18"/>
              </w:rPr>
            </w:pPr>
            <w:r>
              <w:rPr>
                <w:rFonts w:cs="Tahoma"/>
                <w:szCs w:val="18"/>
              </w:rPr>
              <w:t xml:space="preserve">Patients with </w:t>
            </w:r>
            <w:r w:rsidRPr="00850EB5">
              <w:rPr>
                <w:rFonts w:cs="Tahoma"/>
                <w:szCs w:val="18"/>
              </w:rPr>
              <w:t>IPAH, HPAH, PAH-CTD, or PAH-CHD who completed Trial STARTS</w:t>
            </w:r>
          </w:p>
        </w:tc>
        <w:tc>
          <w:tcPr>
            <w:tcW w:w="1856" w:type="pct"/>
          </w:tcPr>
          <w:p w:rsidR="001D0FDA" w:rsidRDefault="001D0FDA" w:rsidP="001D0FDA">
            <w:pPr>
              <w:pStyle w:val="Tabletext"/>
              <w:ind w:right="-28"/>
              <w:rPr>
                <w:rFonts w:eastAsia="Times New Roman"/>
                <w:lang w:eastAsia="en-US"/>
              </w:rPr>
            </w:pPr>
            <w:r w:rsidRPr="008D73C9">
              <w:rPr>
                <w:rFonts w:eastAsia="Times New Roman"/>
                <w:lang w:eastAsia="en-US"/>
              </w:rPr>
              <w:t>N=</w:t>
            </w:r>
            <w:r>
              <w:rPr>
                <w:rFonts w:eastAsia="Times New Roman"/>
                <w:lang w:eastAsia="en-US"/>
              </w:rPr>
              <w:t>220*</w:t>
            </w:r>
          </w:p>
          <w:tbl>
            <w:tblPr>
              <w:tblStyle w:val="TableGrid"/>
              <w:tblW w:w="51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the STARTS extension study"/>
            </w:tblPr>
            <w:tblGrid>
              <w:gridCol w:w="1353"/>
              <w:gridCol w:w="987"/>
              <w:gridCol w:w="926"/>
              <w:gridCol w:w="1019"/>
              <w:gridCol w:w="899"/>
            </w:tblGrid>
            <w:tr w:rsidR="001D0FDA" w:rsidRPr="00351FF5" w:rsidTr="001D0FDA">
              <w:trPr>
                <w:cnfStyle w:val="100000000000" w:firstRow="1" w:lastRow="0" w:firstColumn="0" w:lastColumn="0" w:oddVBand="0" w:evenVBand="0" w:oddHBand="0" w:evenHBand="0" w:firstRowFirstColumn="0" w:firstRowLastColumn="0" w:lastRowFirstColumn="0" w:lastRowLastColumn="0"/>
              </w:trPr>
              <w:tc>
                <w:tcPr>
                  <w:tcW w:w="1349" w:type="dxa"/>
                  <w:tcBorders>
                    <w:bottom w:val="single" w:sz="4" w:space="0" w:color="BFBFBF" w:themeColor="background1" w:themeShade="BF"/>
                  </w:tcBorders>
                  <w:shd w:val="clear" w:color="auto" w:fill="FFFFFF" w:themeFill="background1"/>
                </w:tcPr>
                <w:p w:rsidR="001D0FDA" w:rsidRPr="00351FF5" w:rsidRDefault="001D0FDA" w:rsidP="00570FC8">
                  <w:pPr>
                    <w:pStyle w:val="Tabletext"/>
                    <w:framePr w:hSpace="180" w:wrap="around" w:vAnchor="text" w:hAnchor="text" w:y="1"/>
                  </w:pPr>
                </w:p>
              </w:tc>
              <w:tc>
                <w:tcPr>
                  <w:tcW w:w="994" w:type="dxa"/>
                  <w:tcBorders>
                    <w:bottom w:val="single" w:sz="4" w:space="0" w:color="BFBFBF" w:themeColor="background1" w:themeShade="BF"/>
                  </w:tcBorders>
                  <w:shd w:val="clear" w:color="auto" w:fill="FFFFFF" w:themeFill="background1"/>
                </w:tcPr>
                <w:p w:rsidR="001D0FDA" w:rsidRPr="007D4163" w:rsidRDefault="001D0FDA" w:rsidP="00570FC8">
                  <w:pPr>
                    <w:pStyle w:val="Tabletext"/>
                    <w:framePr w:hSpace="180" w:wrap="around" w:vAnchor="text" w:hAnchor="text" w:y="1"/>
                    <w:jc w:val="center"/>
                  </w:pPr>
                  <w:r w:rsidRPr="007D4163">
                    <w:t xml:space="preserve">Sildenafil </w:t>
                  </w:r>
                  <w:r>
                    <w:t>low dose</w:t>
                  </w:r>
                </w:p>
                <w:p w:rsidR="001D0FDA" w:rsidRPr="00802B85" w:rsidRDefault="001D0FDA" w:rsidP="00570FC8">
                  <w:pPr>
                    <w:pStyle w:val="Tabletext"/>
                    <w:framePr w:hSpace="180" w:wrap="around" w:vAnchor="text" w:hAnchor="text" w:y="1"/>
                    <w:jc w:val="center"/>
                  </w:pPr>
                  <w:r>
                    <w:t>(n=42)</w:t>
                  </w:r>
                </w:p>
              </w:tc>
              <w:tc>
                <w:tcPr>
                  <w:tcW w:w="905" w:type="dxa"/>
                  <w:tcBorders>
                    <w:bottom w:val="single" w:sz="4" w:space="0" w:color="BFBFBF" w:themeColor="background1" w:themeShade="BF"/>
                  </w:tcBorders>
                  <w:shd w:val="clear" w:color="auto" w:fill="FFFFFF" w:themeFill="background1"/>
                </w:tcPr>
                <w:p w:rsidR="001D0FDA" w:rsidRDefault="001D0FDA" w:rsidP="00570FC8">
                  <w:pPr>
                    <w:pStyle w:val="Tabletext"/>
                    <w:framePr w:hSpace="180" w:wrap="around" w:vAnchor="text" w:hAnchor="text" w:y="1"/>
                    <w:jc w:val="center"/>
                  </w:pPr>
                  <w:r>
                    <w:t>Sildenafil m</w:t>
                  </w:r>
                  <w:r w:rsidRPr="007D4163">
                    <w:t>edian</w:t>
                  </w:r>
                  <w:r>
                    <w:t xml:space="preserve"> dose</w:t>
                  </w:r>
                </w:p>
                <w:p w:rsidR="001D0FDA" w:rsidRPr="00411013" w:rsidRDefault="001D0FDA" w:rsidP="00570FC8">
                  <w:pPr>
                    <w:pStyle w:val="Tabletext"/>
                    <w:framePr w:hSpace="180" w:wrap="around" w:vAnchor="text" w:hAnchor="text" w:y="1"/>
                    <w:jc w:val="center"/>
                  </w:pPr>
                  <w:r w:rsidRPr="007D4163">
                    <w:t>(n=55)</w:t>
                  </w:r>
                </w:p>
              </w:tc>
              <w:tc>
                <w:tcPr>
                  <w:tcW w:w="1030" w:type="dxa"/>
                  <w:tcBorders>
                    <w:bottom w:val="single" w:sz="4" w:space="0" w:color="BFBFBF" w:themeColor="background1" w:themeShade="BF"/>
                  </w:tcBorders>
                  <w:shd w:val="clear" w:color="auto" w:fill="FFFFFF" w:themeFill="background1"/>
                </w:tcPr>
                <w:p w:rsidR="001D0FDA" w:rsidRPr="00802B85" w:rsidRDefault="001D0FDA" w:rsidP="00570FC8">
                  <w:pPr>
                    <w:pStyle w:val="Tabletext"/>
                    <w:framePr w:hSpace="180" w:wrap="around" w:vAnchor="text" w:hAnchor="text" w:y="1"/>
                    <w:jc w:val="center"/>
                  </w:pPr>
                  <w:r>
                    <w:t>Sildenafil h</w:t>
                  </w:r>
                  <w:r w:rsidRPr="007D4163">
                    <w:t xml:space="preserve">igh </w:t>
                  </w:r>
                  <w:r>
                    <w:t>dose (n=77)</w:t>
                  </w:r>
                </w:p>
              </w:tc>
              <w:tc>
                <w:tcPr>
                  <w:tcW w:w="906" w:type="dxa"/>
                  <w:tcBorders>
                    <w:bottom w:val="single" w:sz="4" w:space="0" w:color="BFBFBF" w:themeColor="background1" w:themeShade="BF"/>
                  </w:tcBorders>
                  <w:shd w:val="clear" w:color="auto" w:fill="FFFFFF" w:themeFill="background1"/>
                </w:tcPr>
                <w:p w:rsidR="001D0FDA" w:rsidRPr="007D4163" w:rsidRDefault="001D0FDA" w:rsidP="00570FC8">
                  <w:pPr>
                    <w:pStyle w:val="Tabletext"/>
                    <w:framePr w:hSpace="180" w:wrap="around" w:vAnchor="text" w:hAnchor="text" w:y="1"/>
                    <w:jc w:val="center"/>
                  </w:pPr>
                  <w:r w:rsidRPr="007D4163">
                    <w:t>Placebo</w:t>
                  </w:r>
                </w:p>
                <w:p w:rsidR="001D0FDA" w:rsidRPr="00802B85" w:rsidRDefault="001D0FDA" w:rsidP="00570FC8">
                  <w:pPr>
                    <w:pStyle w:val="Tabletext"/>
                    <w:framePr w:hSpace="180" w:wrap="around" w:vAnchor="text" w:hAnchor="text" w:y="1"/>
                    <w:jc w:val="center"/>
                  </w:pPr>
                  <w:r w:rsidRPr="007D4163">
                    <w:t>(n=60)</w:t>
                  </w:r>
                </w:p>
              </w:tc>
            </w:tr>
            <w:tr w:rsidR="001D0FDA" w:rsidRPr="00351FF5" w:rsidTr="001D0FDA">
              <w:tc>
                <w:tcPr>
                  <w:tcW w:w="1349" w:type="dxa"/>
                  <w:tcBorders>
                    <w:bottom w:val="nil"/>
                  </w:tcBorders>
                </w:tcPr>
                <w:p w:rsidR="001D0FDA" w:rsidRPr="00351FF5" w:rsidRDefault="001D0FDA" w:rsidP="00570FC8">
                  <w:pPr>
                    <w:pStyle w:val="Tabletext"/>
                    <w:framePr w:hSpace="180" w:wrap="around" w:vAnchor="text" w:hAnchor="text" w:y="1"/>
                  </w:pPr>
                  <w:r>
                    <w:t>Weight</w:t>
                  </w:r>
                  <w:r w:rsidRPr="00351FF5">
                    <w:t xml:space="preserve">, </w:t>
                  </w:r>
                  <w:r>
                    <w:t>n (%)</w:t>
                  </w:r>
                  <w:r w:rsidRPr="00351FF5">
                    <w:t xml:space="preserve"> </w:t>
                  </w:r>
                </w:p>
              </w:tc>
              <w:tc>
                <w:tcPr>
                  <w:tcW w:w="994" w:type="dxa"/>
                  <w:tcBorders>
                    <w:bottom w:val="nil"/>
                  </w:tcBorders>
                  <w:vAlign w:val="center"/>
                </w:tcPr>
                <w:p w:rsidR="001D0FDA" w:rsidRPr="00411013" w:rsidRDefault="001D0FDA" w:rsidP="00570FC8">
                  <w:pPr>
                    <w:pStyle w:val="Tabletext"/>
                    <w:framePr w:hSpace="180" w:wrap="around" w:vAnchor="text" w:hAnchor="text" w:y="1"/>
                  </w:pPr>
                </w:p>
              </w:tc>
              <w:tc>
                <w:tcPr>
                  <w:tcW w:w="905" w:type="dxa"/>
                  <w:tcBorders>
                    <w:bottom w:val="nil"/>
                  </w:tcBorders>
                  <w:vAlign w:val="center"/>
                </w:tcPr>
                <w:p w:rsidR="001D0FDA" w:rsidRPr="00411013" w:rsidRDefault="001D0FDA" w:rsidP="00570FC8">
                  <w:pPr>
                    <w:pStyle w:val="Tabletext"/>
                    <w:framePr w:hSpace="180" w:wrap="around" w:vAnchor="text" w:hAnchor="text" w:y="1"/>
                  </w:pPr>
                </w:p>
              </w:tc>
              <w:tc>
                <w:tcPr>
                  <w:tcW w:w="1030" w:type="dxa"/>
                  <w:tcBorders>
                    <w:bottom w:val="nil"/>
                  </w:tcBorders>
                  <w:vAlign w:val="center"/>
                </w:tcPr>
                <w:p w:rsidR="001D0FDA" w:rsidRPr="00411013" w:rsidRDefault="001D0FDA" w:rsidP="00570FC8">
                  <w:pPr>
                    <w:pStyle w:val="Tabletext"/>
                    <w:framePr w:hSpace="180" w:wrap="around" w:vAnchor="text" w:hAnchor="text" w:y="1"/>
                  </w:pPr>
                </w:p>
              </w:tc>
              <w:tc>
                <w:tcPr>
                  <w:tcW w:w="906" w:type="dxa"/>
                  <w:tcBorders>
                    <w:bottom w:val="nil"/>
                  </w:tcBorders>
                  <w:vAlign w:val="center"/>
                </w:tcPr>
                <w:p w:rsidR="001D0FDA" w:rsidRPr="00411013" w:rsidRDefault="001D0FDA" w:rsidP="00570FC8">
                  <w:pPr>
                    <w:pStyle w:val="Tabletext"/>
                    <w:framePr w:hSpace="180" w:wrap="around" w:vAnchor="text" w:hAnchor="text" w:y="1"/>
                  </w:pPr>
                </w:p>
              </w:tc>
            </w:tr>
            <w:tr w:rsidR="001D0FDA" w:rsidRPr="00351FF5" w:rsidTr="001D0FDA">
              <w:tc>
                <w:tcPr>
                  <w:tcW w:w="1349" w:type="dxa"/>
                  <w:tcBorders>
                    <w:top w:val="nil"/>
                    <w:bottom w:val="nil"/>
                  </w:tcBorders>
                </w:tcPr>
                <w:p w:rsidR="001D0FDA" w:rsidRPr="00351FF5" w:rsidRDefault="001D0FDA" w:rsidP="00570FC8">
                  <w:pPr>
                    <w:pStyle w:val="Tabletext"/>
                    <w:framePr w:hSpace="180" w:wrap="around" w:vAnchor="text" w:hAnchor="text" w:y="1"/>
                    <w:ind w:left="160"/>
                  </w:pPr>
                  <w:r>
                    <w:t>≤20</w:t>
                  </w:r>
                  <w:r w:rsidR="00570FC8">
                    <w:t xml:space="preserve"> </w:t>
                  </w:r>
                  <w:r>
                    <w:t>kg</w:t>
                  </w:r>
                </w:p>
              </w:tc>
              <w:tc>
                <w:tcPr>
                  <w:tcW w:w="994" w:type="dxa"/>
                  <w:tcBorders>
                    <w:top w:val="nil"/>
                    <w:bottom w:val="nil"/>
                  </w:tcBorders>
                  <w:vAlign w:val="center"/>
                </w:tcPr>
                <w:p w:rsidR="001D0FDA" w:rsidRPr="00411013" w:rsidRDefault="001D0FDA" w:rsidP="00570FC8">
                  <w:pPr>
                    <w:pStyle w:val="Tabletext"/>
                    <w:framePr w:hSpace="180" w:wrap="around" w:vAnchor="text" w:hAnchor="text" w:y="1"/>
                    <w:jc w:val="center"/>
                  </w:pPr>
                  <w:r>
                    <w:t>0 (0%)</w:t>
                  </w:r>
                </w:p>
              </w:tc>
              <w:tc>
                <w:tcPr>
                  <w:tcW w:w="905" w:type="dxa"/>
                  <w:tcBorders>
                    <w:top w:val="nil"/>
                    <w:bottom w:val="nil"/>
                  </w:tcBorders>
                  <w:vAlign w:val="center"/>
                </w:tcPr>
                <w:p w:rsidR="001D0FDA" w:rsidRPr="00411013" w:rsidRDefault="001D0FDA" w:rsidP="00570FC8">
                  <w:pPr>
                    <w:pStyle w:val="Tabletext"/>
                    <w:framePr w:hSpace="180" w:wrap="around" w:vAnchor="text" w:hAnchor="text" w:y="1"/>
                    <w:jc w:val="center"/>
                  </w:pPr>
                  <w:r>
                    <w:t>15 (27%)</w:t>
                  </w:r>
                </w:p>
              </w:tc>
              <w:tc>
                <w:tcPr>
                  <w:tcW w:w="1030" w:type="dxa"/>
                  <w:tcBorders>
                    <w:top w:val="nil"/>
                    <w:bottom w:val="nil"/>
                  </w:tcBorders>
                  <w:vAlign w:val="center"/>
                </w:tcPr>
                <w:p w:rsidR="001D0FDA" w:rsidRPr="00411013" w:rsidRDefault="001D0FDA" w:rsidP="00570FC8">
                  <w:pPr>
                    <w:pStyle w:val="Tabletext"/>
                    <w:framePr w:hSpace="180" w:wrap="around" w:vAnchor="text" w:hAnchor="text" w:y="1"/>
                    <w:jc w:val="center"/>
                  </w:pPr>
                  <w:r>
                    <w:t>35 (46%)</w:t>
                  </w:r>
                </w:p>
              </w:tc>
              <w:tc>
                <w:tcPr>
                  <w:tcW w:w="906" w:type="dxa"/>
                  <w:tcBorders>
                    <w:top w:val="nil"/>
                    <w:bottom w:val="nil"/>
                  </w:tcBorders>
                  <w:vAlign w:val="center"/>
                </w:tcPr>
                <w:p w:rsidR="001D0FDA" w:rsidRPr="00411013" w:rsidRDefault="001D0FDA" w:rsidP="00570FC8">
                  <w:pPr>
                    <w:pStyle w:val="Tabletext"/>
                    <w:framePr w:hSpace="180" w:wrap="around" w:vAnchor="text" w:hAnchor="text" w:y="1"/>
                    <w:jc w:val="center"/>
                  </w:pPr>
                  <w:r>
                    <w:t>18 (30%)</w:t>
                  </w:r>
                </w:p>
              </w:tc>
            </w:tr>
            <w:tr w:rsidR="001D0FDA" w:rsidRPr="00351FF5" w:rsidTr="001D0FDA">
              <w:tc>
                <w:tcPr>
                  <w:tcW w:w="1349" w:type="dxa"/>
                  <w:tcBorders>
                    <w:top w:val="nil"/>
                    <w:bottom w:val="nil"/>
                  </w:tcBorders>
                </w:tcPr>
                <w:p w:rsidR="001D0FDA" w:rsidRPr="00351FF5" w:rsidRDefault="001D0FDA" w:rsidP="00570FC8">
                  <w:pPr>
                    <w:pStyle w:val="Tabletext"/>
                    <w:framePr w:hSpace="180" w:wrap="around" w:vAnchor="text" w:hAnchor="text" w:y="1"/>
                    <w:ind w:left="160"/>
                  </w:pPr>
                  <w:r>
                    <w:t>&gt;20</w:t>
                  </w:r>
                  <w:r w:rsidR="00570FC8">
                    <w:t xml:space="preserve"> </w:t>
                  </w:r>
                  <w:r>
                    <w:t>kg</w:t>
                  </w:r>
                </w:p>
              </w:tc>
              <w:tc>
                <w:tcPr>
                  <w:tcW w:w="994" w:type="dxa"/>
                  <w:tcBorders>
                    <w:top w:val="nil"/>
                    <w:bottom w:val="nil"/>
                  </w:tcBorders>
                  <w:vAlign w:val="center"/>
                </w:tcPr>
                <w:p w:rsidR="001D0FDA" w:rsidRPr="00411013" w:rsidRDefault="001D0FDA" w:rsidP="00570FC8">
                  <w:pPr>
                    <w:pStyle w:val="Tabletext"/>
                    <w:framePr w:hSpace="180" w:wrap="around" w:vAnchor="text" w:hAnchor="text" w:y="1"/>
                    <w:jc w:val="center"/>
                  </w:pPr>
                  <w:r>
                    <w:t>42 (100%)</w:t>
                  </w:r>
                </w:p>
              </w:tc>
              <w:tc>
                <w:tcPr>
                  <w:tcW w:w="905" w:type="dxa"/>
                  <w:tcBorders>
                    <w:top w:val="nil"/>
                    <w:bottom w:val="nil"/>
                  </w:tcBorders>
                  <w:vAlign w:val="center"/>
                </w:tcPr>
                <w:p w:rsidR="001D0FDA" w:rsidRPr="00411013" w:rsidRDefault="001D0FDA" w:rsidP="00570FC8">
                  <w:pPr>
                    <w:pStyle w:val="Tabletext"/>
                    <w:framePr w:hSpace="180" w:wrap="around" w:vAnchor="text" w:hAnchor="text" w:y="1"/>
                    <w:jc w:val="center"/>
                  </w:pPr>
                  <w:r>
                    <w:t>40 (73%)</w:t>
                  </w:r>
                </w:p>
              </w:tc>
              <w:tc>
                <w:tcPr>
                  <w:tcW w:w="1030" w:type="dxa"/>
                  <w:tcBorders>
                    <w:top w:val="nil"/>
                    <w:bottom w:val="nil"/>
                  </w:tcBorders>
                  <w:vAlign w:val="center"/>
                </w:tcPr>
                <w:p w:rsidR="001D0FDA" w:rsidRPr="00411013" w:rsidRDefault="001D0FDA" w:rsidP="00570FC8">
                  <w:pPr>
                    <w:pStyle w:val="Tabletext"/>
                    <w:framePr w:hSpace="180" w:wrap="around" w:vAnchor="text" w:hAnchor="text" w:y="1"/>
                    <w:jc w:val="center"/>
                  </w:pPr>
                  <w:r>
                    <w:t>42 (55%)</w:t>
                  </w:r>
                </w:p>
              </w:tc>
              <w:tc>
                <w:tcPr>
                  <w:tcW w:w="906" w:type="dxa"/>
                  <w:tcBorders>
                    <w:top w:val="nil"/>
                    <w:bottom w:val="nil"/>
                  </w:tcBorders>
                  <w:vAlign w:val="center"/>
                </w:tcPr>
                <w:p w:rsidR="001D0FDA" w:rsidRPr="00411013" w:rsidRDefault="001D0FDA" w:rsidP="00570FC8">
                  <w:pPr>
                    <w:pStyle w:val="Tabletext"/>
                    <w:framePr w:hSpace="180" w:wrap="around" w:vAnchor="text" w:hAnchor="text" w:y="1"/>
                    <w:jc w:val="center"/>
                  </w:pPr>
                  <w:r>
                    <w:t>42 (70%)</w:t>
                  </w:r>
                </w:p>
              </w:tc>
            </w:tr>
            <w:tr w:rsidR="001D0FDA" w:rsidRPr="00351FF5" w:rsidTr="001D0FDA">
              <w:tc>
                <w:tcPr>
                  <w:tcW w:w="1349" w:type="dxa"/>
                  <w:tcBorders>
                    <w:bottom w:val="nil"/>
                  </w:tcBorders>
                </w:tcPr>
                <w:p w:rsidR="001D0FDA" w:rsidRPr="00351FF5" w:rsidRDefault="001D0FDA" w:rsidP="00570FC8">
                  <w:pPr>
                    <w:pStyle w:val="Tabletext"/>
                    <w:framePr w:hSpace="180" w:wrap="around" w:vAnchor="text" w:hAnchor="text" w:y="1"/>
                  </w:pPr>
                  <w:r w:rsidRPr="00351FF5">
                    <w:t>PAH aetiology, n (%)</w:t>
                  </w:r>
                </w:p>
              </w:tc>
              <w:tc>
                <w:tcPr>
                  <w:tcW w:w="994" w:type="dxa"/>
                  <w:tcBorders>
                    <w:bottom w:val="nil"/>
                  </w:tcBorders>
                  <w:vAlign w:val="center"/>
                </w:tcPr>
                <w:p w:rsidR="001D0FDA" w:rsidRPr="00411013" w:rsidRDefault="001D0FDA" w:rsidP="00570FC8">
                  <w:pPr>
                    <w:pStyle w:val="Tabletext"/>
                    <w:framePr w:hSpace="180" w:wrap="around" w:vAnchor="text" w:hAnchor="text" w:y="1"/>
                    <w:jc w:val="center"/>
                  </w:pPr>
                </w:p>
              </w:tc>
              <w:tc>
                <w:tcPr>
                  <w:tcW w:w="905" w:type="dxa"/>
                  <w:tcBorders>
                    <w:bottom w:val="nil"/>
                  </w:tcBorders>
                  <w:vAlign w:val="center"/>
                </w:tcPr>
                <w:p w:rsidR="001D0FDA" w:rsidRPr="00411013" w:rsidRDefault="001D0FDA" w:rsidP="00570FC8">
                  <w:pPr>
                    <w:pStyle w:val="Tabletext"/>
                    <w:framePr w:hSpace="180" w:wrap="around" w:vAnchor="text" w:hAnchor="text" w:y="1"/>
                    <w:jc w:val="center"/>
                  </w:pPr>
                </w:p>
              </w:tc>
              <w:tc>
                <w:tcPr>
                  <w:tcW w:w="1030" w:type="dxa"/>
                  <w:tcBorders>
                    <w:bottom w:val="nil"/>
                  </w:tcBorders>
                  <w:vAlign w:val="center"/>
                </w:tcPr>
                <w:p w:rsidR="001D0FDA" w:rsidRPr="00411013" w:rsidRDefault="001D0FDA" w:rsidP="00570FC8">
                  <w:pPr>
                    <w:pStyle w:val="Tabletext"/>
                    <w:framePr w:hSpace="180" w:wrap="around" w:vAnchor="text" w:hAnchor="text" w:y="1"/>
                    <w:jc w:val="center"/>
                  </w:pPr>
                </w:p>
              </w:tc>
              <w:tc>
                <w:tcPr>
                  <w:tcW w:w="906" w:type="dxa"/>
                  <w:tcBorders>
                    <w:bottom w:val="nil"/>
                  </w:tcBorders>
                  <w:vAlign w:val="center"/>
                </w:tcPr>
                <w:p w:rsidR="001D0FDA" w:rsidRPr="00411013" w:rsidRDefault="001D0FDA" w:rsidP="00570FC8">
                  <w:pPr>
                    <w:pStyle w:val="Tabletext"/>
                    <w:framePr w:hSpace="180" w:wrap="around" w:vAnchor="text" w:hAnchor="text" w:y="1"/>
                    <w:jc w:val="center"/>
                  </w:pPr>
                </w:p>
              </w:tc>
            </w:tr>
            <w:tr w:rsidR="001D0FDA" w:rsidRPr="00351FF5" w:rsidTr="001D0FDA">
              <w:tc>
                <w:tcPr>
                  <w:tcW w:w="1349" w:type="dxa"/>
                  <w:tcBorders>
                    <w:top w:val="nil"/>
                    <w:bottom w:val="nil"/>
                  </w:tcBorders>
                </w:tcPr>
                <w:p w:rsidR="001D0FDA" w:rsidRPr="00351FF5" w:rsidRDefault="001D0FDA" w:rsidP="00570FC8">
                  <w:pPr>
                    <w:pStyle w:val="Tabletext"/>
                    <w:framePr w:hSpace="180" w:wrap="around" w:vAnchor="text" w:hAnchor="text" w:y="1"/>
                    <w:ind w:left="160"/>
                  </w:pPr>
                  <w:r w:rsidRPr="00351FF5">
                    <w:t>IPAH</w:t>
                  </w:r>
                  <w:r>
                    <w:t>/HPAH</w:t>
                  </w:r>
                </w:p>
              </w:tc>
              <w:tc>
                <w:tcPr>
                  <w:tcW w:w="994" w:type="dxa"/>
                  <w:tcBorders>
                    <w:top w:val="nil"/>
                    <w:bottom w:val="nil"/>
                  </w:tcBorders>
                  <w:vAlign w:val="center"/>
                </w:tcPr>
                <w:p w:rsidR="001D0FDA" w:rsidRPr="00411013" w:rsidRDefault="001D0FDA" w:rsidP="00570FC8">
                  <w:pPr>
                    <w:pStyle w:val="Tabletext"/>
                    <w:framePr w:hSpace="180" w:wrap="around" w:vAnchor="text" w:hAnchor="text" w:y="1"/>
                    <w:jc w:val="center"/>
                  </w:pPr>
                  <w:r>
                    <w:t>12 (29%)</w:t>
                  </w:r>
                </w:p>
              </w:tc>
              <w:tc>
                <w:tcPr>
                  <w:tcW w:w="905" w:type="dxa"/>
                  <w:tcBorders>
                    <w:top w:val="nil"/>
                    <w:bottom w:val="nil"/>
                  </w:tcBorders>
                  <w:vAlign w:val="center"/>
                </w:tcPr>
                <w:p w:rsidR="001D0FDA" w:rsidRPr="005331C3" w:rsidRDefault="001D0FDA" w:rsidP="00570FC8">
                  <w:pPr>
                    <w:pStyle w:val="Tabletext"/>
                    <w:framePr w:hSpace="180" w:wrap="around" w:vAnchor="text" w:hAnchor="text" w:y="1"/>
                    <w:jc w:val="center"/>
                  </w:pPr>
                  <w:r>
                    <w:t>19 (35%)</w:t>
                  </w:r>
                </w:p>
              </w:tc>
              <w:tc>
                <w:tcPr>
                  <w:tcW w:w="1030" w:type="dxa"/>
                  <w:tcBorders>
                    <w:top w:val="nil"/>
                    <w:bottom w:val="nil"/>
                  </w:tcBorders>
                  <w:vAlign w:val="center"/>
                </w:tcPr>
                <w:p w:rsidR="001D0FDA" w:rsidRPr="00411013" w:rsidRDefault="001D0FDA" w:rsidP="00570FC8">
                  <w:pPr>
                    <w:pStyle w:val="Tabletext"/>
                    <w:framePr w:hSpace="180" w:wrap="around" w:vAnchor="text" w:hAnchor="text" w:y="1"/>
                    <w:jc w:val="center"/>
                  </w:pPr>
                  <w:r>
                    <w:t>26 (34%)</w:t>
                  </w:r>
                </w:p>
              </w:tc>
              <w:tc>
                <w:tcPr>
                  <w:tcW w:w="906" w:type="dxa"/>
                  <w:tcBorders>
                    <w:top w:val="nil"/>
                    <w:bottom w:val="nil"/>
                  </w:tcBorders>
                  <w:vAlign w:val="center"/>
                </w:tcPr>
                <w:p w:rsidR="001D0FDA" w:rsidRPr="00411013" w:rsidRDefault="001D0FDA" w:rsidP="00570FC8">
                  <w:pPr>
                    <w:pStyle w:val="Tabletext"/>
                    <w:framePr w:hSpace="180" w:wrap="around" w:vAnchor="text" w:hAnchor="text" w:y="1"/>
                    <w:jc w:val="center"/>
                  </w:pPr>
                  <w:r>
                    <w:t>21 (35%)</w:t>
                  </w:r>
                </w:p>
              </w:tc>
            </w:tr>
            <w:tr w:rsidR="001D0FDA" w:rsidRPr="00351FF5" w:rsidTr="001D0FDA">
              <w:tc>
                <w:tcPr>
                  <w:tcW w:w="1349" w:type="dxa"/>
                  <w:tcBorders>
                    <w:top w:val="nil"/>
                    <w:bottom w:val="single" w:sz="4" w:space="0" w:color="BFBFBF" w:themeColor="background1" w:themeShade="BF"/>
                  </w:tcBorders>
                </w:tcPr>
                <w:p w:rsidR="001D0FDA" w:rsidRPr="00351FF5" w:rsidRDefault="001D0FDA" w:rsidP="00570FC8">
                  <w:pPr>
                    <w:pStyle w:val="Tabletext"/>
                    <w:framePr w:hSpace="180" w:wrap="around" w:vAnchor="text" w:hAnchor="text" w:y="1"/>
                    <w:ind w:left="160"/>
                  </w:pPr>
                  <w:r w:rsidRPr="00351FF5">
                    <w:t>PAH-CHD</w:t>
                  </w:r>
                </w:p>
              </w:tc>
              <w:tc>
                <w:tcPr>
                  <w:tcW w:w="994" w:type="dxa"/>
                  <w:tcBorders>
                    <w:top w:val="nil"/>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30 (71%)</w:t>
                  </w:r>
                </w:p>
              </w:tc>
              <w:tc>
                <w:tcPr>
                  <w:tcW w:w="905" w:type="dxa"/>
                  <w:tcBorders>
                    <w:top w:val="nil"/>
                    <w:bottom w:val="single" w:sz="4" w:space="0" w:color="BFBFBF" w:themeColor="background1" w:themeShade="BF"/>
                  </w:tcBorders>
                  <w:vAlign w:val="center"/>
                </w:tcPr>
                <w:p w:rsidR="001D0FDA" w:rsidRPr="005331C3" w:rsidRDefault="001D0FDA" w:rsidP="00570FC8">
                  <w:pPr>
                    <w:pStyle w:val="Tabletext"/>
                    <w:framePr w:hSpace="180" w:wrap="around" w:vAnchor="text" w:hAnchor="text" w:y="1"/>
                    <w:jc w:val="center"/>
                  </w:pPr>
                  <w:r>
                    <w:t>36 (65%)</w:t>
                  </w:r>
                </w:p>
              </w:tc>
              <w:tc>
                <w:tcPr>
                  <w:tcW w:w="1030" w:type="dxa"/>
                  <w:tcBorders>
                    <w:top w:val="nil"/>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51 (66%)</w:t>
                  </w:r>
                </w:p>
              </w:tc>
              <w:tc>
                <w:tcPr>
                  <w:tcW w:w="906" w:type="dxa"/>
                  <w:tcBorders>
                    <w:top w:val="nil"/>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jc w:val="center"/>
                  </w:pPr>
                  <w:r>
                    <w:t>39 (65%)</w:t>
                  </w:r>
                </w:p>
              </w:tc>
            </w:tr>
            <w:tr w:rsidR="001D0FDA" w:rsidRPr="00351FF5" w:rsidTr="001D0FDA">
              <w:tc>
                <w:tcPr>
                  <w:tcW w:w="1349" w:type="dxa"/>
                  <w:tcBorders>
                    <w:top w:val="single" w:sz="4" w:space="0" w:color="BFBFBF" w:themeColor="background1" w:themeShade="BF"/>
                    <w:bottom w:val="nil"/>
                  </w:tcBorders>
                </w:tcPr>
                <w:p w:rsidR="001D0FDA" w:rsidRPr="00351FF5" w:rsidRDefault="001D0FDA" w:rsidP="00570FC8">
                  <w:pPr>
                    <w:pStyle w:val="Tabletext"/>
                    <w:framePr w:hSpace="180" w:wrap="around" w:vAnchor="text" w:hAnchor="text" w:y="1"/>
                  </w:pPr>
                  <w:proofErr w:type="gramStart"/>
                  <w:r w:rsidRPr="00351FF5">
                    <w:t>WHO</w:t>
                  </w:r>
                  <w:proofErr w:type="gramEnd"/>
                  <w:r w:rsidRPr="00351FF5">
                    <w:t xml:space="preserve"> FC</w:t>
                  </w:r>
                  <w:r>
                    <w:t>, n (%)</w:t>
                  </w:r>
                </w:p>
              </w:tc>
              <w:tc>
                <w:tcPr>
                  <w:tcW w:w="994" w:type="dxa"/>
                  <w:tcBorders>
                    <w:top w:val="single" w:sz="4" w:space="0" w:color="BFBFBF" w:themeColor="background1" w:themeShade="BF"/>
                    <w:bottom w:val="nil"/>
                  </w:tcBorders>
                  <w:vAlign w:val="center"/>
                </w:tcPr>
                <w:p w:rsidR="001D0FDA" w:rsidRPr="00411013" w:rsidRDefault="001D0FDA" w:rsidP="00570FC8">
                  <w:pPr>
                    <w:pStyle w:val="Tabletext"/>
                    <w:framePr w:hSpace="180" w:wrap="around" w:vAnchor="text" w:hAnchor="text" w:y="1"/>
                    <w:jc w:val="center"/>
                  </w:pPr>
                </w:p>
              </w:tc>
              <w:tc>
                <w:tcPr>
                  <w:tcW w:w="905" w:type="dxa"/>
                  <w:tcBorders>
                    <w:top w:val="single" w:sz="4" w:space="0" w:color="BFBFBF" w:themeColor="background1" w:themeShade="BF"/>
                    <w:bottom w:val="nil"/>
                  </w:tcBorders>
                  <w:vAlign w:val="center"/>
                </w:tcPr>
                <w:p w:rsidR="001D0FDA" w:rsidRPr="00411013" w:rsidRDefault="001D0FDA" w:rsidP="00570FC8">
                  <w:pPr>
                    <w:pStyle w:val="Tabletext"/>
                    <w:framePr w:hSpace="180" w:wrap="around" w:vAnchor="text" w:hAnchor="text" w:y="1"/>
                    <w:jc w:val="center"/>
                  </w:pPr>
                </w:p>
              </w:tc>
              <w:tc>
                <w:tcPr>
                  <w:tcW w:w="1030" w:type="dxa"/>
                  <w:tcBorders>
                    <w:top w:val="single" w:sz="4" w:space="0" w:color="BFBFBF" w:themeColor="background1" w:themeShade="BF"/>
                    <w:bottom w:val="nil"/>
                  </w:tcBorders>
                  <w:vAlign w:val="center"/>
                </w:tcPr>
                <w:p w:rsidR="001D0FDA" w:rsidRPr="00411013" w:rsidRDefault="001D0FDA" w:rsidP="00570FC8">
                  <w:pPr>
                    <w:pStyle w:val="Tabletext"/>
                    <w:framePr w:hSpace="180" w:wrap="around" w:vAnchor="text" w:hAnchor="text" w:y="1"/>
                    <w:jc w:val="center"/>
                  </w:pPr>
                </w:p>
              </w:tc>
              <w:tc>
                <w:tcPr>
                  <w:tcW w:w="906" w:type="dxa"/>
                  <w:tcBorders>
                    <w:top w:val="single" w:sz="4" w:space="0" w:color="BFBFBF" w:themeColor="background1" w:themeShade="BF"/>
                    <w:bottom w:val="nil"/>
                  </w:tcBorders>
                  <w:vAlign w:val="center"/>
                </w:tcPr>
                <w:p w:rsidR="001D0FDA" w:rsidRPr="00411013" w:rsidRDefault="001D0FDA" w:rsidP="00570FC8">
                  <w:pPr>
                    <w:pStyle w:val="Tabletext"/>
                    <w:framePr w:hSpace="180" w:wrap="around" w:vAnchor="text" w:hAnchor="text" w:y="1"/>
                    <w:jc w:val="center"/>
                  </w:pPr>
                </w:p>
              </w:tc>
            </w:tr>
            <w:tr w:rsidR="001D0FDA" w:rsidRPr="00351FF5" w:rsidTr="001D0FDA">
              <w:tc>
                <w:tcPr>
                  <w:tcW w:w="1349" w:type="dxa"/>
                  <w:tcBorders>
                    <w:top w:val="nil"/>
                    <w:bottom w:val="nil"/>
                  </w:tcBorders>
                </w:tcPr>
                <w:p w:rsidR="001D0FDA" w:rsidRDefault="001D0FDA" w:rsidP="00570FC8">
                  <w:pPr>
                    <w:pStyle w:val="Tabletext"/>
                    <w:framePr w:hSpace="180" w:wrap="around" w:vAnchor="text" w:hAnchor="text" w:y="1"/>
                    <w:ind w:left="160"/>
                  </w:pPr>
                  <w:r>
                    <w:t>I</w:t>
                  </w:r>
                </w:p>
              </w:tc>
              <w:tc>
                <w:tcPr>
                  <w:tcW w:w="994" w:type="dxa"/>
                  <w:tcBorders>
                    <w:top w:val="nil"/>
                    <w:bottom w:val="nil"/>
                  </w:tcBorders>
                  <w:vAlign w:val="center"/>
                </w:tcPr>
                <w:p w:rsidR="001D0FDA" w:rsidRPr="00411013" w:rsidRDefault="001D0FDA" w:rsidP="00570FC8">
                  <w:pPr>
                    <w:pStyle w:val="Tabletext"/>
                    <w:framePr w:hSpace="180" w:wrap="around" w:vAnchor="text" w:hAnchor="text" w:y="1"/>
                    <w:jc w:val="center"/>
                  </w:pPr>
                  <w:r>
                    <w:t>9 (21%)</w:t>
                  </w:r>
                </w:p>
              </w:tc>
              <w:tc>
                <w:tcPr>
                  <w:tcW w:w="905" w:type="dxa"/>
                  <w:tcBorders>
                    <w:top w:val="nil"/>
                    <w:bottom w:val="nil"/>
                  </w:tcBorders>
                  <w:vAlign w:val="center"/>
                </w:tcPr>
                <w:p w:rsidR="001D0FDA" w:rsidRPr="005331C3" w:rsidRDefault="001D0FDA" w:rsidP="00570FC8">
                  <w:pPr>
                    <w:pStyle w:val="Tabletext"/>
                    <w:framePr w:hSpace="180" w:wrap="around" w:vAnchor="text" w:hAnchor="text" w:y="1"/>
                    <w:jc w:val="center"/>
                  </w:pPr>
                  <w:r>
                    <w:t>20 (36%)</w:t>
                  </w:r>
                </w:p>
              </w:tc>
              <w:tc>
                <w:tcPr>
                  <w:tcW w:w="1030" w:type="dxa"/>
                  <w:tcBorders>
                    <w:top w:val="nil"/>
                    <w:bottom w:val="nil"/>
                  </w:tcBorders>
                  <w:vAlign w:val="center"/>
                </w:tcPr>
                <w:p w:rsidR="001D0FDA" w:rsidRPr="00411013" w:rsidRDefault="001D0FDA" w:rsidP="00570FC8">
                  <w:pPr>
                    <w:pStyle w:val="Tabletext"/>
                    <w:framePr w:hSpace="180" w:wrap="around" w:vAnchor="text" w:hAnchor="text" w:y="1"/>
                    <w:jc w:val="center"/>
                  </w:pPr>
                  <w:r>
                    <w:t>21 (27%)</w:t>
                  </w:r>
                </w:p>
              </w:tc>
              <w:tc>
                <w:tcPr>
                  <w:tcW w:w="906" w:type="dxa"/>
                  <w:tcBorders>
                    <w:top w:val="nil"/>
                    <w:bottom w:val="nil"/>
                  </w:tcBorders>
                  <w:vAlign w:val="center"/>
                </w:tcPr>
                <w:p w:rsidR="001D0FDA" w:rsidRPr="00411013" w:rsidRDefault="001D0FDA" w:rsidP="00570FC8">
                  <w:pPr>
                    <w:pStyle w:val="Tabletext"/>
                    <w:framePr w:hSpace="180" w:wrap="around" w:vAnchor="text" w:hAnchor="text" w:y="1"/>
                    <w:jc w:val="center"/>
                  </w:pPr>
                  <w:r>
                    <w:t>25 (42%)</w:t>
                  </w:r>
                </w:p>
              </w:tc>
            </w:tr>
            <w:tr w:rsidR="001D0FDA" w:rsidRPr="00351FF5" w:rsidTr="001D0FDA">
              <w:tc>
                <w:tcPr>
                  <w:tcW w:w="1349" w:type="dxa"/>
                  <w:tcBorders>
                    <w:top w:val="nil"/>
                    <w:bottom w:val="nil"/>
                  </w:tcBorders>
                </w:tcPr>
                <w:p w:rsidR="001D0FDA" w:rsidRDefault="001D0FDA" w:rsidP="00570FC8">
                  <w:pPr>
                    <w:pStyle w:val="Tabletext"/>
                    <w:framePr w:hSpace="180" w:wrap="around" w:vAnchor="text" w:hAnchor="text" w:y="1"/>
                    <w:ind w:left="160"/>
                  </w:pPr>
                  <w:r>
                    <w:t>II</w:t>
                  </w:r>
                </w:p>
              </w:tc>
              <w:tc>
                <w:tcPr>
                  <w:tcW w:w="994" w:type="dxa"/>
                  <w:tcBorders>
                    <w:top w:val="nil"/>
                    <w:bottom w:val="nil"/>
                  </w:tcBorders>
                  <w:vAlign w:val="center"/>
                </w:tcPr>
                <w:p w:rsidR="001D0FDA" w:rsidRPr="00411013" w:rsidRDefault="001D0FDA" w:rsidP="00570FC8">
                  <w:pPr>
                    <w:pStyle w:val="Tabletext"/>
                    <w:framePr w:hSpace="180" w:wrap="around" w:vAnchor="text" w:hAnchor="text" w:y="1"/>
                    <w:jc w:val="center"/>
                  </w:pPr>
                  <w:r>
                    <w:t>23 (55%)</w:t>
                  </w:r>
                </w:p>
              </w:tc>
              <w:tc>
                <w:tcPr>
                  <w:tcW w:w="905" w:type="dxa"/>
                  <w:tcBorders>
                    <w:top w:val="nil"/>
                    <w:bottom w:val="nil"/>
                  </w:tcBorders>
                  <w:vAlign w:val="center"/>
                </w:tcPr>
                <w:p w:rsidR="001D0FDA" w:rsidRPr="005331C3" w:rsidRDefault="001D0FDA" w:rsidP="00570FC8">
                  <w:pPr>
                    <w:pStyle w:val="Tabletext"/>
                    <w:framePr w:hSpace="180" w:wrap="around" w:vAnchor="text" w:hAnchor="text" w:y="1"/>
                    <w:jc w:val="center"/>
                  </w:pPr>
                  <w:r>
                    <w:t>25 (45%)</w:t>
                  </w:r>
                </w:p>
              </w:tc>
              <w:tc>
                <w:tcPr>
                  <w:tcW w:w="1030" w:type="dxa"/>
                  <w:tcBorders>
                    <w:top w:val="nil"/>
                    <w:bottom w:val="nil"/>
                  </w:tcBorders>
                  <w:vAlign w:val="center"/>
                </w:tcPr>
                <w:p w:rsidR="001D0FDA" w:rsidRPr="00411013" w:rsidRDefault="001D0FDA" w:rsidP="00570FC8">
                  <w:pPr>
                    <w:pStyle w:val="Tabletext"/>
                    <w:framePr w:hSpace="180" w:wrap="around" w:vAnchor="text" w:hAnchor="text" w:y="1"/>
                    <w:jc w:val="center"/>
                  </w:pPr>
                  <w:r>
                    <w:t>43 (56%)</w:t>
                  </w:r>
                </w:p>
              </w:tc>
              <w:tc>
                <w:tcPr>
                  <w:tcW w:w="906" w:type="dxa"/>
                  <w:tcBorders>
                    <w:top w:val="nil"/>
                    <w:bottom w:val="nil"/>
                  </w:tcBorders>
                  <w:vAlign w:val="center"/>
                </w:tcPr>
                <w:p w:rsidR="001D0FDA" w:rsidRPr="00411013" w:rsidRDefault="001D0FDA" w:rsidP="00570FC8">
                  <w:pPr>
                    <w:pStyle w:val="Tabletext"/>
                    <w:framePr w:hSpace="180" w:wrap="around" w:vAnchor="text" w:hAnchor="text" w:y="1"/>
                    <w:jc w:val="center"/>
                  </w:pPr>
                  <w:r>
                    <w:t>29 (48%)</w:t>
                  </w:r>
                </w:p>
              </w:tc>
            </w:tr>
            <w:tr w:rsidR="001D0FDA" w:rsidRPr="00351FF5" w:rsidTr="001D0FDA">
              <w:tc>
                <w:tcPr>
                  <w:tcW w:w="1349" w:type="dxa"/>
                  <w:tcBorders>
                    <w:top w:val="nil"/>
                    <w:bottom w:val="nil"/>
                  </w:tcBorders>
                </w:tcPr>
                <w:p w:rsidR="001D0FDA" w:rsidRPr="00351FF5" w:rsidRDefault="001D0FDA" w:rsidP="00570FC8">
                  <w:pPr>
                    <w:pStyle w:val="Tabletext"/>
                    <w:framePr w:hSpace="180" w:wrap="around" w:vAnchor="text" w:hAnchor="text" w:y="1"/>
                    <w:ind w:left="160"/>
                  </w:pPr>
                  <w:r>
                    <w:t>III/IV</w:t>
                  </w:r>
                </w:p>
              </w:tc>
              <w:tc>
                <w:tcPr>
                  <w:tcW w:w="994" w:type="dxa"/>
                  <w:tcBorders>
                    <w:top w:val="nil"/>
                    <w:bottom w:val="nil"/>
                  </w:tcBorders>
                  <w:vAlign w:val="center"/>
                </w:tcPr>
                <w:p w:rsidR="001D0FDA" w:rsidRPr="00411013" w:rsidRDefault="001D0FDA" w:rsidP="00570FC8">
                  <w:pPr>
                    <w:pStyle w:val="Tabletext"/>
                    <w:framePr w:hSpace="180" w:wrap="around" w:vAnchor="text" w:hAnchor="text" w:y="1"/>
                    <w:jc w:val="center"/>
                  </w:pPr>
                  <w:r>
                    <w:t>9 (21%)</w:t>
                  </w:r>
                </w:p>
              </w:tc>
              <w:tc>
                <w:tcPr>
                  <w:tcW w:w="905" w:type="dxa"/>
                  <w:tcBorders>
                    <w:top w:val="nil"/>
                    <w:bottom w:val="nil"/>
                  </w:tcBorders>
                  <w:vAlign w:val="center"/>
                </w:tcPr>
                <w:p w:rsidR="001D0FDA" w:rsidRPr="005331C3" w:rsidRDefault="001D0FDA" w:rsidP="00570FC8">
                  <w:pPr>
                    <w:pStyle w:val="Tabletext"/>
                    <w:framePr w:hSpace="180" w:wrap="around" w:vAnchor="text" w:hAnchor="text" w:y="1"/>
                    <w:jc w:val="center"/>
                  </w:pPr>
                  <w:r>
                    <w:t>9 (16%)</w:t>
                  </w:r>
                </w:p>
              </w:tc>
              <w:tc>
                <w:tcPr>
                  <w:tcW w:w="1030" w:type="dxa"/>
                  <w:tcBorders>
                    <w:top w:val="nil"/>
                    <w:bottom w:val="nil"/>
                  </w:tcBorders>
                  <w:vAlign w:val="center"/>
                </w:tcPr>
                <w:p w:rsidR="001D0FDA" w:rsidRPr="00411013" w:rsidRDefault="001D0FDA" w:rsidP="00570FC8">
                  <w:pPr>
                    <w:pStyle w:val="Tabletext"/>
                    <w:framePr w:hSpace="180" w:wrap="around" w:vAnchor="text" w:hAnchor="text" w:y="1"/>
                    <w:jc w:val="center"/>
                  </w:pPr>
                  <w:r>
                    <w:t>12 (16%)</w:t>
                  </w:r>
                </w:p>
              </w:tc>
              <w:tc>
                <w:tcPr>
                  <w:tcW w:w="906" w:type="dxa"/>
                  <w:tcBorders>
                    <w:top w:val="nil"/>
                    <w:bottom w:val="nil"/>
                  </w:tcBorders>
                  <w:vAlign w:val="center"/>
                </w:tcPr>
                <w:p w:rsidR="001D0FDA" w:rsidRPr="00411013" w:rsidRDefault="001D0FDA" w:rsidP="00570FC8">
                  <w:pPr>
                    <w:pStyle w:val="Tabletext"/>
                    <w:framePr w:hSpace="180" w:wrap="around" w:vAnchor="text" w:hAnchor="text" w:y="1"/>
                    <w:jc w:val="center"/>
                  </w:pPr>
                  <w:r>
                    <w:t>6 (10%)</w:t>
                  </w:r>
                </w:p>
              </w:tc>
            </w:tr>
            <w:tr w:rsidR="001D0FDA" w:rsidRPr="00351FF5" w:rsidTr="001D0FDA">
              <w:tc>
                <w:tcPr>
                  <w:tcW w:w="1349" w:type="dxa"/>
                  <w:tcBorders>
                    <w:top w:val="nil"/>
                  </w:tcBorders>
                </w:tcPr>
                <w:p w:rsidR="001D0FDA" w:rsidRDefault="001D0FDA" w:rsidP="00570FC8">
                  <w:pPr>
                    <w:pStyle w:val="Tabletext"/>
                    <w:framePr w:hSpace="180" w:wrap="around" w:vAnchor="text" w:hAnchor="text" w:y="1"/>
                    <w:ind w:left="160"/>
                  </w:pPr>
                  <w:r>
                    <w:t>Missing</w:t>
                  </w:r>
                </w:p>
              </w:tc>
              <w:tc>
                <w:tcPr>
                  <w:tcW w:w="994" w:type="dxa"/>
                  <w:tcBorders>
                    <w:top w:val="nil"/>
                  </w:tcBorders>
                  <w:vAlign w:val="center"/>
                </w:tcPr>
                <w:p w:rsidR="001D0FDA" w:rsidRDefault="001D0FDA" w:rsidP="00570FC8">
                  <w:pPr>
                    <w:pStyle w:val="Tabletext"/>
                    <w:framePr w:hSpace="180" w:wrap="around" w:vAnchor="text" w:hAnchor="text" w:y="1"/>
                    <w:jc w:val="center"/>
                  </w:pPr>
                  <w:r>
                    <w:t>1 (2%)</w:t>
                  </w:r>
                </w:p>
              </w:tc>
              <w:tc>
                <w:tcPr>
                  <w:tcW w:w="905" w:type="dxa"/>
                  <w:tcBorders>
                    <w:top w:val="nil"/>
                  </w:tcBorders>
                  <w:vAlign w:val="center"/>
                </w:tcPr>
                <w:p w:rsidR="001D0FDA" w:rsidRDefault="001D0FDA" w:rsidP="00570FC8">
                  <w:pPr>
                    <w:pStyle w:val="Tabletext"/>
                    <w:framePr w:hSpace="180" w:wrap="around" w:vAnchor="text" w:hAnchor="text" w:y="1"/>
                    <w:jc w:val="center"/>
                  </w:pPr>
                  <w:r>
                    <w:t>1 (2%)</w:t>
                  </w:r>
                </w:p>
              </w:tc>
              <w:tc>
                <w:tcPr>
                  <w:tcW w:w="1030" w:type="dxa"/>
                  <w:tcBorders>
                    <w:top w:val="nil"/>
                  </w:tcBorders>
                  <w:vAlign w:val="center"/>
                </w:tcPr>
                <w:p w:rsidR="001D0FDA" w:rsidRDefault="001D0FDA" w:rsidP="00570FC8">
                  <w:pPr>
                    <w:pStyle w:val="Tabletext"/>
                    <w:framePr w:hSpace="180" w:wrap="around" w:vAnchor="text" w:hAnchor="text" w:y="1"/>
                    <w:jc w:val="center"/>
                  </w:pPr>
                  <w:r>
                    <w:t>1 (1%)</w:t>
                  </w:r>
                </w:p>
              </w:tc>
              <w:tc>
                <w:tcPr>
                  <w:tcW w:w="906" w:type="dxa"/>
                  <w:tcBorders>
                    <w:top w:val="nil"/>
                  </w:tcBorders>
                  <w:vAlign w:val="center"/>
                </w:tcPr>
                <w:p w:rsidR="001D0FDA" w:rsidRDefault="001D0FDA" w:rsidP="00570FC8">
                  <w:pPr>
                    <w:pStyle w:val="Tabletext"/>
                    <w:framePr w:hSpace="180" w:wrap="around" w:vAnchor="text" w:hAnchor="text" w:y="1"/>
                    <w:jc w:val="center"/>
                  </w:pPr>
                  <w:r>
                    <w:t>0 (0%)</w:t>
                  </w:r>
                </w:p>
              </w:tc>
            </w:tr>
            <w:tr w:rsidR="001D0FDA" w:rsidRPr="00351FF5" w:rsidTr="001D0FDA">
              <w:tc>
                <w:tcPr>
                  <w:tcW w:w="1349" w:type="dxa"/>
                </w:tcPr>
                <w:p w:rsidR="001D0FDA" w:rsidRPr="00351FF5" w:rsidRDefault="001D0FDA" w:rsidP="00570FC8">
                  <w:pPr>
                    <w:pStyle w:val="Tabletext"/>
                    <w:framePr w:hSpace="180" w:wrap="around" w:vAnchor="text" w:hAnchor="text" w:y="1"/>
                  </w:pPr>
                  <w:r w:rsidRPr="00351FF5">
                    <w:t>mPAP, mean±SD (mmHg)</w:t>
                  </w:r>
                </w:p>
              </w:tc>
              <w:tc>
                <w:tcPr>
                  <w:tcW w:w="994" w:type="dxa"/>
                  <w:vAlign w:val="center"/>
                </w:tcPr>
                <w:p w:rsidR="001D0FDA" w:rsidRPr="00411013" w:rsidRDefault="001D0FDA" w:rsidP="00570FC8">
                  <w:pPr>
                    <w:pStyle w:val="Tabletext"/>
                    <w:framePr w:hSpace="180" w:wrap="around" w:vAnchor="text" w:hAnchor="text" w:y="1"/>
                    <w:jc w:val="center"/>
                  </w:pPr>
                  <w:r>
                    <w:t>66±23</w:t>
                  </w:r>
                </w:p>
              </w:tc>
              <w:tc>
                <w:tcPr>
                  <w:tcW w:w="905" w:type="dxa"/>
                  <w:vAlign w:val="center"/>
                </w:tcPr>
                <w:p w:rsidR="001D0FDA" w:rsidRPr="005331C3" w:rsidRDefault="001D0FDA" w:rsidP="00570FC8">
                  <w:pPr>
                    <w:pStyle w:val="Tabletext"/>
                    <w:framePr w:hSpace="180" w:wrap="around" w:vAnchor="text" w:hAnchor="text" w:y="1"/>
                    <w:jc w:val="center"/>
                  </w:pPr>
                  <w:r>
                    <w:t>62±18</w:t>
                  </w:r>
                </w:p>
              </w:tc>
              <w:tc>
                <w:tcPr>
                  <w:tcW w:w="1030" w:type="dxa"/>
                  <w:vAlign w:val="center"/>
                </w:tcPr>
                <w:p w:rsidR="001D0FDA" w:rsidRPr="00411013" w:rsidRDefault="001D0FDA" w:rsidP="00570FC8">
                  <w:pPr>
                    <w:pStyle w:val="Tabletext"/>
                    <w:framePr w:hSpace="180" w:wrap="around" w:vAnchor="text" w:hAnchor="text" w:y="1"/>
                    <w:jc w:val="center"/>
                  </w:pPr>
                  <w:r>
                    <w:t>62±24</w:t>
                  </w:r>
                </w:p>
              </w:tc>
              <w:tc>
                <w:tcPr>
                  <w:tcW w:w="906" w:type="dxa"/>
                  <w:vAlign w:val="center"/>
                </w:tcPr>
                <w:p w:rsidR="001D0FDA" w:rsidRPr="00411013" w:rsidRDefault="001D0FDA" w:rsidP="00570FC8">
                  <w:pPr>
                    <w:pStyle w:val="Tabletext"/>
                    <w:framePr w:hSpace="180" w:wrap="around" w:vAnchor="text" w:hAnchor="text" w:y="1"/>
                    <w:jc w:val="center"/>
                  </w:pPr>
                  <w:r>
                    <w:t>59±22</w:t>
                  </w:r>
                </w:p>
              </w:tc>
            </w:tr>
          </w:tbl>
          <w:p w:rsidR="001D0FDA" w:rsidRPr="00C81B4A" w:rsidRDefault="001D0FDA" w:rsidP="001D0FDA">
            <w:pPr>
              <w:pStyle w:val="Tablenote"/>
              <w:spacing w:after="0"/>
            </w:pPr>
            <w:r w:rsidRPr="00C81B4A">
              <w:t xml:space="preserve">* Data on demographic and disease characteristics when patients started the </w:t>
            </w:r>
            <w:r>
              <w:t>STARTS</w:t>
            </w:r>
            <w:r w:rsidRPr="00C81B4A">
              <w:t xml:space="preserve"> extension study were not available. Instead, the published paper presented the baseline characteristics for the Trial </w:t>
            </w:r>
            <w:r>
              <w:t>STARTS</w:t>
            </w:r>
            <w:r w:rsidRPr="00C81B4A">
              <w:t>-1</w:t>
            </w:r>
          </w:p>
        </w:tc>
        <w:tc>
          <w:tcPr>
            <w:tcW w:w="1047" w:type="pct"/>
          </w:tcPr>
          <w:p w:rsidR="001D0FDA" w:rsidRPr="00943A74" w:rsidRDefault="001D0FDA" w:rsidP="001D0FDA">
            <w:pPr>
              <w:pStyle w:val="Tabletext"/>
              <w:rPr>
                <w:rFonts w:eastAsia="Times New Roman"/>
                <w:i/>
                <w:snapToGrid w:val="0"/>
                <w:lang w:eastAsia="en-US"/>
              </w:rPr>
            </w:pPr>
            <w:r>
              <w:rPr>
                <w:rFonts w:eastAsia="Times New Roman"/>
                <w:i/>
                <w:snapToGrid w:val="0"/>
                <w:lang w:eastAsia="en-US"/>
              </w:rPr>
              <w:t>Intervention</w:t>
            </w:r>
          </w:p>
          <w:p w:rsidR="001D0FDA" w:rsidRPr="005331C3" w:rsidRDefault="001D0FDA" w:rsidP="001D0FDA">
            <w:pPr>
              <w:pStyle w:val="Tabletext"/>
              <w:rPr>
                <w:rFonts w:cs="Tahoma"/>
                <w:szCs w:val="18"/>
              </w:rPr>
            </w:pPr>
            <w:r>
              <w:rPr>
                <w:rFonts w:eastAsia="Times New Roman"/>
                <w:snapToGrid w:val="0"/>
                <w:lang w:eastAsia="en-US"/>
              </w:rPr>
              <w:t>Sildenafil:</w:t>
            </w:r>
            <w:r>
              <w:t xml:space="preserve"> </w:t>
            </w:r>
            <w:r w:rsidRPr="008406C9">
              <w:rPr>
                <w:rFonts w:eastAsia="Times New Roman"/>
                <w:snapToGrid w:val="0"/>
                <w:lang w:eastAsia="en-US"/>
              </w:rPr>
              <w:t>both upward and downward dose titrations of sildenafil permitted. Doses received after dose titrations were equivalen</w:t>
            </w:r>
            <w:r>
              <w:rPr>
                <w:rFonts w:eastAsia="Times New Roman"/>
                <w:snapToGrid w:val="0"/>
                <w:lang w:eastAsia="en-US"/>
              </w:rPr>
              <w:t>t to those in other dose groups</w:t>
            </w:r>
          </w:p>
          <w:tbl>
            <w:tblPr>
              <w:tblStyle w:val="TableGrid"/>
              <w:tblW w:w="291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Doses of sildenafil investigated in the STARTS extension study"/>
            </w:tblPr>
            <w:tblGrid>
              <w:gridCol w:w="785"/>
              <w:gridCol w:w="709"/>
              <w:gridCol w:w="708"/>
              <w:gridCol w:w="709"/>
            </w:tblGrid>
            <w:tr w:rsidR="001D0FDA" w:rsidTr="001D0FDA">
              <w:trPr>
                <w:cnfStyle w:val="100000000000" w:firstRow="1" w:lastRow="0" w:firstColumn="0" w:lastColumn="0" w:oddVBand="0" w:evenVBand="0" w:oddHBand="0" w:evenHBand="0" w:firstRowFirstColumn="0" w:firstRowLastColumn="0" w:lastRowFirstColumn="0" w:lastRowLastColumn="0"/>
              </w:trPr>
              <w:tc>
                <w:tcPr>
                  <w:tcW w:w="785" w:type="dxa"/>
                  <w:vMerge w:val="restart"/>
                  <w:shd w:val="clear" w:color="auto" w:fill="FFFFFF" w:themeFill="background1"/>
                </w:tcPr>
                <w:p w:rsidR="001D0FDA" w:rsidRPr="003C0DFB" w:rsidRDefault="001D0FDA" w:rsidP="00570FC8">
                  <w:pPr>
                    <w:pStyle w:val="Tabletext"/>
                    <w:framePr w:hSpace="180" w:wrap="around" w:vAnchor="text" w:hAnchor="text" w:y="1"/>
                    <w:ind w:right="-57"/>
                  </w:pPr>
                  <w:r>
                    <w:t>Body weight (kg)</w:t>
                  </w:r>
                </w:p>
              </w:tc>
              <w:tc>
                <w:tcPr>
                  <w:tcW w:w="2126" w:type="dxa"/>
                  <w:gridSpan w:val="3"/>
                  <w:shd w:val="clear" w:color="auto" w:fill="FFFFFF" w:themeFill="background1"/>
                </w:tcPr>
                <w:p w:rsidR="001D0FDA" w:rsidRDefault="001D0FDA" w:rsidP="00570FC8">
                  <w:pPr>
                    <w:pStyle w:val="Tabletext"/>
                    <w:framePr w:hSpace="180" w:wrap="around" w:vAnchor="text" w:hAnchor="text" w:y="1"/>
                    <w:jc w:val="center"/>
                  </w:pPr>
                  <w:r>
                    <w:t>Sildenafil dose, mg*</w:t>
                  </w:r>
                </w:p>
              </w:tc>
            </w:tr>
            <w:tr w:rsidR="001D0FDA" w:rsidTr="001D0FDA">
              <w:tc>
                <w:tcPr>
                  <w:tcW w:w="785" w:type="dxa"/>
                  <w:vMerge/>
                </w:tcPr>
                <w:p w:rsidR="001D0FDA" w:rsidRDefault="001D0FDA" w:rsidP="00570FC8">
                  <w:pPr>
                    <w:pStyle w:val="Tabletext"/>
                    <w:framePr w:hSpace="180" w:wrap="around" w:vAnchor="text" w:hAnchor="text" w:y="1"/>
                    <w:jc w:val="center"/>
                  </w:pPr>
                </w:p>
              </w:tc>
              <w:tc>
                <w:tcPr>
                  <w:tcW w:w="709" w:type="dxa"/>
                </w:tcPr>
                <w:p w:rsidR="001D0FDA" w:rsidRPr="003C0DFB" w:rsidRDefault="001D0FDA" w:rsidP="00570FC8">
                  <w:pPr>
                    <w:pStyle w:val="Tabletext"/>
                    <w:framePr w:hSpace="180" w:wrap="around" w:vAnchor="text" w:hAnchor="text" w:y="1"/>
                    <w:jc w:val="center"/>
                  </w:pPr>
                  <w:r>
                    <w:t>Low</w:t>
                  </w:r>
                </w:p>
              </w:tc>
              <w:tc>
                <w:tcPr>
                  <w:tcW w:w="708" w:type="dxa"/>
                </w:tcPr>
                <w:p w:rsidR="001D0FDA" w:rsidRPr="00C5782C" w:rsidRDefault="001D0FDA" w:rsidP="00570FC8">
                  <w:pPr>
                    <w:pStyle w:val="Tabletext"/>
                    <w:framePr w:hSpace="180" w:wrap="around" w:vAnchor="text" w:hAnchor="text" w:y="1"/>
                    <w:jc w:val="center"/>
                  </w:pPr>
                  <w:r>
                    <w:t>Med</w:t>
                  </w:r>
                </w:p>
              </w:tc>
              <w:tc>
                <w:tcPr>
                  <w:tcW w:w="709" w:type="dxa"/>
                </w:tcPr>
                <w:p w:rsidR="001D0FDA" w:rsidRDefault="001D0FDA" w:rsidP="00570FC8">
                  <w:pPr>
                    <w:pStyle w:val="Tabletext"/>
                    <w:framePr w:hSpace="180" w:wrap="around" w:vAnchor="text" w:hAnchor="text" w:y="1"/>
                    <w:jc w:val="center"/>
                  </w:pPr>
                  <w:r>
                    <w:t>High</w:t>
                  </w:r>
                </w:p>
              </w:tc>
            </w:tr>
            <w:tr w:rsidR="001D0FDA" w:rsidRPr="00C5782C" w:rsidTr="001D0FDA">
              <w:tc>
                <w:tcPr>
                  <w:tcW w:w="785" w:type="dxa"/>
                </w:tcPr>
                <w:p w:rsidR="001D0FDA" w:rsidRPr="00C5782C" w:rsidRDefault="001D0FDA" w:rsidP="00570FC8">
                  <w:pPr>
                    <w:pStyle w:val="Tabletext"/>
                    <w:framePr w:hSpace="180" w:wrap="around" w:vAnchor="text" w:hAnchor="text" w:y="1"/>
                  </w:pPr>
                  <w:r>
                    <w:t>≥8-20</w:t>
                  </w:r>
                </w:p>
              </w:tc>
              <w:tc>
                <w:tcPr>
                  <w:tcW w:w="709" w:type="dxa"/>
                </w:tcPr>
                <w:p w:rsidR="001D0FDA" w:rsidRPr="00C5782C" w:rsidRDefault="001D0FDA" w:rsidP="00570FC8">
                  <w:pPr>
                    <w:pStyle w:val="Tabletext"/>
                    <w:framePr w:hSpace="180" w:wrap="around" w:vAnchor="text" w:hAnchor="text" w:y="1"/>
                    <w:jc w:val="center"/>
                  </w:pPr>
                  <w:r>
                    <w:t>NA</w:t>
                  </w:r>
                </w:p>
              </w:tc>
              <w:tc>
                <w:tcPr>
                  <w:tcW w:w="708" w:type="dxa"/>
                </w:tcPr>
                <w:p w:rsidR="001D0FDA" w:rsidRPr="00C5782C" w:rsidRDefault="001D0FDA" w:rsidP="00570FC8">
                  <w:pPr>
                    <w:pStyle w:val="Tabletext"/>
                    <w:framePr w:hSpace="180" w:wrap="around" w:vAnchor="text" w:hAnchor="text" w:y="1"/>
                    <w:jc w:val="center"/>
                  </w:pPr>
                  <w:r>
                    <w:t>10</w:t>
                  </w:r>
                </w:p>
              </w:tc>
              <w:tc>
                <w:tcPr>
                  <w:tcW w:w="709" w:type="dxa"/>
                </w:tcPr>
                <w:p w:rsidR="001D0FDA" w:rsidRPr="00C5782C" w:rsidRDefault="001D0FDA" w:rsidP="00570FC8">
                  <w:pPr>
                    <w:pStyle w:val="Tabletext"/>
                    <w:framePr w:hSpace="180" w:wrap="around" w:vAnchor="text" w:hAnchor="text" w:y="1"/>
                    <w:jc w:val="center"/>
                  </w:pPr>
                  <w:r>
                    <w:t>20</w:t>
                  </w:r>
                </w:p>
              </w:tc>
            </w:tr>
            <w:tr w:rsidR="001D0FDA" w:rsidTr="001D0FDA">
              <w:tc>
                <w:tcPr>
                  <w:tcW w:w="785" w:type="dxa"/>
                </w:tcPr>
                <w:p w:rsidR="001D0FDA" w:rsidRPr="00C5782C" w:rsidRDefault="001D0FDA" w:rsidP="00570FC8">
                  <w:pPr>
                    <w:pStyle w:val="Tabletext"/>
                    <w:framePr w:hSpace="180" w:wrap="around" w:vAnchor="text" w:hAnchor="text" w:y="1"/>
                  </w:pPr>
                  <w:r>
                    <w:t>&gt;20-45</w:t>
                  </w:r>
                </w:p>
              </w:tc>
              <w:tc>
                <w:tcPr>
                  <w:tcW w:w="709" w:type="dxa"/>
                </w:tcPr>
                <w:p w:rsidR="001D0FDA" w:rsidRPr="00C5782C" w:rsidRDefault="001D0FDA" w:rsidP="00570FC8">
                  <w:pPr>
                    <w:pStyle w:val="Tabletext"/>
                    <w:framePr w:hSpace="180" w:wrap="around" w:vAnchor="text" w:hAnchor="text" w:y="1"/>
                    <w:jc w:val="center"/>
                  </w:pPr>
                  <w:r>
                    <w:t>10</w:t>
                  </w:r>
                </w:p>
              </w:tc>
              <w:tc>
                <w:tcPr>
                  <w:tcW w:w="708" w:type="dxa"/>
                </w:tcPr>
                <w:p w:rsidR="001D0FDA" w:rsidRPr="00C5782C" w:rsidRDefault="001D0FDA" w:rsidP="00570FC8">
                  <w:pPr>
                    <w:pStyle w:val="Tabletext"/>
                    <w:framePr w:hSpace="180" w:wrap="around" w:vAnchor="text" w:hAnchor="text" w:y="1"/>
                    <w:jc w:val="center"/>
                  </w:pPr>
                  <w:r>
                    <w:t>20</w:t>
                  </w:r>
                </w:p>
              </w:tc>
              <w:tc>
                <w:tcPr>
                  <w:tcW w:w="709" w:type="dxa"/>
                </w:tcPr>
                <w:p w:rsidR="001D0FDA" w:rsidRDefault="001D0FDA" w:rsidP="00570FC8">
                  <w:pPr>
                    <w:pStyle w:val="Tabletext"/>
                    <w:framePr w:hSpace="180" w:wrap="around" w:vAnchor="text" w:hAnchor="text" w:y="1"/>
                    <w:jc w:val="center"/>
                  </w:pPr>
                  <w:r>
                    <w:t>40</w:t>
                  </w:r>
                </w:p>
              </w:tc>
            </w:tr>
            <w:tr w:rsidR="001D0FDA" w:rsidTr="001D0FDA">
              <w:tc>
                <w:tcPr>
                  <w:tcW w:w="785" w:type="dxa"/>
                </w:tcPr>
                <w:p w:rsidR="001D0FDA" w:rsidRPr="00C5782C" w:rsidRDefault="001D0FDA" w:rsidP="00570FC8">
                  <w:pPr>
                    <w:pStyle w:val="Tabletext"/>
                    <w:framePr w:hSpace="180" w:wrap="around" w:vAnchor="text" w:hAnchor="text" w:y="1"/>
                  </w:pPr>
                  <w:r>
                    <w:t>&gt;45</w:t>
                  </w:r>
                </w:p>
              </w:tc>
              <w:tc>
                <w:tcPr>
                  <w:tcW w:w="709" w:type="dxa"/>
                </w:tcPr>
                <w:p w:rsidR="001D0FDA" w:rsidRDefault="001D0FDA" w:rsidP="00570FC8">
                  <w:pPr>
                    <w:pStyle w:val="Tabletext"/>
                    <w:framePr w:hSpace="180" w:wrap="around" w:vAnchor="text" w:hAnchor="text" w:y="1"/>
                    <w:jc w:val="center"/>
                  </w:pPr>
                  <w:r>
                    <w:t>10</w:t>
                  </w:r>
                </w:p>
              </w:tc>
              <w:tc>
                <w:tcPr>
                  <w:tcW w:w="708" w:type="dxa"/>
                </w:tcPr>
                <w:p w:rsidR="001D0FDA" w:rsidRDefault="001D0FDA" w:rsidP="00570FC8">
                  <w:pPr>
                    <w:pStyle w:val="Tabletext"/>
                    <w:framePr w:hSpace="180" w:wrap="around" w:vAnchor="text" w:hAnchor="text" w:y="1"/>
                    <w:jc w:val="center"/>
                  </w:pPr>
                  <w:r>
                    <w:t>40</w:t>
                  </w:r>
                </w:p>
              </w:tc>
              <w:tc>
                <w:tcPr>
                  <w:tcW w:w="709" w:type="dxa"/>
                </w:tcPr>
                <w:p w:rsidR="001D0FDA" w:rsidRDefault="001D0FDA" w:rsidP="00570FC8">
                  <w:pPr>
                    <w:pStyle w:val="Tabletext"/>
                    <w:framePr w:hSpace="180" w:wrap="around" w:vAnchor="text" w:hAnchor="text" w:y="1"/>
                    <w:jc w:val="center"/>
                  </w:pPr>
                  <w:r>
                    <w:t>80</w:t>
                  </w:r>
                </w:p>
              </w:tc>
            </w:tr>
          </w:tbl>
          <w:p w:rsidR="001D0FDA" w:rsidRDefault="001D0FDA" w:rsidP="001D0FDA">
            <w:pPr>
              <w:pStyle w:val="Tablenote"/>
            </w:pPr>
            <w:r>
              <w:t>NA = not applicable</w:t>
            </w:r>
          </w:p>
          <w:p w:rsidR="001D0FDA" w:rsidRPr="00BE1A73" w:rsidRDefault="001D0FDA" w:rsidP="001D0FDA">
            <w:pPr>
              <w:pStyle w:val="Tablenote"/>
            </w:pPr>
            <w:r>
              <w:t>*</w:t>
            </w:r>
            <w:r w:rsidRPr="00BE1A73">
              <w:t xml:space="preserve">Sildenafil </w:t>
            </w:r>
            <w:r>
              <w:rPr>
                <w:i/>
              </w:rPr>
              <w:t xml:space="preserve">tid </w:t>
            </w:r>
            <w:r>
              <w:t>dose to achieve t</w:t>
            </w:r>
            <w:r w:rsidRPr="00BE1A73">
              <w:t>arget</w:t>
            </w:r>
            <w:r>
              <w:t xml:space="preserve"> s</w:t>
            </w:r>
            <w:r w:rsidRPr="00BE1A73">
              <w:t xml:space="preserve">ildenafil </w:t>
            </w:r>
            <w:r>
              <w:t>steady state maximum c</w:t>
            </w:r>
            <w:r w:rsidRPr="00BE1A73">
              <w:t>oncentrations of 47, 140,</w:t>
            </w:r>
          </w:p>
          <w:p w:rsidR="001D0FDA" w:rsidRDefault="001D0FDA" w:rsidP="001D0FDA">
            <w:pPr>
              <w:pStyle w:val="Tablenote"/>
            </w:pPr>
            <w:r w:rsidRPr="00BE1A73">
              <w:t>and 373 ng/mL</w:t>
            </w:r>
          </w:p>
          <w:p w:rsidR="001D0FDA" w:rsidRDefault="001D0FDA" w:rsidP="001D0FDA">
            <w:pPr>
              <w:pStyle w:val="Tabletext"/>
              <w:rPr>
                <w:rFonts w:cs="Tahoma"/>
                <w:i/>
                <w:szCs w:val="18"/>
              </w:rPr>
            </w:pP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 xml:space="preserve">Vachiéry 2017 </w:t>
            </w:r>
            <w:r w:rsidR="001D34EE" w:rsidRPr="001A1C44">
              <w:rPr>
                <w:rFonts w:eastAsia="Times New Roman"/>
                <w:noProof/>
                <w:vertAlign w:val="superscript"/>
                <w:lang w:eastAsia="en-US"/>
              </w:rPr>
              <w:t>70</w:t>
            </w:r>
          </w:p>
          <w:p w:rsidR="001D0FDA" w:rsidRPr="008D73C9" w:rsidRDefault="001D0FDA" w:rsidP="001D0FDA">
            <w:pPr>
              <w:pStyle w:val="Tabletext"/>
              <w:ind w:right="-28"/>
              <w:rPr>
                <w:rFonts w:eastAsia="Times New Roman"/>
                <w:lang w:eastAsia="en-US"/>
              </w:rPr>
            </w:pPr>
            <w:r w:rsidRPr="008D73C9">
              <w:rPr>
                <w:rFonts w:eastAsia="Times New Roman"/>
                <w:lang w:eastAsia="en-US"/>
              </w:rPr>
              <w:t>2008-2013</w:t>
            </w:r>
          </w:p>
          <w:p w:rsidR="001D0FDA" w:rsidRPr="008D73C9" w:rsidRDefault="001D0FDA" w:rsidP="001D0FDA">
            <w:pPr>
              <w:pStyle w:val="Tabletext"/>
              <w:ind w:right="-28"/>
              <w:rPr>
                <w:rFonts w:eastAsia="Times New Roman"/>
                <w:lang w:eastAsia="en-US"/>
              </w:rPr>
            </w:pPr>
            <w:r w:rsidRPr="008D73C9">
              <w:rPr>
                <w:rFonts w:eastAsia="Times New Roman"/>
                <w:lang w:eastAsia="en-US"/>
              </w:rPr>
              <w:t>Europe, Canada, Australia</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2.2 years</w:t>
            </w:r>
          </w:p>
        </w:tc>
        <w:tc>
          <w:tcPr>
            <w:tcW w:w="1096" w:type="pct"/>
          </w:tcPr>
          <w:p w:rsidR="001D0FDA" w:rsidRPr="007124EC" w:rsidRDefault="001D0FDA" w:rsidP="001D0FDA">
            <w:pPr>
              <w:pStyle w:val="Tabletext"/>
              <w:rPr>
                <w:rFonts w:cs="Tahoma"/>
                <w:i/>
                <w:szCs w:val="18"/>
              </w:rPr>
            </w:pPr>
            <w:r w:rsidRPr="007124EC">
              <w:rPr>
                <w:rFonts w:cs="Tahoma"/>
                <w:i/>
                <w:szCs w:val="18"/>
              </w:rPr>
              <w:t xml:space="preserve">Inclusion criteria </w:t>
            </w:r>
          </w:p>
          <w:p w:rsidR="001D0FDA" w:rsidRPr="00097998" w:rsidRDefault="001D0FDA" w:rsidP="00480FDF">
            <w:pPr>
              <w:pStyle w:val="Tabletext"/>
              <w:numPr>
                <w:ilvl w:val="0"/>
                <w:numId w:val="54"/>
              </w:numPr>
              <w:ind w:left="239" w:hanging="144"/>
              <w:rPr>
                <w:rFonts w:cs="Tahoma"/>
                <w:i/>
                <w:szCs w:val="18"/>
              </w:rPr>
            </w:pPr>
            <w:r w:rsidRPr="007124EC">
              <w:rPr>
                <w:rFonts w:cs="Tahoma"/>
                <w:szCs w:val="18"/>
              </w:rPr>
              <w:t>PAH patients who were prescribed ambrisentan for medically appropriate use</w:t>
            </w:r>
          </w:p>
        </w:tc>
        <w:tc>
          <w:tcPr>
            <w:tcW w:w="1856" w:type="pct"/>
          </w:tcPr>
          <w:p w:rsidR="001D0FDA" w:rsidRDefault="001D0FDA" w:rsidP="001D0FDA">
            <w:pPr>
              <w:pStyle w:val="Tabletext"/>
              <w:ind w:right="-28"/>
              <w:rPr>
                <w:rFonts w:eastAsia="Times New Roman"/>
                <w:lang w:eastAsia="en-US"/>
              </w:rPr>
            </w:pPr>
            <w:r>
              <w:rPr>
                <w:rFonts w:eastAsia="Times New Roman"/>
                <w:lang w:eastAsia="en-US"/>
              </w:rPr>
              <w:t>N=998</w:t>
            </w:r>
          </w:p>
          <w:p w:rsidR="001D0FDA" w:rsidRPr="00C41328" w:rsidRDefault="001D0FDA" w:rsidP="001D0FDA">
            <w:pPr>
              <w:pStyle w:val="Tabletext"/>
              <w:rPr>
                <w:rFonts w:cs="Tahoma"/>
                <w:szCs w:val="18"/>
              </w:rPr>
            </w:pPr>
            <w:r w:rsidRPr="00C41328">
              <w:rPr>
                <w:rFonts w:cs="Tahoma"/>
                <w:szCs w:val="18"/>
              </w:rPr>
              <w:t>Age</w:t>
            </w:r>
            <w:r>
              <w:rPr>
                <w:rFonts w:cs="Tahoma"/>
                <w:szCs w:val="18"/>
              </w:rPr>
              <w:t>, mean</w:t>
            </w:r>
            <w:r w:rsidRPr="00C41328">
              <w:rPr>
                <w:rFonts w:cs="Tahoma"/>
                <w:szCs w:val="18"/>
              </w:rPr>
              <w:t>±</w:t>
            </w:r>
            <w:r>
              <w:rPr>
                <w:rFonts w:cs="Tahoma"/>
                <w:szCs w:val="18"/>
              </w:rPr>
              <w:t>SD (yrs)</w:t>
            </w:r>
            <w:r w:rsidRPr="00C41328">
              <w:rPr>
                <w:rFonts w:cs="Tahoma"/>
                <w:szCs w:val="18"/>
              </w:rPr>
              <w:t xml:space="preserve">: </w:t>
            </w:r>
            <w:r>
              <w:rPr>
                <w:rFonts w:cs="Tahoma"/>
                <w:szCs w:val="18"/>
              </w:rPr>
              <w:t>30±15</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667 (67%)</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sidRPr="000C5DDE">
              <w:rPr>
                <w:rFonts w:cs="Tahoma"/>
                <w:szCs w:val="18"/>
              </w:rPr>
              <w:t>IPAH</w:t>
            </w:r>
            <w:r>
              <w:rPr>
                <w:rFonts w:cs="Tahoma"/>
                <w:szCs w:val="18"/>
              </w:rPr>
              <w:t xml:space="preserve">: 446 (45%); </w:t>
            </w:r>
            <w:r w:rsidRPr="000C5DDE">
              <w:rPr>
                <w:rFonts w:cs="Tahoma"/>
                <w:szCs w:val="18"/>
              </w:rPr>
              <w:t>HPAH</w:t>
            </w:r>
            <w:r>
              <w:rPr>
                <w:rFonts w:cs="Tahoma"/>
                <w:szCs w:val="18"/>
              </w:rPr>
              <w:t>: 8 (&lt;1%); Associated PAH: 418 (42%); missing data: 126 (13%)</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Default="001D0FDA" w:rsidP="001D0FDA">
            <w:pPr>
              <w:pStyle w:val="Tabletext"/>
              <w:ind w:left="239"/>
              <w:rPr>
                <w:rFonts w:cs="Tahoma"/>
                <w:szCs w:val="18"/>
              </w:rPr>
            </w:pPr>
            <w:r>
              <w:rPr>
                <w:rFonts w:cs="Tahoma"/>
                <w:szCs w:val="18"/>
              </w:rPr>
              <w:t xml:space="preserve">I: 22 (2%); II: 258 (26%); </w:t>
            </w:r>
            <w:r w:rsidRPr="000C5DDE">
              <w:rPr>
                <w:rFonts w:cs="Tahoma"/>
                <w:szCs w:val="18"/>
              </w:rPr>
              <w:t xml:space="preserve">III: </w:t>
            </w:r>
            <w:r>
              <w:rPr>
                <w:rFonts w:cs="Tahoma"/>
                <w:szCs w:val="18"/>
              </w:rPr>
              <w:t>642 (65%); IV: 68 (7%); missing data: 8 (1%)</w:t>
            </w:r>
          </w:p>
          <w:p w:rsidR="001D0FDA" w:rsidRDefault="001D0FDA" w:rsidP="001D0FDA">
            <w:pPr>
              <w:pStyle w:val="Tabletext"/>
              <w:ind w:right="-28"/>
              <w:rPr>
                <w:rFonts w:cs="Tahoma"/>
                <w:szCs w:val="18"/>
              </w:rPr>
            </w:pPr>
            <w:r>
              <w:rPr>
                <w:rFonts w:cs="Tahoma"/>
                <w:szCs w:val="18"/>
              </w:rPr>
              <w:t>mPAP, mean±SD (mmHg): 48±14 (n=789)</w:t>
            </w:r>
          </w:p>
          <w:p w:rsidR="001D0FDA" w:rsidRPr="008D73C9" w:rsidRDefault="001D0FDA" w:rsidP="001D0FDA">
            <w:pPr>
              <w:pStyle w:val="Tabletext"/>
              <w:ind w:right="-28"/>
              <w:rPr>
                <w:rFonts w:eastAsia="Times New Roman"/>
                <w:lang w:eastAsia="en-US"/>
              </w:rPr>
            </w:pPr>
            <w:r w:rsidRPr="00C41328">
              <w:rPr>
                <w:rFonts w:cs="Tahoma"/>
                <w:szCs w:val="18"/>
              </w:rPr>
              <w:t>PVR</w:t>
            </w:r>
            <w:r>
              <w:rPr>
                <w:rFonts w:cs="Tahoma"/>
                <w:szCs w:val="18"/>
              </w:rPr>
              <w:t>, mean</w:t>
            </w:r>
            <w:r w:rsidRPr="00C41328">
              <w:rPr>
                <w:rFonts w:cs="Tahoma"/>
                <w:szCs w:val="18"/>
              </w:rPr>
              <w:t>±</w:t>
            </w:r>
            <w:r>
              <w:rPr>
                <w:rFonts w:cs="Tahoma"/>
                <w:szCs w:val="18"/>
              </w:rPr>
              <w:t>SD</w:t>
            </w:r>
            <w:r w:rsidRPr="00C41328">
              <w:rPr>
                <w:rFonts w:cs="Tahoma"/>
                <w:szCs w:val="18"/>
              </w:rPr>
              <w:t xml:space="preserve"> (</w:t>
            </w:r>
            <w:r>
              <w:rPr>
                <w:rFonts w:cs="Tahoma"/>
                <w:szCs w:val="18"/>
              </w:rPr>
              <w:t>dyn*s*</w:t>
            </w:r>
            <w:r w:rsidRPr="00C8004D">
              <w:rPr>
                <w:rFonts w:cs="Tahoma"/>
                <w:szCs w:val="18"/>
              </w:rPr>
              <w:t>m</w:t>
            </w:r>
            <w:r>
              <w:rPr>
                <w:rFonts w:cs="Tahoma"/>
                <w:szCs w:val="18"/>
                <w:vertAlign w:val="superscript"/>
              </w:rPr>
              <w:t>-5</w:t>
            </w:r>
            <w:r w:rsidRPr="00C41328">
              <w:rPr>
                <w:rFonts w:cs="Tahoma"/>
                <w:szCs w:val="18"/>
              </w:rPr>
              <w:t>):</w:t>
            </w:r>
            <w:r>
              <w:rPr>
                <w:rFonts w:cs="Tahoma"/>
                <w:szCs w:val="18"/>
              </w:rPr>
              <w:t xml:space="preserve"> 805</w:t>
            </w:r>
            <w:r w:rsidRPr="00C41328">
              <w:rPr>
                <w:rFonts w:cs="Tahoma"/>
                <w:szCs w:val="18"/>
              </w:rPr>
              <w:t>±</w:t>
            </w:r>
            <w:r>
              <w:rPr>
                <w:rFonts w:cs="Tahoma"/>
                <w:szCs w:val="18"/>
              </w:rPr>
              <w:t>759 (n=717)</w:t>
            </w:r>
          </w:p>
        </w:tc>
        <w:tc>
          <w:tcPr>
            <w:tcW w:w="1047" w:type="pct"/>
          </w:tcPr>
          <w:p w:rsidR="001D0FDA" w:rsidRDefault="001D0FDA" w:rsidP="001D0FDA">
            <w:pPr>
              <w:pStyle w:val="Tabletext"/>
              <w:rPr>
                <w:rFonts w:eastAsia="Times New Roman"/>
                <w:i/>
                <w:lang w:eastAsia="en-US"/>
              </w:rPr>
            </w:pPr>
            <w:r>
              <w:rPr>
                <w:rFonts w:eastAsia="Times New Roman"/>
                <w:i/>
                <w:lang w:eastAsia="en-US"/>
              </w:rPr>
              <w:t>Intervention</w:t>
            </w:r>
          </w:p>
          <w:p w:rsidR="001D0FDA" w:rsidRPr="008D73C9" w:rsidRDefault="001D0FDA" w:rsidP="001D0FDA">
            <w:pPr>
              <w:pStyle w:val="Tabletext"/>
              <w:rPr>
                <w:rFonts w:eastAsia="Times New Roman"/>
                <w:lang w:eastAsia="en-US"/>
              </w:rPr>
            </w:pPr>
            <w:r>
              <w:rPr>
                <w:rFonts w:eastAsia="Times New Roman"/>
                <w:lang w:eastAsia="en-US"/>
              </w:rPr>
              <w:t xml:space="preserve">Ambrisentan: </w:t>
            </w:r>
            <w:r w:rsidRPr="008D73C9">
              <w:rPr>
                <w:rFonts w:eastAsia="Times New Roman"/>
                <w:lang w:eastAsia="en-US"/>
              </w:rPr>
              <w:t>5</w:t>
            </w:r>
            <w:r w:rsidR="00C90897">
              <w:rPr>
                <w:rFonts w:eastAsia="Times New Roman"/>
                <w:lang w:eastAsia="en-US"/>
              </w:rPr>
              <w:t> </w:t>
            </w:r>
            <w:r w:rsidRPr="008D73C9">
              <w:rPr>
                <w:rFonts w:eastAsia="Times New Roman"/>
                <w:lang w:eastAsia="en-US"/>
              </w:rPr>
              <w:t>mg or 10</w:t>
            </w:r>
            <w:r w:rsidR="00C90897">
              <w:rPr>
                <w:rFonts w:eastAsia="Times New Roman"/>
                <w:lang w:eastAsia="en-US"/>
              </w:rPr>
              <w:t> </w:t>
            </w:r>
            <w:r w:rsidRPr="008D73C9">
              <w:rPr>
                <w:rFonts w:eastAsia="Times New Roman"/>
                <w:lang w:eastAsia="en-US"/>
              </w:rPr>
              <w:t>mg od</w:t>
            </w:r>
          </w:p>
          <w:p w:rsidR="001D0FDA" w:rsidRDefault="001D0FDA" w:rsidP="001D0FDA">
            <w:pPr>
              <w:pStyle w:val="Tabletext"/>
              <w:rPr>
                <w:rFonts w:eastAsia="Times New Roman"/>
                <w:lang w:eastAsia="en-US"/>
              </w:rPr>
            </w:pPr>
          </w:p>
          <w:p w:rsidR="001D0FDA" w:rsidRPr="007E25D6" w:rsidRDefault="001D0FDA" w:rsidP="001D0FDA">
            <w:pPr>
              <w:pStyle w:val="Tabletext"/>
              <w:rPr>
                <w:rFonts w:eastAsia="Times New Roman"/>
                <w:i/>
                <w:lang w:eastAsia="en-US"/>
              </w:rPr>
            </w:pPr>
            <w:r>
              <w:rPr>
                <w:rFonts w:eastAsia="Times New Roman"/>
                <w:i/>
                <w:lang w:eastAsia="en-US"/>
              </w:rPr>
              <w:t>Combination therapy</w:t>
            </w:r>
          </w:p>
          <w:p w:rsidR="001D0FDA" w:rsidRDefault="001D0FDA" w:rsidP="001D0FDA">
            <w:pPr>
              <w:pStyle w:val="Tabletext"/>
              <w:rPr>
                <w:rFonts w:cs="Tahoma"/>
                <w:i/>
                <w:szCs w:val="18"/>
              </w:rPr>
            </w:pPr>
            <w:r>
              <w:rPr>
                <w:rFonts w:eastAsia="Times New Roman"/>
                <w:lang w:eastAsia="en-US"/>
              </w:rPr>
              <w:t>Other PAH medicine</w:t>
            </w:r>
            <w:r w:rsidRPr="008D73C9">
              <w:rPr>
                <w:rFonts w:eastAsia="Times New Roman"/>
                <w:lang w:eastAsia="en-US"/>
              </w:rPr>
              <w:t xml:space="preserve">s (32% at baseline) </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VA1A4001 extension study</w:t>
            </w:r>
            <w:r w:rsidR="001D34EE" w:rsidRPr="001A1C44">
              <w:rPr>
                <w:rFonts w:eastAsia="Times New Roman"/>
                <w:noProof/>
                <w:vertAlign w:val="superscript"/>
                <w:lang w:eastAsia="en-US"/>
              </w:rPr>
              <w:t>71</w:t>
            </w:r>
          </w:p>
          <w:p w:rsidR="001D0FDA" w:rsidRPr="008D73C9" w:rsidRDefault="001D0FDA" w:rsidP="001D0FDA">
            <w:pPr>
              <w:pStyle w:val="Tabletext"/>
              <w:ind w:right="-28"/>
              <w:rPr>
                <w:rFonts w:eastAsia="Times New Roman"/>
                <w:lang w:eastAsia="en-US"/>
              </w:rPr>
            </w:pPr>
            <w:r w:rsidRPr="008D73C9">
              <w:rPr>
                <w:rFonts w:eastAsia="Times New Roman"/>
                <w:lang w:eastAsia="en-US"/>
              </w:rPr>
              <w:t>No later than 2009</w:t>
            </w:r>
            <w:r>
              <w:rPr>
                <w:rFonts w:eastAsia="Times New Roman"/>
                <w:vertAlign w:val="superscript"/>
                <w:lang w:eastAsia="en-US"/>
              </w:rPr>
              <w:t>d</w:t>
            </w:r>
          </w:p>
          <w:p w:rsidR="001D0FDA" w:rsidRPr="008D73C9" w:rsidRDefault="001D0FDA" w:rsidP="001D0FDA">
            <w:pPr>
              <w:pStyle w:val="Tabletext"/>
              <w:ind w:right="-28"/>
              <w:rPr>
                <w:rFonts w:eastAsia="Times New Roman"/>
                <w:lang w:eastAsia="en-US"/>
              </w:rPr>
            </w:pPr>
            <w:r w:rsidRPr="008D73C9">
              <w:rPr>
                <w:rFonts w:eastAsia="Times New Roman"/>
                <w:lang w:eastAsia="en-US"/>
              </w:rPr>
              <w:t>North America</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Prospective case series</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Follow-up: u</w:t>
            </w:r>
            <w:r w:rsidRPr="008D73C9">
              <w:rPr>
                <w:rFonts w:eastAsia="Times New Roman"/>
                <w:lang w:eastAsia="en-US"/>
              </w:rPr>
              <w:t xml:space="preserve">p to 3 year </w:t>
            </w:r>
          </w:p>
        </w:tc>
        <w:tc>
          <w:tcPr>
            <w:tcW w:w="1096" w:type="pct"/>
          </w:tcPr>
          <w:p w:rsidR="001D0FDA" w:rsidRPr="002C7B28" w:rsidRDefault="001D0FDA" w:rsidP="001D0FDA">
            <w:pPr>
              <w:pStyle w:val="Tabletext"/>
              <w:rPr>
                <w:rFonts w:cs="Tahoma"/>
                <w:i/>
                <w:szCs w:val="18"/>
              </w:rPr>
            </w:pPr>
            <w:r w:rsidRPr="002C7B28">
              <w:rPr>
                <w:rFonts w:cs="Tahoma"/>
                <w:i/>
                <w:szCs w:val="18"/>
              </w:rPr>
              <w:t>Inclusion criteria</w:t>
            </w:r>
          </w:p>
          <w:p w:rsidR="001D0FDA" w:rsidRPr="00097998" w:rsidRDefault="001D0FDA" w:rsidP="00480FDF">
            <w:pPr>
              <w:pStyle w:val="Tabletext"/>
              <w:numPr>
                <w:ilvl w:val="0"/>
                <w:numId w:val="54"/>
              </w:numPr>
              <w:ind w:left="239" w:hanging="144"/>
              <w:rPr>
                <w:rFonts w:cs="Tahoma"/>
                <w:i/>
                <w:szCs w:val="18"/>
              </w:rPr>
            </w:pPr>
            <w:r w:rsidRPr="002C7B28">
              <w:rPr>
                <w:rFonts w:cs="Tahoma"/>
                <w:szCs w:val="18"/>
              </w:rPr>
              <w:t>Patients with WHO FC III or IV PAH associated with scleroderma who completed Trial VA1A4001</w:t>
            </w:r>
          </w:p>
        </w:tc>
        <w:tc>
          <w:tcPr>
            <w:tcW w:w="1856" w:type="pct"/>
          </w:tcPr>
          <w:p w:rsidR="001D0FDA" w:rsidRDefault="001D0FDA" w:rsidP="001D0FDA">
            <w:pPr>
              <w:pStyle w:val="Tabletext"/>
              <w:ind w:right="-28"/>
              <w:rPr>
                <w:rFonts w:eastAsia="Times New Roman"/>
                <w:lang w:eastAsia="en-US"/>
              </w:rPr>
            </w:pPr>
            <w:r w:rsidRPr="008D73C9">
              <w:rPr>
                <w:rFonts w:eastAsia="Times New Roman"/>
                <w:lang w:eastAsia="en-US"/>
              </w:rPr>
              <w:t>N=97</w:t>
            </w:r>
          </w:p>
          <w:p w:rsidR="001D0FDA" w:rsidRPr="00C41328" w:rsidRDefault="001D0FDA" w:rsidP="001D0FDA">
            <w:pPr>
              <w:pStyle w:val="Tabletext"/>
              <w:rPr>
                <w:rFonts w:cs="Tahoma"/>
                <w:szCs w:val="18"/>
              </w:rPr>
            </w:pPr>
            <w:r w:rsidRPr="00C41328">
              <w:rPr>
                <w:rFonts w:cs="Tahoma"/>
                <w:szCs w:val="18"/>
              </w:rPr>
              <w:t>Age</w:t>
            </w:r>
            <w:r>
              <w:rPr>
                <w:rFonts w:cs="Tahoma"/>
                <w:szCs w:val="18"/>
              </w:rPr>
              <w:t>, median (range) (yrs)</w:t>
            </w:r>
            <w:r w:rsidRPr="00C41328">
              <w:rPr>
                <w:rFonts w:cs="Tahoma"/>
                <w:szCs w:val="18"/>
              </w:rPr>
              <w:t xml:space="preserve">: </w:t>
            </w:r>
            <w:r>
              <w:rPr>
                <w:rFonts w:cs="Tahoma"/>
                <w:szCs w:val="18"/>
              </w:rPr>
              <w:t>57 (23-78)</w:t>
            </w:r>
          </w:p>
          <w:p w:rsidR="001D0FDA" w:rsidRPr="00C41328" w:rsidRDefault="001D0FDA" w:rsidP="001D0FDA">
            <w:pPr>
              <w:pStyle w:val="Tabletext"/>
              <w:rPr>
                <w:rFonts w:cs="Tahoma"/>
                <w:szCs w:val="18"/>
              </w:rPr>
            </w:pPr>
            <w:r w:rsidRPr="00351FF5">
              <w:rPr>
                <w:rFonts w:cs="Tahoma"/>
                <w:szCs w:val="18"/>
              </w:rPr>
              <w:t xml:space="preserve">Gender, </w:t>
            </w:r>
            <w:r>
              <w:rPr>
                <w:rFonts w:cs="Tahoma"/>
                <w:szCs w:val="18"/>
              </w:rPr>
              <w:t>f</w:t>
            </w:r>
            <w:r w:rsidRPr="00C41328">
              <w:rPr>
                <w:rFonts w:cs="Tahoma"/>
                <w:szCs w:val="18"/>
              </w:rPr>
              <w:t>emale</w:t>
            </w:r>
            <w:r>
              <w:rPr>
                <w:rFonts w:cs="Tahoma"/>
                <w:szCs w:val="18"/>
              </w:rPr>
              <w:t>, n (%)</w:t>
            </w:r>
            <w:r w:rsidRPr="00C41328">
              <w:rPr>
                <w:rFonts w:cs="Tahoma"/>
                <w:szCs w:val="18"/>
              </w:rPr>
              <w:t xml:space="preserve">: </w:t>
            </w:r>
            <w:r>
              <w:rPr>
                <w:rFonts w:cs="Tahoma"/>
                <w:szCs w:val="18"/>
              </w:rPr>
              <w:t>87 (90%)</w:t>
            </w:r>
          </w:p>
          <w:p w:rsidR="001D0FDA" w:rsidRPr="00C41328" w:rsidRDefault="001D0FDA" w:rsidP="001D0FDA">
            <w:pPr>
              <w:pStyle w:val="Tabletext"/>
              <w:rPr>
                <w:rFonts w:cs="Tahoma"/>
                <w:szCs w:val="18"/>
              </w:rPr>
            </w:pPr>
            <w:r w:rsidRPr="00C41328">
              <w:rPr>
                <w:rFonts w:cs="Tahoma"/>
                <w:szCs w:val="18"/>
              </w:rPr>
              <w:t>PAH aetiology</w:t>
            </w:r>
            <w:r>
              <w:rPr>
                <w:rFonts w:cs="Tahoma"/>
                <w:szCs w:val="18"/>
              </w:rPr>
              <w:t xml:space="preserve">, n (%): </w:t>
            </w:r>
          </w:p>
          <w:p w:rsidR="001D0FDA" w:rsidRDefault="001D0FDA" w:rsidP="001D0FDA">
            <w:pPr>
              <w:pStyle w:val="Tabletext"/>
              <w:ind w:left="239"/>
              <w:rPr>
                <w:rFonts w:cs="Tahoma"/>
                <w:szCs w:val="18"/>
              </w:rPr>
            </w:pPr>
            <w:r>
              <w:rPr>
                <w:rFonts w:cs="Tahoma"/>
                <w:szCs w:val="18"/>
              </w:rPr>
              <w:t>PAH-CTD: 97 (100%)</w:t>
            </w:r>
          </w:p>
          <w:p w:rsidR="001D0FDA" w:rsidRDefault="001D0FDA" w:rsidP="001D0FDA">
            <w:pPr>
              <w:pStyle w:val="Tabletext"/>
              <w:rPr>
                <w:rFonts w:cs="Tahoma"/>
                <w:szCs w:val="18"/>
              </w:rPr>
            </w:pPr>
            <w:proofErr w:type="gramStart"/>
            <w:r w:rsidRPr="00C41328">
              <w:rPr>
                <w:rFonts w:cs="Tahoma"/>
                <w:szCs w:val="18"/>
              </w:rPr>
              <w:t>WHO</w:t>
            </w:r>
            <w:proofErr w:type="gramEnd"/>
            <w:r w:rsidRPr="00C41328">
              <w:rPr>
                <w:rFonts w:cs="Tahoma"/>
                <w:szCs w:val="18"/>
              </w:rPr>
              <w:t xml:space="preserve"> FC</w:t>
            </w:r>
            <w:r>
              <w:rPr>
                <w:rFonts w:cs="Tahoma"/>
                <w:szCs w:val="18"/>
              </w:rPr>
              <w:t>, n (%)</w:t>
            </w:r>
            <w:r w:rsidRPr="00C41328">
              <w:rPr>
                <w:rFonts w:cs="Tahoma"/>
                <w:szCs w:val="18"/>
              </w:rPr>
              <w:t>:</w:t>
            </w:r>
          </w:p>
          <w:p w:rsidR="001D0FDA" w:rsidRPr="005B37FC" w:rsidRDefault="001D0FDA" w:rsidP="001D0FDA">
            <w:pPr>
              <w:pStyle w:val="Tabletext"/>
              <w:ind w:left="239"/>
              <w:rPr>
                <w:rFonts w:cs="Tahoma"/>
                <w:szCs w:val="18"/>
              </w:rPr>
            </w:pPr>
            <w:r w:rsidRPr="005B37FC">
              <w:rPr>
                <w:rFonts w:cs="Tahoma"/>
                <w:szCs w:val="18"/>
              </w:rPr>
              <w:t>II: 5 (5%)</w:t>
            </w:r>
            <w:r>
              <w:rPr>
                <w:rFonts w:cs="Tahoma"/>
                <w:szCs w:val="18"/>
              </w:rPr>
              <w:t xml:space="preserve">; </w:t>
            </w:r>
            <w:r w:rsidRPr="005B37FC">
              <w:rPr>
                <w:rFonts w:cs="Tahoma"/>
                <w:szCs w:val="18"/>
              </w:rPr>
              <w:t>III: 77 (79%)</w:t>
            </w:r>
            <w:r>
              <w:rPr>
                <w:rFonts w:cs="Tahoma"/>
                <w:szCs w:val="18"/>
              </w:rPr>
              <w:t xml:space="preserve">; </w:t>
            </w:r>
            <w:r w:rsidRPr="005B37FC">
              <w:rPr>
                <w:rFonts w:cs="Tahoma"/>
                <w:szCs w:val="18"/>
              </w:rPr>
              <w:t>IV: 15 (15%)</w:t>
            </w:r>
          </w:p>
        </w:tc>
        <w:tc>
          <w:tcPr>
            <w:tcW w:w="1047" w:type="pct"/>
          </w:tcPr>
          <w:p w:rsidR="001D0FDA" w:rsidRDefault="001D0FDA" w:rsidP="001D0FDA">
            <w:pPr>
              <w:pStyle w:val="Tabletext"/>
              <w:rPr>
                <w:rFonts w:eastAsia="Times New Roman"/>
                <w:i/>
                <w:lang w:eastAsia="en-US"/>
              </w:rPr>
            </w:pPr>
            <w:r>
              <w:rPr>
                <w:rFonts w:eastAsia="Times New Roman"/>
                <w:i/>
                <w:lang w:eastAsia="en-US"/>
              </w:rPr>
              <w:t>Intervention</w:t>
            </w:r>
          </w:p>
          <w:p w:rsidR="001D0FDA" w:rsidRDefault="001D0FDA" w:rsidP="001D0FDA">
            <w:pPr>
              <w:pStyle w:val="Tabletext"/>
              <w:rPr>
                <w:rFonts w:cs="Tahoma"/>
                <w:i/>
                <w:szCs w:val="18"/>
              </w:rPr>
            </w:pPr>
            <w:r w:rsidRPr="00446A48">
              <w:rPr>
                <w:rFonts w:eastAsia="Times New Roman"/>
                <w:lang w:eastAsia="en-US"/>
              </w:rPr>
              <w:t>Epoprostenol: initial dose of 2</w:t>
            </w:r>
            <w:r w:rsidR="00C90897">
              <w:rPr>
                <w:rFonts w:eastAsia="Times New Roman"/>
                <w:lang w:eastAsia="en-US"/>
              </w:rPr>
              <w:t> </w:t>
            </w:r>
            <w:r w:rsidRPr="00446A48">
              <w:rPr>
                <w:rFonts w:eastAsia="Times New Roman"/>
                <w:lang w:eastAsia="en-US"/>
              </w:rPr>
              <w:t>ng/kg/min, then up-titrat</w:t>
            </w:r>
            <w:r>
              <w:rPr>
                <w:rFonts w:eastAsia="Times New Roman"/>
                <w:lang w:eastAsia="en-US"/>
              </w:rPr>
              <w:t>ed</w:t>
            </w:r>
            <w:r w:rsidRPr="00446A48">
              <w:rPr>
                <w:rFonts w:eastAsia="Times New Roman"/>
                <w:lang w:eastAsia="en-US"/>
              </w:rPr>
              <w:t xml:space="preserve"> based on tolerability</w:t>
            </w:r>
          </w:p>
        </w:tc>
      </w:tr>
      <w:tr w:rsidR="001D0FDA" w:rsidRPr="00204000" w:rsidTr="001D0FDA">
        <w:tc>
          <w:tcPr>
            <w:tcW w:w="528"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Vis 2013</w:t>
            </w:r>
            <w:r w:rsidR="001D34EE" w:rsidRPr="001A1C44">
              <w:rPr>
                <w:rFonts w:eastAsia="Times New Roman"/>
                <w:noProof/>
                <w:vertAlign w:val="superscript"/>
                <w:lang w:eastAsia="en-US"/>
              </w:rPr>
              <w:t>72</w:t>
            </w:r>
          </w:p>
          <w:p w:rsidR="001D0FDA" w:rsidRPr="008D73C9" w:rsidRDefault="001D0FDA" w:rsidP="001D0FDA">
            <w:pPr>
              <w:pStyle w:val="Tabletext"/>
              <w:ind w:right="-28"/>
              <w:rPr>
                <w:rFonts w:eastAsia="Times New Roman"/>
                <w:lang w:eastAsia="en-US"/>
              </w:rPr>
            </w:pPr>
            <w:r w:rsidRPr="008D73C9">
              <w:rPr>
                <w:rFonts w:eastAsia="Times New Roman"/>
                <w:lang w:eastAsia="en-US"/>
              </w:rPr>
              <w:t>2005-2010</w:t>
            </w:r>
          </w:p>
          <w:p w:rsidR="001D0FDA" w:rsidRPr="008D73C9" w:rsidRDefault="001D0FDA" w:rsidP="001D0FDA">
            <w:pPr>
              <w:pStyle w:val="Tabletext"/>
              <w:ind w:right="-28"/>
              <w:rPr>
                <w:rFonts w:eastAsia="Times New Roman"/>
                <w:lang w:eastAsia="en-US"/>
              </w:rPr>
            </w:pPr>
            <w:r w:rsidRPr="008D73C9">
              <w:rPr>
                <w:rFonts w:eastAsia="Times New Roman"/>
                <w:lang w:eastAsia="en-US"/>
              </w:rPr>
              <w:t>Netherlands</w:t>
            </w:r>
          </w:p>
        </w:tc>
        <w:tc>
          <w:tcPr>
            <w:tcW w:w="473" w:type="pct"/>
          </w:tcPr>
          <w:p w:rsidR="001D0FDA" w:rsidRPr="008D73C9" w:rsidRDefault="001D0FDA" w:rsidP="001D0FDA">
            <w:pPr>
              <w:pStyle w:val="Tabletext"/>
              <w:ind w:right="-28"/>
              <w:rPr>
                <w:rFonts w:eastAsia="Times New Roman"/>
                <w:lang w:eastAsia="en-US"/>
              </w:rPr>
            </w:pPr>
            <w:r w:rsidRPr="008D73C9">
              <w:rPr>
                <w:rFonts w:eastAsia="Times New Roman"/>
                <w:lang w:eastAsia="en-US"/>
              </w:rPr>
              <w:t>Case series (unclear if retrospective or prospective)</w:t>
            </w:r>
          </w:p>
          <w:p w:rsidR="001D0FDA" w:rsidRDefault="001D0FDA" w:rsidP="001D0FDA">
            <w:pPr>
              <w:pStyle w:val="Tabletext"/>
              <w:ind w:right="-28"/>
              <w:rPr>
                <w:rFonts w:eastAsia="Times New Roman"/>
                <w:lang w:eastAsia="en-US"/>
              </w:rPr>
            </w:pPr>
            <w:r>
              <w:rPr>
                <w:rFonts w:eastAsia="Times New Roman"/>
                <w:lang w:eastAsia="en-US"/>
              </w:rPr>
              <w:t>Level IV evidence</w:t>
            </w:r>
          </w:p>
          <w:p w:rsidR="001D0FDA" w:rsidRPr="008D73C9" w:rsidRDefault="001D0FDA" w:rsidP="001D0FDA">
            <w:pPr>
              <w:pStyle w:val="Tabletext"/>
              <w:ind w:right="-28"/>
              <w:rPr>
                <w:rFonts w:eastAsia="Times New Roman"/>
                <w:lang w:eastAsia="en-US"/>
              </w:rPr>
            </w:pPr>
            <w:r>
              <w:rPr>
                <w:rFonts w:eastAsia="Times New Roman"/>
                <w:lang w:eastAsia="en-US"/>
              </w:rPr>
              <w:t xml:space="preserve">Follow-up: </w:t>
            </w:r>
            <w:r w:rsidRPr="008D73C9">
              <w:rPr>
                <w:rFonts w:eastAsia="Times New Roman"/>
                <w:lang w:eastAsia="en-US"/>
              </w:rPr>
              <w:t>3.9-4 years</w:t>
            </w:r>
          </w:p>
        </w:tc>
        <w:tc>
          <w:tcPr>
            <w:tcW w:w="1096" w:type="pct"/>
          </w:tcPr>
          <w:p w:rsidR="001D0FDA" w:rsidRPr="00446A48" w:rsidRDefault="001D0FDA" w:rsidP="001D0FDA">
            <w:pPr>
              <w:pStyle w:val="Tabletext"/>
              <w:rPr>
                <w:rFonts w:cs="Tahoma"/>
                <w:i/>
                <w:szCs w:val="18"/>
              </w:rPr>
            </w:pPr>
            <w:r>
              <w:rPr>
                <w:rFonts w:cs="Tahoma"/>
                <w:i/>
                <w:szCs w:val="18"/>
              </w:rPr>
              <w:t>Inclusion criteria</w:t>
            </w:r>
          </w:p>
          <w:p w:rsidR="001D0FDA" w:rsidRPr="00446A48" w:rsidRDefault="001D0FDA" w:rsidP="00480FDF">
            <w:pPr>
              <w:pStyle w:val="Tabletext"/>
              <w:numPr>
                <w:ilvl w:val="0"/>
                <w:numId w:val="54"/>
              </w:numPr>
              <w:ind w:left="239" w:hanging="144"/>
              <w:rPr>
                <w:rFonts w:cs="Tahoma"/>
                <w:szCs w:val="18"/>
              </w:rPr>
            </w:pPr>
            <w:r w:rsidRPr="00446A48">
              <w:rPr>
                <w:rFonts w:cs="Tahoma"/>
                <w:szCs w:val="18"/>
              </w:rPr>
              <w:t xml:space="preserve">Adult PAH patients with Eisenmenger syndrome and other CHDs or patients with persistent PAH after previous closure of their CHD defect </w:t>
            </w:r>
          </w:p>
          <w:p w:rsidR="001D0FDA" w:rsidRPr="00446A48" w:rsidRDefault="001D0FDA" w:rsidP="00480FDF">
            <w:pPr>
              <w:pStyle w:val="Tabletext"/>
              <w:numPr>
                <w:ilvl w:val="0"/>
                <w:numId w:val="54"/>
              </w:numPr>
              <w:ind w:left="239" w:hanging="144"/>
              <w:rPr>
                <w:rFonts w:cs="Tahoma"/>
                <w:szCs w:val="18"/>
              </w:rPr>
            </w:pPr>
            <w:r w:rsidRPr="00446A48">
              <w:rPr>
                <w:rFonts w:cs="Tahoma"/>
                <w:szCs w:val="18"/>
              </w:rPr>
              <w:t xml:space="preserve">Patients with WHO FC II-IV </w:t>
            </w:r>
          </w:p>
          <w:p w:rsidR="001D0FDA" w:rsidRDefault="001D0FDA" w:rsidP="00480FDF">
            <w:pPr>
              <w:pStyle w:val="Tabletext"/>
              <w:numPr>
                <w:ilvl w:val="0"/>
                <w:numId w:val="54"/>
              </w:numPr>
              <w:ind w:left="239" w:hanging="144"/>
              <w:rPr>
                <w:rFonts w:cs="Tahoma"/>
                <w:szCs w:val="18"/>
              </w:rPr>
            </w:pPr>
            <w:r>
              <w:rPr>
                <w:rFonts w:cs="Tahoma"/>
                <w:szCs w:val="18"/>
              </w:rPr>
              <w:t xml:space="preserve">Receiving </w:t>
            </w:r>
            <w:r w:rsidRPr="00446A48">
              <w:rPr>
                <w:rFonts w:cs="Tahoma"/>
                <w:szCs w:val="18"/>
              </w:rPr>
              <w:t>bosentan for treatment of PAH</w:t>
            </w:r>
          </w:p>
          <w:p w:rsidR="001D0FDA" w:rsidRPr="00446A48" w:rsidRDefault="001D0FDA" w:rsidP="001D0FDA">
            <w:pPr>
              <w:pStyle w:val="Tabletext"/>
              <w:ind w:left="239"/>
              <w:rPr>
                <w:rFonts w:cs="Tahoma"/>
                <w:szCs w:val="18"/>
              </w:rPr>
            </w:pPr>
          </w:p>
          <w:p w:rsidR="001D0FDA" w:rsidRPr="00446A48" w:rsidRDefault="001D0FDA" w:rsidP="001D0FDA">
            <w:pPr>
              <w:pStyle w:val="Tabletext"/>
              <w:rPr>
                <w:rFonts w:cs="Tahoma"/>
                <w:i/>
                <w:szCs w:val="18"/>
              </w:rPr>
            </w:pPr>
            <w:r>
              <w:rPr>
                <w:rFonts w:cs="Tahoma"/>
                <w:i/>
                <w:szCs w:val="18"/>
              </w:rPr>
              <w:t>Exclusion criteria</w:t>
            </w:r>
          </w:p>
          <w:p w:rsidR="001D0FDA" w:rsidRPr="00446A48" w:rsidRDefault="001D0FDA" w:rsidP="00480FDF">
            <w:pPr>
              <w:pStyle w:val="Tabletext"/>
              <w:numPr>
                <w:ilvl w:val="0"/>
                <w:numId w:val="54"/>
              </w:numPr>
              <w:ind w:left="239" w:hanging="144"/>
              <w:rPr>
                <w:rFonts w:cs="Tahoma"/>
                <w:szCs w:val="18"/>
              </w:rPr>
            </w:pPr>
            <w:r>
              <w:rPr>
                <w:rFonts w:cs="Tahoma"/>
                <w:szCs w:val="18"/>
              </w:rPr>
              <w:t>Patients receiving prostanoid</w:t>
            </w:r>
            <w:r w:rsidRPr="00446A48">
              <w:rPr>
                <w:rFonts w:cs="Tahoma"/>
                <w:szCs w:val="18"/>
              </w:rPr>
              <w:t>, PDE-5i, glibenclamide or cycl</w:t>
            </w:r>
            <w:r>
              <w:rPr>
                <w:rFonts w:cs="Tahoma"/>
                <w:szCs w:val="18"/>
              </w:rPr>
              <w:t>osporine before study inclusion</w:t>
            </w:r>
          </w:p>
          <w:p w:rsidR="001D0FDA" w:rsidRPr="00446A48" w:rsidRDefault="001D0FDA" w:rsidP="00480FDF">
            <w:pPr>
              <w:pStyle w:val="Tabletext"/>
              <w:numPr>
                <w:ilvl w:val="0"/>
                <w:numId w:val="54"/>
              </w:numPr>
              <w:ind w:left="239" w:hanging="144"/>
              <w:rPr>
                <w:rFonts w:cs="Tahoma"/>
                <w:szCs w:val="18"/>
              </w:rPr>
            </w:pPr>
            <w:r w:rsidRPr="00446A48">
              <w:rPr>
                <w:rFonts w:cs="Tahoma"/>
                <w:szCs w:val="18"/>
              </w:rPr>
              <w:t>Patients with obstruction of the right ventricular outflow tract, pulmona</w:t>
            </w:r>
            <w:r>
              <w:rPr>
                <w:rFonts w:cs="Tahoma"/>
                <w:szCs w:val="18"/>
              </w:rPr>
              <w:t>ry valve, or pulmonary arteries</w:t>
            </w:r>
            <w:r w:rsidRPr="00446A48">
              <w:rPr>
                <w:rFonts w:cs="Tahoma"/>
                <w:i/>
                <w:szCs w:val="18"/>
              </w:rPr>
              <w:t xml:space="preserve"> </w:t>
            </w:r>
          </w:p>
        </w:tc>
        <w:tc>
          <w:tcPr>
            <w:tcW w:w="1856" w:type="pct"/>
          </w:tcPr>
          <w:p w:rsidR="001D0FDA" w:rsidRDefault="001D0FDA" w:rsidP="001D0FDA">
            <w:pPr>
              <w:pStyle w:val="Tabletext"/>
              <w:ind w:right="-28"/>
              <w:rPr>
                <w:rFonts w:eastAsia="Times New Roman"/>
                <w:lang w:eastAsia="en-US"/>
              </w:rPr>
            </w:pPr>
            <w:r w:rsidRPr="008D73C9">
              <w:rPr>
                <w:rFonts w:eastAsia="Times New Roman"/>
                <w:lang w:eastAsia="en-US"/>
              </w:rPr>
              <w:t>N=64</w:t>
            </w:r>
          </w:p>
          <w:tbl>
            <w:tblPr>
              <w:tblStyle w:val="TableGrid"/>
              <w:tblW w:w="45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Patient baseline characteristics in Study Vis 2013"/>
            </w:tblPr>
            <w:tblGrid>
              <w:gridCol w:w="1817"/>
              <w:gridCol w:w="1378"/>
              <w:gridCol w:w="1315"/>
            </w:tblGrid>
            <w:tr w:rsidR="001D0FDA" w:rsidRPr="00802B85" w:rsidTr="001D0FDA">
              <w:trPr>
                <w:cnfStyle w:val="100000000000" w:firstRow="1" w:lastRow="0" w:firstColumn="0" w:lastColumn="0" w:oddVBand="0" w:evenVBand="0" w:oddHBand="0" w:evenHBand="0" w:firstRowFirstColumn="0" w:firstRowLastColumn="0" w:lastRowFirstColumn="0" w:lastRowLastColumn="0"/>
              </w:trPr>
              <w:tc>
                <w:tcPr>
                  <w:tcW w:w="1817" w:type="dxa"/>
                  <w:shd w:val="clear" w:color="auto" w:fill="FFFFFF" w:themeFill="background1"/>
                </w:tcPr>
                <w:p w:rsidR="001D0FDA" w:rsidRPr="00351FF5" w:rsidRDefault="001D0FDA" w:rsidP="00570FC8">
                  <w:pPr>
                    <w:pStyle w:val="Tabletext"/>
                    <w:framePr w:hSpace="180" w:wrap="around" w:vAnchor="text" w:hAnchor="text" w:y="1"/>
                    <w:spacing w:before="0" w:after="0"/>
                    <w:rPr>
                      <w:rFonts w:cs="Tahoma"/>
                      <w:b/>
                      <w:szCs w:val="18"/>
                    </w:rPr>
                  </w:pPr>
                </w:p>
              </w:tc>
              <w:tc>
                <w:tcPr>
                  <w:tcW w:w="1378" w:type="dxa"/>
                  <w:shd w:val="clear" w:color="auto" w:fill="FFFFFF" w:themeFill="background1"/>
                </w:tcPr>
                <w:p w:rsidR="001D0FDA" w:rsidRPr="00802B85" w:rsidRDefault="001D0FDA" w:rsidP="00570FC8">
                  <w:pPr>
                    <w:pStyle w:val="Tabletext"/>
                    <w:framePr w:hSpace="180" w:wrap="around" w:vAnchor="text" w:hAnchor="text" w:y="1"/>
                    <w:spacing w:before="0"/>
                    <w:jc w:val="center"/>
                    <w:rPr>
                      <w:rFonts w:cs="Tahoma"/>
                      <w:szCs w:val="18"/>
                    </w:rPr>
                  </w:pPr>
                  <w:r>
                    <w:rPr>
                      <w:rFonts w:cs="Tahoma"/>
                      <w:szCs w:val="18"/>
                    </w:rPr>
                    <w:t xml:space="preserve">With Down syndrome </w:t>
                  </w:r>
                  <w:r>
                    <w:rPr>
                      <w:rFonts w:cs="Tahoma"/>
                      <w:szCs w:val="18"/>
                    </w:rPr>
                    <w:br/>
                    <w:t>(N=34)</w:t>
                  </w:r>
                </w:p>
              </w:tc>
              <w:tc>
                <w:tcPr>
                  <w:tcW w:w="1315" w:type="dxa"/>
                  <w:shd w:val="clear" w:color="auto" w:fill="FFFFFF" w:themeFill="background1"/>
                </w:tcPr>
                <w:p w:rsidR="001D0FDA" w:rsidRPr="00802B85" w:rsidRDefault="001D0FDA" w:rsidP="00570FC8">
                  <w:pPr>
                    <w:pStyle w:val="Tabletext"/>
                    <w:framePr w:hSpace="180" w:wrap="around" w:vAnchor="text" w:hAnchor="text" w:y="1"/>
                    <w:spacing w:before="0"/>
                    <w:jc w:val="center"/>
                    <w:rPr>
                      <w:rFonts w:cs="Tahoma"/>
                      <w:szCs w:val="18"/>
                    </w:rPr>
                  </w:pPr>
                  <w:r>
                    <w:rPr>
                      <w:rFonts w:cs="Tahoma"/>
                      <w:szCs w:val="18"/>
                    </w:rPr>
                    <w:t>Without Down syndrome</w:t>
                  </w:r>
                  <w:r w:rsidRPr="00411013">
                    <w:rPr>
                      <w:rFonts w:cs="Tahoma"/>
                      <w:szCs w:val="18"/>
                    </w:rPr>
                    <w:t xml:space="preserve"> </w:t>
                  </w:r>
                  <w:r>
                    <w:rPr>
                      <w:rFonts w:cs="Tahoma"/>
                      <w:szCs w:val="18"/>
                    </w:rPr>
                    <w:br/>
                  </w:r>
                  <w:r w:rsidRPr="00411013">
                    <w:rPr>
                      <w:rFonts w:cs="Tahoma"/>
                      <w:szCs w:val="18"/>
                    </w:rPr>
                    <w:t>(N=</w:t>
                  </w:r>
                  <w:r>
                    <w:rPr>
                      <w:rFonts w:cs="Tahoma"/>
                      <w:szCs w:val="18"/>
                    </w:rPr>
                    <w:t>30</w:t>
                  </w:r>
                  <w:r w:rsidRPr="00411013">
                    <w:rPr>
                      <w:rFonts w:cs="Tahoma"/>
                      <w:szCs w:val="18"/>
                    </w:rPr>
                    <w:t>)</w:t>
                  </w:r>
                </w:p>
              </w:tc>
            </w:tr>
            <w:tr w:rsidR="001D0FDA" w:rsidRPr="00411013" w:rsidTr="001D0FDA">
              <w:tc>
                <w:tcPr>
                  <w:tcW w:w="1817" w:type="dxa"/>
                </w:tcPr>
                <w:p w:rsidR="001D0FDA" w:rsidRPr="00351FF5" w:rsidRDefault="001D0FDA" w:rsidP="00570FC8">
                  <w:pPr>
                    <w:pStyle w:val="Tabletext"/>
                    <w:framePr w:hSpace="180" w:wrap="around" w:vAnchor="text" w:hAnchor="text" w:y="1"/>
                    <w:spacing w:before="0" w:after="0"/>
                    <w:rPr>
                      <w:rFonts w:cs="Tahoma"/>
                      <w:szCs w:val="18"/>
                    </w:rPr>
                  </w:pPr>
                  <w:r w:rsidRPr="00351FF5">
                    <w:rPr>
                      <w:rFonts w:cs="Tahoma"/>
                      <w:szCs w:val="18"/>
                    </w:rPr>
                    <w:t xml:space="preserve">Age, mean±SD (yrs) </w:t>
                  </w:r>
                </w:p>
              </w:tc>
              <w:tc>
                <w:tcPr>
                  <w:tcW w:w="1378" w:type="dxa"/>
                  <w:vAlign w:val="center"/>
                </w:tcPr>
                <w:p w:rsidR="001D0FDA" w:rsidRPr="00411013" w:rsidRDefault="001D0FDA" w:rsidP="00570FC8">
                  <w:pPr>
                    <w:pStyle w:val="Tabletext"/>
                    <w:framePr w:hSpace="180" w:wrap="around" w:vAnchor="text" w:hAnchor="text" w:y="1"/>
                    <w:spacing w:before="0"/>
                    <w:jc w:val="center"/>
                    <w:rPr>
                      <w:rFonts w:cs="Tahoma"/>
                      <w:szCs w:val="18"/>
                    </w:rPr>
                  </w:pPr>
                  <w:r>
                    <w:rPr>
                      <w:rFonts w:cs="Tahoma"/>
                      <w:szCs w:val="18"/>
                    </w:rPr>
                    <w:t>46±14</w:t>
                  </w:r>
                </w:p>
              </w:tc>
              <w:tc>
                <w:tcPr>
                  <w:tcW w:w="1315" w:type="dxa"/>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36±10</w:t>
                  </w:r>
                </w:p>
              </w:tc>
            </w:tr>
            <w:tr w:rsidR="001D0FDA" w:rsidRPr="00411013" w:rsidTr="001D0FDA">
              <w:tc>
                <w:tcPr>
                  <w:tcW w:w="1817" w:type="dxa"/>
                  <w:tcBorders>
                    <w:bottom w:val="single" w:sz="4" w:space="0" w:color="BFBFBF" w:themeColor="background1" w:themeShade="BF"/>
                  </w:tcBorders>
                </w:tcPr>
                <w:p w:rsidR="001D0FDA" w:rsidRPr="00351FF5" w:rsidRDefault="001D0FDA" w:rsidP="00570FC8">
                  <w:pPr>
                    <w:pStyle w:val="Tabletext"/>
                    <w:framePr w:hSpace="180" w:wrap="around" w:vAnchor="text" w:hAnchor="text" w:y="1"/>
                    <w:spacing w:before="0" w:after="0"/>
                    <w:rPr>
                      <w:rFonts w:cs="Tahoma"/>
                      <w:szCs w:val="18"/>
                    </w:rPr>
                  </w:pPr>
                  <w:r w:rsidRPr="00351FF5">
                    <w:rPr>
                      <w:rFonts w:cs="Tahoma"/>
                      <w:szCs w:val="18"/>
                    </w:rPr>
                    <w:t>Gender, femal</w:t>
                  </w:r>
                  <w:r>
                    <w:rPr>
                      <w:rFonts w:cs="Tahoma"/>
                      <w:szCs w:val="18"/>
                    </w:rPr>
                    <w:t>e</w:t>
                  </w:r>
                  <w:r w:rsidRPr="00351FF5">
                    <w:rPr>
                      <w:rFonts w:cs="Tahoma"/>
                      <w:szCs w:val="18"/>
                    </w:rPr>
                    <w:t>, n (%)</w:t>
                  </w:r>
                </w:p>
              </w:tc>
              <w:tc>
                <w:tcPr>
                  <w:tcW w:w="1378" w:type="dxa"/>
                  <w:tcBorders>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23 (68%)</w:t>
                  </w:r>
                </w:p>
              </w:tc>
              <w:tc>
                <w:tcPr>
                  <w:tcW w:w="1315" w:type="dxa"/>
                  <w:tcBorders>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11 (37%)</w:t>
                  </w:r>
                </w:p>
              </w:tc>
            </w:tr>
            <w:tr w:rsidR="001D0FDA" w:rsidRPr="00411013" w:rsidTr="001D0FDA">
              <w:tc>
                <w:tcPr>
                  <w:tcW w:w="1817" w:type="dxa"/>
                  <w:tcBorders>
                    <w:bottom w:val="nil"/>
                  </w:tcBorders>
                </w:tcPr>
                <w:p w:rsidR="001D0FDA" w:rsidRPr="00351FF5" w:rsidRDefault="001D0FDA" w:rsidP="00570FC8">
                  <w:pPr>
                    <w:pStyle w:val="Tabletext"/>
                    <w:framePr w:hSpace="180" w:wrap="around" w:vAnchor="text" w:hAnchor="text" w:y="1"/>
                    <w:spacing w:before="0" w:after="0"/>
                    <w:rPr>
                      <w:rFonts w:cs="Tahoma"/>
                      <w:szCs w:val="18"/>
                    </w:rPr>
                  </w:pPr>
                  <w:r w:rsidRPr="00351FF5">
                    <w:rPr>
                      <w:rFonts w:cs="Tahoma"/>
                      <w:szCs w:val="18"/>
                    </w:rPr>
                    <w:t>PAH aetiology, n (%)</w:t>
                  </w:r>
                </w:p>
              </w:tc>
              <w:tc>
                <w:tcPr>
                  <w:tcW w:w="1378" w:type="dxa"/>
                  <w:tcBorders>
                    <w:bottom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p>
              </w:tc>
              <w:tc>
                <w:tcPr>
                  <w:tcW w:w="1315" w:type="dxa"/>
                  <w:tcBorders>
                    <w:bottom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p>
              </w:tc>
            </w:tr>
            <w:tr w:rsidR="001D0FDA" w:rsidRPr="00411013" w:rsidTr="001D0FDA">
              <w:tc>
                <w:tcPr>
                  <w:tcW w:w="1817" w:type="dxa"/>
                  <w:tcBorders>
                    <w:top w:val="nil"/>
                    <w:bottom w:val="single" w:sz="4" w:space="0" w:color="BFBFBF" w:themeColor="background1" w:themeShade="BF"/>
                  </w:tcBorders>
                </w:tcPr>
                <w:p w:rsidR="001D0FDA" w:rsidRPr="00351FF5" w:rsidRDefault="001D0FDA" w:rsidP="00570FC8">
                  <w:pPr>
                    <w:pStyle w:val="Tabletext"/>
                    <w:framePr w:hSpace="180" w:wrap="around" w:vAnchor="text" w:hAnchor="text" w:y="1"/>
                    <w:spacing w:before="0" w:after="0"/>
                    <w:ind w:left="196"/>
                    <w:rPr>
                      <w:rFonts w:cs="Tahoma"/>
                      <w:szCs w:val="18"/>
                    </w:rPr>
                  </w:pPr>
                  <w:r w:rsidRPr="00351FF5">
                    <w:rPr>
                      <w:rFonts w:cs="Tahoma"/>
                      <w:szCs w:val="18"/>
                    </w:rPr>
                    <w:t>PAH-</w:t>
                  </w:r>
                  <w:r>
                    <w:rPr>
                      <w:rFonts w:cs="Tahoma"/>
                      <w:szCs w:val="18"/>
                    </w:rPr>
                    <w:t>CHD</w:t>
                  </w:r>
                </w:p>
              </w:tc>
              <w:tc>
                <w:tcPr>
                  <w:tcW w:w="1378" w:type="dxa"/>
                  <w:tcBorders>
                    <w:top w:val="nil"/>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Pr>
                      <w:rFonts w:cs="Tahoma"/>
                      <w:szCs w:val="18"/>
                    </w:rPr>
                    <w:t>34 (100%)</w:t>
                  </w:r>
                </w:p>
              </w:tc>
              <w:tc>
                <w:tcPr>
                  <w:tcW w:w="1315" w:type="dxa"/>
                  <w:tcBorders>
                    <w:top w:val="nil"/>
                    <w:bottom w:val="single" w:sz="4" w:space="0" w:color="BFBFBF" w:themeColor="background1" w:themeShade="BF"/>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Pr>
                      <w:rFonts w:cs="Tahoma"/>
                      <w:szCs w:val="18"/>
                    </w:rPr>
                    <w:t>30 (100%)</w:t>
                  </w:r>
                </w:p>
              </w:tc>
            </w:tr>
            <w:tr w:rsidR="001D0FDA" w:rsidRPr="00411013" w:rsidTr="001D0FDA">
              <w:tc>
                <w:tcPr>
                  <w:tcW w:w="1817" w:type="dxa"/>
                  <w:tcBorders>
                    <w:bottom w:val="nil"/>
                  </w:tcBorders>
                </w:tcPr>
                <w:p w:rsidR="001D0FDA" w:rsidRPr="00351FF5" w:rsidRDefault="001D0FDA" w:rsidP="00570FC8">
                  <w:pPr>
                    <w:pStyle w:val="Tabletext"/>
                    <w:framePr w:hSpace="180" w:wrap="around" w:vAnchor="text" w:hAnchor="text" w:y="1"/>
                    <w:spacing w:before="0" w:after="0"/>
                    <w:rPr>
                      <w:rFonts w:cs="Tahoma"/>
                      <w:szCs w:val="18"/>
                    </w:rPr>
                  </w:pPr>
                  <w:proofErr w:type="gramStart"/>
                  <w:r w:rsidRPr="00351FF5">
                    <w:rPr>
                      <w:rFonts w:cs="Tahoma"/>
                      <w:szCs w:val="18"/>
                    </w:rPr>
                    <w:t>WHO</w:t>
                  </w:r>
                  <w:proofErr w:type="gramEnd"/>
                  <w:r w:rsidRPr="00351FF5">
                    <w:rPr>
                      <w:rFonts w:cs="Tahoma"/>
                      <w:szCs w:val="18"/>
                    </w:rPr>
                    <w:t xml:space="preserve"> FC</w:t>
                  </w:r>
                  <w:r>
                    <w:rPr>
                      <w:rFonts w:cs="Tahoma"/>
                      <w:szCs w:val="18"/>
                    </w:rPr>
                    <w:t>, n (%)</w:t>
                  </w:r>
                </w:p>
              </w:tc>
              <w:tc>
                <w:tcPr>
                  <w:tcW w:w="1378" w:type="dxa"/>
                  <w:tcBorders>
                    <w:bottom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p>
              </w:tc>
              <w:tc>
                <w:tcPr>
                  <w:tcW w:w="1315" w:type="dxa"/>
                  <w:tcBorders>
                    <w:bottom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p>
              </w:tc>
            </w:tr>
            <w:tr w:rsidR="001D0FDA" w:rsidRPr="00411013" w:rsidTr="001D0FDA">
              <w:tc>
                <w:tcPr>
                  <w:tcW w:w="1817" w:type="dxa"/>
                  <w:tcBorders>
                    <w:top w:val="nil"/>
                    <w:bottom w:val="nil"/>
                  </w:tcBorders>
                </w:tcPr>
                <w:p w:rsidR="001D0FDA" w:rsidRPr="00351FF5" w:rsidRDefault="001D0FDA" w:rsidP="00570FC8">
                  <w:pPr>
                    <w:pStyle w:val="Tabletext"/>
                    <w:framePr w:hSpace="180" w:wrap="around" w:vAnchor="text" w:hAnchor="text" w:y="1"/>
                    <w:spacing w:before="0" w:after="0"/>
                    <w:ind w:left="196"/>
                    <w:rPr>
                      <w:rFonts w:cs="Tahoma"/>
                      <w:szCs w:val="18"/>
                    </w:rPr>
                  </w:pPr>
                  <w:r>
                    <w:rPr>
                      <w:rFonts w:cs="Tahoma"/>
                      <w:szCs w:val="18"/>
                    </w:rPr>
                    <w:t>II</w:t>
                  </w:r>
                </w:p>
              </w:tc>
              <w:tc>
                <w:tcPr>
                  <w:tcW w:w="1378" w:type="dxa"/>
                  <w:tcBorders>
                    <w:top w:val="nil"/>
                    <w:bottom w:val="nil"/>
                  </w:tcBorders>
                  <w:vAlign w:val="center"/>
                </w:tcPr>
                <w:p w:rsidR="001D0FDA" w:rsidRPr="00411013" w:rsidRDefault="001D0FDA" w:rsidP="00570FC8">
                  <w:pPr>
                    <w:pStyle w:val="Tabletext"/>
                    <w:framePr w:hSpace="180" w:wrap="around" w:vAnchor="text" w:hAnchor="text" w:y="1"/>
                    <w:spacing w:before="0"/>
                    <w:jc w:val="center"/>
                    <w:rPr>
                      <w:rFonts w:cs="Tahoma"/>
                      <w:szCs w:val="18"/>
                    </w:rPr>
                  </w:pPr>
                  <w:r>
                    <w:rPr>
                      <w:rFonts w:cs="Tahoma"/>
                      <w:szCs w:val="18"/>
                    </w:rPr>
                    <w:t>4 (12%)</w:t>
                  </w:r>
                </w:p>
              </w:tc>
              <w:tc>
                <w:tcPr>
                  <w:tcW w:w="1315"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8 (27%)</w:t>
                  </w:r>
                </w:p>
              </w:tc>
            </w:tr>
            <w:tr w:rsidR="001D0FDA" w:rsidRPr="00411013" w:rsidTr="001D0FDA">
              <w:tc>
                <w:tcPr>
                  <w:tcW w:w="1817" w:type="dxa"/>
                  <w:tcBorders>
                    <w:top w:val="nil"/>
                    <w:bottom w:val="nil"/>
                  </w:tcBorders>
                </w:tcPr>
                <w:p w:rsidR="001D0FDA" w:rsidRDefault="001D0FDA" w:rsidP="00570FC8">
                  <w:pPr>
                    <w:pStyle w:val="Tabletext"/>
                    <w:framePr w:hSpace="180" w:wrap="around" w:vAnchor="text" w:hAnchor="text" w:y="1"/>
                    <w:spacing w:before="0" w:after="0"/>
                    <w:ind w:left="196"/>
                    <w:rPr>
                      <w:rFonts w:cs="Tahoma"/>
                      <w:szCs w:val="18"/>
                    </w:rPr>
                  </w:pPr>
                  <w:r>
                    <w:rPr>
                      <w:rFonts w:cs="Tahoma"/>
                      <w:szCs w:val="18"/>
                    </w:rPr>
                    <w:t>III</w:t>
                  </w:r>
                </w:p>
              </w:tc>
              <w:tc>
                <w:tcPr>
                  <w:tcW w:w="1378"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28 (82%)</w:t>
                  </w:r>
                </w:p>
              </w:tc>
              <w:tc>
                <w:tcPr>
                  <w:tcW w:w="1315" w:type="dxa"/>
                  <w:tcBorders>
                    <w:top w:val="nil"/>
                    <w:bottom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20 (67%)</w:t>
                  </w:r>
                </w:p>
              </w:tc>
            </w:tr>
            <w:tr w:rsidR="001D0FDA" w:rsidRPr="00411013" w:rsidTr="001D0FDA">
              <w:tc>
                <w:tcPr>
                  <w:tcW w:w="1817" w:type="dxa"/>
                  <w:tcBorders>
                    <w:top w:val="nil"/>
                  </w:tcBorders>
                </w:tcPr>
                <w:p w:rsidR="001D0FDA" w:rsidRPr="00351FF5" w:rsidRDefault="001D0FDA" w:rsidP="00570FC8">
                  <w:pPr>
                    <w:pStyle w:val="Tabletext"/>
                    <w:framePr w:hSpace="180" w:wrap="around" w:vAnchor="text" w:hAnchor="text" w:y="1"/>
                    <w:spacing w:before="0" w:after="0"/>
                    <w:ind w:left="196"/>
                    <w:rPr>
                      <w:rFonts w:cs="Tahoma"/>
                      <w:szCs w:val="18"/>
                    </w:rPr>
                  </w:pPr>
                  <w:r>
                    <w:rPr>
                      <w:rFonts w:cs="Tahoma"/>
                      <w:szCs w:val="18"/>
                    </w:rPr>
                    <w:t>IV</w:t>
                  </w:r>
                </w:p>
              </w:tc>
              <w:tc>
                <w:tcPr>
                  <w:tcW w:w="1378" w:type="dxa"/>
                  <w:tcBorders>
                    <w:top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2 (6%)</w:t>
                  </w:r>
                </w:p>
              </w:tc>
              <w:tc>
                <w:tcPr>
                  <w:tcW w:w="1315" w:type="dxa"/>
                  <w:tcBorders>
                    <w:top w:val="nil"/>
                  </w:tcBorders>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2 (7%)</w:t>
                  </w:r>
                </w:p>
              </w:tc>
            </w:tr>
            <w:tr w:rsidR="001D0FDA" w:rsidRPr="00411013" w:rsidTr="001D0FDA">
              <w:tc>
                <w:tcPr>
                  <w:tcW w:w="1817" w:type="dxa"/>
                </w:tcPr>
                <w:p w:rsidR="001D0FDA" w:rsidRPr="00351FF5" w:rsidRDefault="001D0FDA" w:rsidP="00570FC8">
                  <w:pPr>
                    <w:pStyle w:val="Tabletext"/>
                    <w:framePr w:hSpace="180" w:wrap="around" w:vAnchor="text" w:hAnchor="text" w:y="1"/>
                    <w:spacing w:before="0" w:after="0"/>
                    <w:rPr>
                      <w:rFonts w:cs="Tahoma"/>
                      <w:szCs w:val="18"/>
                    </w:rPr>
                  </w:pPr>
                  <w:r>
                    <w:rPr>
                      <w:rFonts w:cs="Tahoma"/>
                      <w:szCs w:val="18"/>
                    </w:rPr>
                    <w:t xml:space="preserve">Systolic </w:t>
                  </w:r>
                  <w:r w:rsidRPr="00351FF5">
                    <w:rPr>
                      <w:rFonts w:cs="Tahoma"/>
                      <w:szCs w:val="18"/>
                    </w:rPr>
                    <w:t>PAP, mean±SD (mmHg)</w:t>
                  </w:r>
                </w:p>
              </w:tc>
              <w:tc>
                <w:tcPr>
                  <w:tcW w:w="1378" w:type="dxa"/>
                  <w:vAlign w:val="center"/>
                </w:tcPr>
                <w:p w:rsidR="001D0FDA" w:rsidRPr="00411013" w:rsidRDefault="001D0FDA" w:rsidP="00570FC8">
                  <w:pPr>
                    <w:pStyle w:val="Tabletext"/>
                    <w:framePr w:hSpace="180" w:wrap="around" w:vAnchor="text" w:hAnchor="text" w:y="1"/>
                    <w:spacing w:before="0" w:after="0"/>
                    <w:jc w:val="center"/>
                    <w:rPr>
                      <w:rFonts w:cs="Tahoma"/>
                      <w:szCs w:val="18"/>
                    </w:rPr>
                  </w:pPr>
                  <w:r>
                    <w:rPr>
                      <w:rFonts w:cs="Tahoma"/>
                      <w:szCs w:val="18"/>
                    </w:rPr>
                    <w:t>83±23</w:t>
                  </w:r>
                </w:p>
              </w:tc>
              <w:tc>
                <w:tcPr>
                  <w:tcW w:w="1315" w:type="dxa"/>
                  <w:vAlign w:val="center"/>
                </w:tcPr>
                <w:p w:rsidR="001D0FDA" w:rsidRPr="00411013" w:rsidRDefault="001D0FDA" w:rsidP="00570FC8">
                  <w:pPr>
                    <w:pStyle w:val="Tabletext"/>
                    <w:framePr w:hSpace="180" w:wrap="around" w:vAnchor="text" w:hAnchor="text" w:y="1"/>
                    <w:spacing w:before="0" w:after="0"/>
                    <w:jc w:val="center"/>
                    <w:rPr>
                      <w:rFonts w:cs="Tahoma"/>
                      <w:szCs w:val="18"/>
                    </w:rPr>
                  </w:pPr>
                  <w:r w:rsidRPr="005D0DE3">
                    <w:rPr>
                      <w:rFonts w:cs="Tahoma"/>
                      <w:szCs w:val="18"/>
                    </w:rPr>
                    <w:t>93±11</w:t>
                  </w:r>
                </w:p>
              </w:tc>
            </w:tr>
          </w:tbl>
          <w:p w:rsidR="001D0FDA" w:rsidRPr="008D73C9" w:rsidRDefault="001D0FDA" w:rsidP="001D0FDA">
            <w:pPr>
              <w:pStyle w:val="Tabletext"/>
              <w:ind w:right="-28"/>
              <w:rPr>
                <w:rFonts w:eastAsia="Times New Roman"/>
                <w:lang w:eastAsia="en-US"/>
              </w:rPr>
            </w:pPr>
          </w:p>
        </w:tc>
        <w:tc>
          <w:tcPr>
            <w:tcW w:w="1047" w:type="pct"/>
          </w:tcPr>
          <w:p w:rsidR="001D0FDA" w:rsidRDefault="001D0FDA" w:rsidP="001D0FDA">
            <w:pPr>
              <w:pStyle w:val="Tabletext"/>
              <w:rPr>
                <w:rFonts w:eastAsia="Times New Roman"/>
                <w:i/>
                <w:lang w:eastAsia="en-US"/>
              </w:rPr>
            </w:pPr>
            <w:r>
              <w:rPr>
                <w:rFonts w:eastAsia="Times New Roman"/>
                <w:i/>
                <w:lang w:eastAsia="en-US"/>
              </w:rPr>
              <w:t>Intervention</w:t>
            </w:r>
          </w:p>
          <w:p w:rsidR="001D0FDA" w:rsidRPr="008D73C9" w:rsidRDefault="001D0FDA" w:rsidP="001D0FDA">
            <w:pPr>
              <w:pStyle w:val="Tabletext"/>
              <w:rPr>
                <w:rFonts w:eastAsia="Times New Roman"/>
                <w:lang w:eastAsia="en-US"/>
              </w:rPr>
            </w:pPr>
            <w:r>
              <w:rPr>
                <w:rFonts w:eastAsia="Times New Roman"/>
                <w:lang w:eastAsia="en-US"/>
              </w:rPr>
              <w:t>Bosentan:</w:t>
            </w:r>
            <w:r w:rsidRPr="008D73C9">
              <w:rPr>
                <w:rFonts w:eastAsia="Times New Roman"/>
                <w:lang w:eastAsia="en-US"/>
              </w:rPr>
              <w:t xml:space="preserve"> 125</w:t>
            </w:r>
            <w:r w:rsidR="00C90897">
              <w:rPr>
                <w:rFonts w:eastAsia="Times New Roman"/>
                <w:lang w:eastAsia="en-US"/>
              </w:rPr>
              <w:t> </w:t>
            </w:r>
            <w:r w:rsidRPr="008D73C9">
              <w:rPr>
                <w:rFonts w:eastAsia="Times New Roman"/>
                <w:lang w:eastAsia="en-US"/>
              </w:rPr>
              <w:t>mg bid</w:t>
            </w:r>
          </w:p>
          <w:p w:rsidR="001D0FDA" w:rsidRPr="008D73C9" w:rsidRDefault="001D0FDA" w:rsidP="001D0FDA">
            <w:pPr>
              <w:pStyle w:val="Tabletext"/>
              <w:rPr>
                <w:rFonts w:eastAsia="Times New Roman"/>
                <w:lang w:eastAsia="en-US"/>
              </w:rPr>
            </w:pPr>
          </w:p>
          <w:p w:rsidR="001D0FDA" w:rsidRPr="007E25D6" w:rsidRDefault="001D0FDA" w:rsidP="001D0FDA">
            <w:pPr>
              <w:pStyle w:val="Tabletext"/>
              <w:rPr>
                <w:rFonts w:eastAsia="Times New Roman"/>
                <w:i/>
                <w:lang w:eastAsia="en-US"/>
              </w:rPr>
            </w:pPr>
            <w:r>
              <w:rPr>
                <w:rFonts w:eastAsia="Times New Roman"/>
                <w:i/>
                <w:lang w:eastAsia="en-US"/>
              </w:rPr>
              <w:t>Combination therapy</w:t>
            </w:r>
          </w:p>
          <w:p w:rsidR="001D0FDA" w:rsidRDefault="001D0FDA" w:rsidP="001D0FDA">
            <w:pPr>
              <w:pStyle w:val="Tabletext"/>
              <w:rPr>
                <w:rFonts w:cs="Tahoma"/>
                <w:i/>
                <w:szCs w:val="18"/>
              </w:rPr>
            </w:pPr>
            <w:r>
              <w:rPr>
                <w:rFonts w:eastAsia="Times New Roman"/>
                <w:lang w:eastAsia="en-US"/>
              </w:rPr>
              <w:t>S</w:t>
            </w:r>
            <w:r w:rsidRPr="008D73C9">
              <w:rPr>
                <w:rFonts w:eastAsia="Times New Roman"/>
                <w:lang w:eastAsia="en-US"/>
              </w:rPr>
              <w:t>ildenafil (2%)</w:t>
            </w:r>
          </w:p>
        </w:tc>
      </w:tr>
    </w:tbl>
    <w:p w:rsidR="00146880" w:rsidRDefault="00146880" w:rsidP="00146880">
      <w:pPr>
        <w:pStyle w:val="Tablenote"/>
      </w:pPr>
      <w:proofErr w:type="gramStart"/>
      <w:r w:rsidRPr="00EB1471">
        <w:rPr>
          <w:vertAlign w:val="superscript"/>
        </w:rPr>
        <w:t>a</w:t>
      </w:r>
      <w:proofErr w:type="gramEnd"/>
      <w:r w:rsidRPr="00EB1471">
        <w:t xml:space="preserve"> </w:t>
      </w:r>
      <w:r>
        <w:t xml:space="preserve">Three RCTs (Mukhopadhyay 2011, PHIRST and SUPER-1) and one observational study (Sastry 2007) were also included for extended assessment of safety of PAH medicines. For study profiles of these studies, see </w:t>
      </w:r>
      <w:r w:rsidR="003951FA">
        <w:t>Table 4.</w:t>
      </w:r>
      <w:r w:rsidR="003951FA">
        <w:rPr>
          <w:noProof/>
        </w:rPr>
        <w:t>144</w:t>
      </w:r>
      <w:r>
        <w:t>.</w:t>
      </w:r>
    </w:p>
    <w:p w:rsidR="00146880" w:rsidRPr="00EB1471" w:rsidRDefault="00146880" w:rsidP="00146880">
      <w:pPr>
        <w:pStyle w:val="Tablenote"/>
      </w:pPr>
      <w:proofErr w:type="gramStart"/>
      <w:r>
        <w:rPr>
          <w:vertAlign w:val="superscript"/>
        </w:rPr>
        <w:t>b</w:t>
      </w:r>
      <w:proofErr w:type="gramEnd"/>
      <w:r>
        <w:rPr>
          <w:vertAlign w:val="superscript"/>
        </w:rPr>
        <w:t xml:space="preserve"> </w:t>
      </w:r>
      <w:r w:rsidRPr="00EB1471">
        <w:t xml:space="preserve">Number of patients in the control arm and those in the active treatment arm where a </w:t>
      </w:r>
      <w:r>
        <w:t>PAH medicine</w:t>
      </w:r>
      <w:r w:rsidRPr="00EB1471">
        <w:t xml:space="preserve"> was given at the recommended dose regimen. </w:t>
      </w:r>
    </w:p>
    <w:p w:rsidR="00146880" w:rsidRPr="00EB1471" w:rsidRDefault="00146880" w:rsidP="00146880">
      <w:pPr>
        <w:pStyle w:val="Tablenote"/>
      </w:pPr>
      <w:proofErr w:type="gramStart"/>
      <w:r>
        <w:rPr>
          <w:vertAlign w:val="superscript"/>
        </w:rPr>
        <w:t>c</w:t>
      </w:r>
      <w:proofErr w:type="gramEnd"/>
      <w:r w:rsidRPr="00EB1471">
        <w:t xml:space="preserve"> Only including the active treatment arm where a </w:t>
      </w:r>
      <w:r>
        <w:t>PAH medicine</w:t>
      </w:r>
      <w:r w:rsidRPr="00EB1471">
        <w:t xml:space="preserve"> was given at the recommended dose regimen. </w:t>
      </w:r>
    </w:p>
    <w:p w:rsidR="00146880" w:rsidRDefault="00146880" w:rsidP="00146880">
      <w:pPr>
        <w:pStyle w:val="Tablenote"/>
      </w:pPr>
      <w:proofErr w:type="gramStart"/>
      <w:r>
        <w:rPr>
          <w:vertAlign w:val="superscript"/>
        </w:rPr>
        <w:t>d</w:t>
      </w:r>
      <w:proofErr w:type="gramEnd"/>
      <w:r>
        <w:t xml:space="preserve"> </w:t>
      </w:r>
      <w:r w:rsidRPr="00026AAB">
        <w:t>Publication year. Information on the study period was not available</w:t>
      </w:r>
    </w:p>
    <w:p w:rsidR="001D0FDA" w:rsidRPr="00360968" w:rsidRDefault="001D0FDA" w:rsidP="001D0FDA">
      <w:pPr>
        <w:pStyle w:val="Tablenote"/>
      </w:pPr>
      <w:proofErr w:type="gramStart"/>
      <w:r w:rsidRPr="00A53185">
        <w:t xml:space="preserve">bid = twice daily; CTEPH = chronic thromboembolic pulmonary hypertension; DB = double-blinded; ERA = endothelin receptor antagonist; FC = functional class; </w:t>
      </w:r>
      <w:r>
        <w:t xml:space="preserve">IV = intravenous; </w:t>
      </w:r>
      <w:r w:rsidRPr="00A53185">
        <w:t xml:space="preserve">HPAH = heritable pulmonary arterial hypertension; IPAH = idiopathic pulmonary arterial hypertension; </w:t>
      </w:r>
      <w:r>
        <w:t xml:space="preserve">mPAP = mean pulmonary artery pressure; </w:t>
      </w:r>
      <w:r w:rsidRPr="00A53185">
        <w:t>od = once daily; PDE-5</w:t>
      </w:r>
      <w:r>
        <w:t>i</w:t>
      </w:r>
      <w:r w:rsidRPr="00A53185">
        <w:t xml:space="preserve"> = phosphodiesterase type 5</w:t>
      </w:r>
      <w:r>
        <w:t xml:space="preserve"> inhibitor</w:t>
      </w:r>
      <w:r w:rsidRPr="00A53185">
        <w:t xml:space="preserve">; PAH = pulmonary arterial hypertension; PAH-CHD = pulmonary arterial hypertension associated with congenital heart disease; PAH-CTD = pulmonary arterial hypertension associated with connective tissue disease; PAH-DT = drug/toxin-induced pulmonary arterial hypertension; PAH-HIV = pulmonary arterial hypertension associated with human immunodeficiency virus infection; PAH-PH = pulmonary arterial hypertension associated with portal hypertension; </w:t>
      </w:r>
      <w:r>
        <w:t xml:space="preserve">PVR = pulmonary vascular resistance; </w:t>
      </w:r>
      <w:r w:rsidRPr="00A53185">
        <w:t xml:space="preserve">RCT = randomised controlled trial; </w:t>
      </w:r>
      <w:r>
        <w:t xml:space="preserve">SBP = systolic blood pressure; SD = standard deviation; </w:t>
      </w:r>
      <w:r w:rsidRPr="00A53185">
        <w:t>tid = three times a day; WHO = World Health Organization</w:t>
      </w:r>
      <w:proofErr w:type="gramEnd"/>
    </w:p>
    <w:p w:rsidR="001D0FDA" w:rsidRDefault="001D0FDA" w:rsidP="001D0FDA">
      <w:pPr>
        <w:pStyle w:val="Tablenote"/>
        <w:sectPr w:rsidR="001D0FDA" w:rsidSect="001D0FDA">
          <w:headerReference w:type="even" r:id="rId36"/>
          <w:headerReference w:type="default" r:id="rId37"/>
          <w:footerReference w:type="default" r:id="rId38"/>
          <w:headerReference w:type="first" r:id="rId39"/>
          <w:footnotePr>
            <w:numFmt w:val="chicago"/>
          </w:footnotePr>
          <w:pgSz w:w="16838" w:h="11906" w:orient="landscape"/>
          <w:pgMar w:top="1134" w:right="1134" w:bottom="1134" w:left="1134" w:header="709" w:footer="709" w:gutter="0"/>
          <w:cols w:space="708"/>
          <w:docGrid w:linePitch="360"/>
        </w:sectPr>
      </w:pPr>
      <w:r w:rsidRPr="00026AAB">
        <w:t>.</w:t>
      </w:r>
    </w:p>
    <w:p w:rsidR="001D0FDA" w:rsidRDefault="001D0FDA" w:rsidP="001D0FDA">
      <w:pPr>
        <w:pStyle w:val="Heading2"/>
        <w:numPr>
          <w:ilvl w:val="0"/>
          <w:numId w:val="0"/>
        </w:numPr>
      </w:pPr>
      <w:bookmarkStart w:id="497" w:name="_Ref506463361"/>
      <w:bookmarkStart w:id="498" w:name="_Toc506464150"/>
      <w:bookmarkStart w:id="499" w:name="_Toc38360294"/>
      <w:r>
        <w:t xml:space="preserve">Appendix </w:t>
      </w:r>
      <w:r w:rsidR="00C41087">
        <w:t>4.</w:t>
      </w:r>
      <w:r w:rsidR="003951FA">
        <w:rPr>
          <w:noProof/>
        </w:rPr>
        <w:t>B</w:t>
      </w:r>
      <w:bookmarkEnd w:id="497"/>
      <w:r>
        <w:tab/>
        <w:t>Excluded studies</w:t>
      </w:r>
      <w:bookmarkEnd w:id="498"/>
      <w:bookmarkEnd w:id="499"/>
    </w:p>
    <w:p w:rsidR="001D0FDA" w:rsidRDefault="001D0FDA" w:rsidP="001D0FDA">
      <w:r>
        <w:t xml:space="preserve">Those articles which had potentially relevant populations, interventions, comparators and outcomes, but which were not included in the systematic review (n=118), are listed </w:t>
      </w:r>
      <w:r w:rsidR="002856B6">
        <w:t>below, by reason for exclusion.</w:t>
      </w:r>
    </w:p>
    <w:p w:rsidR="001D0FDA" w:rsidRDefault="001D0FDA" w:rsidP="001D0FDA">
      <w:r w:rsidRPr="008D661C">
        <w:rPr>
          <w:b/>
          <w:smallCaps/>
        </w:rPr>
        <w:t>Evidence previously reviewed by PBAC</w:t>
      </w:r>
      <w:r w:rsidRPr="008D558C">
        <w:rPr>
          <w:b/>
        </w:rPr>
        <w:t xml:space="preserve"> </w:t>
      </w:r>
      <w:r w:rsidRPr="008D661C">
        <w:t>(n=16)</w:t>
      </w:r>
    </w:p>
    <w:p w:rsidR="001D0FDA" w:rsidRDefault="001D0FDA" w:rsidP="001D0FDA">
      <w:r>
        <w:t xml:space="preserve">Badesch DB, Bodin F, Channick RN, Frost </w:t>
      </w:r>
      <w:proofErr w:type="gramStart"/>
      <w:r>
        <w:t>A</w:t>
      </w:r>
      <w:proofErr w:type="gramEnd"/>
      <w:r>
        <w:t xml:space="preserve">, Rainisio M, Robbins IM, et al. Complete results of the first randomized, placebo-controlled study of bosentan, a dual endothelin receptor antagonist, in pulmonary arterial hypertension. </w:t>
      </w:r>
      <w:r w:rsidRPr="002A4910">
        <w:rPr>
          <w:i/>
        </w:rPr>
        <w:t>Current Therapeutic Research - Clinical and Experimental</w:t>
      </w:r>
      <w:r>
        <w:t>. 2002</w:t>
      </w:r>
      <w:proofErr w:type="gramStart"/>
      <w:r>
        <w:t>;63</w:t>
      </w:r>
      <w:proofErr w:type="gramEnd"/>
      <w:r>
        <w:t>(4):227-46.</w:t>
      </w:r>
    </w:p>
    <w:p w:rsidR="001D0FDA" w:rsidRDefault="001D0FDA" w:rsidP="001D0FDA">
      <w:r>
        <w:t xml:space="preserve">Badesch DB, Tapson VF, McGoon MD, Brundage BH, Rubin LJ, Wigley FM, et al. Continuous intravenous epoprostenol for pulmonary hypertension due to the scleroderma spectrum of disease: A randomized, controlled trial. </w:t>
      </w:r>
      <w:r w:rsidRPr="002A4910">
        <w:rPr>
          <w:i/>
        </w:rPr>
        <w:t>Annals of Internal Medicine</w:t>
      </w:r>
      <w:r>
        <w:t>. 2000</w:t>
      </w:r>
      <w:proofErr w:type="gramStart"/>
      <w:r>
        <w:t>;132</w:t>
      </w:r>
      <w:proofErr w:type="gramEnd"/>
      <w:r>
        <w:t>(6):425-34.</w:t>
      </w:r>
    </w:p>
    <w:p w:rsidR="001D0FDA" w:rsidRDefault="001D0FDA" w:rsidP="001D0FDA">
      <w:r>
        <w:t xml:space="preserve">Barst RJ, Langleben D, Badesch D, Frost A, Lawrence EC, Shapiro S, et al. Treatment of Pulmonary Arterial Hypertension </w:t>
      </w:r>
      <w:proofErr w:type="gramStart"/>
      <w:r>
        <w:t>With</w:t>
      </w:r>
      <w:proofErr w:type="gramEnd"/>
      <w:r>
        <w:t xml:space="preserve"> the Selective Endothelin-A Receptor Antagonist Sitaxsentan. </w:t>
      </w:r>
      <w:r w:rsidRPr="002A4910">
        <w:rPr>
          <w:i/>
        </w:rPr>
        <w:t>Journal of the American College of Cardiology</w:t>
      </w:r>
      <w:r>
        <w:t>. 2006</w:t>
      </w:r>
      <w:proofErr w:type="gramStart"/>
      <w:r>
        <w:t>;47</w:t>
      </w:r>
      <w:proofErr w:type="gramEnd"/>
      <w:r>
        <w:t>(10):2049-56.</w:t>
      </w:r>
    </w:p>
    <w:p w:rsidR="001D0FDA" w:rsidRDefault="001D0FDA" w:rsidP="001D0FDA">
      <w:r>
        <w:t xml:space="preserve">Barst RJ, Rubin LJ, Long WA, McGoon MD, Rich S, Badesch DB, et al. A comparison of continuous intravenous epoprostenol (prostacyclin) with conventional therapy for primary pulmonary hypertension. </w:t>
      </w:r>
      <w:r w:rsidRPr="002A4910">
        <w:rPr>
          <w:i/>
        </w:rPr>
        <w:t>New England Journal of Medicine</w:t>
      </w:r>
      <w:r>
        <w:t>. 1996</w:t>
      </w:r>
      <w:proofErr w:type="gramStart"/>
      <w:r>
        <w:t>;334</w:t>
      </w:r>
      <w:proofErr w:type="gramEnd"/>
      <w:r>
        <w:t>(5):296-301.</w:t>
      </w:r>
    </w:p>
    <w:p w:rsidR="001D0FDA" w:rsidRDefault="001D0FDA" w:rsidP="001D0FDA">
      <w:r>
        <w:t xml:space="preserve">Berger RMF, Beghetti M, Galiè N, Gatzoulis MA, Granton J, Lauer A, et al. Atrial septal defects versus ventricular septal defects in BREATHE-5, a placebo-controlled study of pulmonary arterial hypertension related to Eisenmenger's syndrome: A subgroup analysis. </w:t>
      </w:r>
      <w:r w:rsidRPr="002A4910">
        <w:rPr>
          <w:i/>
        </w:rPr>
        <w:t>International Journal of Cardiology</w:t>
      </w:r>
      <w:r>
        <w:t>. 2010</w:t>
      </w:r>
      <w:proofErr w:type="gramStart"/>
      <w:r>
        <w:t>;144</w:t>
      </w:r>
      <w:proofErr w:type="gramEnd"/>
      <w:r>
        <w:t>(3):373-8.</w:t>
      </w:r>
    </w:p>
    <w:p w:rsidR="001D0FDA" w:rsidRDefault="001D0FDA" w:rsidP="001D0FDA">
      <w:r>
        <w:t xml:space="preserve">Channick RN, Simonneau G, Sitbon O, Robbins IM, Frost A, Tapson VF, et al. Effects of the dual endothelin-receptor antagonist bosentan in patients with pulmonary hypertension: A randomised placebo-controlled study. </w:t>
      </w:r>
      <w:r w:rsidRPr="002A4910">
        <w:rPr>
          <w:i/>
        </w:rPr>
        <w:t>Lancet</w:t>
      </w:r>
      <w:r>
        <w:t>. 2001</w:t>
      </w:r>
      <w:proofErr w:type="gramStart"/>
      <w:r>
        <w:t>;358</w:t>
      </w:r>
      <w:proofErr w:type="gramEnd"/>
      <w:r>
        <w:t>(9288):1119-23.</w:t>
      </w:r>
    </w:p>
    <w:p w:rsidR="001D0FDA" w:rsidRDefault="001D0FDA" w:rsidP="001D0FDA">
      <w:r>
        <w:t xml:space="preserve">Denton CP, Humbert M, Rubin L, Black CM. Bosentan treatment for pulmonary arterial hypertension related to connective tissue disease: A subgroup analysis of the pivotal clinical trials and their open-label extensions. </w:t>
      </w:r>
      <w:r w:rsidRPr="002A4910">
        <w:rPr>
          <w:i/>
        </w:rPr>
        <w:t>Annals of the Rheumatic Diseases</w:t>
      </w:r>
      <w:r>
        <w:t>. 2006</w:t>
      </w:r>
      <w:proofErr w:type="gramStart"/>
      <w:r>
        <w:t>;65</w:t>
      </w:r>
      <w:proofErr w:type="gramEnd"/>
      <w:r>
        <w:t>(10):1336-40.</w:t>
      </w:r>
    </w:p>
    <w:p w:rsidR="001D0FDA" w:rsidRDefault="001D0FDA" w:rsidP="001D0FDA">
      <w:r>
        <w:t xml:space="preserve">Galiè N, Beghetti M, Gatzoulis MA, Granton J, Berger RMF, Lauer A, et al. Bosentan therapy in patients with Eisenmenger syndrome: A multicenter, double-blind, randomized, placebo-controlled study. </w:t>
      </w:r>
      <w:r w:rsidRPr="002A4910">
        <w:rPr>
          <w:i/>
        </w:rPr>
        <w:t>Circulation</w:t>
      </w:r>
      <w:r>
        <w:t>. 2006</w:t>
      </w:r>
      <w:proofErr w:type="gramStart"/>
      <w:r>
        <w:t>;114</w:t>
      </w:r>
      <w:proofErr w:type="gramEnd"/>
      <w:r>
        <w:t>(1):48-54.</w:t>
      </w:r>
    </w:p>
    <w:p w:rsidR="001D0FDA" w:rsidRPr="008824C6" w:rsidRDefault="001D0FDA" w:rsidP="001D0FDA">
      <w:r>
        <w:t xml:space="preserve">Hinderliter AL, Willis IPW, Barst RJ, Rich S, Rubin LJ, Badesch DB, et al. Effects of long-term infusion of prostacyclin (epoprostenol) on echocardiographic measures of right ventricular structure and function in primary pulmonary hypertension. </w:t>
      </w:r>
      <w:r w:rsidRPr="002A4910">
        <w:rPr>
          <w:i/>
        </w:rPr>
        <w:t>Circulation</w:t>
      </w:r>
      <w:r>
        <w:t>. 1997</w:t>
      </w:r>
      <w:proofErr w:type="gramStart"/>
      <w:r>
        <w:t>;95</w:t>
      </w:r>
      <w:proofErr w:type="gramEnd"/>
      <w:r>
        <w:t>(6):1479-86.</w:t>
      </w:r>
    </w:p>
    <w:p w:rsidR="001D0FDA" w:rsidRDefault="001D0FDA" w:rsidP="001D0FDA">
      <w:r>
        <w:t xml:space="preserve">Olschewski H, Simonneau G, Galiè N, Higenbottam T, Naeije R, Rubin LJ, et al. Inhaled iloprost for severe pulmonary hypertension. </w:t>
      </w:r>
      <w:r w:rsidRPr="002A4910">
        <w:rPr>
          <w:i/>
        </w:rPr>
        <w:t>New England Journal of Medicine</w:t>
      </w:r>
      <w:r>
        <w:t>. 2002</w:t>
      </w:r>
      <w:proofErr w:type="gramStart"/>
      <w:r>
        <w:t>;347</w:t>
      </w:r>
      <w:proofErr w:type="gramEnd"/>
      <w:r>
        <w:t>(5):322-9.</w:t>
      </w:r>
    </w:p>
    <w:p w:rsidR="001D0FDA" w:rsidRDefault="001D0FDA" w:rsidP="001D0FDA">
      <w:r>
        <w:t xml:space="preserve">Raymond RJ, Hinderliter AL, Willis IPW, Ralph D, Caldwell EJ, Williams W, et al. Echocardiographic predictors of adverse outcomes in primary pulmonary hypertension. </w:t>
      </w:r>
      <w:r w:rsidRPr="002A4910">
        <w:rPr>
          <w:i/>
        </w:rPr>
        <w:t>Journal of the American College of Cardiology</w:t>
      </w:r>
      <w:r>
        <w:t>. 2002</w:t>
      </w:r>
      <w:proofErr w:type="gramStart"/>
      <w:r>
        <w:t>;39</w:t>
      </w:r>
      <w:proofErr w:type="gramEnd"/>
      <w:r>
        <w:t>(7):1214-9.</w:t>
      </w:r>
    </w:p>
    <w:p w:rsidR="001D0FDA" w:rsidRDefault="001D0FDA" w:rsidP="001D0FDA">
      <w:r>
        <w:t xml:space="preserve">Rubin LJ, Badesch DB, Barst RJ, Galiè N, Black CM, Keogh A, et al. Bosentan therapy for pulmonary arterial hypertension. </w:t>
      </w:r>
      <w:r w:rsidRPr="002A4910">
        <w:rPr>
          <w:i/>
        </w:rPr>
        <w:t>New England Journal of Medicine</w:t>
      </w:r>
      <w:r>
        <w:t>. 2002</w:t>
      </w:r>
      <w:proofErr w:type="gramStart"/>
      <w:r>
        <w:t>;346</w:t>
      </w:r>
      <w:proofErr w:type="gramEnd"/>
      <w:r>
        <w:t>(12):896-903.</w:t>
      </w:r>
    </w:p>
    <w:p w:rsidR="001D0FDA" w:rsidRDefault="001D0FDA" w:rsidP="001D0FDA">
      <w:r>
        <w:t xml:space="preserve">Rubin LJ, Mendoza J, Hood M, McGoon M, Barst R, Williams WB, et al. Treatment of primary pulmonary hypertension with continuous intravenous prostacyclin (epoprostenol). Results of a randomized trial. </w:t>
      </w:r>
      <w:r w:rsidRPr="002A4910">
        <w:rPr>
          <w:i/>
        </w:rPr>
        <w:t>Annals of Internal Medicine</w:t>
      </w:r>
      <w:r>
        <w:t>. 1990</w:t>
      </w:r>
      <w:proofErr w:type="gramStart"/>
      <w:r>
        <w:t>;112</w:t>
      </w:r>
      <w:proofErr w:type="gramEnd"/>
      <w:r>
        <w:t>(7):485-91.</w:t>
      </w:r>
    </w:p>
    <w:p w:rsidR="001D0FDA" w:rsidRDefault="001D0FDA" w:rsidP="001D0FDA">
      <w:r>
        <w:t xml:space="preserve">Saji T, Myoishi M, Sugimura K, Tahara N, Takeda Y, Fukuda K, et al. Efficacy and safety of inhaled iloprost in Japanese patients with pulmonary arterial hypertension - Insights from the IBUKI and AIR Studies. </w:t>
      </w:r>
      <w:r w:rsidRPr="002A4910">
        <w:rPr>
          <w:i/>
        </w:rPr>
        <w:t>Circulation Journal</w:t>
      </w:r>
      <w:r>
        <w:t>. 2016</w:t>
      </w:r>
      <w:proofErr w:type="gramStart"/>
      <w:r>
        <w:t>;80</w:t>
      </w:r>
      <w:proofErr w:type="gramEnd"/>
      <w:r>
        <w:t>(4):835-42.</w:t>
      </w:r>
    </w:p>
    <w:p w:rsidR="001D0FDA" w:rsidRDefault="001D0FDA" w:rsidP="001D0FDA">
      <w:r>
        <w:t xml:space="preserve">Shapiro S, Pollock DM, Gillies H, Henig N, Allard M, Blair C, et al. Frequency of edema in patients with pulmonary arterial hypertension receiving ambrisentan. </w:t>
      </w:r>
      <w:r w:rsidRPr="002A4910">
        <w:rPr>
          <w:i/>
        </w:rPr>
        <w:t>American Journal of Cardiology</w:t>
      </w:r>
      <w:r>
        <w:t>. 2012</w:t>
      </w:r>
      <w:proofErr w:type="gramStart"/>
      <w:r>
        <w:t>;110</w:t>
      </w:r>
      <w:proofErr w:type="gramEnd"/>
      <w:r>
        <w:t>(9):1373-7.</w:t>
      </w:r>
    </w:p>
    <w:p w:rsidR="001D0FDA" w:rsidRDefault="001D0FDA" w:rsidP="001D0FDA">
      <w:r>
        <w:t xml:space="preserve">Wilkins MR, Paul G, Strange J, Tunariu N, Gin-Sing W, Banya W, et al. Sildenafil versus Endothelin Receptor Antagonist for Pulmonary Hypertension (SERAPH) study. </w:t>
      </w:r>
      <w:r w:rsidRPr="002A4910">
        <w:rPr>
          <w:i/>
        </w:rPr>
        <w:t>American Journal of Respiratory and Critical Care Medicine</w:t>
      </w:r>
      <w:r>
        <w:t>. 2005</w:t>
      </w:r>
      <w:proofErr w:type="gramStart"/>
      <w:r>
        <w:t>;171</w:t>
      </w:r>
      <w:proofErr w:type="gramEnd"/>
      <w:r>
        <w:t>(11):1292-7.</w:t>
      </w:r>
    </w:p>
    <w:p w:rsidR="001D0FDA" w:rsidRPr="008D558C" w:rsidRDefault="001D0FDA" w:rsidP="001D0FDA">
      <w:pPr>
        <w:rPr>
          <w:b/>
        </w:rPr>
      </w:pPr>
      <w:r w:rsidRPr="008D661C">
        <w:rPr>
          <w:b/>
          <w:smallCaps/>
        </w:rPr>
        <w:t>Duplicated study data</w:t>
      </w:r>
      <w:r w:rsidRPr="008D558C">
        <w:rPr>
          <w:b/>
        </w:rPr>
        <w:t xml:space="preserve"> </w:t>
      </w:r>
      <w:r w:rsidRPr="008D661C">
        <w:t>(n=3)</w:t>
      </w:r>
      <w:r w:rsidRPr="008D558C">
        <w:rPr>
          <w:b/>
        </w:rPr>
        <w:t xml:space="preserve"> </w:t>
      </w:r>
    </w:p>
    <w:p w:rsidR="001D0FDA" w:rsidRDefault="001D0FDA" w:rsidP="001D0FDA">
      <w:r>
        <w:t xml:space="preserve">Croxtall JD, Lyseng-Williamson KA. Tadalafil: in pulmonary arterial hypertension. </w:t>
      </w:r>
      <w:r w:rsidRPr="002A4910">
        <w:rPr>
          <w:i/>
        </w:rPr>
        <w:t>Drugs</w:t>
      </w:r>
      <w:r>
        <w:t>. 2010</w:t>
      </w:r>
      <w:proofErr w:type="gramStart"/>
      <w:r>
        <w:t>;70</w:t>
      </w:r>
      <w:proofErr w:type="gramEnd"/>
      <w:r>
        <w:t>(4):479-88.</w:t>
      </w:r>
    </w:p>
    <w:p w:rsidR="001D0FDA" w:rsidRDefault="001D0FDA" w:rsidP="001D0FDA">
      <w:r>
        <w:t xml:space="preserve">Gilbert C, Brown MCJ, Cappelleri JC, Carlsson M, McKenna SP. Estimating a minimally important difference in pulmonary arterial hypertension following treatment with sildenafil. </w:t>
      </w:r>
      <w:r w:rsidRPr="002A4910">
        <w:rPr>
          <w:i/>
        </w:rPr>
        <w:t>Chest</w:t>
      </w:r>
      <w:r>
        <w:t>. 2009</w:t>
      </w:r>
      <w:proofErr w:type="gramStart"/>
      <w:r>
        <w:t>;135</w:t>
      </w:r>
      <w:proofErr w:type="gramEnd"/>
      <w:r>
        <w:t>(1):137-42.</w:t>
      </w:r>
    </w:p>
    <w:p w:rsidR="001D0FDA" w:rsidRDefault="001D0FDA" w:rsidP="001D0FDA">
      <w:r>
        <w:t xml:space="preserve">NCT01179334. An Interaction Study to Evaluate Changes in Blood Pressure Following 1, 1.5, 2, and 2.5 mg Riociguat Tid (Dose Titration) Compared to Placebo Treatment on the Background of Stable Sildenafil Pretreatment in Subjects With Symptomatic Pulmonary Arterial Hypertension. </w:t>
      </w:r>
      <w:proofErr w:type="gramStart"/>
      <w:r>
        <w:t>2010</w:t>
      </w:r>
      <w:proofErr w:type="gramEnd"/>
      <w:r>
        <w:t xml:space="preserve">: Available from: </w:t>
      </w:r>
      <w:r w:rsidRPr="002046A0">
        <w:t>https://clinicaltrials.gov/ct2/show/NCT01179334</w:t>
      </w:r>
      <w:r>
        <w:t>.</w:t>
      </w:r>
    </w:p>
    <w:p w:rsidR="001D0FDA" w:rsidRPr="008D661C" w:rsidRDefault="001D0FDA" w:rsidP="001D0FDA">
      <w:pPr>
        <w:rPr>
          <w:b/>
        </w:rPr>
      </w:pPr>
      <w:r w:rsidRPr="008D661C">
        <w:rPr>
          <w:b/>
          <w:smallCaps/>
        </w:rPr>
        <w:t>Incorrect/mixed population</w:t>
      </w:r>
      <w:r w:rsidRPr="008D661C">
        <w:rPr>
          <w:b/>
        </w:rPr>
        <w:t xml:space="preserve"> </w:t>
      </w:r>
      <w:r w:rsidRPr="008D661C">
        <w:t>(n=8)</w:t>
      </w:r>
    </w:p>
    <w:p w:rsidR="001D0FDA" w:rsidRDefault="001D0FDA" w:rsidP="001D0FDA">
      <w:r>
        <w:t xml:space="preserve">Badesch DB, Hill NS, Burgess G, Rubin LJ, Barst RJ, Galiè N, et al. Sildenafil for pulmonary arterial hypertension associated with connective tissue disease. </w:t>
      </w:r>
      <w:r w:rsidRPr="002A4910">
        <w:rPr>
          <w:i/>
        </w:rPr>
        <w:t>Journal of Rheumatology</w:t>
      </w:r>
      <w:r>
        <w:t>. 2007</w:t>
      </w:r>
      <w:proofErr w:type="gramStart"/>
      <w:r>
        <w:t>;34</w:t>
      </w:r>
      <w:proofErr w:type="gramEnd"/>
      <w:r>
        <w:t>(12):2417-22.</w:t>
      </w:r>
    </w:p>
    <w:p w:rsidR="001D0FDA" w:rsidRDefault="001D0FDA" w:rsidP="001D0FDA">
      <w:r>
        <w:t xml:space="preserve">Eskandar AM. Effect of sildenafil in the management of preoperative pulmonary hypertension. </w:t>
      </w:r>
      <w:r w:rsidRPr="002A4910">
        <w:rPr>
          <w:i/>
        </w:rPr>
        <w:t>Alexandria Journal of Medicine</w:t>
      </w:r>
      <w:r>
        <w:t>. 2014</w:t>
      </w:r>
      <w:proofErr w:type="gramStart"/>
      <w:r>
        <w:t>;50</w:t>
      </w:r>
      <w:proofErr w:type="gramEnd"/>
      <w:r>
        <w:t>(1):13-6.</w:t>
      </w:r>
    </w:p>
    <w:p w:rsidR="001D0FDA" w:rsidRDefault="001D0FDA" w:rsidP="001D0FDA">
      <w:r>
        <w:t xml:space="preserve">Galiè N, Denton CP, Dardi F, Manes A, Mazzanti G, Li B, et al. Tadalafil in idiopathic or heritable pulmonary arterial hypertension (PAH) compared to PAH associated with connective tissue disease. </w:t>
      </w:r>
      <w:r w:rsidRPr="002A4910">
        <w:rPr>
          <w:i/>
        </w:rPr>
        <w:t>International Journal of Cardiology</w:t>
      </w:r>
      <w:r>
        <w:t>. 2017</w:t>
      </w:r>
      <w:proofErr w:type="gramStart"/>
      <w:r>
        <w:t>;235:67</w:t>
      </w:r>
      <w:proofErr w:type="gramEnd"/>
      <w:r>
        <w:t>-72.</w:t>
      </w:r>
    </w:p>
    <w:p w:rsidR="001D0FDA" w:rsidRDefault="001D0FDA" w:rsidP="001D0FDA">
      <w:r>
        <w:t xml:space="preserve">Higenbottam TW, Spiegelhalter D, Scott PJ, Fuster V, Dinh-Xuan AT, Caine N, et al. Prostacyclin (epoprostenol) and heart-lung transplantation as treatments for severe pulmonary hypertension. </w:t>
      </w:r>
      <w:r w:rsidRPr="002A4910">
        <w:rPr>
          <w:i/>
        </w:rPr>
        <w:t>British Heart Journal</w:t>
      </w:r>
      <w:r>
        <w:t>. 1993</w:t>
      </w:r>
      <w:proofErr w:type="gramStart"/>
      <w:r>
        <w:t>;70</w:t>
      </w:r>
      <w:proofErr w:type="gramEnd"/>
      <w:r>
        <w:t>(4):366-70.</w:t>
      </w:r>
    </w:p>
    <w:p w:rsidR="001D0FDA" w:rsidRDefault="001D0FDA" w:rsidP="001D0FDA">
      <w:r>
        <w:t xml:space="preserve">Humbert M, Coghlan J, Ghofrani H, Grimminger F, He J, Riemekasten G, et al. Riociguat for the treatment of pulmonary arterial hypertension associated with connective tissue disease: results from PATENT-1 and PATENT-2. </w:t>
      </w:r>
      <w:proofErr w:type="gramStart"/>
      <w:r>
        <w:t>2016</w:t>
      </w:r>
      <w:proofErr w:type="gramEnd"/>
      <w:r>
        <w:t xml:space="preserve">: Available from: </w:t>
      </w:r>
      <w:r w:rsidRPr="002046A0">
        <w:t>http://onlinelibrary.wiley.com/o/cochrane/clcentral/articles/500/CN-01402500/frame.html</w:t>
      </w:r>
      <w:r>
        <w:t>.</w:t>
      </w:r>
    </w:p>
    <w:p w:rsidR="001D0FDA" w:rsidRDefault="001D0FDA" w:rsidP="001D0FDA">
      <w:r>
        <w:t xml:space="preserve">Maxey DM, Ivy DD, Ogawa MT, Feinstein JA. Food and drug administration (FDA) postmarket reported side effects and adverse events associated with pulmonary hypertension therapy in pediatric patients. </w:t>
      </w:r>
      <w:r w:rsidRPr="002A4910">
        <w:rPr>
          <w:i/>
        </w:rPr>
        <w:t>Pediatric Cardiology</w:t>
      </w:r>
      <w:r>
        <w:t>. 2013</w:t>
      </w:r>
      <w:proofErr w:type="gramStart"/>
      <w:r>
        <w:t>;34</w:t>
      </w:r>
      <w:proofErr w:type="gramEnd"/>
      <w:r>
        <w:t>(7):1628-36.</w:t>
      </w:r>
    </w:p>
    <w:p w:rsidR="001D0FDA" w:rsidRDefault="001D0FDA" w:rsidP="001D0FDA">
      <w:r>
        <w:t xml:space="preserve">Olschewski H, Hoeper MM, Behr J, Ewert R, Meyer A, Borst MM, et al. Long-term therapy with inhaled iloprost in patients with pulmonary hypertension. </w:t>
      </w:r>
      <w:r w:rsidRPr="002A4910">
        <w:rPr>
          <w:i/>
        </w:rPr>
        <w:t>Respiratory Medicine</w:t>
      </w:r>
      <w:r>
        <w:t>. 2010</w:t>
      </w:r>
      <w:proofErr w:type="gramStart"/>
      <w:r>
        <w:t>;104</w:t>
      </w:r>
      <w:proofErr w:type="gramEnd"/>
      <w:r>
        <w:t>(5):731-40.</w:t>
      </w:r>
    </w:p>
    <w:p w:rsidR="001D0FDA" w:rsidRDefault="001D0FDA" w:rsidP="001D0FDA">
      <w:r>
        <w:t xml:space="preserve">Pepke-Zaba J, Gilbert C, Collings L, Brown MCJ. Sildenafil improves health-related quality of life in patients with pulmonary arterial hypertension. </w:t>
      </w:r>
      <w:r w:rsidRPr="002A4910">
        <w:rPr>
          <w:i/>
        </w:rPr>
        <w:t>Chest</w:t>
      </w:r>
      <w:r>
        <w:t>. 2008</w:t>
      </w:r>
      <w:proofErr w:type="gramStart"/>
      <w:r>
        <w:t>;133</w:t>
      </w:r>
      <w:proofErr w:type="gramEnd"/>
      <w:r>
        <w:t>(1):183-9.</w:t>
      </w:r>
    </w:p>
    <w:p w:rsidR="001D0FDA" w:rsidRDefault="001D0FDA" w:rsidP="001D0FDA">
      <w:r w:rsidRPr="008D661C">
        <w:rPr>
          <w:b/>
          <w:smallCaps/>
        </w:rPr>
        <w:t>Incorrect/mixed intervention or comparator</w:t>
      </w:r>
      <w:r w:rsidRPr="008D661C">
        <w:rPr>
          <w:b/>
        </w:rPr>
        <w:t xml:space="preserve"> </w:t>
      </w:r>
      <w:r w:rsidRPr="008D661C">
        <w:t>(n=2</w:t>
      </w:r>
      <w:r w:rsidR="001F432E">
        <w:t>2</w:t>
      </w:r>
      <w:r w:rsidRPr="008D661C">
        <w:t>)</w:t>
      </w:r>
    </w:p>
    <w:p w:rsidR="001D0FDA" w:rsidRDefault="001D0FDA" w:rsidP="001D0FDA">
      <w:r>
        <w:t xml:space="preserve">Angalakuditi M, Edgell E, Beardsworth A, Buysman E, Bancroft T. Treatment patterns and resource utilization and costs among patients with pulmonary arterial hypertension in the United States. </w:t>
      </w:r>
      <w:r w:rsidRPr="002A4910">
        <w:rPr>
          <w:i/>
        </w:rPr>
        <w:t>Journal of Medical Economics</w:t>
      </w:r>
      <w:r>
        <w:t>. 2010</w:t>
      </w:r>
      <w:proofErr w:type="gramStart"/>
      <w:r>
        <w:t>;13</w:t>
      </w:r>
      <w:proofErr w:type="gramEnd"/>
      <w:r>
        <w:t>(3):393-402.</w:t>
      </w:r>
    </w:p>
    <w:p w:rsidR="001D0FDA" w:rsidRDefault="001D0FDA" w:rsidP="001D0FDA">
      <w:r>
        <w:t xml:space="preserve">Beghetti M, Rudzinski A, Zhang M. Efficacy and safety of oral sildenafil in children with Down syndrome and pulmonary hypertension. </w:t>
      </w:r>
      <w:r w:rsidRPr="002A4910">
        <w:rPr>
          <w:i/>
        </w:rPr>
        <w:t>BMC Cardiovascular Disorders</w:t>
      </w:r>
      <w:r>
        <w:t>. 2017</w:t>
      </w:r>
      <w:proofErr w:type="gramStart"/>
      <w:r>
        <w:t>;17</w:t>
      </w:r>
      <w:proofErr w:type="gramEnd"/>
      <w:r>
        <w:t>(1).</w:t>
      </w:r>
    </w:p>
    <w:p w:rsidR="001D0FDA" w:rsidRDefault="001D0FDA" w:rsidP="001D0FDA">
      <w:r>
        <w:t xml:space="preserve">Bharani A, Patel A, Saraf J, Jain A, Mehrotra S, Lunia B. Efficacy and safety of PDE-5 inhibitor tadalafil in pulmonary arterial hypertension. </w:t>
      </w:r>
      <w:r w:rsidRPr="002A4910">
        <w:rPr>
          <w:i/>
        </w:rPr>
        <w:t>Indian Heart Journal</w:t>
      </w:r>
      <w:r>
        <w:t>. 2007</w:t>
      </w:r>
      <w:proofErr w:type="gramStart"/>
      <w:r>
        <w:t>;59</w:t>
      </w:r>
      <w:proofErr w:type="gramEnd"/>
      <w:r>
        <w:t>(4):323-8.</w:t>
      </w:r>
    </w:p>
    <w:p w:rsidR="001D0FDA" w:rsidRDefault="001D0FDA" w:rsidP="001D0FDA">
      <w:r>
        <w:t xml:space="preserve">Bhasin S, Gogia P, Nair R, Sahoo TK. Perioperative sildenafil therapy for children with ventricular septal defects and associated pulmonary hypertension undergoing corrective surgery: A randomised clinical trial. </w:t>
      </w:r>
      <w:r w:rsidRPr="002A4910">
        <w:rPr>
          <w:i/>
        </w:rPr>
        <w:t>Indian Journal of Anaesthesia</w:t>
      </w:r>
      <w:r>
        <w:t>. 2017</w:t>
      </w:r>
      <w:proofErr w:type="gramStart"/>
      <w:r>
        <w:t>;61</w:t>
      </w:r>
      <w:proofErr w:type="gramEnd"/>
      <w:r>
        <w:t>(10):798-802.</w:t>
      </w:r>
    </w:p>
    <w:p w:rsidR="001D0FDA" w:rsidRDefault="001D0FDA" w:rsidP="001D0FDA">
      <w:r>
        <w:t xml:space="preserve">Diller GP, Alonso-Gonzalez R, Dimopoulos K, Alvarez-Barredo M, Koo C, Kempny A, et al. Disease targeting therapies in patients with Eisenmenger syndrome: Response to treatment and long-term efficiency. </w:t>
      </w:r>
      <w:r w:rsidRPr="002A4910">
        <w:rPr>
          <w:i/>
        </w:rPr>
        <w:t>International Journal of Cardiology</w:t>
      </w:r>
      <w:r>
        <w:t>. 2013</w:t>
      </w:r>
      <w:proofErr w:type="gramStart"/>
      <w:r>
        <w:t>;167</w:t>
      </w:r>
      <w:proofErr w:type="gramEnd"/>
      <w:r>
        <w:t>(3):840-7.</w:t>
      </w:r>
    </w:p>
    <w:p w:rsidR="001D0FDA" w:rsidRDefault="001D0FDA" w:rsidP="001D0FDA">
      <w:r>
        <w:t xml:space="preserve">Diller GP, Körten MA, Bauer UMM, Miera O, Tutarel O, Kaemmerer H, et al. Current therapy and outcome of Eisenmenger syndrome: Data of the German National Register for congenital heart defects. </w:t>
      </w:r>
      <w:r w:rsidRPr="002A4910">
        <w:rPr>
          <w:i/>
        </w:rPr>
        <w:t>European Heart Journal</w:t>
      </w:r>
      <w:r>
        <w:t>. 2016</w:t>
      </w:r>
      <w:proofErr w:type="gramStart"/>
      <w:r>
        <w:t>;37</w:t>
      </w:r>
      <w:proofErr w:type="gramEnd"/>
      <w:r>
        <w:t>(18):1449-55.</w:t>
      </w:r>
    </w:p>
    <w:p w:rsidR="001D0FDA" w:rsidRDefault="001D0FDA" w:rsidP="001D0FDA">
      <w:r>
        <w:t xml:space="preserve">Fraisse A, Butrous G, Taylor MB, Oakes M, Dilleen M, Wessel DL. Intravenous sildenafil for postoperative pulmonary hypertension in children with congenital heart disease. </w:t>
      </w:r>
      <w:r w:rsidRPr="002A4910">
        <w:rPr>
          <w:i/>
        </w:rPr>
        <w:t>Intensive Care Medicine</w:t>
      </w:r>
      <w:r>
        <w:t>. 2011</w:t>
      </w:r>
      <w:proofErr w:type="gramStart"/>
      <w:r>
        <w:t>;37</w:t>
      </w:r>
      <w:proofErr w:type="gramEnd"/>
      <w:r>
        <w:t>(3):502-9.</w:t>
      </w:r>
    </w:p>
    <w:p w:rsidR="001D0FDA" w:rsidRDefault="001D0FDA" w:rsidP="001D0FDA">
      <w:r>
        <w:t xml:space="preserve">Fritz JS, Blair C, Oudiz RJ, Dufton C, Olschewski H, Despain D, et al. Baseline and follow-up 6-min walk distance and brain natriuretic peptide predict 2-year mortality in pulmonary arterial hypertension. </w:t>
      </w:r>
      <w:r w:rsidRPr="002A4910">
        <w:rPr>
          <w:i/>
        </w:rPr>
        <w:t>Chest</w:t>
      </w:r>
      <w:r>
        <w:t>. 2013</w:t>
      </w:r>
      <w:proofErr w:type="gramStart"/>
      <w:r>
        <w:t>;143</w:t>
      </w:r>
      <w:proofErr w:type="gramEnd"/>
      <w:r>
        <w:t>(2):315-23.</w:t>
      </w:r>
    </w:p>
    <w:p w:rsidR="001D0FDA" w:rsidRDefault="001D0FDA" w:rsidP="001D0FDA">
      <w:r>
        <w:t xml:space="preserve">Hoeper MM, Markevych I, Spiekerkoetter E, Welte T, Niedermeyer J. Goal-oriented treatment and combination therapy for pulmonary arterial hypertension. </w:t>
      </w:r>
      <w:r w:rsidRPr="002A4910">
        <w:rPr>
          <w:i/>
        </w:rPr>
        <w:t>European Respiratory Journal</w:t>
      </w:r>
      <w:r>
        <w:t>. 2005</w:t>
      </w:r>
      <w:proofErr w:type="gramStart"/>
      <w:r>
        <w:t>;26</w:t>
      </w:r>
      <w:proofErr w:type="gramEnd"/>
      <w:r>
        <w:t>(5):858-63.</w:t>
      </w:r>
    </w:p>
    <w:p w:rsidR="001D0FDA" w:rsidRDefault="001D0FDA" w:rsidP="001D0FDA">
      <w:r>
        <w:t xml:space="preserve">Hoeper MM, Seyfarth HJ, Hoeffken G, Wirtz H, Spiekerkoetter E, Pletz MW, et al. Experience with inhaled iloprost and bosentan in portopulmonary hypertension. </w:t>
      </w:r>
      <w:r w:rsidRPr="002A4910">
        <w:rPr>
          <w:i/>
        </w:rPr>
        <w:t>European Respiratory Journal</w:t>
      </w:r>
      <w:r>
        <w:t>. 2007</w:t>
      </w:r>
      <w:proofErr w:type="gramStart"/>
      <w:r>
        <w:t>;30</w:t>
      </w:r>
      <w:proofErr w:type="gramEnd"/>
      <w:r>
        <w:t>(6):1096-102.</w:t>
      </w:r>
    </w:p>
    <w:p w:rsidR="001D0FDA" w:rsidRDefault="001D0FDA" w:rsidP="001D0FDA">
      <w:r>
        <w:t xml:space="preserve">Iversen K, Jensen AS, Jensen TV, Vejlstrup NG, Søndergaard L. Combination therapy with bosentan and sildenafil in Eisenmenger syndrome: A randomized, placebo-controlled, double-blinded trial. </w:t>
      </w:r>
      <w:r w:rsidRPr="002A4910">
        <w:rPr>
          <w:i/>
        </w:rPr>
        <w:t>European Heart Journal</w:t>
      </w:r>
      <w:r>
        <w:t>. 2010</w:t>
      </w:r>
      <w:proofErr w:type="gramStart"/>
      <w:r>
        <w:t>;31</w:t>
      </w:r>
      <w:proofErr w:type="gramEnd"/>
      <w:r>
        <w:t>(9):1124-31.</w:t>
      </w:r>
    </w:p>
    <w:p w:rsidR="001D0FDA" w:rsidRDefault="001D0FDA" w:rsidP="001D0FDA">
      <w:r>
        <w:t xml:space="preserve">Jacobs W, Boonstra A, Brand M, Rosenberg DM, Schaaf B, et al. Long-term outcomes in pulmonary arterial hypertension in the first-line epoprostenol or first-line Bosentan era. </w:t>
      </w:r>
      <w:r w:rsidRPr="002A4910">
        <w:rPr>
          <w:i/>
        </w:rPr>
        <w:t>Journal of Heart and Lung Transplantation</w:t>
      </w:r>
      <w:r>
        <w:t>. 2010</w:t>
      </w:r>
      <w:proofErr w:type="gramStart"/>
      <w:r>
        <w:t>;29</w:t>
      </w:r>
      <w:proofErr w:type="gramEnd"/>
      <w:r>
        <w:t>(10):1150-8.</w:t>
      </w:r>
    </w:p>
    <w:p w:rsidR="001D0FDA" w:rsidRDefault="001D0FDA" w:rsidP="001D0FDA">
      <w:r>
        <w:t xml:space="preserve">Kemp K, Savale L, O'Callaghan DS, Jaís X, Montani D, Humbert M, et al. Usefulness of first-line combination therapy with epoprostenol and bosentan in pulmonary arterial hypertension: An observational study. </w:t>
      </w:r>
      <w:r w:rsidRPr="002A4910">
        <w:rPr>
          <w:i/>
        </w:rPr>
        <w:t>Journal of Heart and Lung Transplantation</w:t>
      </w:r>
      <w:r>
        <w:t>. 2012</w:t>
      </w:r>
      <w:proofErr w:type="gramStart"/>
      <w:r>
        <w:t>;31</w:t>
      </w:r>
      <w:proofErr w:type="gramEnd"/>
      <w:r>
        <w:t>(2):150-8.</w:t>
      </w:r>
    </w:p>
    <w:p w:rsidR="001D0FDA" w:rsidRDefault="001D0FDA" w:rsidP="001D0FDA">
      <w:r>
        <w:t xml:space="preserve">Lammi MR, Mathai SC, Saketkoo LA, Domsic RT, Bojanowski C, Furst DE, et al. Association between Initial Oral Therapy and Outcomes in Systemic Sclerosis-Related Pulmonary Arterial Hypertension. </w:t>
      </w:r>
      <w:r w:rsidRPr="002A4910">
        <w:rPr>
          <w:i/>
        </w:rPr>
        <w:t>Arthritis and Rheumatology</w:t>
      </w:r>
      <w:r>
        <w:t>. 2016</w:t>
      </w:r>
      <w:proofErr w:type="gramStart"/>
      <w:r>
        <w:t>;68</w:t>
      </w:r>
      <w:proofErr w:type="gramEnd"/>
      <w:r>
        <w:t>(3):740-8.</w:t>
      </w:r>
    </w:p>
    <w:p w:rsidR="001D0FDA" w:rsidRDefault="001D0FDA" w:rsidP="001D0FDA">
      <w:r>
        <w:t xml:space="preserve">Reichenberger F, Mainwood A, Morrell NW, Parameshwar J, Pepke-Zaba J. Intravenous epoprostenol versus high dose inhaled iloprost for long-term treatment of pulmonary hypertension. </w:t>
      </w:r>
      <w:r w:rsidRPr="002A4910">
        <w:rPr>
          <w:i/>
        </w:rPr>
        <w:t>Pulmonary Pharmacology and Therapeutics</w:t>
      </w:r>
      <w:r>
        <w:t>. 2011</w:t>
      </w:r>
      <w:proofErr w:type="gramStart"/>
      <w:r>
        <w:t>;24</w:t>
      </w:r>
      <w:proofErr w:type="gramEnd"/>
      <w:r>
        <w:t>(1):169-73.</w:t>
      </w:r>
    </w:p>
    <w:p w:rsidR="001D0FDA" w:rsidRDefault="001D0FDA" w:rsidP="001D0FDA">
      <w:r>
        <w:t xml:space="preserve">Rubin LJ, Badesch DB, Fleming TR, Galie N, Simonneau G, Ghofrani HA, et al. Long-term treatment with sildenafil citrate in pulmonary arterial hypertension: the SUPER-2 study. </w:t>
      </w:r>
      <w:r w:rsidRPr="002A4910">
        <w:rPr>
          <w:i/>
        </w:rPr>
        <w:t>Chest</w:t>
      </w:r>
      <w:r>
        <w:t>. 2011</w:t>
      </w:r>
      <w:proofErr w:type="gramStart"/>
      <w:r>
        <w:t>;140</w:t>
      </w:r>
      <w:proofErr w:type="gramEnd"/>
      <w:r>
        <w:t>(5):1274-83.</w:t>
      </w:r>
    </w:p>
    <w:p w:rsidR="001D0FDA" w:rsidRDefault="001D0FDA" w:rsidP="001D0FDA">
      <w:r>
        <w:t xml:space="preserve">Sakao S, Tanabe N, Kasahara Y, Tatsumi K. Survival of Japanese patients with pulmonary arterial hypertension after the introduction of endothelin receptor antagonists and/or phosphodiesterase type-5 inhibitors. </w:t>
      </w:r>
      <w:r w:rsidRPr="002A4910">
        <w:rPr>
          <w:i/>
        </w:rPr>
        <w:t>Internal Medicine</w:t>
      </w:r>
      <w:r>
        <w:t>. 2012</w:t>
      </w:r>
      <w:proofErr w:type="gramStart"/>
      <w:r>
        <w:t>;51</w:t>
      </w:r>
      <w:proofErr w:type="gramEnd"/>
      <w:r>
        <w:t>(19):2721-6.</w:t>
      </w:r>
    </w:p>
    <w:p w:rsidR="001D0FDA" w:rsidRDefault="001D0FDA" w:rsidP="001D0FDA">
      <w:r>
        <w:t xml:space="preserve">Sastry BKS, Narasimhan C, Reddy NK, Raju BS. Clinical efficacy of sildenafil in primary pulmonary hypertension: A randomized, placebo-controlled, </w:t>
      </w:r>
      <w:proofErr w:type="gramStart"/>
      <w:r>
        <w:t>double-blind</w:t>
      </w:r>
      <w:proofErr w:type="gramEnd"/>
      <w:r>
        <w:t xml:space="preserve">, crossover study. </w:t>
      </w:r>
      <w:r w:rsidRPr="002A4910">
        <w:rPr>
          <w:i/>
        </w:rPr>
        <w:t>Journal of the American College of Cardiology</w:t>
      </w:r>
      <w:r>
        <w:t>. 2004</w:t>
      </w:r>
      <w:proofErr w:type="gramStart"/>
      <w:r>
        <w:t>;43</w:t>
      </w:r>
      <w:proofErr w:type="gramEnd"/>
      <w:r>
        <w:t>(7):1149-53.</w:t>
      </w:r>
    </w:p>
    <w:p w:rsidR="001D0FDA" w:rsidRDefault="001D0FDA" w:rsidP="001D0FDA">
      <w:r>
        <w:t xml:space="preserve">Shirai Y, Yasuoka H, Takeuchi T, Satoh T, Kuwana M. Intravenous epoprostenol treatment of patients with connective tissue disease and pulmonary arterial hypertension at a single center. </w:t>
      </w:r>
      <w:r w:rsidRPr="002A4910">
        <w:rPr>
          <w:i/>
        </w:rPr>
        <w:t>Modern Rheumatology</w:t>
      </w:r>
      <w:r>
        <w:t>. 2013</w:t>
      </w:r>
      <w:proofErr w:type="gramStart"/>
      <w:r>
        <w:t>;23</w:t>
      </w:r>
      <w:proofErr w:type="gramEnd"/>
      <w:r>
        <w:t>(6):1211-20.</w:t>
      </w:r>
    </w:p>
    <w:p w:rsidR="001D0FDA" w:rsidRDefault="001D0FDA" w:rsidP="001D0FDA">
      <w:r>
        <w:t xml:space="preserve">Singh TP, Rohit M, Grover A, Malhotra S, Vijayvergiya R. A randomized, placebo-controlled, </w:t>
      </w:r>
      <w:proofErr w:type="gramStart"/>
      <w:r>
        <w:t>double-blind</w:t>
      </w:r>
      <w:proofErr w:type="gramEnd"/>
      <w:r>
        <w:t xml:space="preserve">, crossover study to evaluate the efficacy of oral sildenafil therapy in severe pulmonary artery hypertension. </w:t>
      </w:r>
      <w:r w:rsidRPr="002A4910">
        <w:rPr>
          <w:i/>
        </w:rPr>
        <w:t>American Heart Journal</w:t>
      </w:r>
      <w:r>
        <w:t>. 2006</w:t>
      </w:r>
      <w:proofErr w:type="gramStart"/>
      <w:r>
        <w:t>;151</w:t>
      </w:r>
      <w:proofErr w:type="gramEnd"/>
      <w:r>
        <w:t>(4):851.e1-.e5.</w:t>
      </w:r>
    </w:p>
    <w:p w:rsidR="001D0FDA" w:rsidRDefault="001D0FDA" w:rsidP="001D0FDA">
      <w:r>
        <w:t xml:space="preserve">Sitbon O, McLaughlin VV, Badesch DB, Barst RJ, Black C, Galiè N, et al. Survival in patients with class III idiopathic pulmonary arterial hypertension treated with first line oral bosentan compared with an historical cohort of patients started on intravenous epoprostenol. </w:t>
      </w:r>
      <w:r w:rsidRPr="002A4910">
        <w:rPr>
          <w:i/>
        </w:rPr>
        <w:t>Thorax</w:t>
      </w:r>
      <w:r>
        <w:t>. 2005</w:t>
      </w:r>
      <w:proofErr w:type="gramStart"/>
      <w:r>
        <w:t>;60</w:t>
      </w:r>
      <w:proofErr w:type="gramEnd"/>
      <w:r>
        <w:t>(12):1025-30.</w:t>
      </w:r>
    </w:p>
    <w:p w:rsidR="001D0FDA" w:rsidRDefault="001D0FDA" w:rsidP="001D0FDA">
      <w:r>
        <w:t xml:space="preserve">Williams MH, Das C, Handler CE, Akram MR, Davar J, Denton CP, et al. Systemic sclerosis associated pulmonary hypertension: Improved survival in the current era. </w:t>
      </w:r>
      <w:r w:rsidRPr="002A4910">
        <w:rPr>
          <w:i/>
        </w:rPr>
        <w:t>Heart</w:t>
      </w:r>
      <w:r>
        <w:t>. 2006</w:t>
      </w:r>
      <w:proofErr w:type="gramStart"/>
      <w:r>
        <w:t>;92</w:t>
      </w:r>
      <w:proofErr w:type="gramEnd"/>
      <w:r>
        <w:t>(7):926-32.</w:t>
      </w:r>
    </w:p>
    <w:p w:rsidR="001D0FDA" w:rsidRPr="008D661C" w:rsidRDefault="001D0FDA" w:rsidP="001D0FDA">
      <w:pPr>
        <w:rPr>
          <w:b/>
        </w:rPr>
      </w:pPr>
      <w:r w:rsidRPr="008D661C">
        <w:rPr>
          <w:b/>
          <w:smallCaps/>
        </w:rPr>
        <w:t>No outcome of interest</w:t>
      </w:r>
      <w:r w:rsidRPr="008D661C">
        <w:rPr>
          <w:b/>
        </w:rPr>
        <w:t xml:space="preserve"> </w:t>
      </w:r>
      <w:r w:rsidRPr="008D661C">
        <w:t>(n=</w:t>
      </w:r>
      <w:r w:rsidR="001F432E">
        <w:t>6</w:t>
      </w:r>
      <w:r w:rsidRPr="008D661C">
        <w:t>)</w:t>
      </w:r>
    </w:p>
    <w:p w:rsidR="001D0FDA" w:rsidRDefault="001D0FDA" w:rsidP="001D0FDA">
      <w:r>
        <w:t xml:space="preserve">Bigdelian H, Sedighi M. The role of preoperative sildenafil therapy in controlling of postoperative pulmonary hypertension in children with ventricular septal defects. </w:t>
      </w:r>
      <w:r w:rsidRPr="002A4910">
        <w:rPr>
          <w:i/>
        </w:rPr>
        <w:t>Journal of Cardiovascular and Thoracic Research</w:t>
      </w:r>
      <w:r>
        <w:t>. 2017</w:t>
      </w:r>
      <w:proofErr w:type="gramStart"/>
      <w:r>
        <w:t>;9</w:t>
      </w:r>
      <w:proofErr w:type="gramEnd"/>
      <w:r>
        <w:t>(3):179-82.</w:t>
      </w:r>
    </w:p>
    <w:p w:rsidR="001D0FDA" w:rsidRDefault="001D0FDA" w:rsidP="001D0FDA">
      <w:r>
        <w:t xml:space="preserve">Galiè N, Hinderliter AL, Torbicki A, Fourme T, Simonneau G, Pulido T, et al. Effects of the oral endothelin-receptor antagonist bosentan on echocardiographic and Doppler measures in patients with pulmonary arterial hypertension. </w:t>
      </w:r>
      <w:r w:rsidRPr="002A4910">
        <w:rPr>
          <w:i/>
        </w:rPr>
        <w:t>Journal of the American College of Cardiology</w:t>
      </w:r>
      <w:r>
        <w:t>. 2003</w:t>
      </w:r>
      <w:proofErr w:type="gramStart"/>
      <w:r>
        <w:t>;41</w:t>
      </w:r>
      <w:proofErr w:type="gramEnd"/>
      <w:r>
        <w:t>(8):1380-6.</w:t>
      </w:r>
    </w:p>
    <w:p w:rsidR="001D0FDA" w:rsidRDefault="001D0FDA" w:rsidP="001D0FDA">
      <w:r>
        <w:t xml:space="preserve">Galiè N, Jansa P, Pulido T, Channick RN, Delcroix M, Ghofrani HA, et al. SERAPHIN haemodynamic substudy: The effect of the dual endothelin receptor antagonist macitentan on haemodynamic parameters and NT-proBNP levels and their association with disease progression in patients with pulmonary arterial hypertension. </w:t>
      </w:r>
      <w:r w:rsidRPr="002A4910">
        <w:rPr>
          <w:i/>
        </w:rPr>
        <w:t>European Heart Journal</w:t>
      </w:r>
      <w:r>
        <w:t>. 2017</w:t>
      </w:r>
      <w:proofErr w:type="gramStart"/>
      <w:r>
        <w:t>;38</w:t>
      </w:r>
      <w:proofErr w:type="gramEnd"/>
      <w:r>
        <w:t>(15):1147-55.</w:t>
      </w:r>
    </w:p>
    <w:p w:rsidR="001D0FDA" w:rsidRDefault="001D0FDA" w:rsidP="001D0FDA">
      <w:r>
        <w:t xml:space="preserve">Mathai SC, Puhan MA, Lam D, Wise RA. The minimal important difference in the 6-minute walk test for patients with pulmonary arterial hypertension. </w:t>
      </w:r>
      <w:r w:rsidRPr="002A4910">
        <w:rPr>
          <w:i/>
        </w:rPr>
        <w:t>American Journal of Respiratory and Critical Care Medicine</w:t>
      </w:r>
      <w:r>
        <w:t>. 2012</w:t>
      </w:r>
      <w:proofErr w:type="gramStart"/>
      <w:r>
        <w:t>;186</w:t>
      </w:r>
      <w:proofErr w:type="gramEnd"/>
      <w:r>
        <w:t>(5):428-33.</w:t>
      </w:r>
    </w:p>
    <w:p w:rsidR="001F432E" w:rsidRDefault="001F432E" w:rsidP="001F432E">
      <w:r>
        <w:t xml:space="preserve">Reza Sabri M, Bigdelian H, Hosseinzadeh M, Ahmadi A, Ghaderian M, Shoja M. Comparison of the therapeutic effects and side effects of tadalafil and sildenafil after surgery in young infants with pulmonary arterial hypertension due to systemic-to-pulmonary shunts. </w:t>
      </w:r>
      <w:r w:rsidRPr="002A4910">
        <w:rPr>
          <w:i/>
        </w:rPr>
        <w:t>Cardiology in the Young</w:t>
      </w:r>
      <w:r>
        <w:t>. 2017:1-8.</w:t>
      </w:r>
    </w:p>
    <w:p w:rsidR="001D0FDA" w:rsidRDefault="001D0FDA" w:rsidP="001D0FDA">
      <w:r>
        <w:t xml:space="preserve">Webb DJ, Vachiery JL, Hwang LJ, Maurey JO. Sildenafil improves renal function in patients with pulmonary arterial hypertension. </w:t>
      </w:r>
      <w:r w:rsidRPr="002A4910">
        <w:rPr>
          <w:i/>
        </w:rPr>
        <w:t>British Journal of Clinical Pharmacology</w:t>
      </w:r>
      <w:r>
        <w:t>. 2015</w:t>
      </w:r>
      <w:proofErr w:type="gramStart"/>
      <w:r>
        <w:t>;80</w:t>
      </w:r>
      <w:proofErr w:type="gramEnd"/>
      <w:r>
        <w:t>(2):235-41.</w:t>
      </w:r>
    </w:p>
    <w:p w:rsidR="001D0FDA" w:rsidRPr="00CF25DE" w:rsidRDefault="001D0FDA" w:rsidP="001D0FDA">
      <w:r w:rsidRPr="008D661C">
        <w:rPr>
          <w:b/>
          <w:smallCaps/>
        </w:rPr>
        <w:t>Systematic review with different selection criteria</w:t>
      </w:r>
      <w:r>
        <w:t xml:space="preserve"> </w:t>
      </w:r>
      <w:r w:rsidRPr="00CF25DE">
        <w:t>(n=</w:t>
      </w:r>
      <w:r>
        <w:t>32</w:t>
      </w:r>
      <w:r w:rsidRPr="00CF25DE">
        <w:t>)</w:t>
      </w:r>
    </w:p>
    <w:p w:rsidR="001D0FDA" w:rsidRDefault="001D0FDA" w:rsidP="001D0FDA">
      <w:r>
        <w:t xml:space="preserve">Avouac J, Wipff J, Kahan A, Allanore Y. Effects of oral treatments on exercise capacity in systemic sclerosis related pulmonary arterial hypertension: A meta-analysis of randomised controlled trials. </w:t>
      </w:r>
      <w:r w:rsidRPr="002A4910">
        <w:rPr>
          <w:i/>
        </w:rPr>
        <w:t>Annals of the Rheumatic Diseases</w:t>
      </w:r>
      <w:r>
        <w:t>. 2008</w:t>
      </w:r>
      <w:proofErr w:type="gramStart"/>
      <w:r>
        <w:t>;67</w:t>
      </w:r>
      <w:proofErr w:type="gramEnd"/>
      <w:r>
        <w:t>(6):808-14.</w:t>
      </w:r>
    </w:p>
    <w:p w:rsidR="001D0FDA" w:rsidRDefault="001D0FDA" w:rsidP="001D0FDA">
      <w:r>
        <w:t xml:space="preserve">Badiani B, Messori A. Targeted Treatments for Pulmonary Arterial Hypertension: Interpreting Outcomes by Network Meta-analysis. </w:t>
      </w:r>
      <w:r w:rsidRPr="002A4910">
        <w:rPr>
          <w:i/>
        </w:rPr>
        <w:t>Heart Lung and Circulation</w:t>
      </w:r>
      <w:r>
        <w:t>. 2016</w:t>
      </w:r>
      <w:proofErr w:type="gramStart"/>
      <w:r>
        <w:t>;25</w:t>
      </w:r>
      <w:proofErr w:type="gramEnd"/>
      <w:r>
        <w:t>(1):46-52.</w:t>
      </w:r>
    </w:p>
    <w:p w:rsidR="001D0FDA" w:rsidRDefault="001D0FDA" w:rsidP="001D0FDA">
      <w:r>
        <w:t xml:space="preserve">Chen YF, Jowett S, Barton P, Malottki K, Hyde C, Gibbs JSR, et al. Clinical and cost-effectiveness of epoprostenol, iloprost, bosentan, sitaxentan and sildenafil for pulmonary arterial hypertension within their licensed indications: A systematic review and economic evaluation. </w:t>
      </w:r>
      <w:r w:rsidRPr="002A4910">
        <w:rPr>
          <w:i/>
        </w:rPr>
        <w:t>Health Technology Assessment</w:t>
      </w:r>
      <w:r>
        <w:t>. 2009</w:t>
      </w:r>
      <w:proofErr w:type="gramStart"/>
      <w:r>
        <w:t>;13</w:t>
      </w:r>
      <w:proofErr w:type="gramEnd"/>
      <w:r>
        <w:t>(49):ix-320.</w:t>
      </w:r>
    </w:p>
    <w:p w:rsidR="001D0FDA" w:rsidRDefault="001D0FDA" w:rsidP="001D0FDA">
      <w:r>
        <w:t xml:space="preserve">Coeytaux RR, Schmit KM, Kraft BD, Kosinski AS, Mingo AM, Vann LM, et al. Comparative effectiveness and safety of drug therapy for pulmonary arterial hypertension. </w:t>
      </w:r>
      <w:r w:rsidRPr="002A4910">
        <w:rPr>
          <w:i/>
        </w:rPr>
        <w:t>Chest</w:t>
      </w:r>
      <w:r>
        <w:t>. 2014</w:t>
      </w:r>
      <w:proofErr w:type="gramStart"/>
      <w:r>
        <w:t>;145</w:t>
      </w:r>
      <w:proofErr w:type="gramEnd"/>
      <w:r>
        <w:t>(5):1055-63.</w:t>
      </w:r>
    </w:p>
    <w:p w:rsidR="001D0FDA" w:rsidRDefault="001D0FDA" w:rsidP="001D0FDA">
      <w:r>
        <w:t xml:space="preserve">Duo-Ji MM, Long ZW. Comparative efficacy and acceptability of endothelin receptor antagonists for pulmonary arterial hypertension: A network meta-analysis. </w:t>
      </w:r>
      <w:r w:rsidRPr="002A4910">
        <w:rPr>
          <w:i/>
        </w:rPr>
        <w:t>International Journal of Cardiology</w:t>
      </w:r>
      <w:r>
        <w:t>. 2017</w:t>
      </w:r>
      <w:proofErr w:type="gramStart"/>
      <w:r>
        <w:t>;234:90</w:t>
      </w:r>
      <w:proofErr w:type="gramEnd"/>
      <w:r>
        <w:t>-8.</w:t>
      </w:r>
    </w:p>
    <w:p w:rsidR="001D0FDA" w:rsidRDefault="001D0FDA" w:rsidP="001D0FDA">
      <w:r>
        <w:t xml:space="preserve">Fox BD, Shimony A, </w:t>
      </w:r>
      <w:proofErr w:type="gramStart"/>
      <w:r>
        <w:t>Langleben</w:t>
      </w:r>
      <w:proofErr w:type="gramEnd"/>
      <w:r>
        <w:t xml:space="preserve"> D. Meta-analysis of monotherapy versus combination therapy for pulmonary arterial hypertension. </w:t>
      </w:r>
      <w:r w:rsidRPr="002A4910">
        <w:rPr>
          <w:i/>
        </w:rPr>
        <w:t>American Journal of Cardiology</w:t>
      </w:r>
      <w:r>
        <w:t>. 2011</w:t>
      </w:r>
      <w:proofErr w:type="gramStart"/>
      <w:r>
        <w:t>;108</w:t>
      </w:r>
      <w:proofErr w:type="gramEnd"/>
      <w:r>
        <w:t>(8):1177-82.</w:t>
      </w:r>
    </w:p>
    <w:p w:rsidR="001D0FDA" w:rsidRDefault="001D0FDA" w:rsidP="001D0FDA">
      <w:r>
        <w:t xml:space="preserve">Fox BD, Shtraichman O, Langleben D, Shimony A, Kramer MR. Combination Therapy for Pulmonary Arterial Hypertension: A Systematic Review and Meta-analysis. </w:t>
      </w:r>
      <w:r w:rsidRPr="002A4910">
        <w:rPr>
          <w:i/>
        </w:rPr>
        <w:t>Canadian Journal of Cardiology</w:t>
      </w:r>
      <w:r>
        <w:t>. 2016</w:t>
      </w:r>
      <w:proofErr w:type="gramStart"/>
      <w:r>
        <w:t>;32</w:t>
      </w:r>
      <w:proofErr w:type="gramEnd"/>
      <w:r>
        <w:t>(12):1520-30.</w:t>
      </w:r>
    </w:p>
    <w:p w:rsidR="001D0FDA" w:rsidRDefault="001D0FDA" w:rsidP="001D0FDA">
      <w:r>
        <w:t xml:space="preserve">Gali N, Palazzini M, Manes A. Pulmonary arterial hypertension: From the kingdom of the </w:t>
      </w:r>
      <w:proofErr w:type="gramStart"/>
      <w:r>
        <w:t>near-dead</w:t>
      </w:r>
      <w:proofErr w:type="gramEnd"/>
      <w:r>
        <w:t xml:space="preserve"> to multiple clinical trial meta-analyses. </w:t>
      </w:r>
      <w:r w:rsidRPr="002A4910">
        <w:rPr>
          <w:i/>
        </w:rPr>
        <w:t>European Heart Journal</w:t>
      </w:r>
      <w:r>
        <w:t>. 2010</w:t>
      </w:r>
      <w:proofErr w:type="gramStart"/>
      <w:r>
        <w:t>;31</w:t>
      </w:r>
      <w:proofErr w:type="gramEnd"/>
      <w:r>
        <w:t>(17):2080-6.</w:t>
      </w:r>
    </w:p>
    <w:p w:rsidR="001D0FDA" w:rsidRDefault="001D0FDA" w:rsidP="001D0FDA">
      <w:r>
        <w:t xml:space="preserve">Galie N, Manes A, Negro L, Palazzini M, Bacchi-Reggiani ML, Branzi A. A meta-analysis of randomized controlled trials in pulmonary arterial hypertension. </w:t>
      </w:r>
      <w:r w:rsidRPr="002A4910">
        <w:rPr>
          <w:i/>
        </w:rPr>
        <w:t>Eur Heart J</w:t>
      </w:r>
      <w:r>
        <w:t>. 2009</w:t>
      </w:r>
      <w:proofErr w:type="gramStart"/>
      <w:r>
        <w:t>;30</w:t>
      </w:r>
      <w:proofErr w:type="gramEnd"/>
      <w:r>
        <w:t>(4):394-403.</w:t>
      </w:r>
    </w:p>
    <w:p w:rsidR="001D0FDA" w:rsidRDefault="001D0FDA" w:rsidP="001D0FDA">
      <w:r>
        <w:t xml:space="preserve">Gao XF, Zhang JJ, Jiang XM, Ge Z, Wang ZM, Li B, </w:t>
      </w:r>
      <w:proofErr w:type="gramStart"/>
      <w:r>
        <w:t>et</w:t>
      </w:r>
      <w:proofErr w:type="gramEnd"/>
      <w:r>
        <w:t xml:space="preserve"> al. Targeted drugs for pulmonary arterial hypertension: A network meta-analysis of 32 randomized clinical trials. </w:t>
      </w:r>
      <w:r w:rsidRPr="002A4910">
        <w:rPr>
          <w:i/>
        </w:rPr>
        <w:t>Patient Preference and Adherence</w:t>
      </w:r>
      <w:r>
        <w:t>. 2017</w:t>
      </w:r>
      <w:proofErr w:type="gramStart"/>
      <w:r>
        <w:t>;11:871</w:t>
      </w:r>
      <w:proofErr w:type="gramEnd"/>
      <w:r>
        <w:t>-85.</w:t>
      </w:r>
    </w:p>
    <w:p w:rsidR="001D0FDA" w:rsidRDefault="001D0FDA" w:rsidP="001D0FDA">
      <w:r>
        <w:t xml:space="preserve">Giannetta E, Feola T, Gianfrilli D, Pofi R, Dall'Armi V, Badagliacca R, et al. Is chronic inhibition of phosphodiesterase type 5 cardioprotective and safe? A meta-analysis of randomized controlled trials. </w:t>
      </w:r>
      <w:r w:rsidRPr="002A4910">
        <w:rPr>
          <w:i/>
        </w:rPr>
        <w:t>BMC Medicine</w:t>
      </w:r>
      <w:r>
        <w:t>. 2014</w:t>
      </w:r>
      <w:proofErr w:type="gramStart"/>
      <w:r>
        <w:t>;12</w:t>
      </w:r>
      <w:proofErr w:type="gramEnd"/>
      <w:r>
        <w:t>(1).</w:t>
      </w:r>
    </w:p>
    <w:p w:rsidR="001D0FDA" w:rsidRDefault="001D0FDA" w:rsidP="001D0FDA">
      <w:r>
        <w:t xml:space="preserve">Guo L, Liu YJ, Xie ZL. Safety and tolerability evaluation of oral bosentan in adult congenital heart disease associated pulmonary arterial hypertension: a systematic review and meta-analysis. </w:t>
      </w:r>
      <w:r w:rsidRPr="002A4910">
        <w:rPr>
          <w:i/>
        </w:rPr>
        <w:t>Eur Rev Med Pharmacol Sci</w:t>
      </w:r>
      <w:r>
        <w:t>. 2014</w:t>
      </w:r>
      <w:proofErr w:type="gramStart"/>
      <w:r>
        <w:t>;18</w:t>
      </w:r>
      <w:proofErr w:type="gramEnd"/>
      <w:r>
        <w:t>(5):638-45.</w:t>
      </w:r>
    </w:p>
    <w:p w:rsidR="001D0FDA" w:rsidRDefault="001D0FDA" w:rsidP="001D0FDA">
      <w:r>
        <w:t xml:space="preserve">He B, Zhang F, Li X, Tang C, Lin G, Du J, et al. Meta-analysis of randomized controlled trials on treatment of pulmonary arterial hypertension. </w:t>
      </w:r>
      <w:r w:rsidRPr="002A4910">
        <w:rPr>
          <w:i/>
        </w:rPr>
        <w:t>Circulation Journal</w:t>
      </w:r>
      <w:r>
        <w:t>. 2010</w:t>
      </w:r>
      <w:proofErr w:type="gramStart"/>
      <w:r>
        <w:t>;74</w:t>
      </w:r>
      <w:proofErr w:type="gramEnd"/>
      <w:r>
        <w:t>(7):1458-64.</w:t>
      </w:r>
    </w:p>
    <w:p w:rsidR="001D0FDA" w:rsidRDefault="001D0FDA" w:rsidP="001D0FDA">
      <w:r>
        <w:t xml:space="preserve">Igarashi A, Inoue S, Ishii T, Tsutani K, Watanabe H. Comparative Effectiveness of Oral Medications for Pulmonary Arterial Hypertension. </w:t>
      </w:r>
      <w:r w:rsidRPr="002A4910">
        <w:rPr>
          <w:i/>
        </w:rPr>
        <w:t>Int Heart J</w:t>
      </w:r>
      <w:r>
        <w:t>. 2016</w:t>
      </w:r>
      <w:proofErr w:type="gramStart"/>
      <w:r>
        <w:t>;57</w:t>
      </w:r>
      <w:proofErr w:type="gramEnd"/>
      <w:r>
        <w:t>(4):466-72.</w:t>
      </w:r>
    </w:p>
    <w:p w:rsidR="001D0FDA" w:rsidRDefault="001D0FDA" w:rsidP="001D0FDA">
      <w:r>
        <w:t xml:space="preserve">Jain S, Khera R, Girotra S, Badesch D, Wang Z, Murad MH, et al. Comparative Effectiveness of Pharmacologic Interventions for Pulmonary Arterial Hypertension: A Systematic Review and Network Meta-Analysis. </w:t>
      </w:r>
      <w:r w:rsidRPr="002A4910">
        <w:rPr>
          <w:i/>
        </w:rPr>
        <w:t>Chest</w:t>
      </w:r>
      <w:r>
        <w:t>. 2017</w:t>
      </w:r>
      <w:proofErr w:type="gramStart"/>
      <w:r>
        <w:t>;151</w:t>
      </w:r>
      <w:proofErr w:type="gramEnd"/>
      <w:r>
        <w:t>(1):90-105.</w:t>
      </w:r>
    </w:p>
    <w:p w:rsidR="001D0FDA" w:rsidRDefault="001D0FDA" w:rsidP="001D0FDA">
      <w:r>
        <w:t xml:space="preserve">Kanthapillai P, Walters EH. Phosphodiesterase 5 inhibitors for pulmonary hypertension. </w:t>
      </w:r>
      <w:r w:rsidRPr="002A4910">
        <w:rPr>
          <w:i/>
        </w:rPr>
        <w:t>Cochrane Database of Systematic Reviews</w:t>
      </w:r>
      <w:r>
        <w:t>. 2004(4).</w:t>
      </w:r>
    </w:p>
    <w:p w:rsidR="001D0FDA" w:rsidRDefault="001D0FDA" w:rsidP="001D0FDA">
      <w:r>
        <w:t xml:space="preserve">Kuwana M, Watanabe H, Matsuoka N, Sugiyama N. Pulmonary arterial hypertension associated with connective tissue disease: Meta-analysis of clinical trials. </w:t>
      </w:r>
      <w:r w:rsidRPr="002A4910">
        <w:rPr>
          <w:i/>
        </w:rPr>
        <w:t>BMJ Open</w:t>
      </w:r>
      <w:r>
        <w:t>. 2013</w:t>
      </w:r>
      <w:proofErr w:type="gramStart"/>
      <w:r>
        <w:t>;3</w:t>
      </w:r>
      <w:proofErr w:type="gramEnd"/>
      <w:r>
        <w:t>(8).</w:t>
      </w:r>
    </w:p>
    <w:p w:rsidR="001D0FDA" w:rsidRDefault="001D0FDA" w:rsidP="001D0FDA">
      <w:r>
        <w:t xml:space="preserve">Lajoie AC, Lauzière G, Lega JC, Lacasse Y, Martin S, Simard S, et al. Combination therapy versus monotherapy for pulmonary arterial hypertension: A meta-analysis. </w:t>
      </w:r>
      <w:r w:rsidRPr="002A4910">
        <w:rPr>
          <w:i/>
        </w:rPr>
        <w:t>The Lancet Respiratory Medicine</w:t>
      </w:r>
      <w:r>
        <w:t>. 2016</w:t>
      </w:r>
      <w:proofErr w:type="gramStart"/>
      <w:r>
        <w:t>;4</w:t>
      </w:r>
      <w:proofErr w:type="gramEnd"/>
      <w:r>
        <w:t>(4):291-305.</w:t>
      </w:r>
    </w:p>
    <w:p w:rsidR="001D0FDA" w:rsidRDefault="001D0FDA" w:rsidP="001D0FDA">
      <w:r>
        <w:t xml:space="preserve">Li T, Chen Y, Zang W, Geng N, Ma S, Li X. Prostacyclin and its analogues in pulmonary artery hypertension: A meta-analysis. </w:t>
      </w:r>
      <w:r w:rsidRPr="002A4910">
        <w:rPr>
          <w:i/>
        </w:rPr>
        <w:t>Current Medical Research and Opinion</w:t>
      </w:r>
      <w:r>
        <w:t>. 2013</w:t>
      </w:r>
      <w:proofErr w:type="gramStart"/>
      <w:r>
        <w:t>;29</w:t>
      </w:r>
      <w:proofErr w:type="gramEnd"/>
      <w:r>
        <w:t>(8):889-99.</w:t>
      </w:r>
    </w:p>
    <w:p w:rsidR="001D0FDA" w:rsidRDefault="001D0FDA" w:rsidP="001D0FDA">
      <w:r>
        <w:t xml:space="preserve">Pan Y, Hu C, Chen PH, </w:t>
      </w:r>
      <w:proofErr w:type="gramStart"/>
      <w:r>
        <w:t>Gu</w:t>
      </w:r>
      <w:proofErr w:type="gramEnd"/>
      <w:r>
        <w:t xml:space="preserve"> YH, Qiao QY, Pan LH, et al. Association of oral endothelin receptor antagonists with risks of cardiovascular events and mortality: meta-analysis of randomized controlled trials. </w:t>
      </w:r>
      <w:r w:rsidRPr="002A4910">
        <w:rPr>
          <w:i/>
        </w:rPr>
        <w:t>European Journal of Clinical Pharmacology</w:t>
      </w:r>
      <w:r>
        <w:t>. 2017</w:t>
      </w:r>
      <w:proofErr w:type="gramStart"/>
      <w:r>
        <w:t>;73</w:t>
      </w:r>
      <w:proofErr w:type="gramEnd"/>
      <w:r>
        <w:t>(3):267-78.</w:t>
      </w:r>
    </w:p>
    <w:p w:rsidR="001D0FDA" w:rsidRDefault="001D0FDA" w:rsidP="001D0FDA">
      <w:r>
        <w:t xml:space="preserve">Paramothayan NS, Lasserson TJ, Wells AU, Walters EH. Prostacyclin for pulmonary hypertension in adults. </w:t>
      </w:r>
      <w:r w:rsidRPr="002A4910">
        <w:rPr>
          <w:i/>
        </w:rPr>
        <w:t>Cochrane database of systematic reviews (Online)</w:t>
      </w:r>
      <w:r>
        <w:t>. 2005(2):CD002994.</w:t>
      </w:r>
    </w:p>
    <w:p w:rsidR="001D0FDA" w:rsidRDefault="001D0FDA" w:rsidP="001D0FDA">
      <w:r>
        <w:t xml:space="preserve">Rival G, Lacasse Y, Martin S, Bonnet S, </w:t>
      </w:r>
      <w:proofErr w:type="gramStart"/>
      <w:r>
        <w:t>Provencher</w:t>
      </w:r>
      <w:proofErr w:type="gramEnd"/>
      <w:r>
        <w:t xml:space="preserve"> S. Effect of pulmonary arterial hypertension-specific therapies on health-related quality of life a systematic review. </w:t>
      </w:r>
      <w:r w:rsidRPr="002A4910">
        <w:rPr>
          <w:i/>
        </w:rPr>
        <w:t>Chest</w:t>
      </w:r>
      <w:r>
        <w:t>. 2014</w:t>
      </w:r>
      <w:proofErr w:type="gramStart"/>
      <w:r>
        <w:t>;146</w:t>
      </w:r>
      <w:proofErr w:type="gramEnd"/>
      <w:r>
        <w:t>(3):686-708.</w:t>
      </w:r>
    </w:p>
    <w:p w:rsidR="001D0FDA" w:rsidRDefault="001D0FDA" w:rsidP="001D0FDA">
      <w:r>
        <w:t xml:space="preserve">Shafiq N, Reddy S, Pandhi P, Manoj R, Talwar KK, </w:t>
      </w:r>
      <w:proofErr w:type="gramStart"/>
      <w:r>
        <w:t>Malhotra</w:t>
      </w:r>
      <w:proofErr w:type="gramEnd"/>
      <w:r>
        <w:t xml:space="preserve"> S. Sildenafil for pulmonary hypertension: Need for evidence generation. </w:t>
      </w:r>
      <w:r w:rsidRPr="002A4910">
        <w:rPr>
          <w:i/>
        </w:rPr>
        <w:t>International Journal of Clinical Pharmacology and Therapeutics</w:t>
      </w:r>
      <w:r>
        <w:t>. 2008</w:t>
      </w:r>
      <w:proofErr w:type="gramStart"/>
      <w:r>
        <w:t>;46</w:t>
      </w:r>
      <w:proofErr w:type="gramEnd"/>
      <w:r>
        <w:t>(12):644-51.</w:t>
      </w:r>
    </w:p>
    <w:p w:rsidR="001D0FDA" w:rsidRDefault="001D0FDA" w:rsidP="001D0FDA">
      <w:r>
        <w:t xml:space="preserve">Silva MA, Donovan JL, Durie R, Ventura D, Alspach RM, Kanaan AO, et al. A Mixed Treatment Comparison Meta-Analysis of Pharmacotherapeutic Monotherapy and Placebo for Pulmonary Artery Hypertension. </w:t>
      </w:r>
      <w:r w:rsidRPr="002A4910">
        <w:rPr>
          <w:i/>
        </w:rPr>
        <w:t>Clinical Pulmonary Medicine</w:t>
      </w:r>
      <w:r>
        <w:t>. 2017</w:t>
      </w:r>
      <w:proofErr w:type="gramStart"/>
      <w:r>
        <w:t>;24</w:t>
      </w:r>
      <w:proofErr w:type="gramEnd"/>
      <w:r>
        <w:t>(4):149-59.</w:t>
      </w:r>
    </w:p>
    <w:p w:rsidR="001D0FDA" w:rsidRDefault="001D0FDA" w:rsidP="001D0FDA">
      <w:r>
        <w:t xml:space="preserve">Wang RC, Jiang FM, Zheng QL, Li CT, Peng XY, He CY, et al. Efficacy and safety of sildenafil treatment in pulmonary arterial hypertension: A systematic review. </w:t>
      </w:r>
      <w:r w:rsidRPr="002A4910">
        <w:rPr>
          <w:i/>
        </w:rPr>
        <w:t>Respiratory Medicine</w:t>
      </w:r>
      <w:r>
        <w:t>. 2014</w:t>
      </w:r>
      <w:proofErr w:type="gramStart"/>
      <w:r>
        <w:t>;108</w:t>
      </w:r>
      <w:proofErr w:type="gramEnd"/>
      <w:r>
        <w:t>(3):531-7.</w:t>
      </w:r>
    </w:p>
    <w:p w:rsidR="001D0FDA" w:rsidRDefault="001D0FDA" w:rsidP="001D0FDA">
      <w:r>
        <w:t xml:space="preserve">Wardle AJ, Seager MJ, Wardle R, Tulloh RM, Gibbs JS. Guanylate cyclase stimulators for pulmonary hypertension. </w:t>
      </w:r>
      <w:r w:rsidRPr="002A4910">
        <w:rPr>
          <w:i/>
        </w:rPr>
        <w:t>Cochrane Database Syst Rev</w:t>
      </w:r>
      <w:r>
        <w:t>. 2016(8):CD011205.</w:t>
      </w:r>
    </w:p>
    <w:p w:rsidR="001D0FDA" w:rsidRDefault="001D0FDA" w:rsidP="001D0FDA">
      <w:r>
        <w:t xml:space="preserve">Wardle AJ, Seager MJ, Wardle R, Tulloh RMR, Gibbs JSR. Guanylate cyclase stimulators for pulmonary hypertension. </w:t>
      </w:r>
      <w:proofErr w:type="gramStart"/>
      <w:r>
        <w:t>2016</w:t>
      </w:r>
      <w:proofErr w:type="gramEnd"/>
      <w:r>
        <w:t xml:space="preserve">: Available from: </w:t>
      </w:r>
      <w:r w:rsidRPr="002046A0">
        <w:t>http://onlinelibrary.wiley.com/o/cochrane/clcentral/articles/168/CN-01196168/frame.html</w:t>
      </w:r>
      <w:r>
        <w:t>.</w:t>
      </w:r>
    </w:p>
    <w:p w:rsidR="001D0FDA" w:rsidRDefault="001D0FDA" w:rsidP="001D0FDA">
      <w:r>
        <w:t xml:space="preserve">Wei A, </w:t>
      </w:r>
      <w:proofErr w:type="gramStart"/>
      <w:r>
        <w:t>Gu</w:t>
      </w:r>
      <w:proofErr w:type="gramEnd"/>
      <w:r>
        <w:t xml:space="preserve"> Z, Li J, Liu X, Wu X, Han Y, et al. Clinical adverse effects of endothelin receptor antagonists: Insights from the meta-analysis of 4894 patients from 24 randomized double-blind placebo-controlled clinical trials. </w:t>
      </w:r>
      <w:r w:rsidRPr="002A4910">
        <w:rPr>
          <w:i/>
        </w:rPr>
        <w:t>Journal of the American Heart Association</w:t>
      </w:r>
      <w:r>
        <w:t>. 2016</w:t>
      </w:r>
      <w:proofErr w:type="gramStart"/>
      <w:r>
        <w:t>;5</w:t>
      </w:r>
      <w:proofErr w:type="gramEnd"/>
      <w:r>
        <w:t>(11).</w:t>
      </w:r>
    </w:p>
    <w:p w:rsidR="001D0FDA" w:rsidRDefault="001D0FDA" w:rsidP="001D0FDA">
      <w:r>
        <w:t xml:space="preserve">Xing XQ, Han B, Wu XW, Xiao Y, Wu SJ. Efficacy and safety of prostacyclins therapy in pulmonary arterial hypertension: A meta-analysis. </w:t>
      </w:r>
      <w:r w:rsidRPr="00A834D2">
        <w:rPr>
          <w:i/>
        </w:rPr>
        <w:t>African Journal of Pharmacy and Pharmacology</w:t>
      </w:r>
      <w:r>
        <w:t>. 2011</w:t>
      </w:r>
      <w:proofErr w:type="gramStart"/>
      <w:r>
        <w:t>;5</w:t>
      </w:r>
      <w:proofErr w:type="gramEnd"/>
      <w:r>
        <w:t>(20):2199-208.</w:t>
      </w:r>
    </w:p>
    <w:p w:rsidR="001D0FDA" w:rsidRDefault="001D0FDA" w:rsidP="001D0FDA">
      <w:r>
        <w:t xml:space="preserve">Zhang H, Li X, Huang J, Li H, Su Z, Wang J. Comparative efficacy and safety of prostacyclin analogs for pulmonary arterial hypertension: A network meta-Analysis. </w:t>
      </w:r>
      <w:r w:rsidRPr="002A4910">
        <w:rPr>
          <w:i/>
        </w:rPr>
        <w:t>Medicine (United States)</w:t>
      </w:r>
      <w:r>
        <w:t>. 2016</w:t>
      </w:r>
      <w:proofErr w:type="gramStart"/>
      <w:r>
        <w:t>;95</w:t>
      </w:r>
      <w:proofErr w:type="gramEnd"/>
      <w:r>
        <w:t>(4).</w:t>
      </w:r>
    </w:p>
    <w:p w:rsidR="001D0FDA" w:rsidRDefault="001D0FDA" w:rsidP="001D0FDA">
      <w:r>
        <w:t xml:space="preserve">Zhang HD, Zhang R, Jiang X, Sun K, Wu DC, Jing ZC. Effects of oral treatments on clinical outcomes in pulmonary arterial hypertension: A systematic review and meta-analysis. </w:t>
      </w:r>
      <w:r w:rsidRPr="002A4910">
        <w:rPr>
          <w:i/>
        </w:rPr>
        <w:t>American Heart Journal</w:t>
      </w:r>
      <w:r>
        <w:t>. 2015</w:t>
      </w:r>
      <w:proofErr w:type="gramStart"/>
      <w:r>
        <w:t>;170</w:t>
      </w:r>
      <w:proofErr w:type="gramEnd"/>
      <w:r>
        <w:t>(1):96-103.e14.</w:t>
      </w:r>
    </w:p>
    <w:p w:rsidR="001D0FDA" w:rsidRDefault="001D0FDA" w:rsidP="001D0FDA">
      <w:r>
        <w:t xml:space="preserve">Zheng Y, Yang T, Chen G, Hu E, Gu Q, Xiong C. Prostanoid therapy for pulmonary arterial hypertension: A meta-analysis of survival outcomes. </w:t>
      </w:r>
      <w:r w:rsidRPr="002A4910">
        <w:rPr>
          <w:i/>
        </w:rPr>
        <w:t>European Journal of Clinical Pharmacology</w:t>
      </w:r>
      <w:r>
        <w:t>. 2014</w:t>
      </w:r>
      <w:proofErr w:type="gramStart"/>
      <w:r>
        <w:t>;70</w:t>
      </w:r>
      <w:proofErr w:type="gramEnd"/>
      <w:r>
        <w:t>(1):13-21.</w:t>
      </w:r>
    </w:p>
    <w:p w:rsidR="001D0FDA" w:rsidRDefault="001D0FDA" w:rsidP="001D0FDA">
      <w:r w:rsidRPr="008D661C">
        <w:rPr>
          <w:b/>
          <w:smallCaps/>
        </w:rPr>
        <w:t>Higher level of evidence available</w:t>
      </w:r>
      <w:r>
        <w:t xml:space="preserve"> (n=7)</w:t>
      </w:r>
    </w:p>
    <w:p w:rsidR="001D0FDA" w:rsidRDefault="001D0FDA" w:rsidP="001D0FDA">
      <w:r>
        <w:t xml:space="preserve">Douwes JM, Roofthooft MTR, Van Loon RLE, Ploegstra MJ, Bartelds B, Hillege HL, et al. Sildenafil add-on therapy in paediatric pulmonary arterial hypertension, experiences of a national referral centre. </w:t>
      </w:r>
      <w:r w:rsidRPr="00852BB1">
        <w:rPr>
          <w:i/>
        </w:rPr>
        <w:t>Heart</w:t>
      </w:r>
      <w:r>
        <w:t>. 2014</w:t>
      </w:r>
      <w:proofErr w:type="gramStart"/>
      <w:r>
        <w:t>;100</w:t>
      </w:r>
      <w:proofErr w:type="gramEnd"/>
      <w:r>
        <w:t>(3):224-30.</w:t>
      </w:r>
    </w:p>
    <w:p w:rsidR="001D0FDA" w:rsidRDefault="001D0FDA" w:rsidP="001D0FDA">
      <w:r>
        <w:t xml:space="preserve">Haworth SG, Hislop AA. Treatment and survival in Children with pulmonary arterial hypertension: The UK Pulmonary Hypertension Service for Children 2001 2006. </w:t>
      </w:r>
      <w:r w:rsidRPr="00852BB1">
        <w:rPr>
          <w:i/>
        </w:rPr>
        <w:t>Heart</w:t>
      </w:r>
      <w:r>
        <w:t>. 2009</w:t>
      </w:r>
      <w:proofErr w:type="gramStart"/>
      <w:r>
        <w:t>;95</w:t>
      </w:r>
      <w:proofErr w:type="gramEnd"/>
      <w:r>
        <w:t>(4):312-7.</w:t>
      </w:r>
    </w:p>
    <w:p w:rsidR="001D0FDA" w:rsidRDefault="001D0FDA" w:rsidP="001D0FDA">
      <w:r>
        <w:t xml:space="preserve">Oudiz RJ, Roveran G, Hansen JE, Sun XG, Wasserman K. Effect of sildenafil on ventilatory efficiency and exercise tolerance in pulmonary hypertension. </w:t>
      </w:r>
      <w:r w:rsidRPr="00852BB1">
        <w:rPr>
          <w:i/>
        </w:rPr>
        <w:t>European Journal of Heart Failure</w:t>
      </w:r>
      <w:r>
        <w:t>. 2007</w:t>
      </w:r>
      <w:proofErr w:type="gramStart"/>
      <w:r>
        <w:t>;9</w:t>
      </w:r>
      <w:proofErr w:type="gramEnd"/>
      <w:r>
        <w:t>(9):917-21.</w:t>
      </w:r>
    </w:p>
    <w:p w:rsidR="001D0FDA" w:rsidRDefault="001D0FDA" w:rsidP="001D0FDA">
      <w:r>
        <w:t xml:space="preserve">Sfikakis PP, Papamichael C, Stamatelopoulos KS, Tousoulis D, Fragiadaki KG, Katsichti P, et al. Improvement of vascular endothelial function using the oral endothelin receptor antagonist bosentan in patients with systemic sclerosis. </w:t>
      </w:r>
      <w:r w:rsidRPr="00852BB1">
        <w:rPr>
          <w:i/>
        </w:rPr>
        <w:t>Arthritis and Rheumatism</w:t>
      </w:r>
      <w:r>
        <w:t>. 2007</w:t>
      </w:r>
      <w:proofErr w:type="gramStart"/>
      <w:r>
        <w:t>;56</w:t>
      </w:r>
      <w:proofErr w:type="gramEnd"/>
      <w:r>
        <w:t>(6):1985-93.</w:t>
      </w:r>
    </w:p>
    <w:p w:rsidR="001D0FDA" w:rsidRDefault="001D0FDA" w:rsidP="001D0FDA">
      <w:r>
        <w:t xml:space="preserve">Sung KW, Jeon YB, Kim NY, Park KY, Park CH, Choi CH, et al. The effects of perioperative inhaled iloprost on pulmonary hypertension with congenital heart disease. </w:t>
      </w:r>
      <w:r w:rsidRPr="00852BB1">
        <w:rPr>
          <w:i/>
        </w:rPr>
        <w:t>Cardiology (Switzerland)</w:t>
      </w:r>
      <w:r>
        <w:t>. 2013</w:t>
      </w:r>
      <w:proofErr w:type="gramStart"/>
      <w:r>
        <w:t>;126</w:t>
      </w:r>
      <w:proofErr w:type="gramEnd"/>
      <w:r>
        <w:t>(4):224-9.</w:t>
      </w:r>
    </w:p>
    <w:p w:rsidR="001D0FDA" w:rsidRDefault="001D0FDA" w:rsidP="001D0FDA">
      <w:r>
        <w:t xml:space="preserve">Yang X, Sanders KN, Mardekian J, Mychaskiw MA, Thomas J. Associations between Sildenafil Use and Changes in Days of Hospitalization in a Population with Pulmonary Arterial Hypertension Associated with Connective Tissue Disease. </w:t>
      </w:r>
      <w:r w:rsidRPr="00852BB1">
        <w:rPr>
          <w:i/>
        </w:rPr>
        <w:t>Clinical Therapeutics</w:t>
      </w:r>
      <w:r>
        <w:t>. 2015</w:t>
      </w:r>
      <w:proofErr w:type="gramStart"/>
      <w:r>
        <w:t>;37</w:t>
      </w:r>
      <w:proofErr w:type="gramEnd"/>
      <w:r>
        <w:t>(5):1055-63.</w:t>
      </w:r>
    </w:p>
    <w:p w:rsidR="001D0FDA" w:rsidRDefault="001D0FDA" w:rsidP="001D0FDA">
      <w:r>
        <w:t xml:space="preserve">Zeng WJ, Sun YJ, </w:t>
      </w:r>
      <w:proofErr w:type="gramStart"/>
      <w:r>
        <w:t>Gu</w:t>
      </w:r>
      <w:proofErr w:type="gramEnd"/>
      <w:r>
        <w:t xml:space="preserve"> Q, Xiong CM, Li JJ, He JG. Impact of sildenafil on survival of patients with idiopathic pulmonary arterial hypertension. </w:t>
      </w:r>
      <w:r w:rsidRPr="00852BB1">
        <w:rPr>
          <w:i/>
        </w:rPr>
        <w:t>Journal of Clinical Pharmacology</w:t>
      </w:r>
      <w:r>
        <w:t>. 2012</w:t>
      </w:r>
      <w:proofErr w:type="gramStart"/>
      <w:r>
        <w:t>;52</w:t>
      </w:r>
      <w:proofErr w:type="gramEnd"/>
      <w:r>
        <w:t>(9):1357-64.</w:t>
      </w:r>
    </w:p>
    <w:p w:rsidR="001D0FDA" w:rsidRPr="00776099" w:rsidRDefault="001D0FDA" w:rsidP="001D0FDA">
      <w:r w:rsidRPr="00776099">
        <w:rPr>
          <w:b/>
          <w:smallCaps/>
        </w:rPr>
        <w:t>Long-term observational study with &lt;50 patients receiving treatment</w:t>
      </w:r>
      <w:r w:rsidRPr="00776099">
        <w:t xml:space="preserve"> (n=24)</w:t>
      </w:r>
    </w:p>
    <w:p w:rsidR="001D0FDA" w:rsidRPr="00776099" w:rsidRDefault="001D0FDA" w:rsidP="001D0FDA">
      <w:pPr>
        <w:pStyle w:val="BodyText"/>
        <w:rPr>
          <w:rFonts w:asciiTheme="minorHAnsi" w:hAnsiTheme="minorHAnsi"/>
        </w:rPr>
      </w:pPr>
      <w:r w:rsidRPr="00776099">
        <w:rPr>
          <w:rFonts w:asciiTheme="minorHAnsi" w:hAnsiTheme="minorHAnsi"/>
        </w:rPr>
        <w:t xml:space="preserve">Akagi S, Nakamura K, Miyaji K, Ogawa A, Kusano KF, Ito H, et al. Marked hemodynamic improvements by high-dose epoprostenol therapy in patients with idiopathic pulmonary arterial hypertension. </w:t>
      </w:r>
      <w:r w:rsidRPr="00776099">
        <w:rPr>
          <w:rFonts w:asciiTheme="minorHAnsi" w:hAnsiTheme="minorHAnsi"/>
          <w:i/>
        </w:rPr>
        <w:t>Circulation Journal</w:t>
      </w:r>
      <w:r w:rsidRPr="00776099">
        <w:rPr>
          <w:rFonts w:asciiTheme="minorHAnsi" w:hAnsiTheme="minorHAnsi"/>
        </w:rPr>
        <w:t>. 2010</w:t>
      </w:r>
      <w:proofErr w:type="gramStart"/>
      <w:r w:rsidRPr="00776099">
        <w:rPr>
          <w:rFonts w:asciiTheme="minorHAnsi" w:hAnsiTheme="minorHAnsi"/>
        </w:rPr>
        <w:t>;74</w:t>
      </w:r>
      <w:proofErr w:type="gramEnd"/>
      <w:r w:rsidRPr="00776099">
        <w:rPr>
          <w:rFonts w:asciiTheme="minorHAnsi" w:hAnsiTheme="minorHAnsi"/>
        </w:rPr>
        <w:t>(10):2200-5.</w:t>
      </w:r>
    </w:p>
    <w:p w:rsidR="001D0FDA" w:rsidRPr="00776099" w:rsidRDefault="001D0FDA" w:rsidP="001D0FDA">
      <w:pPr>
        <w:pStyle w:val="BodyText"/>
        <w:rPr>
          <w:rFonts w:asciiTheme="minorHAnsi" w:hAnsiTheme="minorHAnsi"/>
        </w:rPr>
      </w:pPr>
      <w:r w:rsidRPr="00776099">
        <w:rPr>
          <w:rFonts w:asciiTheme="minorHAnsi" w:hAnsiTheme="minorHAnsi"/>
        </w:rPr>
        <w:t xml:space="preserve">Apostolopoulou SC, Manginas A, Cokkinos DV, Rammos S. Long-term oral bosentan treatment in patients with pulmonary arterial hypertension related to congenital heart disease: A 2-year study. </w:t>
      </w:r>
      <w:r w:rsidRPr="00776099">
        <w:rPr>
          <w:rFonts w:asciiTheme="minorHAnsi" w:hAnsiTheme="minorHAnsi"/>
          <w:i/>
        </w:rPr>
        <w:t>Heart</w:t>
      </w:r>
      <w:r w:rsidRPr="00776099">
        <w:rPr>
          <w:rFonts w:asciiTheme="minorHAnsi" w:hAnsiTheme="minorHAnsi"/>
        </w:rPr>
        <w:t>. 2007</w:t>
      </w:r>
      <w:proofErr w:type="gramStart"/>
      <w:r w:rsidRPr="00776099">
        <w:rPr>
          <w:rFonts w:asciiTheme="minorHAnsi" w:hAnsiTheme="minorHAnsi"/>
        </w:rPr>
        <w:t>;93</w:t>
      </w:r>
      <w:proofErr w:type="gramEnd"/>
      <w:r w:rsidRPr="00776099">
        <w:rPr>
          <w:rFonts w:asciiTheme="minorHAnsi" w:hAnsiTheme="minorHAnsi"/>
        </w:rPr>
        <w:t>(3):350-4.</w:t>
      </w:r>
    </w:p>
    <w:p w:rsidR="001D0FDA" w:rsidRPr="00776099" w:rsidRDefault="001D0FDA" w:rsidP="001D0FDA">
      <w:pPr>
        <w:pStyle w:val="BodyText"/>
        <w:rPr>
          <w:rFonts w:asciiTheme="minorHAnsi" w:hAnsiTheme="minorHAnsi"/>
        </w:rPr>
      </w:pPr>
      <w:r w:rsidRPr="00776099">
        <w:rPr>
          <w:rFonts w:asciiTheme="minorHAnsi" w:hAnsiTheme="minorHAnsi"/>
        </w:rPr>
        <w:t xml:space="preserve">Avellana P, Segovia J, Sufrate E, Gómez-Bueno M, García-Cosío Carmena MD, García-Pavía P, et al. Long-term (5 Years) effects of bosentan in patients with pulmonary arterial hypertension. </w:t>
      </w:r>
      <w:r w:rsidRPr="00776099">
        <w:rPr>
          <w:rFonts w:asciiTheme="minorHAnsi" w:hAnsiTheme="minorHAnsi"/>
          <w:i/>
        </w:rPr>
        <w:t>Revista Espanola de Cardiologia</w:t>
      </w:r>
      <w:r w:rsidRPr="00776099">
        <w:rPr>
          <w:rFonts w:asciiTheme="minorHAnsi" w:hAnsiTheme="minorHAnsi"/>
        </w:rPr>
        <w:t>. 2011</w:t>
      </w:r>
      <w:proofErr w:type="gramStart"/>
      <w:r w:rsidRPr="00776099">
        <w:rPr>
          <w:rFonts w:asciiTheme="minorHAnsi" w:hAnsiTheme="minorHAnsi"/>
        </w:rPr>
        <w:t>;64</w:t>
      </w:r>
      <w:proofErr w:type="gramEnd"/>
      <w:r w:rsidRPr="00776099">
        <w:rPr>
          <w:rFonts w:asciiTheme="minorHAnsi" w:hAnsiTheme="minorHAnsi"/>
        </w:rPr>
        <w:t>(8):667-73.</w:t>
      </w:r>
    </w:p>
    <w:p w:rsidR="001D0FDA" w:rsidRPr="00776099" w:rsidRDefault="001D0FDA" w:rsidP="001D0FDA">
      <w:pPr>
        <w:pStyle w:val="BodyText"/>
        <w:rPr>
          <w:rFonts w:asciiTheme="minorHAnsi" w:hAnsiTheme="minorHAnsi"/>
        </w:rPr>
      </w:pPr>
      <w:r w:rsidRPr="00776099">
        <w:rPr>
          <w:rFonts w:asciiTheme="minorHAnsi" w:hAnsiTheme="minorHAnsi"/>
        </w:rPr>
        <w:t xml:space="preserve">Baptista R, Castro G, Da Silva AM, Monteiro P, Providência LA. Long-term effect of bosentan in pulmonary hypertension associated with complex congenital heart disease. </w:t>
      </w:r>
      <w:r w:rsidRPr="00776099">
        <w:rPr>
          <w:rFonts w:asciiTheme="minorHAnsi" w:hAnsiTheme="minorHAnsi"/>
          <w:i/>
        </w:rPr>
        <w:t>Revista Portuguesa de Cardiologia</w:t>
      </w:r>
      <w:r w:rsidRPr="00776099">
        <w:rPr>
          <w:rFonts w:asciiTheme="minorHAnsi" w:hAnsiTheme="minorHAnsi"/>
        </w:rPr>
        <w:t>. 2013</w:t>
      </w:r>
      <w:proofErr w:type="gramStart"/>
      <w:r w:rsidRPr="00776099">
        <w:rPr>
          <w:rFonts w:asciiTheme="minorHAnsi" w:hAnsiTheme="minorHAnsi"/>
        </w:rPr>
        <w:t>;32</w:t>
      </w:r>
      <w:proofErr w:type="gramEnd"/>
      <w:r w:rsidRPr="00776099">
        <w:rPr>
          <w:rFonts w:asciiTheme="minorHAnsi" w:hAnsiTheme="minorHAnsi"/>
        </w:rPr>
        <w:t>(2):123-9.</w:t>
      </w:r>
    </w:p>
    <w:p w:rsidR="001D0FDA" w:rsidRPr="00776099" w:rsidRDefault="001D0FDA" w:rsidP="001D0FDA">
      <w:pPr>
        <w:pStyle w:val="BodyText"/>
        <w:rPr>
          <w:rFonts w:asciiTheme="minorHAnsi" w:hAnsiTheme="minorHAnsi"/>
        </w:rPr>
      </w:pPr>
      <w:r w:rsidRPr="00776099">
        <w:rPr>
          <w:rFonts w:asciiTheme="minorHAnsi" w:hAnsiTheme="minorHAnsi"/>
        </w:rPr>
        <w:t xml:space="preserve">Barst RJ, Maislin G, Fishman AP. Vasodilator therapy for primary pulmonary hypertension in children. </w:t>
      </w:r>
      <w:r w:rsidRPr="00776099">
        <w:rPr>
          <w:rFonts w:asciiTheme="minorHAnsi" w:hAnsiTheme="minorHAnsi"/>
          <w:i/>
        </w:rPr>
        <w:t>Circulation</w:t>
      </w:r>
      <w:r w:rsidRPr="00776099">
        <w:rPr>
          <w:rFonts w:asciiTheme="minorHAnsi" w:hAnsiTheme="minorHAnsi"/>
        </w:rPr>
        <w:t>. 1999</w:t>
      </w:r>
      <w:proofErr w:type="gramStart"/>
      <w:r w:rsidRPr="00776099">
        <w:rPr>
          <w:rFonts w:asciiTheme="minorHAnsi" w:hAnsiTheme="minorHAnsi"/>
        </w:rPr>
        <w:t>;99</w:t>
      </w:r>
      <w:proofErr w:type="gramEnd"/>
      <w:r w:rsidRPr="00776099">
        <w:rPr>
          <w:rFonts w:asciiTheme="minorHAnsi" w:hAnsiTheme="minorHAnsi"/>
        </w:rPr>
        <w:t>(9):1197-028.</w:t>
      </w:r>
    </w:p>
    <w:p w:rsidR="001D0FDA" w:rsidRPr="00776099" w:rsidRDefault="001D0FDA" w:rsidP="001D0FDA">
      <w:pPr>
        <w:pStyle w:val="BodyText"/>
        <w:rPr>
          <w:rFonts w:asciiTheme="minorHAnsi" w:hAnsiTheme="minorHAnsi"/>
        </w:rPr>
      </w:pPr>
      <w:r w:rsidRPr="00776099">
        <w:rPr>
          <w:rFonts w:asciiTheme="minorHAnsi" w:hAnsiTheme="minorHAnsi"/>
        </w:rPr>
        <w:t xml:space="preserve">Barst RJ, Rubin LJ, McGoon MD, Caldwell EJ, Long WA, Levy PS. Survival in primary pulmonary hypertension with long-term continuous intravenous prostacyclin. </w:t>
      </w:r>
      <w:r w:rsidRPr="00776099">
        <w:rPr>
          <w:rFonts w:asciiTheme="minorHAnsi" w:hAnsiTheme="minorHAnsi"/>
          <w:i/>
        </w:rPr>
        <w:t>Annals of Internal Medicine</w:t>
      </w:r>
      <w:r w:rsidRPr="00776099">
        <w:rPr>
          <w:rFonts w:asciiTheme="minorHAnsi" w:hAnsiTheme="minorHAnsi"/>
        </w:rPr>
        <w:t>. 1994</w:t>
      </w:r>
      <w:proofErr w:type="gramStart"/>
      <w:r w:rsidRPr="00776099">
        <w:rPr>
          <w:rFonts w:asciiTheme="minorHAnsi" w:hAnsiTheme="minorHAnsi"/>
        </w:rPr>
        <w:t>;121</w:t>
      </w:r>
      <w:proofErr w:type="gramEnd"/>
      <w:r w:rsidRPr="00776099">
        <w:rPr>
          <w:rFonts w:asciiTheme="minorHAnsi" w:hAnsiTheme="minorHAnsi"/>
        </w:rPr>
        <w:t>(6):409-15.</w:t>
      </w:r>
    </w:p>
    <w:p w:rsidR="001D0FDA" w:rsidRPr="00776099" w:rsidRDefault="001D0FDA" w:rsidP="001D0FDA">
      <w:pPr>
        <w:pStyle w:val="BodyText"/>
        <w:rPr>
          <w:rFonts w:asciiTheme="minorHAnsi" w:hAnsiTheme="minorHAnsi"/>
        </w:rPr>
      </w:pPr>
      <w:r w:rsidRPr="00776099">
        <w:rPr>
          <w:rFonts w:asciiTheme="minorHAnsi" w:hAnsiTheme="minorHAnsi"/>
        </w:rPr>
        <w:t>Berger RMF, Haworth SG, Bonnet D, Dulac Y, Fraisse A, Galiè N, et al. FUTURE-2: Results from an open-label, long-term safety and tolerability extension study using the pediatric</w:t>
      </w:r>
      <w:r w:rsidRPr="00091BE6">
        <w:rPr>
          <w:rFonts w:ascii="Calibri" w:hAnsi="Calibri"/>
        </w:rPr>
        <w:t xml:space="preserve"> </w:t>
      </w:r>
      <w:r w:rsidRPr="00776099">
        <w:rPr>
          <w:rFonts w:asciiTheme="minorHAnsi" w:hAnsiTheme="minorHAnsi"/>
        </w:rPr>
        <w:t xml:space="preserve">FormUlation of bosenTan in pUlmonary arterial hypeRtEnsion. </w:t>
      </w:r>
      <w:r w:rsidRPr="00776099">
        <w:rPr>
          <w:rFonts w:asciiTheme="minorHAnsi" w:hAnsiTheme="minorHAnsi"/>
          <w:i/>
        </w:rPr>
        <w:t>International Journal of Cardiology</w:t>
      </w:r>
      <w:r w:rsidRPr="00776099">
        <w:rPr>
          <w:rFonts w:asciiTheme="minorHAnsi" w:hAnsiTheme="minorHAnsi"/>
        </w:rPr>
        <w:t>. 2016</w:t>
      </w:r>
      <w:proofErr w:type="gramStart"/>
      <w:r w:rsidRPr="00776099">
        <w:rPr>
          <w:rFonts w:asciiTheme="minorHAnsi" w:hAnsiTheme="minorHAnsi"/>
        </w:rPr>
        <w:t>;202:52</w:t>
      </w:r>
      <w:proofErr w:type="gramEnd"/>
      <w:r w:rsidRPr="00776099">
        <w:rPr>
          <w:rFonts w:asciiTheme="minorHAnsi" w:hAnsiTheme="minorHAnsi"/>
        </w:rPr>
        <w:t>-8.</w:t>
      </w:r>
    </w:p>
    <w:p w:rsidR="001D0FDA" w:rsidRPr="00776099" w:rsidRDefault="001D0FDA" w:rsidP="001D0FDA">
      <w:pPr>
        <w:pStyle w:val="BodyText"/>
        <w:rPr>
          <w:rFonts w:asciiTheme="minorHAnsi" w:hAnsiTheme="minorHAnsi"/>
        </w:rPr>
      </w:pPr>
      <w:r w:rsidRPr="00776099">
        <w:rPr>
          <w:rFonts w:asciiTheme="minorHAnsi" w:hAnsiTheme="minorHAnsi"/>
        </w:rPr>
        <w:t xml:space="preserve">Diller GP, Dimopoulos K, Kaya MG, Harries C, Uebing A, Li W, et al. Long-term safety, tolerability and efficacy of bosentan in adults with pulmonary arterial hypertension associated with congenital heart disease. </w:t>
      </w:r>
      <w:r w:rsidRPr="00776099">
        <w:rPr>
          <w:rFonts w:asciiTheme="minorHAnsi" w:hAnsiTheme="minorHAnsi"/>
          <w:i/>
        </w:rPr>
        <w:t>Heart</w:t>
      </w:r>
      <w:r w:rsidRPr="00776099">
        <w:rPr>
          <w:rFonts w:asciiTheme="minorHAnsi" w:hAnsiTheme="minorHAnsi"/>
        </w:rPr>
        <w:t>. 2007</w:t>
      </w:r>
      <w:proofErr w:type="gramStart"/>
      <w:r w:rsidRPr="00776099">
        <w:rPr>
          <w:rFonts w:asciiTheme="minorHAnsi" w:hAnsiTheme="minorHAnsi"/>
        </w:rPr>
        <w:t>;93</w:t>
      </w:r>
      <w:proofErr w:type="gramEnd"/>
      <w:r w:rsidRPr="00776099">
        <w:rPr>
          <w:rFonts w:asciiTheme="minorHAnsi" w:hAnsiTheme="minorHAnsi"/>
        </w:rPr>
        <w:t>(8):974-6.</w:t>
      </w:r>
    </w:p>
    <w:p w:rsidR="001D0FDA" w:rsidRPr="00776099" w:rsidRDefault="001D0FDA" w:rsidP="001D0FDA">
      <w:pPr>
        <w:pStyle w:val="BodyText"/>
        <w:rPr>
          <w:rFonts w:asciiTheme="minorHAnsi" w:hAnsiTheme="minorHAnsi"/>
        </w:rPr>
      </w:pPr>
      <w:r w:rsidRPr="00776099">
        <w:rPr>
          <w:rFonts w:asciiTheme="minorHAnsi" w:hAnsiTheme="minorHAnsi"/>
        </w:rPr>
        <w:t xml:space="preserve">Halank M, Hoeper MM, Ghofrani HA, Meyer FJ, Stähler G, Behr J, et al. Riociguat for pulmonary arterial hypertension and chronic thromboembolic pulmonary hypertension: Results from a phase II long-term extension study. </w:t>
      </w:r>
      <w:r w:rsidRPr="00776099">
        <w:rPr>
          <w:rFonts w:asciiTheme="minorHAnsi" w:hAnsiTheme="minorHAnsi"/>
          <w:i/>
        </w:rPr>
        <w:t>Respiratory Medicine</w:t>
      </w:r>
      <w:r w:rsidRPr="00776099">
        <w:rPr>
          <w:rFonts w:asciiTheme="minorHAnsi" w:hAnsiTheme="minorHAnsi"/>
        </w:rPr>
        <w:t>. 2017</w:t>
      </w:r>
      <w:proofErr w:type="gramStart"/>
      <w:r w:rsidRPr="00776099">
        <w:rPr>
          <w:rFonts w:asciiTheme="minorHAnsi" w:hAnsiTheme="minorHAnsi"/>
        </w:rPr>
        <w:t>;128:50</w:t>
      </w:r>
      <w:proofErr w:type="gramEnd"/>
      <w:r w:rsidRPr="00776099">
        <w:rPr>
          <w:rFonts w:asciiTheme="minorHAnsi" w:hAnsiTheme="minorHAnsi"/>
        </w:rPr>
        <w:t>-6.</w:t>
      </w:r>
    </w:p>
    <w:p w:rsidR="001D0FDA" w:rsidRPr="00776099" w:rsidRDefault="001D0FDA" w:rsidP="001D0FDA">
      <w:pPr>
        <w:pStyle w:val="BodyText"/>
        <w:rPr>
          <w:rFonts w:asciiTheme="minorHAnsi" w:hAnsiTheme="minorHAnsi"/>
        </w:rPr>
      </w:pPr>
      <w:r w:rsidRPr="00776099">
        <w:rPr>
          <w:rFonts w:asciiTheme="minorHAnsi" w:hAnsiTheme="minorHAnsi"/>
        </w:rPr>
        <w:t xml:space="preserve">Ivy DD, Calderbank M, Wagner BD, Dolan S, Nyquist AC, Wade M, et al. Closed-hub systems with protected connections and the reduction of risk of catheter-related bloodstream infection in pediatric patients receiving intravenous prostanoid therapy for pulmonary hypertension. </w:t>
      </w:r>
      <w:r w:rsidRPr="00776099">
        <w:rPr>
          <w:rFonts w:asciiTheme="minorHAnsi" w:hAnsiTheme="minorHAnsi"/>
          <w:i/>
        </w:rPr>
        <w:t>Infection Control and Hospital Epidemiology</w:t>
      </w:r>
      <w:r w:rsidRPr="00776099">
        <w:rPr>
          <w:rFonts w:asciiTheme="minorHAnsi" w:hAnsiTheme="minorHAnsi"/>
        </w:rPr>
        <w:t>. 2009</w:t>
      </w:r>
      <w:proofErr w:type="gramStart"/>
      <w:r w:rsidRPr="00776099">
        <w:rPr>
          <w:rFonts w:asciiTheme="minorHAnsi" w:hAnsiTheme="minorHAnsi"/>
        </w:rPr>
        <w:t>;30</w:t>
      </w:r>
      <w:proofErr w:type="gramEnd"/>
      <w:r w:rsidRPr="00776099">
        <w:rPr>
          <w:rFonts w:asciiTheme="minorHAnsi" w:hAnsiTheme="minorHAnsi"/>
        </w:rPr>
        <w:t>(9):823-9.</w:t>
      </w:r>
    </w:p>
    <w:p w:rsidR="001D0FDA" w:rsidRPr="00776099" w:rsidRDefault="001D0FDA" w:rsidP="001D0FDA">
      <w:pPr>
        <w:pStyle w:val="BodyText"/>
        <w:rPr>
          <w:rFonts w:asciiTheme="minorHAnsi" w:hAnsiTheme="minorHAnsi"/>
        </w:rPr>
      </w:pPr>
      <w:r w:rsidRPr="00776099">
        <w:rPr>
          <w:rFonts w:asciiTheme="minorHAnsi" w:hAnsiTheme="minorHAnsi"/>
        </w:rPr>
        <w:t xml:space="preserve">Johnson RF, Loyd JE, Mullican AL, Fink CA, Robbins IM. Long-term Follow-up </w:t>
      </w:r>
      <w:proofErr w:type="gramStart"/>
      <w:r w:rsidRPr="00776099">
        <w:rPr>
          <w:rFonts w:asciiTheme="minorHAnsi" w:hAnsiTheme="minorHAnsi"/>
        </w:rPr>
        <w:t>After</w:t>
      </w:r>
      <w:proofErr w:type="gramEnd"/>
      <w:r w:rsidRPr="00776099">
        <w:rPr>
          <w:rFonts w:asciiTheme="minorHAnsi" w:hAnsiTheme="minorHAnsi"/>
        </w:rPr>
        <w:t xml:space="preserve"> Conversion from Intravenous Epoprostenol to Oral Therapy With Bosentan or Sildenafil in 13 Patients With Pulmonary Arterial Hypertension. </w:t>
      </w:r>
      <w:r w:rsidRPr="00776099">
        <w:rPr>
          <w:rFonts w:asciiTheme="minorHAnsi" w:hAnsiTheme="minorHAnsi"/>
          <w:i/>
        </w:rPr>
        <w:t>Journal of Heart and Lung Transplantation</w:t>
      </w:r>
      <w:r w:rsidRPr="00776099">
        <w:rPr>
          <w:rFonts w:asciiTheme="minorHAnsi" w:hAnsiTheme="minorHAnsi"/>
        </w:rPr>
        <w:t>. 2007</w:t>
      </w:r>
      <w:proofErr w:type="gramStart"/>
      <w:r w:rsidRPr="00776099">
        <w:rPr>
          <w:rFonts w:asciiTheme="minorHAnsi" w:hAnsiTheme="minorHAnsi"/>
        </w:rPr>
        <w:t>;26</w:t>
      </w:r>
      <w:proofErr w:type="gramEnd"/>
      <w:r w:rsidRPr="00776099">
        <w:rPr>
          <w:rFonts w:asciiTheme="minorHAnsi" w:hAnsiTheme="minorHAnsi"/>
        </w:rPr>
        <w:t>(4):363-9.</w:t>
      </w:r>
    </w:p>
    <w:p w:rsidR="001D0FDA" w:rsidRPr="00776099" w:rsidRDefault="001D0FDA" w:rsidP="001D0FDA">
      <w:pPr>
        <w:pStyle w:val="BodyText"/>
        <w:rPr>
          <w:rFonts w:asciiTheme="minorHAnsi" w:hAnsiTheme="minorHAnsi"/>
        </w:rPr>
      </w:pPr>
      <w:r w:rsidRPr="00776099">
        <w:rPr>
          <w:rFonts w:asciiTheme="minorHAnsi" w:hAnsiTheme="minorHAnsi"/>
        </w:rPr>
        <w:t xml:space="preserve">Kaya MG, Lam YY, Erer B, Ayhan S, Vatankulu MA, Nurkalem Z, et al. Long-term effect of bosentan therapy on cardiac function and symptomatic benefits in adult patients with Eisenmenger syndrome. </w:t>
      </w:r>
      <w:r w:rsidRPr="00776099">
        <w:rPr>
          <w:rFonts w:asciiTheme="minorHAnsi" w:hAnsiTheme="minorHAnsi"/>
          <w:i/>
        </w:rPr>
        <w:t>Journal of Cardiac Failure</w:t>
      </w:r>
      <w:r w:rsidRPr="00776099">
        <w:rPr>
          <w:rFonts w:asciiTheme="minorHAnsi" w:hAnsiTheme="minorHAnsi"/>
        </w:rPr>
        <w:t>. 2012</w:t>
      </w:r>
      <w:proofErr w:type="gramStart"/>
      <w:r w:rsidRPr="00776099">
        <w:rPr>
          <w:rFonts w:asciiTheme="minorHAnsi" w:hAnsiTheme="minorHAnsi"/>
        </w:rPr>
        <w:t>;18</w:t>
      </w:r>
      <w:proofErr w:type="gramEnd"/>
      <w:r w:rsidRPr="00776099">
        <w:rPr>
          <w:rFonts w:asciiTheme="minorHAnsi" w:hAnsiTheme="minorHAnsi"/>
        </w:rPr>
        <w:t>(5):379-84.</w:t>
      </w:r>
    </w:p>
    <w:p w:rsidR="001D0FDA" w:rsidRPr="00776099" w:rsidRDefault="001D0FDA" w:rsidP="001D0FDA">
      <w:pPr>
        <w:pStyle w:val="BodyText"/>
        <w:rPr>
          <w:rFonts w:asciiTheme="minorHAnsi" w:hAnsiTheme="minorHAnsi"/>
        </w:rPr>
      </w:pPr>
      <w:r w:rsidRPr="00776099">
        <w:rPr>
          <w:rFonts w:asciiTheme="minorHAnsi" w:hAnsiTheme="minorHAnsi"/>
        </w:rPr>
        <w:t xml:space="preserve">Lammers AE, Hislop AA, Flynn Y, Haworth SG. Epoprostenol treatment in children with severe pulmonary hypertension. </w:t>
      </w:r>
      <w:r w:rsidRPr="00776099">
        <w:rPr>
          <w:rFonts w:asciiTheme="minorHAnsi" w:hAnsiTheme="minorHAnsi"/>
          <w:i/>
        </w:rPr>
        <w:t>Heart</w:t>
      </w:r>
      <w:r w:rsidRPr="00776099">
        <w:rPr>
          <w:rFonts w:asciiTheme="minorHAnsi" w:hAnsiTheme="minorHAnsi"/>
        </w:rPr>
        <w:t>. 2007</w:t>
      </w:r>
      <w:proofErr w:type="gramStart"/>
      <w:r w:rsidRPr="00776099">
        <w:rPr>
          <w:rFonts w:asciiTheme="minorHAnsi" w:hAnsiTheme="minorHAnsi"/>
        </w:rPr>
        <w:t>;93</w:t>
      </w:r>
      <w:proofErr w:type="gramEnd"/>
      <w:r w:rsidRPr="00776099">
        <w:rPr>
          <w:rFonts w:asciiTheme="minorHAnsi" w:hAnsiTheme="minorHAnsi"/>
        </w:rPr>
        <w:t>(6):739-43.</w:t>
      </w:r>
    </w:p>
    <w:p w:rsidR="001D0FDA" w:rsidRPr="00776099" w:rsidRDefault="001D0FDA" w:rsidP="001D0FDA">
      <w:pPr>
        <w:pStyle w:val="BodyText"/>
        <w:rPr>
          <w:rFonts w:asciiTheme="minorHAnsi" w:hAnsiTheme="minorHAnsi"/>
        </w:rPr>
      </w:pPr>
      <w:r w:rsidRPr="00776099">
        <w:rPr>
          <w:rFonts w:asciiTheme="minorHAnsi" w:hAnsiTheme="minorHAnsi"/>
        </w:rPr>
        <w:t xml:space="preserve">Matieli L, Berezovsky A, Salomão SR, Allemann N, Martins EN, Hirai FE, et al. Ocular toxicity assessment of chronic sildenafil therapy for pulmonary arterial hypertension. </w:t>
      </w:r>
      <w:r w:rsidRPr="00776099">
        <w:rPr>
          <w:rFonts w:asciiTheme="minorHAnsi" w:hAnsiTheme="minorHAnsi"/>
          <w:i/>
        </w:rPr>
        <w:t>Graefe's Archive for Clinical and Experimental Ophthalmology</w:t>
      </w:r>
      <w:r w:rsidRPr="00776099">
        <w:rPr>
          <w:rFonts w:asciiTheme="minorHAnsi" w:hAnsiTheme="minorHAnsi"/>
        </w:rPr>
        <w:t>. 2016</w:t>
      </w:r>
      <w:proofErr w:type="gramStart"/>
      <w:r w:rsidRPr="00776099">
        <w:rPr>
          <w:rFonts w:asciiTheme="minorHAnsi" w:hAnsiTheme="minorHAnsi"/>
        </w:rPr>
        <w:t>;254</w:t>
      </w:r>
      <w:proofErr w:type="gramEnd"/>
      <w:r w:rsidRPr="00776099">
        <w:rPr>
          <w:rFonts w:asciiTheme="minorHAnsi" w:hAnsiTheme="minorHAnsi"/>
        </w:rPr>
        <w:t>(6):1167-74.</w:t>
      </w:r>
    </w:p>
    <w:p w:rsidR="001D0FDA" w:rsidRPr="00776099" w:rsidRDefault="001D0FDA" w:rsidP="001D0FDA">
      <w:pPr>
        <w:pStyle w:val="BodyText"/>
        <w:rPr>
          <w:rFonts w:asciiTheme="minorHAnsi" w:hAnsiTheme="minorHAnsi"/>
        </w:rPr>
      </w:pPr>
      <w:r w:rsidRPr="00776099">
        <w:rPr>
          <w:rFonts w:asciiTheme="minorHAnsi" w:hAnsiTheme="minorHAnsi"/>
        </w:rPr>
        <w:t xml:space="preserve">Rosenzweig EB, Kerstein D, Barst RJ. Long-term prostacyclin for pulmonary hypertension with associated congenital heart defects. </w:t>
      </w:r>
      <w:r w:rsidRPr="00776099">
        <w:rPr>
          <w:rFonts w:asciiTheme="minorHAnsi" w:hAnsiTheme="minorHAnsi"/>
          <w:i/>
        </w:rPr>
        <w:t>Circulation</w:t>
      </w:r>
      <w:r w:rsidRPr="00776099">
        <w:rPr>
          <w:rFonts w:asciiTheme="minorHAnsi" w:hAnsiTheme="minorHAnsi"/>
        </w:rPr>
        <w:t>. 1999</w:t>
      </w:r>
      <w:proofErr w:type="gramStart"/>
      <w:r w:rsidRPr="00776099">
        <w:rPr>
          <w:rFonts w:asciiTheme="minorHAnsi" w:hAnsiTheme="minorHAnsi"/>
        </w:rPr>
        <w:t>;99</w:t>
      </w:r>
      <w:proofErr w:type="gramEnd"/>
      <w:r w:rsidRPr="00776099">
        <w:rPr>
          <w:rFonts w:asciiTheme="minorHAnsi" w:hAnsiTheme="minorHAnsi"/>
        </w:rPr>
        <w:t>(14):1858-65.</w:t>
      </w:r>
    </w:p>
    <w:p w:rsidR="001D0FDA" w:rsidRPr="00776099" w:rsidRDefault="001D0FDA" w:rsidP="001D0FDA">
      <w:pPr>
        <w:pStyle w:val="BodyText"/>
        <w:rPr>
          <w:rFonts w:asciiTheme="minorHAnsi" w:hAnsiTheme="minorHAnsi"/>
        </w:rPr>
      </w:pPr>
      <w:r w:rsidRPr="00776099">
        <w:rPr>
          <w:rFonts w:asciiTheme="minorHAnsi" w:hAnsiTheme="minorHAnsi"/>
        </w:rPr>
        <w:t xml:space="preserve">Rotondo C, Praino E, Nivuori M, di Serio F, Lapadula G, Iannone F. No changes in N-terminal pro-brain natriuretic peptide in a longitudinal cohort of patients with systemic sclerosis-associated pulmonary arterial hypertension on therapy with bosentan. </w:t>
      </w:r>
      <w:r w:rsidRPr="00776099">
        <w:rPr>
          <w:rFonts w:asciiTheme="minorHAnsi" w:hAnsiTheme="minorHAnsi"/>
          <w:i/>
        </w:rPr>
        <w:t>International Journal of Rheumatic Diseases</w:t>
      </w:r>
      <w:r w:rsidRPr="00776099">
        <w:rPr>
          <w:rFonts w:asciiTheme="minorHAnsi" w:hAnsiTheme="minorHAnsi"/>
        </w:rPr>
        <w:t>. 2017</w:t>
      </w:r>
      <w:proofErr w:type="gramStart"/>
      <w:r w:rsidRPr="00776099">
        <w:rPr>
          <w:rFonts w:asciiTheme="minorHAnsi" w:hAnsiTheme="minorHAnsi"/>
        </w:rPr>
        <w:t>;20</w:t>
      </w:r>
      <w:proofErr w:type="gramEnd"/>
      <w:r w:rsidRPr="00776099">
        <w:rPr>
          <w:rFonts w:asciiTheme="minorHAnsi" w:hAnsiTheme="minorHAnsi"/>
        </w:rPr>
        <w:t>(1):90-6.</w:t>
      </w:r>
    </w:p>
    <w:p w:rsidR="001D0FDA" w:rsidRPr="00776099" w:rsidRDefault="001D0FDA" w:rsidP="001D0FDA">
      <w:pPr>
        <w:pStyle w:val="BodyText"/>
        <w:rPr>
          <w:rFonts w:asciiTheme="minorHAnsi" w:hAnsiTheme="minorHAnsi"/>
        </w:rPr>
      </w:pPr>
      <w:r w:rsidRPr="00776099">
        <w:rPr>
          <w:rFonts w:asciiTheme="minorHAnsi" w:hAnsiTheme="minorHAnsi"/>
        </w:rPr>
        <w:t xml:space="preserve">Ruiz MJ, Escribano P, Delgado JF, Jimenez C, Tello R, Gomez MA, et al. Efficacy of sildenafil as a rescue therapy for patients with severe pulmonary arterial hypertension and given long-term treatment with prostanoids: 2-year experience. </w:t>
      </w:r>
      <w:r w:rsidRPr="00776099">
        <w:rPr>
          <w:rFonts w:asciiTheme="minorHAnsi" w:hAnsiTheme="minorHAnsi"/>
          <w:i/>
        </w:rPr>
        <w:t>J Heart Lung Transplant</w:t>
      </w:r>
      <w:r w:rsidRPr="00776099">
        <w:rPr>
          <w:rFonts w:asciiTheme="minorHAnsi" w:hAnsiTheme="minorHAnsi"/>
        </w:rPr>
        <w:t>. 2006</w:t>
      </w:r>
      <w:proofErr w:type="gramStart"/>
      <w:r w:rsidRPr="00776099">
        <w:rPr>
          <w:rFonts w:asciiTheme="minorHAnsi" w:hAnsiTheme="minorHAnsi"/>
        </w:rPr>
        <w:t>;25</w:t>
      </w:r>
      <w:proofErr w:type="gramEnd"/>
      <w:r w:rsidRPr="00776099">
        <w:rPr>
          <w:rFonts w:asciiTheme="minorHAnsi" w:hAnsiTheme="minorHAnsi"/>
        </w:rPr>
        <w:t>(11):1353-7.</w:t>
      </w:r>
    </w:p>
    <w:p w:rsidR="001D0FDA" w:rsidRPr="00776099" w:rsidRDefault="001D0FDA" w:rsidP="001D0FDA">
      <w:pPr>
        <w:pStyle w:val="BodyText"/>
        <w:rPr>
          <w:rFonts w:asciiTheme="minorHAnsi" w:hAnsiTheme="minorHAnsi"/>
        </w:rPr>
      </w:pPr>
      <w:r w:rsidRPr="00776099">
        <w:rPr>
          <w:rFonts w:asciiTheme="minorHAnsi" w:hAnsiTheme="minorHAnsi"/>
        </w:rPr>
        <w:t xml:space="preserve">Sasayama S, Satoh T, Izumi T, Yoshida S, Kyotani S, Tahara N. Long-term trial of bosentan monotherapy for pulmonary arterial hypertension in Japanese patients. </w:t>
      </w:r>
      <w:r w:rsidRPr="00776099">
        <w:rPr>
          <w:rFonts w:asciiTheme="minorHAnsi" w:hAnsiTheme="minorHAnsi"/>
          <w:i/>
        </w:rPr>
        <w:t>Current Medical Research and Opinion</w:t>
      </w:r>
      <w:r w:rsidRPr="00776099">
        <w:rPr>
          <w:rFonts w:asciiTheme="minorHAnsi" w:hAnsiTheme="minorHAnsi"/>
        </w:rPr>
        <w:t>. 2007</w:t>
      </w:r>
      <w:proofErr w:type="gramStart"/>
      <w:r w:rsidRPr="00776099">
        <w:rPr>
          <w:rFonts w:asciiTheme="minorHAnsi" w:hAnsiTheme="minorHAnsi"/>
        </w:rPr>
        <w:t>;23</w:t>
      </w:r>
      <w:proofErr w:type="gramEnd"/>
      <w:r w:rsidRPr="00776099">
        <w:rPr>
          <w:rFonts w:asciiTheme="minorHAnsi" w:hAnsiTheme="minorHAnsi"/>
        </w:rPr>
        <w:t>(2):395-400.</w:t>
      </w:r>
    </w:p>
    <w:p w:rsidR="001D0FDA" w:rsidRPr="00776099" w:rsidRDefault="001D0FDA" w:rsidP="001D0FDA">
      <w:pPr>
        <w:pStyle w:val="BodyText"/>
        <w:rPr>
          <w:rFonts w:asciiTheme="minorHAnsi" w:hAnsiTheme="minorHAnsi"/>
        </w:rPr>
      </w:pPr>
      <w:r w:rsidRPr="00776099">
        <w:rPr>
          <w:rFonts w:asciiTheme="minorHAnsi" w:hAnsiTheme="minorHAnsi"/>
        </w:rPr>
        <w:t xml:space="preserve">Savale L, Magnier R, Le Pavec J, Jaïs X, Montani D, O'Callaghan DS, et al. Efficacy, safety and pharmacokinetics of bosentan in portopulmonary hypertension. </w:t>
      </w:r>
      <w:r w:rsidRPr="00776099">
        <w:rPr>
          <w:rFonts w:asciiTheme="minorHAnsi" w:hAnsiTheme="minorHAnsi"/>
          <w:i/>
        </w:rPr>
        <w:t>European Respiratory Journal</w:t>
      </w:r>
      <w:r w:rsidRPr="00776099">
        <w:rPr>
          <w:rFonts w:asciiTheme="minorHAnsi" w:hAnsiTheme="minorHAnsi"/>
        </w:rPr>
        <w:t>. 2013</w:t>
      </w:r>
      <w:proofErr w:type="gramStart"/>
      <w:r w:rsidRPr="00776099">
        <w:rPr>
          <w:rFonts w:asciiTheme="minorHAnsi" w:hAnsiTheme="minorHAnsi"/>
        </w:rPr>
        <w:t>;41</w:t>
      </w:r>
      <w:proofErr w:type="gramEnd"/>
      <w:r w:rsidRPr="00776099">
        <w:rPr>
          <w:rFonts w:asciiTheme="minorHAnsi" w:hAnsiTheme="minorHAnsi"/>
        </w:rPr>
        <w:t>(1):96-103.</w:t>
      </w:r>
    </w:p>
    <w:p w:rsidR="001D0FDA" w:rsidRPr="00776099" w:rsidRDefault="001D0FDA" w:rsidP="001D0FDA">
      <w:pPr>
        <w:pStyle w:val="BodyText"/>
        <w:rPr>
          <w:rFonts w:asciiTheme="minorHAnsi" w:hAnsiTheme="minorHAnsi"/>
        </w:rPr>
      </w:pPr>
      <w:r w:rsidRPr="00776099">
        <w:rPr>
          <w:rFonts w:asciiTheme="minorHAnsi" w:hAnsiTheme="minorHAnsi"/>
        </w:rPr>
        <w:t xml:space="preserve">Schulze-Neick I, Gilbert N, Ewert R, Witt C, Gruenig E, Enke B, et al. Adult patients with congenital heart disease and pulmonary arterial hypertension: </w:t>
      </w:r>
      <w:proofErr w:type="gramStart"/>
      <w:r w:rsidRPr="00776099">
        <w:rPr>
          <w:rFonts w:asciiTheme="minorHAnsi" w:hAnsiTheme="minorHAnsi"/>
        </w:rPr>
        <w:t>First</w:t>
      </w:r>
      <w:proofErr w:type="gramEnd"/>
      <w:r w:rsidRPr="00776099">
        <w:rPr>
          <w:rFonts w:asciiTheme="minorHAnsi" w:hAnsiTheme="minorHAnsi"/>
        </w:rPr>
        <w:t xml:space="preserve"> open prospective multicenter study of bosentan therapy. </w:t>
      </w:r>
      <w:r w:rsidRPr="00776099">
        <w:rPr>
          <w:rFonts w:asciiTheme="minorHAnsi" w:hAnsiTheme="minorHAnsi"/>
          <w:i/>
        </w:rPr>
        <w:t>American Heart Journal</w:t>
      </w:r>
      <w:r w:rsidRPr="00776099">
        <w:rPr>
          <w:rFonts w:asciiTheme="minorHAnsi" w:hAnsiTheme="minorHAnsi"/>
        </w:rPr>
        <w:t>. 2005</w:t>
      </w:r>
      <w:proofErr w:type="gramStart"/>
      <w:r w:rsidRPr="00776099">
        <w:rPr>
          <w:rFonts w:asciiTheme="minorHAnsi" w:hAnsiTheme="minorHAnsi"/>
        </w:rPr>
        <w:t>;150</w:t>
      </w:r>
      <w:proofErr w:type="gramEnd"/>
      <w:r w:rsidRPr="00776099">
        <w:rPr>
          <w:rFonts w:asciiTheme="minorHAnsi" w:hAnsiTheme="minorHAnsi"/>
        </w:rPr>
        <w:t>(4):716.e7-.e12.</w:t>
      </w:r>
    </w:p>
    <w:p w:rsidR="001D0FDA" w:rsidRPr="00776099" w:rsidRDefault="001D0FDA" w:rsidP="001D0FDA">
      <w:pPr>
        <w:pStyle w:val="BodyText"/>
        <w:rPr>
          <w:rFonts w:asciiTheme="minorHAnsi" w:hAnsiTheme="minorHAnsi"/>
        </w:rPr>
      </w:pPr>
      <w:r w:rsidRPr="00776099">
        <w:rPr>
          <w:rFonts w:asciiTheme="minorHAnsi" w:hAnsiTheme="minorHAnsi"/>
        </w:rPr>
        <w:t xml:space="preserve">Sitbon O, Jaïs X, Savale L, Cottin V, Bergot E, Macari EA, et al. Upfront triple combination therapy in pulmonary arterial hypertension: A pilot study. </w:t>
      </w:r>
      <w:r w:rsidRPr="00776099">
        <w:rPr>
          <w:rFonts w:asciiTheme="minorHAnsi" w:hAnsiTheme="minorHAnsi"/>
          <w:i/>
        </w:rPr>
        <w:t>European Respiratory Journal</w:t>
      </w:r>
      <w:r w:rsidRPr="00776099">
        <w:rPr>
          <w:rFonts w:asciiTheme="minorHAnsi" w:hAnsiTheme="minorHAnsi"/>
        </w:rPr>
        <w:t>. 2014</w:t>
      </w:r>
      <w:proofErr w:type="gramStart"/>
      <w:r w:rsidRPr="00776099">
        <w:rPr>
          <w:rFonts w:asciiTheme="minorHAnsi" w:hAnsiTheme="minorHAnsi"/>
        </w:rPr>
        <w:t>;43</w:t>
      </w:r>
      <w:proofErr w:type="gramEnd"/>
      <w:r w:rsidRPr="00776099">
        <w:rPr>
          <w:rFonts w:asciiTheme="minorHAnsi" w:hAnsiTheme="minorHAnsi"/>
        </w:rPr>
        <w:t>(6):1691-7.</w:t>
      </w:r>
    </w:p>
    <w:p w:rsidR="001D0FDA" w:rsidRPr="00776099" w:rsidRDefault="001D0FDA" w:rsidP="001D0FDA">
      <w:pPr>
        <w:pStyle w:val="BodyText"/>
        <w:rPr>
          <w:rFonts w:asciiTheme="minorHAnsi" w:hAnsiTheme="minorHAnsi"/>
        </w:rPr>
      </w:pPr>
      <w:proofErr w:type="gramStart"/>
      <w:r w:rsidRPr="00776099">
        <w:rPr>
          <w:rFonts w:asciiTheme="minorHAnsi" w:hAnsiTheme="minorHAnsi"/>
        </w:rPr>
        <w:t>van</w:t>
      </w:r>
      <w:proofErr w:type="gramEnd"/>
      <w:r w:rsidRPr="00776099">
        <w:rPr>
          <w:rFonts w:asciiTheme="minorHAnsi" w:hAnsiTheme="minorHAnsi"/>
        </w:rPr>
        <w:t xml:space="preserve"> Loon RLE, Hoendermis ES, Duffels MGJ, Vonk-Noordegraaf A, Mulder BJM, Hillege HL, et al. Long-term effect of bosentan in adults versus children with pulmonary arterial hypertension associated with systemic-to-pulmonary shunt: Does the beneficial effect persist? </w:t>
      </w:r>
      <w:r w:rsidRPr="00776099">
        <w:rPr>
          <w:rFonts w:asciiTheme="minorHAnsi" w:hAnsiTheme="minorHAnsi"/>
          <w:i/>
        </w:rPr>
        <w:t>American Heart Journal.</w:t>
      </w:r>
      <w:r w:rsidRPr="00776099">
        <w:rPr>
          <w:rFonts w:asciiTheme="minorHAnsi" w:hAnsiTheme="minorHAnsi"/>
        </w:rPr>
        <w:t xml:space="preserve"> 2007</w:t>
      </w:r>
      <w:proofErr w:type="gramStart"/>
      <w:r w:rsidRPr="00776099">
        <w:rPr>
          <w:rFonts w:asciiTheme="minorHAnsi" w:hAnsiTheme="minorHAnsi"/>
        </w:rPr>
        <w:t>;154</w:t>
      </w:r>
      <w:proofErr w:type="gramEnd"/>
      <w:r w:rsidRPr="00776099">
        <w:rPr>
          <w:rFonts w:asciiTheme="minorHAnsi" w:hAnsiTheme="minorHAnsi"/>
        </w:rPr>
        <w:t>(4):776-82.</w:t>
      </w:r>
    </w:p>
    <w:p w:rsidR="001D0FDA" w:rsidRPr="00776099" w:rsidRDefault="001D0FDA" w:rsidP="001D0FDA">
      <w:pPr>
        <w:pStyle w:val="BodyText"/>
        <w:rPr>
          <w:rFonts w:asciiTheme="minorHAnsi" w:hAnsiTheme="minorHAnsi"/>
        </w:rPr>
      </w:pPr>
      <w:r w:rsidRPr="00776099">
        <w:rPr>
          <w:rFonts w:asciiTheme="minorHAnsi" w:hAnsiTheme="minorHAnsi"/>
        </w:rPr>
        <w:t xml:space="preserve">Yoshida S, Shirato K, Shimamura R, Iwase T, Aoyagi N, Nakajima H. Long-term safety and efficacy of ambrisentan in Japanese adults with pulmonary arterial hypertension. </w:t>
      </w:r>
      <w:r w:rsidRPr="00776099">
        <w:rPr>
          <w:rFonts w:asciiTheme="minorHAnsi" w:hAnsiTheme="minorHAnsi"/>
          <w:i/>
        </w:rPr>
        <w:t>Current Medical Research and Opinion</w:t>
      </w:r>
      <w:r w:rsidRPr="00776099">
        <w:rPr>
          <w:rFonts w:asciiTheme="minorHAnsi" w:hAnsiTheme="minorHAnsi"/>
        </w:rPr>
        <w:t>. 2012</w:t>
      </w:r>
      <w:proofErr w:type="gramStart"/>
      <w:r w:rsidRPr="00776099">
        <w:rPr>
          <w:rFonts w:asciiTheme="minorHAnsi" w:hAnsiTheme="minorHAnsi"/>
        </w:rPr>
        <w:t>;28</w:t>
      </w:r>
      <w:proofErr w:type="gramEnd"/>
      <w:r w:rsidRPr="00776099">
        <w:rPr>
          <w:rFonts w:asciiTheme="minorHAnsi" w:hAnsiTheme="minorHAnsi"/>
        </w:rPr>
        <w:t>(6):1069-76.</w:t>
      </w:r>
    </w:p>
    <w:p w:rsidR="001D0FDA" w:rsidRPr="00776099" w:rsidRDefault="001D0FDA" w:rsidP="001D0FDA">
      <w:pPr>
        <w:pStyle w:val="BodyText"/>
        <w:rPr>
          <w:rFonts w:asciiTheme="minorHAnsi" w:hAnsiTheme="minorHAnsi"/>
        </w:rPr>
      </w:pPr>
      <w:r w:rsidRPr="00776099">
        <w:rPr>
          <w:rFonts w:asciiTheme="minorHAnsi" w:hAnsiTheme="minorHAnsi"/>
        </w:rPr>
        <w:t xml:space="preserve">Zuckerman WA, Leaderer D, Rowan CA, Mituniewicz JD, Rosenzweig EB. Ambrisentan for pulmonary arterial hypertension due to congenital heart disease. </w:t>
      </w:r>
      <w:r w:rsidRPr="00776099">
        <w:rPr>
          <w:rFonts w:asciiTheme="minorHAnsi" w:hAnsiTheme="minorHAnsi"/>
          <w:i/>
        </w:rPr>
        <w:t>American Journal of Cardiology</w:t>
      </w:r>
      <w:r w:rsidRPr="00776099">
        <w:rPr>
          <w:rFonts w:asciiTheme="minorHAnsi" w:hAnsiTheme="minorHAnsi"/>
        </w:rPr>
        <w:t>. 2011</w:t>
      </w:r>
      <w:proofErr w:type="gramStart"/>
      <w:r w:rsidRPr="00776099">
        <w:rPr>
          <w:rFonts w:asciiTheme="minorHAnsi" w:hAnsiTheme="minorHAnsi"/>
        </w:rPr>
        <w:t>;107</w:t>
      </w:r>
      <w:proofErr w:type="gramEnd"/>
      <w:r w:rsidRPr="00776099">
        <w:rPr>
          <w:rFonts w:asciiTheme="minorHAnsi" w:hAnsiTheme="minorHAnsi"/>
        </w:rPr>
        <w:t>(9):1381-5.</w:t>
      </w:r>
    </w:p>
    <w:p w:rsidR="001D0FDA" w:rsidRPr="00091BE6" w:rsidRDefault="001D0FDA" w:rsidP="001D0FDA">
      <w:pPr>
        <w:pStyle w:val="BodyText"/>
        <w:rPr>
          <w:rFonts w:ascii="Calibri" w:hAnsi="Calibri"/>
        </w:rPr>
      </w:pPr>
    </w:p>
    <w:p w:rsidR="001D0FDA" w:rsidRDefault="001D0FDA" w:rsidP="001D0FDA">
      <w:pPr>
        <w:pStyle w:val="BodyText"/>
        <w:sectPr w:rsidR="001D0FDA" w:rsidSect="001D0FDA">
          <w:footnotePr>
            <w:numFmt w:val="chicago"/>
          </w:footnotePr>
          <w:pgSz w:w="11906" w:h="16838"/>
          <w:pgMar w:top="1134" w:right="1134" w:bottom="1134" w:left="1134" w:header="709" w:footer="709" w:gutter="0"/>
          <w:cols w:space="708"/>
          <w:docGrid w:linePitch="360"/>
        </w:sectPr>
      </w:pPr>
    </w:p>
    <w:p w:rsidR="00CC3BA4" w:rsidRPr="00E564DD" w:rsidRDefault="00CC3BA4" w:rsidP="00BF48DF">
      <w:pPr>
        <w:pStyle w:val="Heading2"/>
        <w:numPr>
          <w:ilvl w:val="0"/>
          <w:numId w:val="0"/>
        </w:numPr>
      </w:pPr>
      <w:bookmarkStart w:id="500" w:name="_Toc38360295"/>
      <w:r w:rsidRPr="00E564DD">
        <w:t xml:space="preserve">Appendix </w:t>
      </w:r>
      <w:r w:rsidR="00C41087">
        <w:t>4.</w:t>
      </w:r>
      <w:r w:rsidR="001B552D">
        <w:t>C</w:t>
      </w:r>
      <w:r w:rsidR="00701049">
        <w:tab/>
      </w:r>
      <w:r w:rsidRPr="00E564DD">
        <w:t>Evidence Profile Tables</w:t>
      </w:r>
      <w:bookmarkEnd w:id="492"/>
      <w:bookmarkEnd w:id="500"/>
    </w:p>
    <w:p w:rsidR="00CC3BA4" w:rsidRDefault="00CC3BA4" w:rsidP="00BF48DF">
      <w:pPr>
        <w:pStyle w:val="Heading3"/>
        <w:numPr>
          <w:ilvl w:val="0"/>
          <w:numId w:val="0"/>
        </w:numPr>
      </w:pPr>
      <w:bookmarkStart w:id="501" w:name="_Toc38360296"/>
      <w:bookmarkStart w:id="502" w:name="_Ref421016257"/>
      <w:bookmarkStart w:id="503" w:name="_Toc423450296"/>
      <w:r>
        <w:t>Question 1</w:t>
      </w:r>
      <w:bookmarkEnd w:id="501"/>
    </w:p>
    <w:p w:rsidR="00CC3BA4" w:rsidRPr="005D4CA0" w:rsidRDefault="00796F18" w:rsidP="00796F18">
      <w:pPr>
        <w:pStyle w:val="Caption"/>
      </w:pPr>
      <w:bookmarkStart w:id="504" w:name="_Ref506371083"/>
      <w:bookmarkStart w:id="505" w:name="_Toc38360443"/>
      <w:bookmarkEnd w:id="502"/>
      <w:r>
        <w:t>Table 4.</w:t>
      </w:r>
      <w:r w:rsidR="003951FA">
        <w:rPr>
          <w:noProof/>
        </w:rPr>
        <w:t>146</w:t>
      </w:r>
      <w:bookmarkEnd w:id="504"/>
      <w:r>
        <w:tab/>
      </w:r>
      <w:r w:rsidR="00CC3BA4" w:rsidRPr="005D4CA0">
        <w:t xml:space="preserve">Evidence profile table for ERA compared </w:t>
      </w:r>
      <w:r w:rsidR="00974AD8">
        <w:t>with</w:t>
      </w:r>
      <w:r w:rsidR="00CC3BA4" w:rsidRPr="005D4CA0">
        <w:t xml:space="preserve"> placebo for </w:t>
      </w:r>
      <w:bookmarkEnd w:id="503"/>
      <w:r w:rsidR="00CC3BA4" w:rsidRPr="005D4CA0">
        <w:t>patients with WHO FC I/II PAH</w:t>
      </w:r>
      <w:bookmarkEnd w:id="505"/>
    </w:p>
    <w:tbl>
      <w:tblPr>
        <w:tblStyle w:val="TableGrid"/>
        <w:tblW w:w="14738" w:type="dxa"/>
        <w:tblLayout w:type="fixed"/>
        <w:tblLook w:val="04A0" w:firstRow="1" w:lastRow="0" w:firstColumn="1" w:lastColumn="0" w:noHBand="0" w:noVBand="1"/>
        <w:tblCaption w:val="Evidence profile table for ERA compared with placebo for patients with WHO FC I/II PAH"/>
      </w:tblPr>
      <w:tblGrid>
        <w:gridCol w:w="1413"/>
        <w:gridCol w:w="1134"/>
        <w:gridCol w:w="912"/>
        <w:gridCol w:w="931"/>
        <w:gridCol w:w="1134"/>
        <w:gridCol w:w="992"/>
        <w:gridCol w:w="1276"/>
        <w:gridCol w:w="1417"/>
        <w:gridCol w:w="1134"/>
        <w:gridCol w:w="993"/>
        <w:gridCol w:w="2188"/>
        <w:gridCol w:w="1214"/>
      </w:tblGrid>
      <w:tr w:rsidR="00CC3BA4" w:rsidRPr="00F05153" w:rsidTr="00BC7F74">
        <w:trPr>
          <w:cnfStyle w:val="100000000000" w:firstRow="1" w:lastRow="0" w:firstColumn="0" w:lastColumn="0" w:oddVBand="0" w:evenVBand="0" w:oddHBand="0" w:evenHBand="0" w:firstRowFirstColumn="0" w:firstRowLastColumn="0" w:lastRowFirstColumn="0" w:lastRowLastColumn="0"/>
          <w:trHeight w:val="413"/>
        </w:trPr>
        <w:tc>
          <w:tcPr>
            <w:tcW w:w="1413" w:type="dxa"/>
          </w:tcPr>
          <w:p w:rsidR="00064FEF" w:rsidRPr="00091BE6" w:rsidRDefault="00CC3BA4" w:rsidP="00C73C64">
            <w:pPr>
              <w:pStyle w:val="Tabletext"/>
              <w:rPr>
                <w:rFonts w:cs="Arial"/>
                <w:b/>
              </w:rPr>
            </w:pPr>
            <w:r w:rsidRPr="00091BE6">
              <w:rPr>
                <w:rFonts w:cs="Arial"/>
                <w:b/>
              </w:rPr>
              <w:t>Outcome</w:t>
            </w:r>
          </w:p>
          <w:p w:rsidR="00CC3BA4" w:rsidRPr="00091BE6" w:rsidRDefault="00CC3BA4" w:rsidP="00C73C64">
            <w:pPr>
              <w:pStyle w:val="Tabletext"/>
              <w:rPr>
                <w:rFonts w:cs="Arial"/>
                <w:b/>
              </w:rPr>
            </w:pPr>
            <w:r w:rsidRPr="00091BE6">
              <w:rPr>
                <w:rFonts w:cs="Arial"/>
                <w:b/>
              </w:rPr>
              <w:t>(follow-up)</w:t>
            </w:r>
          </w:p>
        </w:tc>
        <w:tc>
          <w:tcPr>
            <w:tcW w:w="1134" w:type="dxa"/>
          </w:tcPr>
          <w:p w:rsidR="00CC3BA4" w:rsidRPr="00091BE6" w:rsidRDefault="00CC3BA4" w:rsidP="00C73C64">
            <w:pPr>
              <w:pStyle w:val="Tabletext"/>
              <w:rPr>
                <w:rFonts w:cs="Arial"/>
                <w:b/>
              </w:rPr>
            </w:pPr>
            <w:r w:rsidRPr="00091BE6">
              <w:rPr>
                <w:rFonts w:cs="Arial"/>
                <w:b/>
              </w:rPr>
              <w:t>No. of studies and study design</w:t>
            </w:r>
          </w:p>
        </w:tc>
        <w:tc>
          <w:tcPr>
            <w:tcW w:w="912" w:type="dxa"/>
          </w:tcPr>
          <w:p w:rsidR="00CC3BA4" w:rsidRPr="00091BE6" w:rsidRDefault="00CC3BA4" w:rsidP="00C73C64">
            <w:pPr>
              <w:pStyle w:val="Tabletext"/>
              <w:rPr>
                <w:rFonts w:cs="Arial"/>
                <w:b/>
              </w:rPr>
            </w:pPr>
            <w:r w:rsidRPr="00091BE6">
              <w:rPr>
                <w:rFonts w:cs="Arial"/>
                <w:b/>
              </w:rPr>
              <w:t>Risk of bias</w:t>
            </w:r>
          </w:p>
        </w:tc>
        <w:tc>
          <w:tcPr>
            <w:tcW w:w="931" w:type="dxa"/>
          </w:tcPr>
          <w:p w:rsidR="00CC3BA4" w:rsidRPr="00091BE6" w:rsidRDefault="00CC3BA4" w:rsidP="00C73C64">
            <w:pPr>
              <w:pStyle w:val="Tabletext"/>
              <w:rPr>
                <w:rFonts w:cs="Arial"/>
                <w:b/>
              </w:rPr>
            </w:pPr>
            <w:r w:rsidRPr="00091BE6">
              <w:rPr>
                <w:rFonts w:cs="Arial"/>
                <w:b/>
              </w:rPr>
              <w:t>Incon</w:t>
            </w:r>
            <w:r w:rsidR="00BC7F74" w:rsidRPr="00091BE6">
              <w:rPr>
                <w:rFonts w:cs="Arial"/>
                <w:b/>
              </w:rPr>
              <w:t>-</w:t>
            </w:r>
            <w:r w:rsidRPr="00091BE6">
              <w:rPr>
                <w:rFonts w:cs="Arial"/>
                <w:b/>
              </w:rPr>
              <w:t>sistency</w:t>
            </w:r>
          </w:p>
        </w:tc>
        <w:tc>
          <w:tcPr>
            <w:tcW w:w="1134" w:type="dxa"/>
          </w:tcPr>
          <w:p w:rsidR="00CC3BA4" w:rsidRPr="00091BE6" w:rsidRDefault="00CC3BA4" w:rsidP="00C73C64">
            <w:pPr>
              <w:pStyle w:val="Tabletext"/>
              <w:rPr>
                <w:rFonts w:cs="Arial"/>
                <w:b/>
              </w:rPr>
            </w:pPr>
            <w:r w:rsidRPr="00091BE6">
              <w:rPr>
                <w:rFonts w:cs="Arial"/>
                <w:b/>
              </w:rPr>
              <w:t>Indirect</w:t>
            </w:r>
            <w:r w:rsidR="00BC7F74" w:rsidRPr="00091BE6">
              <w:rPr>
                <w:rFonts w:cs="Arial"/>
                <w:b/>
              </w:rPr>
              <w:t>-</w:t>
            </w:r>
            <w:r w:rsidRPr="00091BE6">
              <w:rPr>
                <w:rFonts w:cs="Arial"/>
                <w:b/>
              </w:rPr>
              <w:t>ness</w:t>
            </w:r>
          </w:p>
        </w:tc>
        <w:tc>
          <w:tcPr>
            <w:tcW w:w="992" w:type="dxa"/>
          </w:tcPr>
          <w:p w:rsidR="00CC3BA4" w:rsidRPr="00091BE6" w:rsidRDefault="00CC3BA4" w:rsidP="00C73C64">
            <w:pPr>
              <w:pStyle w:val="Tabletext"/>
              <w:rPr>
                <w:rFonts w:cs="Arial"/>
                <w:b/>
              </w:rPr>
            </w:pPr>
            <w:r w:rsidRPr="00091BE6">
              <w:rPr>
                <w:rFonts w:cs="Arial"/>
                <w:b/>
              </w:rPr>
              <w:t>Impre</w:t>
            </w:r>
            <w:r w:rsidR="00BC7F74" w:rsidRPr="00091BE6">
              <w:rPr>
                <w:rFonts w:cs="Arial"/>
                <w:b/>
              </w:rPr>
              <w:t>-</w:t>
            </w:r>
            <w:r w:rsidRPr="00091BE6">
              <w:rPr>
                <w:rFonts w:cs="Arial"/>
                <w:b/>
              </w:rPr>
              <w:t>cision</w:t>
            </w:r>
          </w:p>
        </w:tc>
        <w:tc>
          <w:tcPr>
            <w:tcW w:w="1276" w:type="dxa"/>
          </w:tcPr>
          <w:p w:rsidR="00CC3BA4" w:rsidRPr="00091BE6" w:rsidRDefault="00CC3BA4" w:rsidP="00476F09">
            <w:pPr>
              <w:pStyle w:val="Tabletext"/>
              <w:rPr>
                <w:rFonts w:cs="Arial"/>
                <w:b/>
              </w:rPr>
            </w:pPr>
            <w:r w:rsidRPr="00091BE6">
              <w:rPr>
                <w:rFonts w:cs="Arial"/>
                <w:b/>
              </w:rPr>
              <w:t>Other conside</w:t>
            </w:r>
            <w:r w:rsidR="00BC7F74" w:rsidRPr="00091BE6">
              <w:rPr>
                <w:rFonts w:cs="Arial"/>
                <w:b/>
              </w:rPr>
              <w:t>-</w:t>
            </w:r>
            <w:r w:rsidRPr="00091BE6">
              <w:rPr>
                <w:rFonts w:cs="Arial"/>
                <w:b/>
              </w:rPr>
              <w:t>rations</w:t>
            </w:r>
            <w:r w:rsidRPr="00091BE6">
              <w:rPr>
                <w:rFonts w:cs="Arial"/>
                <w:b/>
                <w:vertAlign w:val="superscript"/>
              </w:rPr>
              <w:t>a</w:t>
            </w:r>
          </w:p>
        </w:tc>
        <w:tc>
          <w:tcPr>
            <w:tcW w:w="1417" w:type="dxa"/>
          </w:tcPr>
          <w:p w:rsidR="00CC3BA4" w:rsidRPr="00091BE6" w:rsidRDefault="00CC3BA4" w:rsidP="00C73C64">
            <w:pPr>
              <w:pStyle w:val="Tabletext"/>
              <w:rPr>
                <w:rFonts w:cs="Arial"/>
                <w:b/>
              </w:rPr>
            </w:pPr>
            <w:r w:rsidRPr="00091BE6">
              <w:rPr>
                <w:rFonts w:cs="Arial"/>
                <w:b/>
              </w:rPr>
              <w:t>Study event rates (%) with ERA</w:t>
            </w:r>
          </w:p>
        </w:tc>
        <w:tc>
          <w:tcPr>
            <w:tcW w:w="1134" w:type="dxa"/>
          </w:tcPr>
          <w:p w:rsidR="00CC3BA4" w:rsidRPr="00091BE6" w:rsidRDefault="00CC3BA4" w:rsidP="00C73C64">
            <w:pPr>
              <w:pStyle w:val="Tabletext"/>
              <w:rPr>
                <w:rFonts w:cs="Arial"/>
                <w:b/>
              </w:rPr>
            </w:pPr>
            <w:r w:rsidRPr="00091BE6">
              <w:rPr>
                <w:rFonts w:cs="Arial"/>
                <w:b/>
              </w:rPr>
              <w:t>Study event rates (%) with placebo</w:t>
            </w:r>
          </w:p>
        </w:tc>
        <w:tc>
          <w:tcPr>
            <w:tcW w:w="993" w:type="dxa"/>
          </w:tcPr>
          <w:p w:rsidR="00CC3BA4" w:rsidRPr="00091BE6" w:rsidRDefault="00CC3BA4" w:rsidP="00C73C64">
            <w:pPr>
              <w:pStyle w:val="Tabletext"/>
              <w:rPr>
                <w:rFonts w:cs="Arial"/>
                <w:b/>
              </w:rPr>
            </w:pPr>
            <w:r w:rsidRPr="00091BE6">
              <w:rPr>
                <w:rFonts w:cs="Arial"/>
                <w:b/>
              </w:rPr>
              <w:t>Effect measure (95%CI)</w:t>
            </w:r>
          </w:p>
        </w:tc>
        <w:tc>
          <w:tcPr>
            <w:tcW w:w="2188" w:type="dxa"/>
          </w:tcPr>
          <w:p w:rsidR="00CC3BA4" w:rsidRPr="00091BE6" w:rsidRDefault="00CC3BA4" w:rsidP="00C73C64">
            <w:pPr>
              <w:pStyle w:val="Tabletext"/>
              <w:rPr>
                <w:rFonts w:cs="Arial"/>
                <w:b/>
              </w:rPr>
            </w:pPr>
            <w:r w:rsidRPr="00091BE6">
              <w:rPr>
                <w:rFonts w:cs="Arial"/>
                <w:b/>
              </w:rPr>
              <w:t>Absolute effect (95%CI)</w:t>
            </w:r>
          </w:p>
        </w:tc>
        <w:tc>
          <w:tcPr>
            <w:tcW w:w="1214" w:type="dxa"/>
          </w:tcPr>
          <w:p w:rsidR="00CC3BA4" w:rsidRPr="00091BE6" w:rsidRDefault="00064FEF" w:rsidP="00C73C64">
            <w:pPr>
              <w:pStyle w:val="Tabletext"/>
              <w:rPr>
                <w:rFonts w:cs="Arial"/>
                <w:b/>
              </w:rPr>
            </w:pPr>
            <w:r w:rsidRPr="00091BE6">
              <w:rPr>
                <w:rFonts w:cs="Arial"/>
                <w:b/>
              </w:rPr>
              <w:t>GRADE</w:t>
            </w:r>
            <w:r w:rsidRPr="00091BE6">
              <w:rPr>
                <w:rFonts w:cs="Arial"/>
                <w:b/>
                <w:vertAlign w:val="superscript"/>
              </w:rPr>
              <w:t>b</w:t>
            </w:r>
            <w:r w:rsidRPr="00091BE6">
              <w:rPr>
                <w:rFonts w:cs="Arial"/>
                <w:b/>
              </w:rPr>
              <w:t xml:space="preserve"> </w:t>
            </w:r>
            <w:r w:rsidR="00CC3BA4" w:rsidRPr="00091BE6">
              <w:rPr>
                <w:rFonts w:cs="Arial"/>
                <w:b/>
              </w:rPr>
              <w:t>Quality</w:t>
            </w:r>
          </w:p>
          <w:p w:rsidR="00CC3BA4" w:rsidRPr="00091BE6" w:rsidRDefault="00CC3BA4" w:rsidP="00C73C64">
            <w:pPr>
              <w:pStyle w:val="Tabletext"/>
              <w:rPr>
                <w:rFonts w:cs="Arial"/>
                <w:b/>
              </w:rPr>
            </w:pPr>
            <w:r w:rsidRPr="00091BE6">
              <w:rPr>
                <w:rFonts w:cs="Arial"/>
                <w:b/>
              </w:rPr>
              <w:t>Importance</w:t>
            </w:r>
          </w:p>
        </w:tc>
      </w:tr>
      <w:tr w:rsidR="00CC3BA4" w:rsidRPr="00F05153" w:rsidTr="00BC7F74">
        <w:trPr>
          <w:trHeight w:val="319"/>
        </w:trPr>
        <w:tc>
          <w:tcPr>
            <w:tcW w:w="1413" w:type="dxa"/>
          </w:tcPr>
          <w:p w:rsidR="00CC3BA4" w:rsidRPr="00F05153" w:rsidRDefault="00CC3BA4" w:rsidP="00C73C64">
            <w:pPr>
              <w:pStyle w:val="Tabletext"/>
              <w:rPr>
                <w:rFonts w:cs="Tahoma"/>
              </w:rPr>
            </w:pPr>
            <w:r w:rsidRPr="00F05153">
              <w:rPr>
                <w:rFonts w:cs="Tahoma"/>
              </w:rPr>
              <w:t>Clinical worsening</w:t>
            </w:r>
            <w:r w:rsidRPr="00F05153">
              <w:rPr>
                <w:rFonts w:cs="Tahoma"/>
              </w:rPr>
              <w:br/>
              <w:t>(12–115 weeks)</w:t>
            </w:r>
          </w:p>
        </w:tc>
        <w:tc>
          <w:tcPr>
            <w:tcW w:w="1134" w:type="dxa"/>
          </w:tcPr>
          <w:p w:rsidR="00CC3BA4" w:rsidRPr="00F05153" w:rsidRDefault="00EA33A7" w:rsidP="00C73C64">
            <w:pPr>
              <w:pStyle w:val="Tabletext"/>
              <w:rPr>
                <w:rFonts w:cs="Tahoma"/>
              </w:rPr>
            </w:pPr>
            <w:r w:rsidRPr="00F05153">
              <w:rPr>
                <w:rFonts w:cs="Tahoma"/>
              </w:rPr>
              <w:t>4</w:t>
            </w:r>
            <w:r w:rsidR="00CC3BA4" w:rsidRPr="00F05153">
              <w:rPr>
                <w:rFonts w:cs="Tahoma"/>
              </w:rPr>
              <w:t xml:space="preserve"> RCTs</w:t>
            </w:r>
          </w:p>
        </w:tc>
        <w:tc>
          <w:tcPr>
            <w:tcW w:w="912" w:type="dxa"/>
          </w:tcPr>
          <w:p w:rsidR="00CC3BA4" w:rsidRPr="00F05153" w:rsidRDefault="00CC3BA4" w:rsidP="00C73C64">
            <w:pPr>
              <w:pStyle w:val="Tabletext"/>
              <w:rPr>
                <w:rFonts w:cs="Tahoma"/>
              </w:rPr>
            </w:pPr>
            <w:r w:rsidRPr="00F05153">
              <w:rPr>
                <w:rFonts w:cs="Tahoma"/>
              </w:rPr>
              <w:t xml:space="preserve">Serious </w:t>
            </w:r>
            <w:r w:rsidRPr="00F05153">
              <w:rPr>
                <w:rFonts w:cs="Tahoma"/>
                <w:vertAlign w:val="superscript"/>
              </w:rPr>
              <w:t>c</w:t>
            </w:r>
          </w:p>
        </w:tc>
        <w:tc>
          <w:tcPr>
            <w:tcW w:w="931" w:type="dxa"/>
          </w:tcPr>
          <w:p w:rsidR="00CC3BA4" w:rsidRPr="00F05153" w:rsidRDefault="00CC3BA4" w:rsidP="00C73C64">
            <w:pPr>
              <w:pStyle w:val="Tabletext"/>
              <w:rPr>
                <w:rFonts w:cs="Tahoma"/>
              </w:rPr>
            </w:pPr>
            <w:r w:rsidRPr="00F05153">
              <w:rPr>
                <w:rFonts w:cs="Tahoma"/>
              </w:rPr>
              <w:t>Not serious</w:t>
            </w:r>
          </w:p>
        </w:tc>
        <w:tc>
          <w:tcPr>
            <w:tcW w:w="1134" w:type="dxa"/>
          </w:tcPr>
          <w:p w:rsidR="00CC3BA4" w:rsidRPr="00F05153" w:rsidRDefault="00CC3BA4" w:rsidP="00C73C64">
            <w:pPr>
              <w:pStyle w:val="Tabletext"/>
              <w:rPr>
                <w:rFonts w:cs="Tahoma"/>
              </w:rPr>
            </w:pPr>
            <w:r w:rsidRPr="00F05153">
              <w:rPr>
                <w:rFonts w:cs="Tahoma"/>
              </w:rPr>
              <w:t>Not serious</w:t>
            </w:r>
          </w:p>
        </w:tc>
        <w:tc>
          <w:tcPr>
            <w:tcW w:w="992" w:type="dxa"/>
          </w:tcPr>
          <w:p w:rsidR="00CC3BA4" w:rsidRPr="00F05153" w:rsidRDefault="00CC3BA4" w:rsidP="00C73C64">
            <w:pPr>
              <w:pStyle w:val="Tabletext"/>
              <w:rPr>
                <w:rFonts w:cs="Tahoma"/>
              </w:rPr>
            </w:pPr>
            <w:r w:rsidRPr="00F05153">
              <w:rPr>
                <w:rFonts w:cs="Tahoma"/>
              </w:rPr>
              <w:t>Not serious</w:t>
            </w:r>
          </w:p>
        </w:tc>
        <w:tc>
          <w:tcPr>
            <w:tcW w:w="1276" w:type="dxa"/>
          </w:tcPr>
          <w:p w:rsidR="00CC3BA4" w:rsidRPr="00F05153" w:rsidRDefault="00CC3BA4" w:rsidP="00C73C64">
            <w:pPr>
              <w:pStyle w:val="Tabletext"/>
              <w:rPr>
                <w:rFonts w:cs="Tahoma"/>
              </w:rPr>
            </w:pPr>
            <w:r w:rsidRPr="00F05153">
              <w:rPr>
                <w:rFonts w:cs="Tahoma"/>
              </w:rPr>
              <w:t>Very strong association</w:t>
            </w:r>
          </w:p>
        </w:tc>
        <w:tc>
          <w:tcPr>
            <w:tcW w:w="1417"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993" w:type="dxa"/>
          </w:tcPr>
          <w:p w:rsidR="00CC3BA4" w:rsidRPr="002046A0" w:rsidRDefault="002046A0" w:rsidP="00C73C64">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C73C64">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CC3BA4" w:rsidRPr="00F05153" w:rsidRDefault="00CC3BA4" w:rsidP="00C73C64">
            <w:pPr>
              <w:pStyle w:val="Tabletext"/>
              <w:rPr>
                <w:rFonts w:eastAsia="Times New Roman" w:cs="Tahoma"/>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C73C64">
            <w:pPr>
              <w:pStyle w:val="Tabletext"/>
              <w:rPr>
                <w:rFonts w:eastAsia="Times New Roman" w:cs="Tahoma"/>
                <w:bCs/>
              </w:rPr>
            </w:pPr>
            <w:r w:rsidRPr="00F05153">
              <w:rPr>
                <w:rFonts w:cs="Tahoma"/>
              </w:rPr>
              <w:t>Critical</w:t>
            </w:r>
          </w:p>
        </w:tc>
      </w:tr>
      <w:tr w:rsidR="00CC3BA4" w:rsidRPr="00F05153" w:rsidTr="00BC7F74">
        <w:trPr>
          <w:trHeight w:val="319"/>
        </w:trPr>
        <w:tc>
          <w:tcPr>
            <w:tcW w:w="1413" w:type="dxa"/>
          </w:tcPr>
          <w:p w:rsidR="00CC3BA4" w:rsidRPr="00F05153" w:rsidRDefault="00CC3BA4" w:rsidP="00C73C64">
            <w:pPr>
              <w:pStyle w:val="Tabletext"/>
              <w:rPr>
                <w:rFonts w:cs="Tahoma"/>
              </w:rPr>
            </w:pPr>
            <w:r w:rsidRPr="00F05153">
              <w:rPr>
                <w:rFonts w:cs="Tahoma"/>
              </w:rPr>
              <w:t>Mortality</w:t>
            </w:r>
            <w:r w:rsidRPr="00F05153">
              <w:rPr>
                <w:rFonts w:cs="Tahoma"/>
              </w:rPr>
              <w:br/>
              <w:t>(26–129 weeks)</w:t>
            </w:r>
          </w:p>
        </w:tc>
        <w:tc>
          <w:tcPr>
            <w:tcW w:w="1134" w:type="dxa"/>
          </w:tcPr>
          <w:p w:rsidR="00CC3BA4" w:rsidRPr="00F05153" w:rsidRDefault="00CC3BA4" w:rsidP="00C73C64">
            <w:pPr>
              <w:pStyle w:val="Tabletext"/>
              <w:rPr>
                <w:rFonts w:cs="Tahoma"/>
              </w:rPr>
            </w:pPr>
            <w:r w:rsidRPr="00F05153">
              <w:rPr>
                <w:rFonts w:cs="Tahoma"/>
              </w:rPr>
              <w:t>2 RCTs</w:t>
            </w:r>
          </w:p>
        </w:tc>
        <w:tc>
          <w:tcPr>
            <w:tcW w:w="912" w:type="dxa"/>
          </w:tcPr>
          <w:p w:rsidR="00CC3BA4" w:rsidRPr="00F05153" w:rsidRDefault="00CC3BA4" w:rsidP="00C73C64">
            <w:pPr>
              <w:pStyle w:val="Tabletext"/>
              <w:rPr>
                <w:rFonts w:cs="Tahoma"/>
              </w:rPr>
            </w:pPr>
            <w:r w:rsidRPr="00F05153">
              <w:rPr>
                <w:rFonts w:cs="Tahoma"/>
              </w:rPr>
              <w:t xml:space="preserve">Serious </w:t>
            </w:r>
            <w:r w:rsidRPr="00F05153">
              <w:rPr>
                <w:rFonts w:cs="Tahoma"/>
                <w:vertAlign w:val="superscript"/>
              </w:rPr>
              <w:t>c</w:t>
            </w:r>
          </w:p>
        </w:tc>
        <w:tc>
          <w:tcPr>
            <w:tcW w:w="931" w:type="dxa"/>
          </w:tcPr>
          <w:p w:rsidR="00CC3BA4" w:rsidRPr="00F05153" w:rsidRDefault="00CC3BA4" w:rsidP="00C73C64">
            <w:pPr>
              <w:pStyle w:val="Tabletext"/>
              <w:rPr>
                <w:rFonts w:cs="Tahoma"/>
              </w:rPr>
            </w:pPr>
            <w:r w:rsidRPr="00F05153">
              <w:rPr>
                <w:rFonts w:cs="Tahoma"/>
              </w:rPr>
              <w:t>Not serious</w:t>
            </w:r>
          </w:p>
        </w:tc>
        <w:tc>
          <w:tcPr>
            <w:tcW w:w="1134" w:type="dxa"/>
          </w:tcPr>
          <w:p w:rsidR="00CC3BA4" w:rsidRPr="00F05153" w:rsidRDefault="00CC3BA4" w:rsidP="00C73C64">
            <w:pPr>
              <w:pStyle w:val="Tabletext"/>
              <w:rPr>
                <w:rFonts w:cs="Tahoma"/>
              </w:rPr>
            </w:pPr>
            <w:r w:rsidRPr="00F05153">
              <w:rPr>
                <w:rFonts w:cs="Tahoma"/>
              </w:rPr>
              <w:t>Not serious</w:t>
            </w:r>
          </w:p>
        </w:tc>
        <w:tc>
          <w:tcPr>
            <w:tcW w:w="992" w:type="dxa"/>
          </w:tcPr>
          <w:p w:rsidR="00CC3BA4" w:rsidRPr="00F05153" w:rsidRDefault="00CC3BA4" w:rsidP="00C73C64">
            <w:pPr>
              <w:pStyle w:val="Tabletext"/>
              <w:rPr>
                <w:rFonts w:cs="Tahoma"/>
              </w:rPr>
            </w:pPr>
            <w:r w:rsidRPr="00F05153">
              <w:rPr>
                <w:rFonts w:cs="Tahoma"/>
              </w:rPr>
              <w:t>Not serious</w:t>
            </w:r>
          </w:p>
        </w:tc>
        <w:tc>
          <w:tcPr>
            <w:tcW w:w="1276" w:type="dxa"/>
          </w:tcPr>
          <w:p w:rsidR="00CC3BA4" w:rsidRPr="00F05153" w:rsidRDefault="00CC3BA4" w:rsidP="00C73C64">
            <w:pPr>
              <w:pStyle w:val="Tabletext"/>
              <w:rPr>
                <w:rFonts w:cs="Tahoma"/>
              </w:rPr>
            </w:pPr>
            <w:r w:rsidRPr="00F05153">
              <w:rPr>
                <w:rFonts w:cs="Tahoma"/>
              </w:rPr>
              <w:t>Strong association</w:t>
            </w:r>
          </w:p>
        </w:tc>
        <w:tc>
          <w:tcPr>
            <w:tcW w:w="1417"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993" w:type="dxa"/>
          </w:tcPr>
          <w:p w:rsidR="00CC3BA4" w:rsidRPr="002046A0" w:rsidRDefault="002046A0" w:rsidP="00C73C64">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C73C64">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CC3BA4" w:rsidRPr="00F05153" w:rsidRDefault="00CC3BA4" w:rsidP="00C73C64">
            <w:pPr>
              <w:pStyle w:val="Tabletext"/>
              <w:rPr>
                <w:rFonts w:eastAsia="Times New Roman" w:cs="Tahoma"/>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C73C64">
            <w:pPr>
              <w:pStyle w:val="Tabletext"/>
              <w:rPr>
                <w:rFonts w:cs="Tahoma"/>
              </w:rPr>
            </w:pPr>
            <w:r w:rsidRPr="00F05153">
              <w:rPr>
                <w:rFonts w:cs="Tahoma"/>
              </w:rPr>
              <w:t>Critical</w:t>
            </w:r>
          </w:p>
        </w:tc>
      </w:tr>
      <w:tr w:rsidR="00CC3BA4" w:rsidRPr="00F05153" w:rsidTr="00BC7F74">
        <w:trPr>
          <w:trHeight w:val="319"/>
        </w:trPr>
        <w:tc>
          <w:tcPr>
            <w:tcW w:w="1413" w:type="dxa"/>
          </w:tcPr>
          <w:p w:rsidR="00CC3BA4" w:rsidRPr="00F05153" w:rsidRDefault="00CC3BA4" w:rsidP="00C73C64">
            <w:pPr>
              <w:pStyle w:val="Tabletext"/>
              <w:rPr>
                <w:rFonts w:cs="Tahoma"/>
              </w:rPr>
            </w:pPr>
            <w:r w:rsidRPr="00F05153">
              <w:rPr>
                <w:rFonts w:cs="Tahoma"/>
              </w:rPr>
              <w:t>Improved WHO FC</w:t>
            </w:r>
            <w:r w:rsidRPr="00F05153">
              <w:rPr>
                <w:rFonts w:cs="Tahoma"/>
              </w:rPr>
              <w:br/>
              <w:t>(12 weeks)</w:t>
            </w:r>
          </w:p>
        </w:tc>
        <w:tc>
          <w:tcPr>
            <w:tcW w:w="1134" w:type="dxa"/>
          </w:tcPr>
          <w:p w:rsidR="00CC3BA4" w:rsidRPr="00F05153" w:rsidRDefault="00EA33A7" w:rsidP="00C73C64">
            <w:pPr>
              <w:pStyle w:val="Tabletext"/>
              <w:rPr>
                <w:rFonts w:cs="Tahoma"/>
              </w:rPr>
            </w:pPr>
            <w:r w:rsidRPr="00F05153">
              <w:rPr>
                <w:rFonts w:cs="Tahoma"/>
              </w:rPr>
              <w:t xml:space="preserve">2 </w:t>
            </w:r>
            <w:r w:rsidR="00CC3BA4" w:rsidRPr="00F05153">
              <w:rPr>
                <w:rFonts w:cs="Tahoma"/>
              </w:rPr>
              <w:t>RCT</w:t>
            </w:r>
            <w:r w:rsidRPr="00F05153">
              <w:rPr>
                <w:rFonts w:cs="Tahoma"/>
              </w:rPr>
              <w:t>s</w:t>
            </w:r>
          </w:p>
        </w:tc>
        <w:tc>
          <w:tcPr>
            <w:tcW w:w="912" w:type="dxa"/>
          </w:tcPr>
          <w:p w:rsidR="00CC3BA4" w:rsidRPr="00F05153" w:rsidRDefault="00CC3BA4" w:rsidP="00C73C64">
            <w:pPr>
              <w:pStyle w:val="Tabletext"/>
              <w:rPr>
                <w:rFonts w:cs="Tahoma"/>
              </w:rPr>
            </w:pPr>
            <w:r w:rsidRPr="00F05153">
              <w:rPr>
                <w:rFonts w:cs="Tahoma"/>
              </w:rPr>
              <w:t xml:space="preserve">Serious </w:t>
            </w:r>
            <w:r w:rsidRPr="00F05153">
              <w:rPr>
                <w:rFonts w:cs="Tahoma"/>
                <w:vertAlign w:val="superscript"/>
              </w:rPr>
              <w:t>c</w:t>
            </w:r>
          </w:p>
        </w:tc>
        <w:tc>
          <w:tcPr>
            <w:tcW w:w="931" w:type="dxa"/>
          </w:tcPr>
          <w:p w:rsidR="00CC3BA4" w:rsidRPr="00F05153" w:rsidRDefault="00CC3BA4" w:rsidP="00C73C64">
            <w:pPr>
              <w:pStyle w:val="Tabletext"/>
              <w:rPr>
                <w:rFonts w:cs="Tahoma"/>
              </w:rPr>
            </w:pPr>
            <w:r w:rsidRPr="00F05153">
              <w:rPr>
                <w:rFonts w:cs="Tahoma"/>
              </w:rPr>
              <w:t>Not serious</w:t>
            </w:r>
          </w:p>
        </w:tc>
        <w:tc>
          <w:tcPr>
            <w:tcW w:w="1134" w:type="dxa"/>
          </w:tcPr>
          <w:p w:rsidR="00CC3BA4" w:rsidRPr="00F05153" w:rsidRDefault="00CC3BA4" w:rsidP="00C73C64">
            <w:pPr>
              <w:pStyle w:val="Tabletext"/>
              <w:rPr>
                <w:rFonts w:cs="Tahoma"/>
              </w:rPr>
            </w:pPr>
            <w:r w:rsidRPr="00F05153">
              <w:rPr>
                <w:rFonts w:cs="Tahoma"/>
              </w:rPr>
              <w:t>Not serious</w:t>
            </w:r>
          </w:p>
        </w:tc>
        <w:tc>
          <w:tcPr>
            <w:tcW w:w="992" w:type="dxa"/>
          </w:tcPr>
          <w:p w:rsidR="00CC3BA4" w:rsidRPr="00F05153" w:rsidRDefault="00CC3BA4" w:rsidP="00C73C64">
            <w:pPr>
              <w:pStyle w:val="Tabletext"/>
              <w:rPr>
                <w:rFonts w:cs="Tahoma"/>
              </w:rPr>
            </w:pPr>
            <w:r w:rsidRPr="00F05153">
              <w:rPr>
                <w:rFonts w:cs="Tahoma"/>
              </w:rPr>
              <w:t>Not serious</w:t>
            </w:r>
          </w:p>
        </w:tc>
        <w:tc>
          <w:tcPr>
            <w:tcW w:w="1276" w:type="dxa"/>
          </w:tcPr>
          <w:p w:rsidR="00CC3BA4" w:rsidRPr="00F05153" w:rsidRDefault="00CC3BA4" w:rsidP="00C73C64">
            <w:pPr>
              <w:pStyle w:val="Tabletext"/>
              <w:rPr>
                <w:rFonts w:cs="Tahoma"/>
              </w:rPr>
            </w:pPr>
            <w:r w:rsidRPr="00F05153">
              <w:rPr>
                <w:rFonts w:cs="Tahoma"/>
              </w:rPr>
              <w:t>None</w:t>
            </w:r>
          </w:p>
        </w:tc>
        <w:tc>
          <w:tcPr>
            <w:tcW w:w="1417" w:type="dxa"/>
          </w:tcPr>
          <w:p w:rsidR="00CC3BA4" w:rsidRPr="00F05153" w:rsidRDefault="00CC3BA4" w:rsidP="00C73C64">
            <w:pPr>
              <w:pStyle w:val="Tabletext"/>
              <w:rPr>
                <w:rFonts w:cs="Tahoma"/>
              </w:rPr>
            </w:pPr>
            <w:r w:rsidRPr="00F05153">
              <w:rPr>
                <w:rFonts w:cs="Tahoma"/>
              </w:rPr>
              <w:t>7/50 (14%)</w:t>
            </w:r>
          </w:p>
        </w:tc>
        <w:tc>
          <w:tcPr>
            <w:tcW w:w="1134" w:type="dxa"/>
          </w:tcPr>
          <w:p w:rsidR="00CC3BA4" w:rsidRPr="00F05153" w:rsidRDefault="00CC3BA4" w:rsidP="00C73C64">
            <w:pPr>
              <w:pStyle w:val="Tabletext"/>
              <w:rPr>
                <w:rFonts w:cs="Tahoma"/>
              </w:rPr>
            </w:pPr>
            <w:r w:rsidRPr="00F05153">
              <w:rPr>
                <w:rFonts w:cs="Tahoma"/>
              </w:rPr>
              <w:t>0/51 (0%)</w:t>
            </w:r>
          </w:p>
        </w:tc>
        <w:tc>
          <w:tcPr>
            <w:tcW w:w="993" w:type="dxa"/>
          </w:tcPr>
          <w:p w:rsidR="00CC3BA4" w:rsidRPr="00F05153" w:rsidRDefault="00B21201" w:rsidP="00EA3D9F">
            <w:pPr>
              <w:pStyle w:val="Tabletext"/>
              <w:rPr>
                <w:rFonts w:cs="Tahoma"/>
              </w:rPr>
            </w:pPr>
            <w:r w:rsidRPr="00F05153">
              <w:rPr>
                <w:rFonts w:cs="Tahoma"/>
              </w:rPr>
              <w:t>ARD</w:t>
            </w:r>
            <w:r w:rsidR="00CC3BA4" w:rsidRPr="00F05153">
              <w:rPr>
                <w:rFonts w:cs="Tahoma"/>
              </w:rPr>
              <w:t xml:space="preserve"> = 14.0%</w:t>
            </w:r>
            <w:r w:rsidR="00EA3D9F" w:rsidRPr="00F05153">
              <w:rPr>
                <w:rFonts w:cs="Tahoma"/>
              </w:rPr>
              <w:br/>
            </w:r>
            <w:r w:rsidR="00CC3BA4" w:rsidRPr="00F05153">
              <w:rPr>
                <w:rFonts w:cs="Tahoma"/>
              </w:rPr>
              <w:t>(4.4, 23.6)</w:t>
            </w:r>
          </w:p>
        </w:tc>
        <w:tc>
          <w:tcPr>
            <w:tcW w:w="2188" w:type="dxa"/>
          </w:tcPr>
          <w:p w:rsidR="00CC3BA4" w:rsidRPr="00F05153" w:rsidRDefault="00CC3BA4" w:rsidP="00C73C64">
            <w:pPr>
              <w:pStyle w:val="Tabletext"/>
              <w:rPr>
                <w:rFonts w:cs="Tahoma"/>
              </w:rPr>
            </w:pPr>
            <w:r w:rsidRPr="00F05153">
              <w:rPr>
                <w:rFonts w:cs="Tahoma"/>
              </w:rPr>
              <w:t>140 fewer per 1,000</w:t>
            </w:r>
            <w:r w:rsidRPr="00F05153">
              <w:rPr>
                <w:rFonts w:cs="Tahoma"/>
              </w:rPr>
              <w:br/>
              <w:t>(from 44 fewer to 236 fewer)</w:t>
            </w:r>
          </w:p>
        </w:tc>
        <w:tc>
          <w:tcPr>
            <w:tcW w:w="1214" w:type="dxa"/>
          </w:tcPr>
          <w:p w:rsidR="00CC3BA4" w:rsidRPr="00F05153" w:rsidRDefault="00CC3BA4" w:rsidP="00C73C64">
            <w:pPr>
              <w:pStyle w:val="Tabletext"/>
              <w:rPr>
                <w:rFonts w:ascii="Cambria Math" w:eastAsia="Times New Roman" w:hAnsi="Cambria Math" w:cs="Cambria Math"/>
                <w:bCs/>
              </w:rPr>
            </w:pPr>
            <w:r w:rsidRPr="00F05153">
              <w:rPr>
                <w:rFonts w:eastAsia="Times New Roman" w:cs="Tahoma"/>
                <w:bCs/>
              </w:rPr>
              <w:t>Moderate</w:t>
            </w:r>
            <w:r w:rsidRPr="00F05153">
              <w:rPr>
                <w:rFonts w:eastAsia="Times New Roman" w:cs="Tahoma"/>
                <w:bCs/>
              </w:rPr>
              <w:br/>
            </w:r>
            <w:r w:rsidRPr="00F05153">
              <w:rPr>
                <w:rFonts w:ascii="Cambria Math" w:eastAsia="Times New Roman" w:hAnsi="Cambria Math" w:cs="Cambria Math"/>
                <w:bCs/>
                <w:color w:val="00B050"/>
              </w:rPr>
              <w:t>⨁⨁⨁</w:t>
            </w:r>
            <w:r w:rsidRPr="00F05153">
              <w:rPr>
                <w:rFonts w:ascii="Cambria Math" w:eastAsia="Times New Roman" w:hAnsi="Cambria Math" w:cs="Cambria Math"/>
                <w:bCs/>
                <w:color w:val="FF0000"/>
              </w:rPr>
              <w:t>⨀</w:t>
            </w:r>
          </w:p>
          <w:p w:rsidR="00CC3BA4" w:rsidRPr="00F05153" w:rsidRDefault="00CC3BA4" w:rsidP="00C73C64">
            <w:pPr>
              <w:pStyle w:val="Tabletext"/>
              <w:rPr>
                <w:rFonts w:ascii="Cambria Math" w:eastAsia="Times New Roman" w:hAnsi="Cambria Math" w:cs="Cambria Math"/>
                <w:bCs/>
              </w:rPr>
            </w:pPr>
            <w:r w:rsidRPr="00F05153">
              <w:rPr>
                <w:rFonts w:cs="Tahoma"/>
              </w:rPr>
              <w:t>Important</w:t>
            </w:r>
          </w:p>
        </w:tc>
      </w:tr>
      <w:tr w:rsidR="00CC3BA4" w:rsidRPr="00F05153" w:rsidTr="00BC7F74">
        <w:trPr>
          <w:trHeight w:val="319"/>
        </w:trPr>
        <w:tc>
          <w:tcPr>
            <w:tcW w:w="1413" w:type="dxa"/>
          </w:tcPr>
          <w:p w:rsidR="00CC3BA4" w:rsidRPr="00F05153" w:rsidRDefault="00CC3BA4" w:rsidP="00C73C64">
            <w:pPr>
              <w:pStyle w:val="Tabletext"/>
              <w:rPr>
                <w:rFonts w:cs="Tahoma"/>
              </w:rPr>
            </w:pPr>
            <w:r w:rsidRPr="00F05153">
              <w:rPr>
                <w:rFonts w:cs="Tahoma"/>
              </w:rPr>
              <w:t>Worsened WHO FC</w:t>
            </w:r>
            <w:r w:rsidRPr="00F05153">
              <w:rPr>
                <w:rFonts w:cs="Tahoma"/>
              </w:rPr>
              <w:br/>
              <w:t>(12 weeks)</w:t>
            </w:r>
          </w:p>
        </w:tc>
        <w:tc>
          <w:tcPr>
            <w:tcW w:w="1134" w:type="dxa"/>
          </w:tcPr>
          <w:p w:rsidR="00CC3BA4" w:rsidRPr="00F05153" w:rsidRDefault="00EA33A7" w:rsidP="00C73C64">
            <w:pPr>
              <w:pStyle w:val="Tabletext"/>
              <w:rPr>
                <w:rFonts w:cs="Tahoma"/>
              </w:rPr>
            </w:pPr>
            <w:r w:rsidRPr="00F05153">
              <w:rPr>
                <w:rFonts w:cs="Tahoma"/>
              </w:rPr>
              <w:t xml:space="preserve">2 </w:t>
            </w:r>
            <w:r w:rsidR="00CC3BA4" w:rsidRPr="00F05153">
              <w:rPr>
                <w:rFonts w:cs="Tahoma"/>
              </w:rPr>
              <w:t>RCT</w:t>
            </w:r>
            <w:r w:rsidRPr="00F05153">
              <w:rPr>
                <w:rFonts w:cs="Tahoma"/>
              </w:rPr>
              <w:t>s</w:t>
            </w:r>
          </w:p>
        </w:tc>
        <w:tc>
          <w:tcPr>
            <w:tcW w:w="912" w:type="dxa"/>
          </w:tcPr>
          <w:p w:rsidR="00CC3BA4" w:rsidRPr="00F05153" w:rsidRDefault="00CC3BA4" w:rsidP="00C73C64">
            <w:pPr>
              <w:pStyle w:val="Tabletext"/>
              <w:rPr>
                <w:rFonts w:cs="Tahoma"/>
              </w:rPr>
            </w:pPr>
            <w:r w:rsidRPr="00F05153">
              <w:rPr>
                <w:rFonts w:cs="Tahoma"/>
              </w:rPr>
              <w:t xml:space="preserve">Serious </w:t>
            </w:r>
            <w:r w:rsidRPr="00F05153">
              <w:rPr>
                <w:rFonts w:cs="Tahoma"/>
                <w:vertAlign w:val="superscript"/>
              </w:rPr>
              <w:t>c</w:t>
            </w:r>
          </w:p>
        </w:tc>
        <w:tc>
          <w:tcPr>
            <w:tcW w:w="931" w:type="dxa"/>
          </w:tcPr>
          <w:p w:rsidR="00CC3BA4" w:rsidRPr="00F05153" w:rsidRDefault="00CC3BA4" w:rsidP="00C73C64">
            <w:pPr>
              <w:pStyle w:val="Tabletext"/>
              <w:rPr>
                <w:rFonts w:cs="Tahoma"/>
              </w:rPr>
            </w:pPr>
            <w:r w:rsidRPr="00F05153">
              <w:rPr>
                <w:rFonts w:cs="Tahoma"/>
              </w:rPr>
              <w:t>Not serious</w:t>
            </w:r>
          </w:p>
        </w:tc>
        <w:tc>
          <w:tcPr>
            <w:tcW w:w="1134" w:type="dxa"/>
          </w:tcPr>
          <w:p w:rsidR="00CC3BA4" w:rsidRPr="00F05153" w:rsidRDefault="00CC3BA4" w:rsidP="00C73C64">
            <w:pPr>
              <w:pStyle w:val="Tabletext"/>
              <w:rPr>
                <w:rFonts w:cs="Tahoma"/>
              </w:rPr>
            </w:pPr>
            <w:r w:rsidRPr="00F05153">
              <w:rPr>
                <w:rFonts w:cs="Tahoma"/>
              </w:rPr>
              <w:t>Not serious</w:t>
            </w:r>
          </w:p>
        </w:tc>
        <w:tc>
          <w:tcPr>
            <w:tcW w:w="992" w:type="dxa"/>
          </w:tcPr>
          <w:p w:rsidR="00CC3BA4" w:rsidRPr="00F05153" w:rsidRDefault="00CC3BA4" w:rsidP="00C73C64">
            <w:pPr>
              <w:pStyle w:val="Tabletext"/>
              <w:rPr>
                <w:rFonts w:cs="Tahoma"/>
              </w:rPr>
            </w:pPr>
            <w:r w:rsidRPr="00F05153">
              <w:rPr>
                <w:rFonts w:cs="Tahoma"/>
              </w:rPr>
              <w:t xml:space="preserve">Serious </w:t>
            </w:r>
            <w:r w:rsidRPr="00F05153">
              <w:rPr>
                <w:rFonts w:cs="Tahoma"/>
                <w:vertAlign w:val="superscript"/>
              </w:rPr>
              <w:t>d</w:t>
            </w:r>
          </w:p>
        </w:tc>
        <w:tc>
          <w:tcPr>
            <w:tcW w:w="1276" w:type="dxa"/>
          </w:tcPr>
          <w:p w:rsidR="00CC3BA4" w:rsidRPr="00F05153" w:rsidRDefault="00437968" w:rsidP="00C73C64">
            <w:pPr>
              <w:pStyle w:val="Tabletext"/>
              <w:rPr>
                <w:rFonts w:cs="Tahoma"/>
              </w:rPr>
            </w:pPr>
            <w:r w:rsidRPr="00F05153">
              <w:rPr>
                <w:rFonts w:cs="Tahoma"/>
              </w:rPr>
              <w:t>None</w:t>
            </w:r>
          </w:p>
        </w:tc>
        <w:tc>
          <w:tcPr>
            <w:tcW w:w="1417" w:type="dxa"/>
          </w:tcPr>
          <w:p w:rsidR="00CC3BA4" w:rsidRPr="00F05153" w:rsidRDefault="00CC3BA4" w:rsidP="00C73C64">
            <w:pPr>
              <w:pStyle w:val="Tabletext"/>
              <w:rPr>
                <w:rFonts w:cs="Tahoma"/>
              </w:rPr>
            </w:pPr>
            <w:r w:rsidRPr="00F05153">
              <w:rPr>
                <w:rFonts w:cs="Tahoma"/>
              </w:rPr>
              <w:t>1/50 (2%)</w:t>
            </w:r>
          </w:p>
        </w:tc>
        <w:tc>
          <w:tcPr>
            <w:tcW w:w="1134" w:type="dxa"/>
          </w:tcPr>
          <w:p w:rsidR="00CC3BA4" w:rsidRPr="00F05153" w:rsidRDefault="00CC3BA4" w:rsidP="00C73C64">
            <w:pPr>
              <w:pStyle w:val="Tabletext"/>
              <w:rPr>
                <w:rFonts w:cs="Tahoma"/>
              </w:rPr>
            </w:pPr>
            <w:r w:rsidRPr="00F05153">
              <w:rPr>
                <w:rFonts w:cs="Tahoma"/>
              </w:rPr>
              <w:t>4/51 (8%)</w:t>
            </w:r>
          </w:p>
        </w:tc>
        <w:tc>
          <w:tcPr>
            <w:tcW w:w="993" w:type="dxa"/>
          </w:tcPr>
          <w:p w:rsidR="00CC3BA4" w:rsidRPr="00F05153" w:rsidRDefault="00CC3BA4" w:rsidP="00C73C64">
            <w:pPr>
              <w:pStyle w:val="Tabletext"/>
              <w:rPr>
                <w:rFonts w:cs="Tahoma"/>
              </w:rPr>
            </w:pPr>
            <w:r w:rsidRPr="00F05153">
              <w:rPr>
                <w:rFonts w:cs="Tahoma"/>
              </w:rPr>
              <w:t>RR = 0.25 (0.03, 2.20)</w:t>
            </w:r>
          </w:p>
        </w:tc>
        <w:tc>
          <w:tcPr>
            <w:tcW w:w="2188" w:type="dxa"/>
          </w:tcPr>
          <w:p w:rsidR="00CC3BA4" w:rsidRPr="00F05153" w:rsidRDefault="00CC3BA4" w:rsidP="00C73C64">
            <w:pPr>
              <w:pStyle w:val="Tabletext"/>
              <w:rPr>
                <w:rFonts w:cs="Tahoma"/>
              </w:rPr>
            </w:pPr>
            <w:r w:rsidRPr="00F05153">
              <w:rPr>
                <w:rFonts w:cs="Tahoma"/>
              </w:rPr>
              <w:t>59 fewer per 1,000</w:t>
            </w:r>
            <w:r w:rsidRPr="00F05153">
              <w:rPr>
                <w:rFonts w:cs="Tahoma"/>
              </w:rPr>
              <w:br/>
              <w:t>(from 76 fewer to 94 more)</w:t>
            </w:r>
          </w:p>
        </w:tc>
        <w:tc>
          <w:tcPr>
            <w:tcW w:w="1214" w:type="dxa"/>
          </w:tcPr>
          <w:p w:rsidR="00437968" w:rsidRPr="00F05153" w:rsidRDefault="00437968" w:rsidP="00437968">
            <w:pPr>
              <w:pStyle w:val="Tabletext"/>
              <w:rPr>
                <w:rFonts w:eastAsia="Times New Roman" w:cs="Tahoma"/>
                <w:bCs/>
              </w:rPr>
            </w:pPr>
            <w:r w:rsidRPr="00F05153">
              <w:rPr>
                <w:rFonts w:eastAsia="Times New Roman" w:cs="Tahoma"/>
                <w:bCs/>
              </w:rPr>
              <w:t>Low</w:t>
            </w:r>
            <w:r w:rsidRPr="00F05153">
              <w:rPr>
                <w:rFonts w:eastAsia="Times New Roman" w:cs="Tahoma"/>
                <w:bCs/>
              </w:rPr>
              <w:br/>
            </w:r>
            <w:r w:rsidRPr="00F05153">
              <w:rPr>
                <w:rFonts w:ascii="Cambria Math" w:eastAsia="Times New Roman" w:hAnsi="Cambria Math" w:cs="Cambria Math"/>
                <w:bCs/>
                <w:color w:val="00B050"/>
              </w:rPr>
              <w:t>⨁⨁</w:t>
            </w:r>
            <w:r w:rsidRPr="00F05153">
              <w:rPr>
                <w:rFonts w:ascii="Cambria Math" w:eastAsia="Times New Roman" w:hAnsi="Cambria Math" w:cs="Cambria Math"/>
                <w:bCs/>
                <w:color w:val="FF0000"/>
              </w:rPr>
              <w:t>⨀⨀</w:t>
            </w:r>
          </w:p>
          <w:p w:rsidR="00CC3BA4" w:rsidRPr="00F05153" w:rsidRDefault="00CC3BA4" w:rsidP="00C73C64">
            <w:pPr>
              <w:pStyle w:val="Tabletext"/>
              <w:rPr>
                <w:rFonts w:ascii="Cambria Math" w:eastAsia="Times New Roman" w:hAnsi="Cambria Math" w:cs="Cambria Math"/>
                <w:bCs/>
              </w:rPr>
            </w:pPr>
            <w:r w:rsidRPr="00F05153">
              <w:rPr>
                <w:rFonts w:cs="Tahoma"/>
              </w:rPr>
              <w:t>Important</w:t>
            </w:r>
          </w:p>
        </w:tc>
      </w:tr>
      <w:tr w:rsidR="00B14FF5" w:rsidRPr="00F05153" w:rsidTr="00BC7F74">
        <w:trPr>
          <w:trHeight w:val="319"/>
        </w:trPr>
        <w:tc>
          <w:tcPr>
            <w:tcW w:w="1413" w:type="dxa"/>
          </w:tcPr>
          <w:p w:rsidR="00B14FF5" w:rsidRPr="00F05153" w:rsidRDefault="00B14FF5" w:rsidP="00C73C64">
            <w:pPr>
              <w:pStyle w:val="Tabletext"/>
              <w:rPr>
                <w:rFonts w:cs="Tahoma"/>
              </w:rPr>
            </w:pPr>
            <w:r w:rsidRPr="00F05153">
              <w:rPr>
                <w:rFonts w:cs="Tahoma"/>
              </w:rPr>
              <w:t>Change in 6MWD</w:t>
            </w:r>
            <w:r w:rsidRPr="00F05153">
              <w:rPr>
                <w:rFonts w:cs="Tahoma"/>
              </w:rPr>
              <w:br/>
              <w:t xml:space="preserve">(26 weeks) </w:t>
            </w:r>
          </w:p>
        </w:tc>
        <w:tc>
          <w:tcPr>
            <w:tcW w:w="1134" w:type="dxa"/>
          </w:tcPr>
          <w:p w:rsidR="00B14FF5" w:rsidRPr="00F05153" w:rsidRDefault="00EA33A7" w:rsidP="00C73C64">
            <w:pPr>
              <w:pStyle w:val="Tabletext"/>
              <w:rPr>
                <w:rFonts w:cs="Tahoma"/>
              </w:rPr>
            </w:pPr>
            <w:r w:rsidRPr="00F05153">
              <w:rPr>
                <w:rFonts w:cs="Tahoma"/>
              </w:rPr>
              <w:t xml:space="preserve">3 </w:t>
            </w:r>
            <w:r w:rsidR="00B14FF5" w:rsidRPr="00F05153">
              <w:rPr>
                <w:rFonts w:cs="Tahoma"/>
              </w:rPr>
              <w:t>RCTs</w:t>
            </w:r>
          </w:p>
        </w:tc>
        <w:tc>
          <w:tcPr>
            <w:tcW w:w="912" w:type="dxa"/>
          </w:tcPr>
          <w:p w:rsidR="00B14FF5" w:rsidRPr="00F05153" w:rsidRDefault="00B14FF5" w:rsidP="00C73C64">
            <w:pPr>
              <w:pStyle w:val="Tabletext"/>
              <w:rPr>
                <w:rFonts w:cs="Tahoma"/>
              </w:rPr>
            </w:pPr>
            <w:r w:rsidRPr="00F05153">
              <w:rPr>
                <w:rFonts w:cs="Tahoma"/>
              </w:rPr>
              <w:t>Not serious</w:t>
            </w:r>
          </w:p>
        </w:tc>
        <w:tc>
          <w:tcPr>
            <w:tcW w:w="931" w:type="dxa"/>
          </w:tcPr>
          <w:p w:rsidR="00B14FF5" w:rsidRPr="00F05153" w:rsidRDefault="00B14FF5" w:rsidP="00C73C64">
            <w:pPr>
              <w:pStyle w:val="Tabletext"/>
              <w:rPr>
                <w:rFonts w:cs="Tahoma"/>
              </w:rPr>
            </w:pPr>
            <w:r w:rsidRPr="00F05153">
              <w:rPr>
                <w:rFonts w:cs="Tahoma"/>
              </w:rPr>
              <w:t>Not serious</w:t>
            </w:r>
          </w:p>
        </w:tc>
        <w:tc>
          <w:tcPr>
            <w:tcW w:w="1134" w:type="dxa"/>
          </w:tcPr>
          <w:p w:rsidR="00B14FF5" w:rsidRPr="00F05153" w:rsidRDefault="00D35699" w:rsidP="00C73C64">
            <w:pPr>
              <w:pStyle w:val="Tabletext"/>
              <w:rPr>
                <w:rFonts w:cs="Tahoma"/>
              </w:rPr>
            </w:pPr>
            <w:r w:rsidRPr="00F05153">
              <w:rPr>
                <w:rFonts w:cs="Tahoma"/>
              </w:rPr>
              <w:t>S</w:t>
            </w:r>
            <w:r w:rsidR="00B14FF5" w:rsidRPr="00F05153">
              <w:rPr>
                <w:rFonts w:cs="Tahoma"/>
              </w:rPr>
              <w:t>erious</w:t>
            </w:r>
            <w:r w:rsidRPr="00F05153">
              <w:rPr>
                <w:rFonts w:cs="Tahoma"/>
              </w:rPr>
              <w:t xml:space="preserve"> </w:t>
            </w:r>
            <w:r w:rsidRPr="00F05153">
              <w:rPr>
                <w:rFonts w:cs="Tahoma"/>
                <w:vertAlign w:val="superscript"/>
              </w:rPr>
              <w:t>e</w:t>
            </w:r>
          </w:p>
        </w:tc>
        <w:tc>
          <w:tcPr>
            <w:tcW w:w="992" w:type="dxa"/>
          </w:tcPr>
          <w:p w:rsidR="00B14FF5" w:rsidRPr="00F05153" w:rsidRDefault="00B14FF5" w:rsidP="00C73C64">
            <w:pPr>
              <w:pStyle w:val="Tabletext"/>
              <w:rPr>
                <w:rFonts w:cs="Tahoma"/>
              </w:rPr>
            </w:pPr>
            <w:r w:rsidRPr="00F05153">
              <w:rPr>
                <w:rFonts w:cs="Tahoma"/>
              </w:rPr>
              <w:t>Not serious</w:t>
            </w:r>
          </w:p>
        </w:tc>
        <w:tc>
          <w:tcPr>
            <w:tcW w:w="1276" w:type="dxa"/>
          </w:tcPr>
          <w:p w:rsidR="00B14FF5" w:rsidRPr="00F05153" w:rsidRDefault="00B14FF5" w:rsidP="00C73C64">
            <w:pPr>
              <w:pStyle w:val="Tabletext"/>
              <w:rPr>
                <w:rFonts w:cs="Tahoma"/>
              </w:rPr>
            </w:pPr>
            <w:r w:rsidRPr="00F05153">
              <w:rPr>
                <w:rFonts w:cs="Tahoma"/>
              </w:rPr>
              <w:t>None</w:t>
            </w:r>
          </w:p>
        </w:tc>
        <w:tc>
          <w:tcPr>
            <w:tcW w:w="1417" w:type="dxa"/>
          </w:tcPr>
          <w:p w:rsidR="00B14FF5" w:rsidRPr="002046A0" w:rsidRDefault="002046A0" w:rsidP="00C73C64">
            <w:pPr>
              <w:pStyle w:val="Tabletext"/>
              <w:rPr>
                <w:rFonts w:cs="Tahoma"/>
                <w:highlight w:val="black"/>
              </w:rPr>
            </w:pPr>
            <w:r>
              <w:rPr>
                <w:rFonts w:cs="Tahoma"/>
                <w:noProof/>
                <w:color w:val="000000"/>
                <w:highlight w:val="black"/>
              </w:rPr>
              <w:t>''''''''' '''''''''''''''''''' ''''''''''''''''</w:t>
            </w:r>
          </w:p>
        </w:tc>
        <w:tc>
          <w:tcPr>
            <w:tcW w:w="1134" w:type="dxa"/>
          </w:tcPr>
          <w:p w:rsidR="00B14FF5" w:rsidRPr="002046A0" w:rsidRDefault="002046A0" w:rsidP="00C73C64">
            <w:pPr>
              <w:pStyle w:val="Tabletext"/>
              <w:rPr>
                <w:rFonts w:cs="Tahoma"/>
                <w:highlight w:val="black"/>
              </w:rPr>
            </w:pPr>
            <w:r>
              <w:rPr>
                <w:rFonts w:cs="Tahoma"/>
                <w:noProof/>
                <w:color w:val="000000"/>
                <w:highlight w:val="black"/>
              </w:rPr>
              <w:t>'''''''''' ''''''''''''''''' ''''''''''''''</w:t>
            </w:r>
          </w:p>
        </w:tc>
        <w:tc>
          <w:tcPr>
            <w:tcW w:w="993" w:type="dxa"/>
          </w:tcPr>
          <w:p w:rsidR="00B14FF5" w:rsidRPr="00F05153" w:rsidRDefault="00B14FF5" w:rsidP="00C73C64">
            <w:pPr>
              <w:pStyle w:val="Tabletext"/>
              <w:rPr>
                <w:rFonts w:cs="Tahoma"/>
              </w:rPr>
            </w:pPr>
            <w:r w:rsidRPr="00F05153">
              <w:rPr>
                <w:rFonts w:cs="Tahoma"/>
              </w:rPr>
              <w:t>-</w:t>
            </w:r>
          </w:p>
        </w:tc>
        <w:tc>
          <w:tcPr>
            <w:tcW w:w="2188" w:type="dxa"/>
          </w:tcPr>
          <w:p w:rsidR="00B14FF5" w:rsidRPr="002046A0" w:rsidRDefault="002046A0" w:rsidP="001F1FDD">
            <w:pPr>
              <w:pStyle w:val="Tabletext"/>
              <w:rPr>
                <w:rFonts w:cs="Tahoma"/>
                <w:highlight w:val="black"/>
              </w:rPr>
            </w:pPr>
            <w:r>
              <w:rPr>
                <w:rFonts w:cs="Tahoma"/>
                <w:noProof/>
                <w:color w:val="000000"/>
                <w:highlight w:val="black"/>
              </w:rPr>
              <w:t>''''''''''''''''''' ''''''''' ''''''''''' ''''' '''''''''''''''</w:t>
            </w:r>
            <w:r>
              <w:rPr>
                <w:rFonts w:cs="Tahoma"/>
                <w:noProof/>
                <w:color w:val="000000"/>
                <w:highlight w:val="black"/>
              </w:rPr>
              <w:br/>
              <w:t>'''''''''''''''' '''''''''' ''''''''''''''' '''' ''''''''''' '''''''''''''''''</w:t>
            </w:r>
          </w:p>
        </w:tc>
        <w:tc>
          <w:tcPr>
            <w:tcW w:w="1214" w:type="dxa"/>
          </w:tcPr>
          <w:p w:rsidR="00B14FF5" w:rsidRPr="00F05153" w:rsidRDefault="00D35699" w:rsidP="00C73C64">
            <w:pPr>
              <w:pStyle w:val="Tabletext"/>
              <w:rPr>
                <w:rFonts w:eastAsia="Times New Roman" w:cs="Tahoma"/>
                <w:bCs/>
              </w:rPr>
            </w:pPr>
            <w:r w:rsidRPr="00F05153">
              <w:rPr>
                <w:rFonts w:eastAsia="Times New Roman" w:cs="Tahoma"/>
                <w:bCs/>
              </w:rPr>
              <w:t>Moderate</w:t>
            </w:r>
            <w:r w:rsidR="00B14FF5" w:rsidRPr="00F05153">
              <w:rPr>
                <w:rFonts w:eastAsia="Times New Roman" w:cs="Tahoma"/>
                <w:bCs/>
              </w:rPr>
              <w:br/>
            </w:r>
            <w:r w:rsidR="00476F09" w:rsidRPr="00F05153">
              <w:rPr>
                <w:rFonts w:ascii="Cambria Math" w:eastAsia="Times New Roman" w:hAnsi="Cambria Math" w:cs="Cambria Math"/>
                <w:bCs/>
                <w:color w:val="00B050"/>
              </w:rPr>
              <w:t>⨁⨁⨁</w:t>
            </w:r>
            <w:r w:rsidRPr="00F05153">
              <w:rPr>
                <w:rFonts w:ascii="Cambria Math" w:eastAsia="Times New Roman" w:hAnsi="Cambria Math" w:cs="Cambria Math"/>
                <w:bCs/>
                <w:color w:val="FF0000"/>
              </w:rPr>
              <w:t>⨀</w:t>
            </w:r>
          </w:p>
          <w:p w:rsidR="00B14FF5" w:rsidRPr="00F05153" w:rsidRDefault="00B14FF5" w:rsidP="00C73C64">
            <w:pPr>
              <w:pStyle w:val="Tabletext"/>
              <w:rPr>
                <w:rFonts w:eastAsia="Times New Roman" w:cs="Tahoma"/>
                <w:bCs/>
              </w:rPr>
            </w:pPr>
            <w:r w:rsidRPr="00F05153">
              <w:rPr>
                <w:rFonts w:eastAsia="Times New Roman" w:cs="Tahoma"/>
                <w:bCs/>
              </w:rPr>
              <w:t>Important</w:t>
            </w:r>
          </w:p>
        </w:tc>
      </w:tr>
      <w:tr w:rsidR="00CC3BA4" w:rsidRPr="00F05153" w:rsidTr="00BC7F74">
        <w:trPr>
          <w:trHeight w:val="319"/>
        </w:trPr>
        <w:tc>
          <w:tcPr>
            <w:tcW w:w="1413" w:type="dxa"/>
          </w:tcPr>
          <w:p w:rsidR="00CC3BA4" w:rsidRPr="00F05153" w:rsidRDefault="00CC3BA4" w:rsidP="00C73C64">
            <w:pPr>
              <w:pStyle w:val="Tabletext"/>
              <w:rPr>
                <w:rFonts w:cs="Tahoma"/>
              </w:rPr>
            </w:pPr>
            <w:r w:rsidRPr="00F05153">
              <w:rPr>
                <w:rFonts w:cs="Tahoma"/>
              </w:rPr>
              <w:t>Change in haemodynamic parameters</w:t>
            </w:r>
            <w:r w:rsidRPr="00F05153">
              <w:rPr>
                <w:rFonts w:cs="Tahoma"/>
              </w:rPr>
              <w:br/>
              <w:t xml:space="preserve">(26 weeks) </w:t>
            </w:r>
          </w:p>
        </w:tc>
        <w:tc>
          <w:tcPr>
            <w:tcW w:w="1134" w:type="dxa"/>
          </w:tcPr>
          <w:p w:rsidR="00CC3BA4" w:rsidRPr="00F05153" w:rsidRDefault="00CC3BA4" w:rsidP="00C73C64">
            <w:pPr>
              <w:pStyle w:val="Tabletext"/>
              <w:rPr>
                <w:rFonts w:cs="Tahoma"/>
              </w:rPr>
            </w:pPr>
            <w:r w:rsidRPr="00F05153">
              <w:rPr>
                <w:rFonts w:cs="Tahoma"/>
              </w:rPr>
              <w:t>1 RCT</w:t>
            </w:r>
          </w:p>
        </w:tc>
        <w:tc>
          <w:tcPr>
            <w:tcW w:w="912" w:type="dxa"/>
          </w:tcPr>
          <w:p w:rsidR="00CC3BA4" w:rsidRPr="00F05153" w:rsidRDefault="00CC3BA4" w:rsidP="00C73C64">
            <w:pPr>
              <w:pStyle w:val="Tabletext"/>
              <w:rPr>
                <w:rFonts w:cs="Tahoma"/>
              </w:rPr>
            </w:pPr>
            <w:r w:rsidRPr="00F05153">
              <w:rPr>
                <w:rFonts w:cs="Tahoma"/>
              </w:rPr>
              <w:t>Not serious</w:t>
            </w:r>
          </w:p>
        </w:tc>
        <w:tc>
          <w:tcPr>
            <w:tcW w:w="931" w:type="dxa"/>
          </w:tcPr>
          <w:p w:rsidR="00CC3BA4" w:rsidRPr="00F05153" w:rsidRDefault="00CC3BA4" w:rsidP="00C73C64">
            <w:pPr>
              <w:pStyle w:val="Tabletext"/>
              <w:rPr>
                <w:rFonts w:cs="Tahoma"/>
              </w:rPr>
            </w:pPr>
            <w:r w:rsidRPr="00F05153">
              <w:rPr>
                <w:rFonts w:cs="Tahoma"/>
              </w:rPr>
              <w:t>Not serious</w:t>
            </w:r>
          </w:p>
        </w:tc>
        <w:tc>
          <w:tcPr>
            <w:tcW w:w="1134" w:type="dxa"/>
          </w:tcPr>
          <w:p w:rsidR="00CC3BA4" w:rsidRPr="00F05153" w:rsidRDefault="00D35699" w:rsidP="00C73C64">
            <w:pPr>
              <w:pStyle w:val="Tabletext"/>
              <w:rPr>
                <w:rFonts w:cs="Tahoma"/>
              </w:rPr>
            </w:pPr>
            <w:r w:rsidRPr="00F05153">
              <w:rPr>
                <w:rFonts w:cs="Tahoma"/>
              </w:rPr>
              <w:t xml:space="preserve">Very </w:t>
            </w:r>
            <w:r w:rsidR="00CC3BA4" w:rsidRPr="00F05153">
              <w:rPr>
                <w:rFonts w:cs="Tahoma"/>
              </w:rPr>
              <w:t>serious</w:t>
            </w:r>
            <w:r w:rsidRPr="00F05153">
              <w:rPr>
                <w:rFonts w:cs="Tahoma"/>
              </w:rPr>
              <w:t xml:space="preserve"> </w:t>
            </w:r>
            <w:r w:rsidRPr="00F05153">
              <w:rPr>
                <w:rFonts w:cs="Tahoma"/>
                <w:vertAlign w:val="superscript"/>
              </w:rPr>
              <w:t>e</w:t>
            </w:r>
          </w:p>
        </w:tc>
        <w:tc>
          <w:tcPr>
            <w:tcW w:w="992" w:type="dxa"/>
          </w:tcPr>
          <w:p w:rsidR="00CC3BA4" w:rsidRPr="00F05153" w:rsidRDefault="00CC3BA4" w:rsidP="00C73C64">
            <w:pPr>
              <w:pStyle w:val="Tabletext"/>
              <w:rPr>
                <w:rFonts w:cs="Tahoma"/>
              </w:rPr>
            </w:pPr>
            <w:r w:rsidRPr="00F05153">
              <w:rPr>
                <w:rFonts w:cs="Tahoma"/>
              </w:rPr>
              <w:t>Not serious</w:t>
            </w:r>
          </w:p>
        </w:tc>
        <w:tc>
          <w:tcPr>
            <w:tcW w:w="1276" w:type="dxa"/>
          </w:tcPr>
          <w:p w:rsidR="00CC3BA4" w:rsidRPr="00F05153" w:rsidRDefault="00CC3BA4" w:rsidP="00C73C64">
            <w:pPr>
              <w:pStyle w:val="Tabletext"/>
              <w:rPr>
                <w:rFonts w:cs="Tahoma"/>
              </w:rPr>
            </w:pPr>
            <w:r w:rsidRPr="00F05153">
              <w:rPr>
                <w:rFonts w:cs="Tahoma"/>
              </w:rPr>
              <w:t>None</w:t>
            </w:r>
          </w:p>
        </w:tc>
        <w:tc>
          <w:tcPr>
            <w:tcW w:w="1417" w:type="dxa"/>
          </w:tcPr>
          <w:p w:rsidR="00CC3BA4" w:rsidRPr="002046A0" w:rsidRDefault="002046A0" w:rsidP="00C73C64">
            <w:pPr>
              <w:pStyle w:val="Tabletext"/>
              <w:rPr>
                <w:rFonts w:cs="Tahoma"/>
                <w:highlight w:val="black"/>
              </w:rPr>
            </w:pPr>
            <w:r>
              <w:rPr>
                <w:rFonts w:cs="Tahoma"/>
                <w:noProof/>
                <w:color w:val="000000"/>
                <w:highlight w:val="black"/>
              </w:rPr>
              <w:t>'''''' ''''''''''''''''''''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 ''''''''''''''</w:t>
            </w:r>
          </w:p>
        </w:tc>
        <w:tc>
          <w:tcPr>
            <w:tcW w:w="993" w:type="dxa"/>
          </w:tcPr>
          <w:p w:rsidR="00CC3BA4" w:rsidRPr="00F05153" w:rsidRDefault="00CC3BA4" w:rsidP="00C73C64">
            <w:pPr>
              <w:pStyle w:val="Tabletext"/>
              <w:rPr>
                <w:rFonts w:cs="Tahoma"/>
              </w:rPr>
            </w:pPr>
            <w:r w:rsidRPr="00F05153">
              <w:rPr>
                <w:rFonts w:cs="Tahoma"/>
              </w:rPr>
              <w:t>-</w:t>
            </w:r>
          </w:p>
        </w:tc>
        <w:tc>
          <w:tcPr>
            <w:tcW w:w="2188" w:type="dxa"/>
          </w:tcPr>
          <w:p w:rsidR="00CC3BA4" w:rsidRPr="00F05153" w:rsidRDefault="002046A0" w:rsidP="00796E53">
            <w:pPr>
              <w:pStyle w:val="Tabletext"/>
              <w:rPr>
                <w:rFonts w:cs="Tahoma"/>
              </w:rPr>
            </w:pPr>
            <w:r>
              <w:rPr>
                <w:rFonts w:cs="Tahoma"/>
                <w:noProof/>
                <w:color w:val="000000"/>
                <w:highlight w:val="black"/>
              </w:rPr>
              <w:t>'''''''''''</w:t>
            </w:r>
            <w:r>
              <w:rPr>
                <w:rFonts w:cs="Tahoma"/>
                <w:noProof/>
                <w:color w:val="000000"/>
                <w:highlight w:val="black"/>
              </w:rPr>
              <w:br/>
              <w:t>'''''''' '''''''''''''' '''''''''''''''''''''''''''''' '''''''''''''' ''''' '''''''''''''' ''''''''''''''''''''''''''''''</w:t>
            </w:r>
            <w:r w:rsidR="00CC3BA4" w:rsidRPr="00F05153">
              <w:rPr>
                <w:rFonts w:cs="Tahoma"/>
              </w:rPr>
              <w:t>)</w:t>
            </w:r>
          </w:p>
        </w:tc>
        <w:tc>
          <w:tcPr>
            <w:tcW w:w="1214" w:type="dxa"/>
          </w:tcPr>
          <w:p w:rsidR="00CC3BA4" w:rsidRPr="00F05153" w:rsidRDefault="00D35699" w:rsidP="00C73C64">
            <w:pPr>
              <w:pStyle w:val="Tabletext"/>
              <w:rPr>
                <w:rFonts w:eastAsia="Times New Roman" w:cs="Tahoma"/>
                <w:bCs/>
              </w:rPr>
            </w:pPr>
            <w:r w:rsidRPr="00F05153">
              <w:rPr>
                <w:rFonts w:eastAsia="Times New Roman" w:cs="Tahoma"/>
                <w:bCs/>
              </w:rPr>
              <w:t>Low</w:t>
            </w:r>
            <w:r w:rsidR="00CC3BA4" w:rsidRPr="00F05153">
              <w:rPr>
                <w:rFonts w:eastAsia="Times New Roman" w:cs="Tahoma"/>
                <w:bCs/>
              </w:rPr>
              <w:br/>
            </w:r>
            <w:r w:rsidR="00CC3BA4" w:rsidRPr="00F05153">
              <w:rPr>
                <w:rFonts w:ascii="Cambria Math" w:eastAsia="Times New Roman" w:hAnsi="Cambria Math" w:cs="Cambria Math"/>
                <w:bCs/>
                <w:color w:val="00B050"/>
              </w:rPr>
              <w:t>⨁⨁</w:t>
            </w:r>
            <w:r w:rsidRPr="00F05153">
              <w:rPr>
                <w:rFonts w:ascii="Cambria Math" w:eastAsia="Times New Roman" w:hAnsi="Cambria Math" w:cs="Cambria Math"/>
                <w:bCs/>
                <w:color w:val="FF0000"/>
              </w:rPr>
              <w:t>⨀⨀</w:t>
            </w:r>
          </w:p>
          <w:p w:rsidR="00CC3BA4" w:rsidRPr="00F05153" w:rsidRDefault="00CC3BA4" w:rsidP="00C73C64">
            <w:pPr>
              <w:pStyle w:val="Tabletext"/>
              <w:rPr>
                <w:rFonts w:eastAsia="Times New Roman" w:cs="Tahoma"/>
                <w:bCs/>
              </w:rPr>
            </w:pPr>
            <w:r w:rsidRPr="00F05153">
              <w:rPr>
                <w:rFonts w:eastAsia="Times New Roman" w:cs="Tahoma"/>
                <w:bCs/>
              </w:rPr>
              <w:t>Not important</w:t>
            </w:r>
          </w:p>
        </w:tc>
      </w:tr>
    </w:tbl>
    <w:p w:rsidR="00CC3BA4" w:rsidRPr="00F05153" w:rsidRDefault="00CC3BA4" w:rsidP="00C73C64">
      <w:pPr>
        <w:pStyle w:val="Tablenote"/>
      </w:pPr>
      <w:proofErr w:type="gramStart"/>
      <w:r w:rsidRPr="00F05153">
        <w:rPr>
          <w:vertAlign w:val="superscript"/>
        </w:rPr>
        <w:lastRenderedPageBreak/>
        <w:t>a</w:t>
      </w:r>
      <w:proofErr w:type="gramEnd"/>
      <w:r w:rsidRPr="00F05153">
        <w:rPr>
          <w:vertAlign w:val="superscript"/>
        </w:rPr>
        <w:t xml:space="preserve"> </w:t>
      </w:r>
      <w:r w:rsidRPr="00F05153">
        <w:t>Other considerations such as publication bias and effect size</w:t>
      </w:r>
    </w:p>
    <w:p w:rsidR="00CC3BA4" w:rsidRPr="00F05153" w:rsidRDefault="00CC3BA4" w:rsidP="00C73C64">
      <w:pPr>
        <w:pStyle w:val="Tablenote"/>
      </w:pPr>
      <w:proofErr w:type="gramStart"/>
      <w:r w:rsidRPr="00F05153">
        <w:rPr>
          <w:vertAlign w:val="superscript"/>
        </w:rPr>
        <w:t>b</w:t>
      </w:r>
      <w:proofErr w:type="gramEnd"/>
      <w:r w:rsidRPr="00F05153">
        <w:rPr>
          <w:vertAlign w:val="superscript"/>
        </w:rPr>
        <w:t xml:space="preserve"> </w:t>
      </w:r>
      <w:r w:rsidRPr="00F05153">
        <w:t>GRADE Working Group grades of evidence</w:t>
      </w:r>
      <w:r w:rsidR="001D34EE" w:rsidRPr="00F05153">
        <w:rPr>
          <w:noProof/>
          <w:vertAlign w:val="superscript"/>
        </w:rPr>
        <w:t>1</w:t>
      </w:r>
    </w:p>
    <w:p w:rsidR="00CC3BA4" w:rsidRPr="00F05153" w:rsidRDefault="00CC3BA4" w:rsidP="00C73C64">
      <w:pPr>
        <w:pStyle w:val="Tablenote"/>
      </w:pPr>
      <w:proofErr w:type="gramStart"/>
      <w:r w:rsidRPr="00F05153">
        <w:rPr>
          <w:vertAlign w:val="superscript"/>
        </w:rPr>
        <w:t>c</w:t>
      </w:r>
      <w:proofErr w:type="gramEnd"/>
      <w:r w:rsidRPr="00F05153">
        <w:t xml:space="preserve"> Randomisation was not stratified by subgroup of interest</w:t>
      </w:r>
    </w:p>
    <w:p w:rsidR="00CC3BA4" w:rsidRPr="00F05153" w:rsidRDefault="00CC3BA4" w:rsidP="00C73C64">
      <w:pPr>
        <w:pStyle w:val="Tablenote"/>
      </w:pPr>
      <w:proofErr w:type="gramStart"/>
      <w:r w:rsidRPr="00F05153">
        <w:rPr>
          <w:vertAlign w:val="superscript"/>
        </w:rPr>
        <w:t>d</w:t>
      </w:r>
      <w:proofErr w:type="gramEnd"/>
      <w:r w:rsidRPr="00F05153">
        <w:t xml:space="preserve"> Wide 95% CIs that span 1</w:t>
      </w:r>
    </w:p>
    <w:p w:rsidR="00D35699" w:rsidRPr="00F05153" w:rsidRDefault="00D35699" w:rsidP="00C73C64">
      <w:pPr>
        <w:pStyle w:val="Tablenote"/>
      </w:pPr>
      <w:proofErr w:type="gramStart"/>
      <w:r w:rsidRPr="00F05153">
        <w:rPr>
          <w:vertAlign w:val="superscript"/>
        </w:rPr>
        <w:t>e</w:t>
      </w:r>
      <w:proofErr w:type="gramEnd"/>
      <w:r w:rsidRPr="00F05153">
        <w:rPr>
          <w:vertAlign w:val="superscript"/>
        </w:rPr>
        <w:t xml:space="preserve"> </w:t>
      </w:r>
      <w:r w:rsidRPr="00F05153">
        <w:t>Surrogate outcome</w:t>
      </w:r>
    </w:p>
    <w:p w:rsidR="00CC3BA4" w:rsidRPr="00F05153" w:rsidRDefault="00CC3BA4" w:rsidP="00C73C64">
      <w:pPr>
        <w:pStyle w:val="Tablenote"/>
      </w:pPr>
      <w:r w:rsidRPr="00F05153">
        <w:rPr>
          <w:rFonts w:ascii="Cambria Math" w:hAnsi="Cambria Math" w:cs="Cambria Math"/>
          <w:color w:val="00B050"/>
        </w:rPr>
        <w:t>⨁⨁⨁⨁</w:t>
      </w:r>
      <w:r w:rsidRPr="00F05153">
        <w:rPr>
          <w:color w:val="00B050"/>
        </w:rPr>
        <w:t xml:space="preserve"> </w:t>
      </w:r>
      <w:r w:rsidRPr="00F05153">
        <w:rPr>
          <w:b/>
        </w:rPr>
        <w:t>High quality:</w:t>
      </w:r>
      <w:r w:rsidRPr="00F05153">
        <w:t xml:space="preserve"> We are very confident that the true effect lies close to that of the estimate of effect</w:t>
      </w:r>
    </w:p>
    <w:p w:rsidR="00CC3BA4" w:rsidRPr="00F05153" w:rsidRDefault="00CC3BA4" w:rsidP="00C73C64">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Moderate quality:</w:t>
      </w:r>
      <w:r w:rsidRPr="00F05153">
        <w:t xml:space="preserve"> We are moderately confident in the effect estimate: The true effect is likely to be close to the estimate of the effect, but there is a possibility that it is substantially different</w:t>
      </w:r>
    </w:p>
    <w:p w:rsidR="00D35699" w:rsidRPr="00F05153" w:rsidRDefault="00D35699" w:rsidP="00D35699">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Low quality:</w:t>
      </w:r>
      <w:r w:rsidRPr="00F05153">
        <w:t xml:space="preserve"> Our confidence in the effect estimate is limited: The true effect may be substantially different from the estimate of the effect</w:t>
      </w:r>
    </w:p>
    <w:p w:rsidR="00146880" w:rsidRPr="00F05153" w:rsidRDefault="00CC3BA4" w:rsidP="00C73C64">
      <w:pPr>
        <w:pStyle w:val="Tablenote"/>
      </w:pPr>
      <w:r w:rsidRPr="00F05153">
        <w:t xml:space="preserve">6MWD = 6-minute </w:t>
      </w:r>
      <w:r w:rsidR="0082368E" w:rsidRPr="00F05153">
        <w:t>walk distance</w:t>
      </w:r>
      <w:r w:rsidRPr="00F05153">
        <w:t>; AR</w:t>
      </w:r>
      <w:r w:rsidR="00B21201" w:rsidRPr="00F05153">
        <w:t>D</w:t>
      </w:r>
      <w:r w:rsidRPr="00F05153">
        <w:t xml:space="preserve"> = absolute risk </w:t>
      </w:r>
      <w:r w:rsidR="00B21201" w:rsidRPr="00F05153">
        <w:t>difference</w:t>
      </w:r>
      <w:r w:rsidRPr="00F05153">
        <w:t xml:space="preserve">; CI = confidence interval; ERA = endothelin receptor antagonist; FC = functional class; </w:t>
      </w:r>
      <w:r w:rsidR="00385E5A" w:rsidRPr="00F05153">
        <w:t>GRADE = grading of recommendations assessment, development and evaluation</w:t>
      </w:r>
      <w:r w:rsidR="001D34EE" w:rsidRPr="00F05153">
        <w:rPr>
          <w:noProof/>
          <w:vertAlign w:val="superscript"/>
        </w:rPr>
        <w:t>1</w:t>
      </w:r>
      <w:r w:rsidR="00064FEF" w:rsidRPr="00F05153">
        <w:t xml:space="preserve">; </w:t>
      </w:r>
      <w:r w:rsidRPr="00F05153">
        <w:t>MD = mean difference; PAH = pulmonary arterial hypertension; PVR = pulmonary vascular resistance; RCT = randomised controlled trial; RR = relative risk; WHO = World Health Organization</w:t>
      </w:r>
    </w:p>
    <w:p w:rsidR="00CC3BA4" w:rsidRPr="00F05153" w:rsidRDefault="00796F18" w:rsidP="00BC5A2B">
      <w:pPr>
        <w:pStyle w:val="Caption"/>
      </w:pPr>
      <w:bookmarkStart w:id="506" w:name="_Ref501368552"/>
      <w:bookmarkStart w:id="507" w:name="_Toc38360444"/>
      <w:r w:rsidRPr="00F05153">
        <w:t>Table 4.</w:t>
      </w:r>
      <w:r w:rsidR="003951FA">
        <w:rPr>
          <w:noProof/>
        </w:rPr>
        <w:t>147</w:t>
      </w:r>
      <w:bookmarkEnd w:id="506"/>
      <w:r w:rsidRPr="00F05153">
        <w:tab/>
      </w:r>
      <w:r w:rsidR="00CC3BA4" w:rsidRPr="00F05153">
        <w:t>Evidence profile table for PDE-5 inhibitor compared to placebo for patients with WHO FC I/II PAH</w:t>
      </w:r>
      <w:bookmarkEnd w:id="507"/>
    </w:p>
    <w:tbl>
      <w:tblPr>
        <w:tblStyle w:val="TableGrid"/>
        <w:tblW w:w="14818" w:type="dxa"/>
        <w:tblLayout w:type="fixed"/>
        <w:tblLook w:val="04A0" w:firstRow="1" w:lastRow="0" w:firstColumn="1" w:lastColumn="0" w:noHBand="0" w:noVBand="1"/>
        <w:tblCaption w:val="Evidence profile table for PDE-5 inhibitor compared to placebo for patients with WHO FC I/II PAH"/>
      </w:tblPr>
      <w:tblGrid>
        <w:gridCol w:w="1413"/>
        <w:gridCol w:w="1074"/>
        <w:gridCol w:w="910"/>
        <w:gridCol w:w="1133"/>
        <w:gridCol w:w="992"/>
        <w:gridCol w:w="1134"/>
        <w:gridCol w:w="1260"/>
        <w:gridCol w:w="1373"/>
        <w:gridCol w:w="1134"/>
        <w:gridCol w:w="993"/>
        <w:gridCol w:w="2108"/>
        <w:gridCol w:w="1294"/>
      </w:tblGrid>
      <w:tr w:rsidR="00476F09" w:rsidRPr="00F05153" w:rsidTr="00BC7F74">
        <w:trPr>
          <w:cnfStyle w:val="100000000000" w:firstRow="1" w:lastRow="0" w:firstColumn="0" w:lastColumn="0" w:oddVBand="0" w:evenVBand="0" w:oddHBand="0" w:evenHBand="0" w:firstRowFirstColumn="0" w:firstRowLastColumn="0" w:lastRowFirstColumn="0" w:lastRowLastColumn="0"/>
          <w:trHeight w:val="788"/>
        </w:trPr>
        <w:tc>
          <w:tcPr>
            <w:tcW w:w="1413" w:type="dxa"/>
          </w:tcPr>
          <w:p w:rsidR="00064FEF" w:rsidRPr="00F05153" w:rsidRDefault="00476F09" w:rsidP="00476F09">
            <w:pPr>
              <w:pStyle w:val="Tabletext"/>
              <w:rPr>
                <w:b/>
              </w:rPr>
            </w:pPr>
            <w:r w:rsidRPr="00F05153">
              <w:rPr>
                <w:b/>
              </w:rPr>
              <w:t>Outcome</w:t>
            </w:r>
          </w:p>
          <w:p w:rsidR="00476F09" w:rsidRPr="00F05153" w:rsidRDefault="00476F09" w:rsidP="00476F09">
            <w:pPr>
              <w:pStyle w:val="Tabletext"/>
              <w:rPr>
                <w:b/>
              </w:rPr>
            </w:pPr>
            <w:r w:rsidRPr="00F05153">
              <w:rPr>
                <w:b/>
              </w:rPr>
              <w:t>(follow-up)</w:t>
            </w:r>
          </w:p>
        </w:tc>
        <w:tc>
          <w:tcPr>
            <w:tcW w:w="1074" w:type="dxa"/>
          </w:tcPr>
          <w:p w:rsidR="00476F09" w:rsidRPr="00F05153" w:rsidRDefault="00476F09" w:rsidP="00476F09">
            <w:pPr>
              <w:pStyle w:val="Tabletext"/>
              <w:rPr>
                <w:b/>
              </w:rPr>
            </w:pPr>
            <w:r w:rsidRPr="00F05153">
              <w:rPr>
                <w:b/>
              </w:rPr>
              <w:t>No. of studies and study design</w:t>
            </w:r>
          </w:p>
        </w:tc>
        <w:tc>
          <w:tcPr>
            <w:tcW w:w="910" w:type="dxa"/>
          </w:tcPr>
          <w:p w:rsidR="00476F09" w:rsidRPr="00F05153" w:rsidRDefault="00476F09" w:rsidP="00476F09">
            <w:pPr>
              <w:pStyle w:val="Tabletext"/>
              <w:rPr>
                <w:b/>
              </w:rPr>
            </w:pPr>
            <w:r w:rsidRPr="00F05153">
              <w:rPr>
                <w:b/>
              </w:rPr>
              <w:t>Risk of bias</w:t>
            </w:r>
          </w:p>
        </w:tc>
        <w:tc>
          <w:tcPr>
            <w:tcW w:w="1133" w:type="dxa"/>
          </w:tcPr>
          <w:p w:rsidR="00476F09" w:rsidRPr="00F05153" w:rsidRDefault="00476F09" w:rsidP="00476F09">
            <w:pPr>
              <w:pStyle w:val="Tabletext"/>
              <w:rPr>
                <w:b/>
              </w:rPr>
            </w:pPr>
            <w:r w:rsidRPr="00F05153">
              <w:rPr>
                <w:b/>
              </w:rPr>
              <w:t>Inconsis</w:t>
            </w:r>
            <w:r w:rsidR="00BC7F74" w:rsidRPr="00F05153">
              <w:rPr>
                <w:b/>
              </w:rPr>
              <w:t>-</w:t>
            </w:r>
            <w:r w:rsidRPr="00F05153">
              <w:rPr>
                <w:b/>
              </w:rPr>
              <w:t>tency</w:t>
            </w:r>
          </w:p>
        </w:tc>
        <w:tc>
          <w:tcPr>
            <w:tcW w:w="992" w:type="dxa"/>
          </w:tcPr>
          <w:p w:rsidR="00476F09" w:rsidRPr="00F05153" w:rsidRDefault="00476F09" w:rsidP="00476F09">
            <w:pPr>
              <w:pStyle w:val="Tabletext"/>
              <w:rPr>
                <w:b/>
              </w:rPr>
            </w:pPr>
            <w:r w:rsidRPr="00F05153">
              <w:rPr>
                <w:b/>
              </w:rPr>
              <w:t>Indirect</w:t>
            </w:r>
            <w:r w:rsidR="00BC7F74" w:rsidRPr="00F05153">
              <w:rPr>
                <w:b/>
              </w:rPr>
              <w:t>-</w:t>
            </w:r>
            <w:r w:rsidRPr="00F05153">
              <w:rPr>
                <w:b/>
              </w:rPr>
              <w:t>ness</w:t>
            </w:r>
          </w:p>
        </w:tc>
        <w:tc>
          <w:tcPr>
            <w:tcW w:w="1134" w:type="dxa"/>
          </w:tcPr>
          <w:p w:rsidR="00476F09" w:rsidRPr="00F05153" w:rsidRDefault="00476F09" w:rsidP="00476F09">
            <w:pPr>
              <w:pStyle w:val="Tabletext"/>
              <w:rPr>
                <w:b/>
              </w:rPr>
            </w:pPr>
            <w:r w:rsidRPr="00F05153">
              <w:rPr>
                <w:b/>
              </w:rPr>
              <w:t>Impre</w:t>
            </w:r>
            <w:r w:rsidR="00BC7F74" w:rsidRPr="00F05153">
              <w:rPr>
                <w:b/>
              </w:rPr>
              <w:t>-</w:t>
            </w:r>
            <w:r w:rsidRPr="00F05153">
              <w:rPr>
                <w:b/>
              </w:rPr>
              <w:t>cision</w:t>
            </w:r>
          </w:p>
        </w:tc>
        <w:tc>
          <w:tcPr>
            <w:tcW w:w="1260" w:type="dxa"/>
          </w:tcPr>
          <w:p w:rsidR="00476F09" w:rsidRPr="00F05153" w:rsidRDefault="00476F09" w:rsidP="00476F09">
            <w:pPr>
              <w:pStyle w:val="Tabletext"/>
              <w:rPr>
                <w:b/>
              </w:rPr>
            </w:pPr>
            <w:r w:rsidRPr="00F05153">
              <w:rPr>
                <w:b/>
              </w:rPr>
              <w:t>Other conside</w:t>
            </w:r>
            <w:r w:rsidR="00BC7F74" w:rsidRPr="00F05153">
              <w:rPr>
                <w:b/>
              </w:rPr>
              <w:t>-</w:t>
            </w:r>
            <w:r w:rsidRPr="00F05153">
              <w:rPr>
                <w:b/>
              </w:rPr>
              <w:t>rations</w:t>
            </w:r>
            <w:r w:rsidRPr="00F05153">
              <w:rPr>
                <w:b/>
                <w:vertAlign w:val="superscript"/>
              </w:rPr>
              <w:t>a</w:t>
            </w:r>
          </w:p>
        </w:tc>
        <w:tc>
          <w:tcPr>
            <w:tcW w:w="1373" w:type="dxa"/>
          </w:tcPr>
          <w:p w:rsidR="00476F09" w:rsidRPr="00F05153" w:rsidRDefault="00476F09" w:rsidP="00476F09">
            <w:pPr>
              <w:pStyle w:val="Tabletext"/>
              <w:rPr>
                <w:b/>
              </w:rPr>
            </w:pPr>
            <w:r w:rsidRPr="00F05153">
              <w:rPr>
                <w:b/>
              </w:rPr>
              <w:t>Study event rates (%) with PDE-5 inhibitor</w:t>
            </w:r>
          </w:p>
        </w:tc>
        <w:tc>
          <w:tcPr>
            <w:tcW w:w="1134" w:type="dxa"/>
          </w:tcPr>
          <w:p w:rsidR="00476F09" w:rsidRPr="00F05153" w:rsidRDefault="00476F09" w:rsidP="00476F09">
            <w:pPr>
              <w:pStyle w:val="Tabletext"/>
              <w:rPr>
                <w:b/>
              </w:rPr>
            </w:pPr>
            <w:r w:rsidRPr="00F05153">
              <w:rPr>
                <w:b/>
              </w:rPr>
              <w:t>Study event rates (%) with placebo</w:t>
            </w:r>
          </w:p>
        </w:tc>
        <w:tc>
          <w:tcPr>
            <w:tcW w:w="993" w:type="dxa"/>
          </w:tcPr>
          <w:p w:rsidR="00476F09" w:rsidRPr="00F05153" w:rsidRDefault="00476F09" w:rsidP="00476F09">
            <w:pPr>
              <w:pStyle w:val="Tabletext"/>
              <w:rPr>
                <w:b/>
              </w:rPr>
            </w:pPr>
            <w:r w:rsidRPr="00F05153">
              <w:rPr>
                <w:b/>
              </w:rPr>
              <w:t>Effect measure (95%CI)</w:t>
            </w:r>
          </w:p>
        </w:tc>
        <w:tc>
          <w:tcPr>
            <w:tcW w:w="2108" w:type="dxa"/>
          </w:tcPr>
          <w:p w:rsidR="00476F09" w:rsidRPr="00F05153" w:rsidRDefault="00476F09" w:rsidP="00476F09">
            <w:pPr>
              <w:pStyle w:val="Tabletext"/>
              <w:rPr>
                <w:b/>
              </w:rPr>
            </w:pPr>
            <w:r w:rsidRPr="00F05153">
              <w:rPr>
                <w:b/>
              </w:rPr>
              <w:t>Absolute effect (95%CI)</w:t>
            </w:r>
          </w:p>
        </w:tc>
        <w:tc>
          <w:tcPr>
            <w:tcW w:w="1294" w:type="dxa"/>
          </w:tcPr>
          <w:p w:rsidR="00064FEF" w:rsidRPr="00F05153" w:rsidRDefault="00064FEF" w:rsidP="00476F09">
            <w:pPr>
              <w:pStyle w:val="Tabletext"/>
              <w:rPr>
                <w:b/>
              </w:rPr>
            </w:pPr>
            <w:r w:rsidRPr="00F05153">
              <w:rPr>
                <w:b/>
              </w:rPr>
              <w:t>GRADE</w:t>
            </w:r>
            <w:r w:rsidRPr="00F05153">
              <w:rPr>
                <w:b/>
                <w:vertAlign w:val="superscript"/>
              </w:rPr>
              <w:t>b</w:t>
            </w:r>
          </w:p>
          <w:p w:rsidR="00476F09" w:rsidRPr="00F05153" w:rsidRDefault="00476F09" w:rsidP="00476F09">
            <w:pPr>
              <w:pStyle w:val="Tabletext"/>
              <w:rPr>
                <w:b/>
              </w:rPr>
            </w:pPr>
            <w:r w:rsidRPr="00F05153">
              <w:rPr>
                <w:b/>
              </w:rPr>
              <w:t>Quality</w:t>
            </w:r>
          </w:p>
          <w:p w:rsidR="00476F09" w:rsidRPr="00F05153" w:rsidRDefault="00476F09" w:rsidP="00476F09">
            <w:pPr>
              <w:pStyle w:val="Tabletext"/>
              <w:rPr>
                <w:b/>
              </w:rPr>
            </w:pPr>
            <w:r w:rsidRPr="00F05153">
              <w:rPr>
                <w:b/>
              </w:rPr>
              <w:t>Importance</w:t>
            </w:r>
          </w:p>
        </w:tc>
      </w:tr>
      <w:tr w:rsidR="00CC3BA4" w:rsidRPr="00F05153" w:rsidTr="00BC7F74">
        <w:trPr>
          <w:trHeight w:val="319"/>
        </w:trPr>
        <w:tc>
          <w:tcPr>
            <w:tcW w:w="1413" w:type="dxa"/>
          </w:tcPr>
          <w:p w:rsidR="00CC3BA4" w:rsidRPr="00F05153" w:rsidRDefault="00CC3BA4" w:rsidP="00C73C64">
            <w:pPr>
              <w:pStyle w:val="Tabletext"/>
              <w:rPr>
                <w:rFonts w:cs="Tahoma"/>
              </w:rPr>
            </w:pPr>
            <w:r w:rsidRPr="00F05153">
              <w:rPr>
                <w:rFonts w:cs="Tahoma"/>
              </w:rPr>
              <w:t>All-cause mortality</w:t>
            </w:r>
            <w:r w:rsidRPr="00F05153">
              <w:rPr>
                <w:rFonts w:cs="Tahoma"/>
              </w:rPr>
              <w:br/>
              <w:t>(48 months)</w:t>
            </w:r>
          </w:p>
        </w:tc>
        <w:tc>
          <w:tcPr>
            <w:tcW w:w="1074" w:type="dxa"/>
          </w:tcPr>
          <w:p w:rsidR="00CC3BA4" w:rsidRPr="00F05153" w:rsidRDefault="00CC3BA4" w:rsidP="00C73C64">
            <w:pPr>
              <w:pStyle w:val="Tabletext"/>
              <w:rPr>
                <w:rFonts w:cs="Tahoma"/>
              </w:rPr>
            </w:pPr>
            <w:r w:rsidRPr="00F05153">
              <w:rPr>
                <w:rFonts w:cs="Tahoma"/>
              </w:rPr>
              <w:t xml:space="preserve">2 </w:t>
            </w:r>
            <w:r w:rsidRPr="00F05153">
              <w:rPr>
                <w:rFonts w:cs="Tahoma"/>
                <w:u w:val="single"/>
              </w:rPr>
              <w:t>cohort</w:t>
            </w:r>
            <w:r w:rsidRPr="00F05153">
              <w:rPr>
                <w:rFonts w:cs="Tahoma"/>
              </w:rPr>
              <w:t xml:space="preserve"> studies</w:t>
            </w:r>
          </w:p>
        </w:tc>
        <w:tc>
          <w:tcPr>
            <w:tcW w:w="910" w:type="dxa"/>
          </w:tcPr>
          <w:p w:rsidR="00CC3BA4" w:rsidRPr="00F05153" w:rsidRDefault="00CC3BA4" w:rsidP="00C73C64">
            <w:pPr>
              <w:pStyle w:val="Tabletext"/>
              <w:rPr>
                <w:rFonts w:cs="Tahoma"/>
              </w:rPr>
            </w:pPr>
            <w:r w:rsidRPr="00F05153">
              <w:rPr>
                <w:rFonts w:cs="Tahoma"/>
              </w:rPr>
              <w:t xml:space="preserve">Serious </w:t>
            </w:r>
            <w:r w:rsidRPr="00F05153">
              <w:rPr>
                <w:rFonts w:cs="Tahoma"/>
                <w:vertAlign w:val="superscript"/>
              </w:rPr>
              <w:t>c,d,e</w:t>
            </w:r>
          </w:p>
        </w:tc>
        <w:tc>
          <w:tcPr>
            <w:tcW w:w="1133" w:type="dxa"/>
          </w:tcPr>
          <w:p w:rsidR="00CC3BA4" w:rsidRPr="00F05153" w:rsidRDefault="00CC3BA4" w:rsidP="00C73C64">
            <w:pPr>
              <w:pStyle w:val="Tabletext"/>
              <w:rPr>
                <w:rFonts w:cs="Tahoma"/>
              </w:rPr>
            </w:pPr>
            <w:r w:rsidRPr="00F05153">
              <w:rPr>
                <w:rFonts w:cs="Tahoma"/>
              </w:rPr>
              <w:t>Not serious</w:t>
            </w:r>
          </w:p>
        </w:tc>
        <w:tc>
          <w:tcPr>
            <w:tcW w:w="992" w:type="dxa"/>
          </w:tcPr>
          <w:p w:rsidR="00CC3BA4" w:rsidRPr="00F05153" w:rsidRDefault="00CC3BA4" w:rsidP="00C73C64">
            <w:pPr>
              <w:pStyle w:val="Tabletext"/>
              <w:rPr>
                <w:rFonts w:cs="Tahoma"/>
              </w:rPr>
            </w:pPr>
            <w:r w:rsidRPr="00F05153">
              <w:rPr>
                <w:rFonts w:cs="Tahoma"/>
              </w:rPr>
              <w:t>Not serious</w:t>
            </w:r>
          </w:p>
        </w:tc>
        <w:tc>
          <w:tcPr>
            <w:tcW w:w="1134" w:type="dxa"/>
          </w:tcPr>
          <w:p w:rsidR="00CC3BA4" w:rsidRPr="00F05153" w:rsidRDefault="00CC3BA4" w:rsidP="00C73C64">
            <w:pPr>
              <w:pStyle w:val="Tabletext"/>
              <w:rPr>
                <w:rFonts w:cs="Tahoma"/>
              </w:rPr>
            </w:pPr>
            <w:r w:rsidRPr="00F05153">
              <w:rPr>
                <w:rFonts w:cs="Tahoma"/>
              </w:rPr>
              <w:t xml:space="preserve">Serious </w:t>
            </w:r>
            <w:r w:rsidRPr="00F05153">
              <w:rPr>
                <w:rFonts w:cs="Tahoma"/>
                <w:vertAlign w:val="superscript"/>
              </w:rPr>
              <w:t>f</w:t>
            </w:r>
          </w:p>
        </w:tc>
        <w:tc>
          <w:tcPr>
            <w:tcW w:w="1260" w:type="dxa"/>
          </w:tcPr>
          <w:p w:rsidR="00CC3BA4" w:rsidRPr="00F05153" w:rsidRDefault="00CC3BA4" w:rsidP="00C73C64">
            <w:pPr>
              <w:pStyle w:val="Tabletext"/>
              <w:rPr>
                <w:rFonts w:cs="Tahoma"/>
              </w:rPr>
            </w:pPr>
            <w:r w:rsidRPr="00F05153">
              <w:rPr>
                <w:rFonts w:cs="Tahoma"/>
              </w:rPr>
              <w:t>Strong association</w:t>
            </w:r>
          </w:p>
        </w:tc>
        <w:tc>
          <w:tcPr>
            <w:tcW w:w="1373" w:type="dxa"/>
          </w:tcPr>
          <w:p w:rsidR="00CC3BA4" w:rsidRPr="00F05153" w:rsidRDefault="00CC3BA4" w:rsidP="00C73C64">
            <w:pPr>
              <w:pStyle w:val="Tabletext"/>
              <w:rPr>
                <w:rFonts w:cs="Tahoma"/>
              </w:rPr>
            </w:pPr>
            <w:r w:rsidRPr="00F05153">
              <w:rPr>
                <w:rFonts w:cs="Tahoma"/>
              </w:rPr>
              <w:t>10/100 (10%)</w:t>
            </w:r>
          </w:p>
        </w:tc>
        <w:tc>
          <w:tcPr>
            <w:tcW w:w="1134" w:type="dxa"/>
          </w:tcPr>
          <w:p w:rsidR="00CC3BA4" w:rsidRPr="00F05153" w:rsidRDefault="00CC3BA4" w:rsidP="00C73C64">
            <w:pPr>
              <w:pStyle w:val="Tabletext"/>
              <w:rPr>
                <w:rFonts w:cs="Tahoma"/>
              </w:rPr>
            </w:pPr>
            <w:r w:rsidRPr="00F05153">
              <w:rPr>
                <w:rFonts w:cs="Tahoma"/>
              </w:rPr>
              <w:t>11/55 (20%)</w:t>
            </w:r>
          </w:p>
        </w:tc>
        <w:tc>
          <w:tcPr>
            <w:tcW w:w="993" w:type="dxa"/>
          </w:tcPr>
          <w:p w:rsidR="00CC3BA4" w:rsidRPr="00F05153" w:rsidRDefault="00CC3BA4" w:rsidP="00C73C64">
            <w:pPr>
              <w:pStyle w:val="Tabletext"/>
              <w:rPr>
                <w:rFonts w:cs="Tahoma"/>
              </w:rPr>
            </w:pPr>
            <w:r w:rsidRPr="00F05153">
              <w:rPr>
                <w:rFonts w:cs="Tahoma"/>
              </w:rPr>
              <w:t>RR = 0.32 (0.05, 1.90)</w:t>
            </w:r>
          </w:p>
        </w:tc>
        <w:tc>
          <w:tcPr>
            <w:tcW w:w="2108" w:type="dxa"/>
          </w:tcPr>
          <w:p w:rsidR="00CC3BA4" w:rsidRPr="00F05153" w:rsidRDefault="00CC3BA4" w:rsidP="00C73C64">
            <w:pPr>
              <w:pStyle w:val="Tabletext"/>
              <w:rPr>
                <w:rFonts w:cs="Tahoma"/>
              </w:rPr>
            </w:pPr>
            <w:r w:rsidRPr="00F05153">
              <w:rPr>
                <w:rFonts w:cs="Tahoma"/>
              </w:rPr>
              <w:t>136 fewer per 1,000</w:t>
            </w:r>
            <w:r w:rsidRPr="00F05153">
              <w:rPr>
                <w:rFonts w:cs="Tahoma"/>
              </w:rPr>
              <w:br/>
              <w:t>(from 180 more to 190 fewer)</w:t>
            </w:r>
          </w:p>
        </w:tc>
        <w:tc>
          <w:tcPr>
            <w:tcW w:w="1294" w:type="dxa"/>
          </w:tcPr>
          <w:p w:rsidR="00CC3BA4" w:rsidRPr="00F05153" w:rsidRDefault="00CC3BA4" w:rsidP="00C73C64">
            <w:pPr>
              <w:pStyle w:val="Tabletext"/>
              <w:rPr>
                <w:rFonts w:ascii="Cambria Math" w:eastAsia="Times New Roman" w:hAnsi="Cambria Math" w:cs="Cambria Math"/>
                <w:bCs/>
              </w:rPr>
            </w:pPr>
            <w:r w:rsidRPr="00F05153">
              <w:rPr>
                <w:rFonts w:eastAsia="Times New Roman" w:cs="Cambria Math"/>
                <w:bCs/>
              </w:rPr>
              <w:t>Very low</w:t>
            </w:r>
            <w:r w:rsidRPr="00F05153">
              <w:rPr>
                <w:rFonts w:eastAsia="Times New Roman" w:cs="Cambria Math"/>
                <w:bCs/>
              </w:rPr>
              <w:br/>
            </w:r>
            <w:r w:rsidRPr="00F05153">
              <w:rPr>
                <w:rFonts w:ascii="Cambria Math" w:eastAsia="Times New Roman" w:hAnsi="Cambria Math" w:cs="Cambria Math"/>
                <w:bCs/>
                <w:color w:val="00B050"/>
              </w:rPr>
              <w:t>⨁</w:t>
            </w:r>
            <w:r w:rsidRPr="00F05153">
              <w:rPr>
                <w:rFonts w:ascii="Cambria Math" w:eastAsia="Times New Roman" w:hAnsi="Cambria Math" w:cs="Cambria Math"/>
                <w:bCs/>
                <w:color w:val="C00000"/>
              </w:rPr>
              <w:t>⨀⨀⨀</w:t>
            </w:r>
          </w:p>
          <w:p w:rsidR="00CC3BA4" w:rsidRPr="00F05153" w:rsidRDefault="00CC3BA4" w:rsidP="00C73C64">
            <w:pPr>
              <w:pStyle w:val="Tabletext"/>
              <w:rPr>
                <w:rFonts w:eastAsia="Times New Roman" w:cs="Cambria Math"/>
                <w:bCs/>
              </w:rPr>
            </w:pPr>
            <w:r w:rsidRPr="00F05153">
              <w:rPr>
                <w:rFonts w:cs="Tahoma"/>
              </w:rPr>
              <w:t>Critical</w:t>
            </w:r>
          </w:p>
        </w:tc>
      </w:tr>
      <w:tr w:rsidR="00534ADA" w:rsidRPr="00F05153" w:rsidTr="00BC7F74">
        <w:trPr>
          <w:trHeight w:val="319"/>
        </w:trPr>
        <w:tc>
          <w:tcPr>
            <w:tcW w:w="1413" w:type="dxa"/>
          </w:tcPr>
          <w:p w:rsidR="00534ADA" w:rsidRPr="00F05153" w:rsidRDefault="00534ADA" w:rsidP="00534ADA">
            <w:pPr>
              <w:pStyle w:val="Tabletext"/>
              <w:rPr>
                <w:rFonts w:cs="Tahoma"/>
              </w:rPr>
            </w:pPr>
            <w:r w:rsidRPr="00F05153">
              <w:rPr>
                <w:rFonts w:cs="Tahoma"/>
              </w:rPr>
              <w:t>Improved WHO FC</w:t>
            </w:r>
            <w:r w:rsidRPr="00F05153">
              <w:rPr>
                <w:rFonts w:cs="Tahoma"/>
              </w:rPr>
              <w:br/>
              <w:t>(12 weeks)</w:t>
            </w:r>
          </w:p>
        </w:tc>
        <w:tc>
          <w:tcPr>
            <w:tcW w:w="1074" w:type="dxa"/>
          </w:tcPr>
          <w:p w:rsidR="00534ADA" w:rsidRPr="00F05153" w:rsidRDefault="00534ADA" w:rsidP="00534ADA">
            <w:pPr>
              <w:pStyle w:val="Tabletext"/>
              <w:rPr>
                <w:rFonts w:cs="Tahoma"/>
              </w:rPr>
            </w:pPr>
            <w:r w:rsidRPr="00F05153">
              <w:rPr>
                <w:rFonts w:cs="Tahoma"/>
              </w:rPr>
              <w:t>1 RCT</w:t>
            </w:r>
          </w:p>
        </w:tc>
        <w:tc>
          <w:tcPr>
            <w:tcW w:w="910" w:type="dxa"/>
          </w:tcPr>
          <w:p w:rsidR="00534ADA" w:rsidRPr="00F05153" w:rsidRDefault="00534ADA" w:rsidP="00534ADA">
            <w:pPr>
              <w:pStyle w:val="Tabletext"/>
              <w:rPr>
                <w:rFonts w:cs="Tahoma"/>
              </w:rPr>
            </w:pPr>
            <w:r w:rsidRPr="00F05153">
              <w:rPr>
                <w:rFonts w:cs="Tahoma"/>
              </w:rPr>
              <w:t>Not serious</w:t>
            </w:r>
          </w:p>
        </w:tc>
        <w:tc>
          <w:tcPr>
            <w:tcW w:w="1133" w:type="dxa"/>
          </w:tcPr>
          <w:p w:rsidR="00534ADA" w:rsidRPr="00F05153" w:rsidRDefault="00534ADA" w:rsidP="00534ADA">
            <w:pPr>
              <w:pStyle w:val="Tabletext"/>
              <w:rPr>
                <w:rFonts w:cs="Tahoma"/>
              </w:rPr>
            </w:pPr>
            <w:r w:rsidRPr="00F05153">
              <w:rPr>
                <w:rFonts w:cs="Tahoma"/>
              </w:rPr>
              <w:t>Not serious</w:t>
            </w:r>
          </w:p>
        </w:tc>
        <w:tc>
          <w:tcPr>
            <w:tcW w:w="992" w:type="dxa"/>
          </w:tcPr>
          <w:p w:rsidR="00534ADA" w:rsidRPr="00F05153" w:rsidRDefault="00534ADA" w:rsidP="00534ADA">
            <w:pPr>
              <w:pStyle w:val="Tabletext"/>
              <w:rPr>
                <w:rFonts w:cs="Tahoma"/>
              </w:rPr>
            </w:pPr>
            <w:r w:rsidRPr="00F05153">
              <w:rPr>
                <w:rFonts w:cs="Tahoma"/>
              </w:rPr>
              <w:t>Not serious</w:t>
            </w:r>
          </w:p>
        </w:tc>
        <w:tc>
          <w:tcPr>
            <w:tcW w:w="1134" w:type="dxa"/>
          </w:tcPr>
          <w:p w:rsidR="00534ADA" w:rsidRPr="00F05153" w:rsidRDefault="00BD743C" w:rsidP="00BD743C">
            <w:pPr>
              <w:pStyle w:val="Tabletext"/>
              <w:rPr>
                <w:rFonts w:cs="Tahoma"/>
              </w:rPr>
            </w:pPr>
            <w:r w:rsidRPr="00F05153">
              <w:rPr>
                <w:rFonts w:cs="Tahoma"/>
              </w:rPr>
              <w:t>Very s</w:t>
            </w:r>
            <w:r w:rsidR="00534ADA" w:rsidRPr="00F05153">
              <w:rPr>
                <w:rFonts w:cs="Tahoma"/>
              </w:rPr>
              <w:t xml:space="preserve">erious </w:t>
            </w:r>
            <w:r w:rsidR="00534ADA" w:rsidRPr="00F05153">
              <w:rPr>
                <w:rFonts w:cs="Tahoma"/>
                <w:vertAlign w:val="superscript"/>
              </w:rPr>
              <w:t>f</w:t>
            </w:r>
            <w:r w:rsidRPr="00F05153">
              <w:rPr>
                <w:rFonts w:cs="Tahoma"/>
                <w:vertAlign w:val="superscript"/>
              </w:rPr>
              <w:t>,g</w:t>
            </w:r>
          </w:p>
        </w:tc>
        <w:tc>
          <w:tcPr>
            <w:tcW w:w="1260" w:type="dxa"/>
          </w:tcPr>
          <w:p w:rsidR="00534ADA" w:rsidRPr="00F05153" w:rsidRDefault="00534ADA" w:rsidP="00534ADA">
            <w:pPr>
              <w:pStyle w:val="Tabletext"/>
              <w:rPr>
                <w:rFonts w:cs="Tahoma"/>
              </w:rPr>
            </w:pPr>
            <w:r w:rsidRPr="00F05153">
              <w:rPr>
                <w:rFonts w:cs="Tahoma"/>
              </w:rPr>
              <w:t>None</w:t>
            </w:r>
          </w:p>
        </w:tc>
        <w:tc>
          <w:tcPr>
            <w:tcW w:w="1373" w:type="dxa"/>
          </w:tcPr>
          <w:p w:rsidR="00534ADA" w:rsidRPr="00F05153" w:rsidRDefault="00534ADA" w:rsidP="00534ADA">
            <w:pPr>
              <w:pStyle w:val="Tabletext"/>
              <w:rPr>
                <w:rFonts w:cs="Tahoma"/>
              </w:rPr>
            </w:pPr>
            <w:r w:rsidRPr="00F05153">
              <w:rPr>
                <w:rFonts w:cs="Tahoma"/>
              </w:rPr>
              <w:t>1/22 (5%)</w:t>
            </w:r>
          </w:p>
        </w:tc>
        <w:tc>
          <w:tcPr>
            <w:tcW w:w="1134" w:type="dxa"/>
          </w:tcPr>
          <w:p w:rsidR="00534ADA" w:rsidRPr="00F05153" w:rsidRDefault="00534ADA" w:rsidP="00534ADA">
            <w:pPr>
              <w:pStyle w:val="Tabletext"/>
              <w:rPr>
                <w:rFonts w:cs="Tahoma"/>
              </w:rPr>
            </w:pPr>
            <w:r w:rsidRPr="00F05153">
              <w:rPr>
                <w:rFonts w:cs="Tahoma"/>
              </w:rPr>
              <w:t>1/22 (5%)</w:t>
            </w:r>
          </w:p>
        </w:tc>
        <w:tc>
          <w:tcPr>
            <w:tcW w:w="993" w:type="dxa"/>
          </w:tcPr>
          <w:p w:rsidR="00534ADA" w:rsidRPr="00F05153" w:rsidRDefault="00534ADA" w:rsidP="00534ADA">
            <w:pPr>
              <w:pStyle w:val="Tabletext"/>
              <w:rPr>
                <w:rFonts w:cs="Tahoma"/>
              </w:rPr>
            </w:pPr>
            <w:r w:rsidRPr="00F05153">
              <w:rPr>
                <w:rFonts w:cs="Tahoma"/>
              </w:rPr>
              <w:t>RR = 1.00 (0.07, 15.00)</w:t>
            </w:r>
          </w:p>
        </w:tc>
        <w:tc>
          <w:tcPr>
            <w:tcW w:w="2108" w:type="dxa"/>
          </w:tcPr>
          <w:p w:rsidR="00534ADA" w:rsidRPr="00F05153" w:rsidRDefault="00534ADA" w:rsidP="00534ADA">
            <w:pPr>
              <w:pStyle w:val="Tabletext"/>
              <w:rPr>
                <w:rFonts w:cs="Tahoma"/>
              </w:rPr>
            </w:pPr>
            <w:r w:rsidRPr="00F05153">
              <w:rPr>
                <w:rFonts w:cs="Tahoma"/>
              </w:rPr>
              <w:t>0 fewer per 1,000</w:t>
            </w:r>
            <w:r w:rsidRPr="00F05153">
              <w:rPr>
                <w:rFonts w:cs="Tahoma"/>
              </w:rPr>
              <w:br/>
              <w:t>(from 42 fewer to 636 more)</w:t>
            </w:r>
          </w:p>
        </w:tc>
        <w:tc>
          <w:tcPr>
            <w:tcW w:w="1294" w:type="dxa"/>
          </w:tcPr>
          <w:p w:rsidR="00534ADA" w:rsidRPr="001D2077" w:rsidRDefault="00534ADA" w:rsidP="00534ADA">
            <w:pPr>
              <w:pStyle w:val="TableText0"/>
              <w:spacing w:before="20" w:after="20"/>
              <w:rPr>
                <w:rFonts w:ascii="Arial" w:hAnsi="Arial" w:cs="Cambria Math"/>
                <w:bCs/>
                <w:sz w:val="20"/>
                <w:szCs w:val="20"/>
              </w:rPr>
            </w:pPr>
            <w:r w:rsidRPr="001D2077">
              <w:rPr>
                <w:rFonts w:ascii="Arial" w:hAnsi="Arial" w:cs="Cambria Math"/>
                <w:bCs/>
                <w:sz w:val="20"/>
                <w:szCs w:val="20"/>
              </w:rPr>
              <w:t>Low</w:t>
            </w:r>
          </w:p>
          <w:p w:rsidR="00534ADA" w:rsidRPr="00F05153" w:rsidRDefault="00534ADA" w:rsidP="00534ADA">
            <w:pPr>
              <w:pStyle w:val="TableText0"/>
              <w:spacing w:before="20" w:after="20"/>
              <w:rPr>
                <w:rFonts w:cs="Cambria Math"/>
                <w:bCs/>
              </w:rPr>
            </w:pPr>
            <w:r w:rsidRPr="00F05153">
              <w:rPr>
                <w:rFonts w:ascii="Cambria Math" w:hAnsi="Cambria Math" w:cs="Cambria Math"/>
                <w:bCs/>
                <w:color w:val="00B050"/>
              </w:rPr>
              <w:t>⨁⨁</w:t>
            </w:r>
            <w:r w:rsidRPr="00F05153">
              <w:rPr>
                <w:rFonts w:ascii="Cambria Math" w:hAnsi="Cambria Math" w:cs="Cambria Math"/>
                <w:color w:val="C00000"/>
              </w:rPr>
              <w:t>⨀⨀</w:t>
            </w:r>
          </w:p>
          <w:p w:rsidR="00534ADA" w:rsidRPr="00F05153" w:rsidRDefault="00534ADA" w:rsidP="00534ADA">
            <w:pPr>
              <w:pStyle w:val="Tabletext"/>
              <w:rPr>
                <w:rFonts w:ascii="Cambria Math" w:eastAsia="Times New Roman" w:hAnsi="Cambria Math" w:cs="Cambria Math"/>
                <w:bCs/>
              </w:rPr>
            </w:pPr>
            <w:r w:rsidRPr="00F05153">
              <w:t>Important</w:t>
            </w:r>
          </w:p>
        </w:tc>
      </w:tr>
      <w:tr w:rsidR="00534ADA" w:rsidRPr="00F05153" w:rsidTr="00BC7F74">
        <w:trPr>
          <w:trHeight w:val="319"/>
        </w:trPr>
        <w:tc>
          <w:tcPr>
            <w:tcW w:w="1413" w:type="dxa"/>
          </w:tcPr>
          <w:p w:rsidR="00534ADA" w:rsidRPr="00F05153" w:rsidRDefault="00534ADA" w:rsidP="00534ADA">
            <w:pPr>
              <w:pStyle w:val="Tabletext"/>
              <w:rPr>
                <w:rFonts w:cs="Tahoma"/>
              </w:rPr>
            </w:pPr>
            <w:r w:rsidRPr="00F05153">
              <w:rPr>
                <w:rFonts w:cs="Tahoma"/>
              </w:rPr>
              <w:t>Worsened WHO FC</w:t>
            </w:r>
            <w:r w:rsidRPr="00F05153">
              <w:rPr>
                <w:rFonts w:cs="Tahoma"/>
              </w:rPr>
              <w:br/>
              <w:t>(12 weeks)</w:t>
            </w:r>
          </w:p>
        </w:tc>
        <w:tc>
          <w:tcPr>
            <w:tcW w:w="1074" w:type="dxa"/>
          </w:tcPr>
          <w:p w:rsidR="00534ADA" w:rsidRPr="00F05153" w:rsidRDefault="00534ADA" w:rsidP="00534ADA">
            <w:pPr>
              <w:pStyle w:val="Tabletext"/>
              <w:rPr>
                <w:rFonts w:cs="Tahoma"/>
              </w:rPr>
            </w:pPr>
            <w:r w:rsidRPr="00F05153">
              <w:rPr>
                <w:rFonts w:cs="Tahoma"/>
              </w:rPr>
              <w:t>1 RCT</w:t>
            </w:r>
          </w:p>
        </w:tc>
        <w:tc>
          <w:tcPr>
            <w:tcW w:w="910" w:type="dxa"/>
          </w:tcPr>
          <w:p w:rsidR="00534ADA" w:rsidRPr="00F05153" w:rsidRDefault="00534ADA" w:rsidP="00534ADA">
            <w:pPr>
              <w:pStyle w:val="Tabletext"/>
              <w:rPr>
                <w:rFonts w:cs="Tahoma"/>
              </w:rPr>
            </w:pPr>
            <w:r w:rsidRPr="00F05153">
              <w:rPr>
                <w:rFonts w:cs="Tahoma"/>
              </w:rPr>
              <w:t>Not serious</w:t>
            </w:r>
          </w:p>
        </w:tc>
        <w:tc>
          <w:tcPr>
            <w:tcW w:w="1133" w:type="dxa"/>
          </w:tcPr>
          <w:p w:rsidR="00534ADA" w:rsidRPr="00F05153" w:rsidRDefault="00534ADA" w:rsidP="00534ADA">
            <w:pPr>
              <w:pStyle w:val="Tabletext"/>
              <w:rPr>
                <w:rFonts w:cs="Tahoma"/>
              </w:rPr>
            </w:pPr>
            <w:r w:rsidRPr="00F05153">
              <w:rPr>
                <w:rFonts w:cs="Tahoma"/>
              </w:rPr>
              <w:t>Not serious</w:t>
            </w:r>
          </w:p>
        </w:tc>
        <w:tc>
          <w:tcPr>
            <w:tcW w:w="992" w:type="dxa"/>
          </w:tcPr>
          <w:p w:rsidR="00534ADA" w:rsidRPr="00F05153" w:rsidRDefault="00534ADA" w:rsidP="00534ADA">
            <w:pPr>
              <w:pStyle w:val="Tabletext"/>
              <w:rPr>
                <w:rFonts w:cs="Tahoma"/>
              </w:rPr>
            </w:pPr>
            <w:r w:rsidRPr="00F05153">
              <w:rPr>
                <w:rFonts w:cs="Tahoma"/>
              </w:rPr>
              <w:t>Not serious</w:t>
            </w:r>
          </w:p>
        </w:tc>
        <w:tc>
          <w:tcPr>
            <w:tcW w:w="1134" w:type="dxa"/>
          </w:tcPr>
          <w:p w:rsidR="00534ADA" w:rsidRPr="00F05153" w:rsidRDefault="00534ADA" w:rsidP="00534ADA">
            <w:pPr>
              <w:pStyle w:val="Tabletext"/>
              <w:rPr>
                <w:rFonts w:cs="Tahoma"/>
                <w:vertAlign w:val="superscript"/>
              </w:rPr>
            </w:pPr>
            <w:r w:rsidRPr="00F05153">
              <w:rPr>
                <w:rFonts w:cs="Tahoma"/>
              </w:rPr>
              <w:t>Very serious</w:t>
            </w:r>
            <w:r w:rsidR="00BD743C" w:rsidRPr="00F05153">
              <w:rPr>
                <w:rFonts w:cs="Tahoma"/>
                <w:vertAlign w:val="superscript"/>
              </w:rPr>
              <w:t xml:space="preserve"> g</w:t>
            </w:r>
          </w:p>
        </w:tc>
        <w:tc>
          <w:tcPr>
            <w:tcW w:w="1260" w:type="dxa"/>
          </w:tcPr>
          <w:p w:rsidR="00534ADA" w:rsidRPr="00F05153" w:rsidRDefault="00534ADA" w:rsidP="00534ADA">
            <w:pPr>
              <w:pStyle w:val="Tabletext"/>
              <w:rPr>
                <w:rFonts w:cs="Tahoma"/>
              </w:rPr>
            </w:pPr>
            <w:r w:rsidRPr="00F05153">
              <w:rPr>
                <w:rFonts w:cs="Tahoma"/>
              </w:rPr>
              <w:t>None</w:t>
            </w:r>
          </w:p>
        </w:tc>
        <w:tc>
          <w:tcPr>
            <w:tcW w:w="1373" w:type="dxa"/>
          </w:tcPr>
          <w:p w:rsidR="00534ADA" w:rsidRPr="00F05153" w:rsidRDefault="00534ADA" w:rsidP="00534ADA">
            <w:pPr>
              <w:pStyle w:val="Tabletext"/>
              <w:rPr>
                <w:rFonts w:cs="Tahoma"/>
              </w:rPr>
            </w:pPr>
            <w:r w:rsidRPr="00F05153">
              <w:rPr>
                <w:rFonts w:cs="Tahoma"/>
              </w:rPr>
              <w:t>0/22 (0%)</w:t>
            </w:r>
          </w:p>
        </w:tc>
        <w:tc>
          <w:tcPr>
            <w:tcW w:w="1134" w:type="dxa"/>
          </w:tcPr>
          <w:p w:rsidR="00534ADA" w:rsidRPr="00F05153" w:rsidRDefault="00534ADA" w:rsidP="00534ADA">
            <w:pPr>
              <w:pStyle w:val="Tabletext"/>
              <w:rPr>
                <w:rFonts w:cs="Tahoma"/>
              </w:rPr>
            </w:pPr>
            <w:r w:rsidRPr="00F05153">
              <w:rPr>
                <w:rFonts w:cs="Tahoma"/>
              </w:rPr>
              <w:t>0/22 (0%)</w:t>
            </w:r>
          </w:p>
        </w:tc>
        <w:tc>
          <w:tcPr>
            <w:tcW w:w="993" w:type="dxa"/>
          </w:tcPr>
          <w:p w:rsidR="00534ADA" w:rsidRPr="00F05153" w:rsidRDefault="00534ADA" w:rsidP="00534ADA">
            <w:pPr>
              <w:pStyle w:val="Tabletext"/>
              <w:rPr>
                <w:rFonts w:cs="Tahoma"/>
              </w:rPr>
            </w:pPr>
            <w:r w:rsidRPr="00F05153">
              <w:rPr>
                <w:rFonts w:cs="Tahoma"/>
              </w:rPr>
              <w:t>Not estimable</w:t>
            </w:r>
          </w:p>
        </w:tc>
        <w:tc>
          <w:tcPr>
            <w:tcW w:w="2108" w:type="dxa"/>
          </w:tcPr>
          <w:p w:rsidR="00534ADA" w:rsidRPr="00F05153" w:rsidRDefault="00534ADA" w:rsidP="00534ADA">
            <w:pPr>
              <w:pStyle w:val="Tabletext"/>
              <w:rPr>
                <w:rFonts w:cs="Tahoma"/>
              </w:rPr>
            </w:pPr>
            <w:r w:rsidRPr="00F05153">
              <w:rPr>
                <w:rFonts w:cs="Tahoma"/>
              </w:rPr>
              <w:t>Not estimable</w:t>
            </w:r>
          </w:p>
        </w:tc>
        <w:tc>
          <w:tcPr>
            <w:tcW w:w="1294" w:type="dxa"/>
          </w:tcPr>
          <w:p w:rsidR="00534ADA" w:rsidRPr="001D2077" w:rsidRDefault="00534ADA" w:rsidP="00534ADA">
            <w:pPr>
              <w:pStyle w:val="TableText0"/>
              <w:spacing w:before="20" w:after="20"/>
              <w:rPr>
                <w:rFonts w:ascii="Arial" w:hAnsi="Arial" w:cs="Cambria Math"/>
                <w:bCs/>
                <w:sz w:val="20"/>
                <w:szCs w:val="20"/>
              </w:rPr>
            </w:pPr>
            <w:r w:rsidRPr="001D2077">
              <w:rPr>
                <w:rFonts w:ascii="Arial" w:hAnsi="Arial" w:cs="Cambria Math"/>
                <w:bCs/>
                <w:sz w:val="20"/>
                <w:szCs w:val="20"/>
              </w:rPr>
              <w:t>Low</w:t>
            </w:r>
          </w:p>
          <w:p w:rsidR="00534ADA" w:rsidRPr="00F05153" w:rsidRDefault="00534ADA" w:rsidP="00534ADA">
            <w:pPr>
              <w:pStyle w:val="TableText0"/>
              <w:spacing w:before="20" w:after="20"/>
              <w:rPr>
                <w:bCs/>
              </w:rPr>
            </w:pPr>
            <w:r w:rsidRPr="00F05153">
              <w:rPr>
                <w:rFonts w:ascii="Cambria Math" w:hAnsi="Cambria Math" w:cs="Cambria Math"/>
                <w:bCs/>
                <w:color w:val="00B050"/>
              </w:rPr>
              <w:t>⨁⨁</w:t>
            </w:r>
            <w:r w:rsidRPr="00F05153">
              <w:rPr>
                <w:rFonts w:ascii="Cambria Math" w:hAnsi="Cambria Math" w:cs="Cambria Math"/>
                <w:bCs/>
                <w:color w:val="C00000"/>
              </w:rPr>
              <w:t>⨀⨀</w:t>
            </w:r>
          </w:p>
          <w:p w:rsidR="00534ADA" w:rsidRPr="00F05153" w:rsidRDefault="00534ADA" w:rsidP="00534ADA">
            <w:pPr>
              <w:pStyle w:val="Tabletext"/>
              <w:rPr>
                <w:rFonts w:ascii="Cambria Math" w:eastAsia="Times New Roman" w:hAnsi="Cambria Math" w:cs="Cambria Math"/>
                <w:bCs/>
                <w:color w:val="00B050"/>
              </w:rPr>
            </w:pPr>
            <w:r w:rsidRPr="00F05153">
              <w:t>Important</w:t>
            </w:r>
          </w:p>
        </w:tc>
      </w:tr>
      <w:tr w:rsidR="00534ADA" w:rsidRPr="00F05153" w:rsidTr="00BC7F74">
        <w:trPr>
          <w:trHeight w:val="319"/>
        </w:trPr>
        <w:tc>
          <w:tcPr>
            <w:tcW w:w="1413" w:type="dxa"/>
          </w:tcPr>
          <w:p w:rsidR="00534ADA" w:rsidRPr="00F05153" w:rsidRDefault="00534ADA" w:rsidP="00534ADA">
            <w:pPr>
              <w:pStyle w:val="Tabletext"/>
              <w:rPr>
                <w:rFonts w:cs="Tahoma"/>
              </w:rPr>
            </w:pPr>
            <w:r w:rsidRPr="00F05153">
              <w:rPr>
                <w:rFonts w:cs="Tahoma"/>
              </w:rPr>
              <w:t>Change in 6MWD from baseline</w:t>
            </w:r>
            <w:r w:rsidRPr="00F05153">
              <w:rPr>
                <w:rFonts w:cs="Tahoma"/>
              </w:rPr>
              <w:br/>
              <w:t xml:space="preserve">(12–16 weeks) </w:t>
            </w:r>
          </w:p>
        </w:tc>
        <w:tc>
          <w:tcPr>
            <w:tcW w:w="1074" w:type="dxa"/>
          </w:tcPr>
          <w:p w:rsidR="00534ADA" w:rsidRPr="00F05153" w:rsidRDefault="00534ADA" w:rsidP="00534ADA">
            <w:pPr>
              <w:pStyle w:val="Tabletext"/>
              <w:rPr>
                <w:rFonts w:cs="Tahoma"/>
              </w:rPr>
            </w:pPr>
            <w:r w:rsidRPr="00F05153">
              <w:rPr>
                <w:rFonts w:cs="Tahoma"/>
              </w:rPr>
              <w:t>2 RCTs</w:t>
            </w:r>
          </w:p>
        </w:tc>
        <w:tc>
          <w:tcPr>
            <w:tcW w:w="910" w:type="dxa"/>
          </w:tcPr>
          <w:p w:rsidR="00BD743C" w:rsidRPr="00F05153" w:rsidRDefault="00534ADA" w:rsidP="00BD743C">
            <w:pPr>
              <w:pStyle w:val="Tabletext"/>
              <w:rPr>
                <w:rFonts w:cs="Tahoma"/>
              </w:rPr>
            </w:pPr>
            <w:r w:rsidRPr="00F05153">
              <w:rPr>
                <w:rFonts w:cs="Tahoma"/>
              </w:rPr>
              <w:t xml:space="preserve">Serious </w:t>
            </w:r>
            <w:r w:rsidR="00BD743C" w:rsidRPr="00F05153">
              <w:rPr>
                <w:rFonts w:cs="Tahoma"/>
                <w:vertAlign w:val="superscript"/>
              </w:rPr>
              <w:t>h</w:t>
            </w:r>
          </w:p>
        </w:tc>
        <w:tc>
          <w:tcPr>
            <w:tcW w:w="1133" w:type="dxa"/>
          </w:tcPr>
          <w:p w:rsidR="00534ADA" w:rsidRPr="00F05153" w:rsidRDefault="00534ADA" w:rsidP="00534ADA">
            <w:pPr>
              <w:pStyle w:val="Tabletext"/>
              <w:rPr>
                <w:rFonts w:cs="Tahoma"/>
              </w:rPr>
            </w:pPr>
            <w:r w:rsidRPr="00F05153">
              <w:rPr>
                <w:rFonts w:cs="Tahoma"/>
              </w:rPr>
              <w:t>Not serious</w:t>
            </w:r>
          </w:p>
        </w:tc>
        <w:tc>
          <w:tcPr>
            <w:tcW w:w="992" w:type="dxa"/>
          </w:tcPr>
          <w:p w:rsidR="00534ADA" w:rsidRPr="00F05153" w:rsidRDefault="00534ADA" w:rsidP="00534ADA">
            <w:pPr>
              <w:pStyle w:val="Tabletext"/>
              <w:rPr>
                <w:rFonts w:cs="Tahoma"/>
              </w:rPr>
            </w:pPr>
            <w:r w:rsidRPr="00F05153">
              <w:rPr>
                <w:rFonts w:cs="Tahoma"/>
              </w:rPr>
              <w:t xml:space="preserve">Serious </w:t>
            </w:r>
            <w:r w:rsidRPr="00F05153">
              <w:rPr>
                <w:rFonts w:cs="Tahoma"/>
                <w:vertAlign w:val="superscript"/>
              </w:rPr>
              <w:t>i</w:t>
            </w:r>
          </w:p>
        </w:tc>
        <w:tc>
          <w:tcPr>
            <w:tcW w:w="1134" w:type="dxa"/>
          </w:tcPr>
          <w:p w:rsidR="00534ADA" w:rsidRPr="00F05153" w:rsidRDefault="00534ADA" w:rsidP="00534ADA">
            <w:pPr>
              <w:pStyle w:val="Tabletext"/>
              <w:rPr>
                <w:rFonts w:cs="Tahoma"/>
              </w:rPr>
            </w:pPr>
            <w:r w:rsidRPr="00F05153">
              <w:rPr>
                <w:rFonts w:cs="Tahoma"/>
              </w:rPr>
              <w:t>Not serious</w:t>
            </w:r>
          </w:p>
        </w:tc>
        <w:tc>
          <w:tcPr>
            <w:tcW w:w="1260" w:type="dxa"/>
          </w:tcPr>
          <w:p w:rsidR="00534ADA" w:rsidRPr="00F05153" w:rsidRDefault="00534ADA" w:rsidP="00534ADA">
            <w:pPr>
              <w:pStyle w:val="Tabletext"/>
              <w:rPr>
                <w:rFonts w:cs="Tahoma"/>
              </w:rPr>
            </w:pPr>
            <w:r w:rsidRPr="00F05153">
              <w:rPr>
                <w:rFonts w:cs="Tahoma"/>
              </w:rPr>
              <w:t>None</w:t>
            </w:r>
          </w:p>
        </w:tc>
        <w:tc>
          <w:tcPr>
            <w:tcW w:w="1373" w:type="dxa"/>
          </w:tcPr>
          <w:p w:rsidR="00534ADA" w:rsidRPr="00F05153" w:rsidRDefault="00534ADA" w:rsidP="00534ADA">
            <w:pPr>
              <w:pStyle w:val="Tabletext"/>
              <w:rPr>
                <w:rFonts w:cs="Tahoma"/>
              </w:rPr>
            </w:pPr>
            <w:r w:rsidRPr="00F05153">
              <w:rPr>
                <w:rFonts w:cs="Tahoma"/>
              </w:rPr>
              <w:t>40 patients tested</w:t>
            </w:r>
          </w:p>
        </w:tc>
        <w:tc>
          <w:tcPr>
            <w:tcW w:w="1134" w:type="dxa"/>
          </w:tcPr>
          <w:p w:rsidR="00534ADA" w:rsidRPr="00F05153" w:rsidRDefault="00534ADA" w:rsidP="00534ADA">
            <w:pPr>
              <w:pStyle w:val="Tabletext"/>
              <w:rPr>
                <w:rFonts w:cs="Tahoma"/>
              </w:rPr>
            </w:pPr>
            <w:r w:rsidRPr="00F05153">
              <w:rPr>
                <w:rFonts w:cs="Tahoma"/>
              </w:rPr>
              <w:t>33 patients tested</w:t>
            </w:r>
          </w:p>
        </w:tc>
        <w:tc>
          <w:tcPr>
            <w:tcW w:w="993" w:type="dxa"/>
          </w:tcPr>
          <w:p w:rsidR="00534ADA" w:rsidRPr="00F05153" w:rsidRDefault="00534ADA" w:rsidP="00534ADA">
            <w:pPr>
              <w:pStyle w:val="Tabletext"/>
              <w:rPr>
                <w:rFonts w:cs="Tahoma"/>
              </w:rPr>
            </w:pPr>
            <w:r w:rsidRPr="00F05153">
              <w:rPr>
                <w:rFonts w:cs="Tahoma"/>
              </w:rPr>
              <w:t>-</w:t>
            </w:r>
          </w:p>
        </w:tc>
        <w:tc>
          <w:tcPr>
            <w:tcW w:w="2108" w:type="dxa"/>
          </w:tcPr>
          <w:p w:rsidR="00534ADA" w:rsidRPr="00F05153" w:rsidRDefault="00534ADA" w:rsidP="00534ADA">
            <w:pPr>
              <w:pStyle w:val="Tabletext"/>
              <w:rPr>
                <w:rFonts w:cs="Tahoma"/>
              </w:rPr>
            </w:pPr>
            <w:r w:rsidRPr="00F05153">
              <w:rPr>
                <w:rFonts w:cs="Tahoma"/>
              </w:rPr>
              <w:t>Median MD 30.5 m further (range 10.8 further to 50.2 further)</w:t>
            </w:r>
          </w:p>
        </w:tc>
        <w:tc>
          <w:tcPr>
            <w:tcW w:w="1294" w:type="dxa"/>
          </w:tcPr>
          <w:p w:rsidR="00534ADA" w:rsidRPr="001D2077" w:rsidRDefault="00534ADA" w:rsidP="00534ADA">
            <w:pPr>
              <w:pStyle w:val="TableText0"/>
              <w:spacing w:before="20" w:after="20"/>
              <w:rPr>
                <w:rFonts w:ascii="Arial" w:hAnsi="Arial" w:cs="Cambria Math"/>
                <w:bCs/>
                <w:sz w:val="20"/>
                <w:szCs w:val="20"/>
              </w:rPr>
            </w:pPr>
            <w:r w:rsidRPr="001D2077">
              <w:rPr>
                <w:rFonts w:ascii="Arial" w:hAnsi="Arial" w:cs="Cambria Math"/>
                <w:bCs/>
                <w:sz w:val="20"/>
                <w:szCs w:val="20"/>
              </w:rPr>
              <w:t>Low</w:t>
            </w:r>
          </w:p>
          <w:p w:rsidR="00534ADA" w:rsidRPr="00F05153" w:rsidRDefault="00534ADA" w:rsidP="00534ADA">
            <w:pPr>
              <w:pStyle w:val="TableText0"/>
              <w:spacing w:before="20" w:after="20"/>
              <w:rPr>
                <w:rFonts w:cs="Cambria Math"/>
                <w:bCs/>
              </w:rPr>
            </w:pPr>
            <w:r w:rsidRPr="00F05153">
              <w:rPr>
                <w:rFonts w:ascii="Cambria Math" w:hAnsi="Cambria Math" w:cs="Cambria Math"/>
                <w:bCs/>
                <w:color w:val="00B050"/>
              </w:rPr>
              <w:t>⨁⨁</w:t>
            </w:r>
            <w:r w:rsidRPr="00F05153">
              <w:rPr>
                <w:rFonts w:ascii="Cambria Math" w:hAnsi="Cambria Math" w:cs="Cambria Math"/>
                <w:color w:val="C00000"/>
              </w:rPr>
              <w:t>⨀</w:t>
            </w:r>
            <w:r w:rsidRPr="00F05153">
              <w:rPr>
                <w:rFonts w:ascii="Cambria Math" w:hAnsi="Cambria Math" w:cs="Cambria Math"/>
                <w:bCs/>
                <w:color w:val="C00000"/>
              </w:rPr>
              <w:t>⨀</w:t>
            </w:r>
          </w:p>
          <w:p w:rsidR="00534ADA" w:rsidRPr="00F05153" w:rsidRDefault="00534ADA" w:rsidP="00534ADA">
            <w:pPr>
              <w:pStyle w:val="Tabletext"/>
              <w:rPr>
                <w:rFonts w:cs="Tahoma"/>
              </w:rPr>
            </w:pPr>
            <w:r w:rsidRPr="00F05153">
              <w:t>Important</w:t>
            </w:r>
          </w:p>
        </w:tc>
      </w:tr>
    </w:tbl>
    <w:p w:rsidR="00CC3BA4" w:rsidRPr="00F05153" w:rsidRDefault="00CC3BA4" w:rsidP="00C73C64">
      <w:pPr>
        <w:pStyle w:val="Tablenote"/>
      </w:pPr>
      <w:proofErr w:type="gramStart"/>
      <w:r w:rsidRPr="00F05153">
        <w:rPr>
          <w:vertAlign w:val="superscript"/>
        </w:rPr>
        <w:t>a</w:t>
      </w:r>
      <w:proofErr w:type="gramEnd"/>
      <w:r w:rsidRPr="00F05153">
        <w:rPr>
          <w:vertAlign w:val="superscript"/>
        </w:rPr>
        <w:t xml:space="preserve"> </w:t>
      </w:r>
      <w:r w:rsidRPr="00F05153">
        <w:t>Other considerations such as publication bias and effect size</w:t>
      </w:r>
    </w:p>
    <w:p w:rsidR="00CC3BA4" w:rsidRPr="00F05153" w:rsidRDefault="00CC3BA4" w:rsidP="00C73C64">
      <w:pPr>
        <w:pStyle w:val="Tablenote"/>
      </w:pPr>
      <w:proofErr w:type="gramStart"/>
      <w:r w:rsidRPr="00F05153">
        <w:rPr>
          <w:vertAlign w:val="superscript"/>
        </w:rPr>
        <w:t>b</w:t>
      </w:r>
      <w:proofErr w:type="gramEnd"/>
      <w:r w:rsidRPr="00F05153">
        <w:rPr>
          <w:vertAlign w:val="superscript"/>
        </w:rPr>
        <w:t xml:space="preserve"> </w:t>
      </w:r>
      <w:r w:rsidRPr="00F05153">
        <w:t>GRADE Working Group grades of evidence</w:t>
      </w:r>
      <w:r w:rsidR="001D34EE" w:rsidRPr="00F05153">
        <w:rPr>
          <w:noProof/>
          <w:vertAlign w:val="superscript"/>
        </w:rPr>
        <w:t>1</w:t>
      </w:r>
    </w:p>
    <w:p w:rsidR="00CC3BA4" w:rsidRPr="00F05153" w:rsidRDefault="00CC3BA4" w:rsidP="00C73C64">
      <w:pPr>
        <w:pStyle w:val="Tablenote"/>
      </w:pPr>
      <w:proofErr w:type="gramStart"/>
      <w:r w:rsidRPr="00F05153">
        <w:rPr>
          <w:vertAlign w:val="superscript"/>
        </w:rPr>
        <w:t>c</w:t>
      </w:r>
      <w:proofErr w:type="gramEnd"/>
      <w:r w:rsidRPr="00F05153">
        <w:t xml:space="preserve"> Classification of intervention status subject to bias as patients made their own decisions</w:t>
      </w:r>
    </w:p>
    <w:p w:rsidR="00CC3BA4" w:rsidRPr="00F05153" w:rsidRDefault="00CC3BA4" w:rsidP="00C73C64">
      <w:pPr>
        <w:pStyle w:val="Tablenote"/>
      </w:pPr>
      <w:proofErr w:type="gramStart"/>
      <w:r w:rsidRPr="00F05153">
        <w:rPr>
          <w:vertAlign w:val="superscript"/>
        </w:rPr>
        <w:t>d</w:t>
      </w:r>
      <w:proofErr w:type="gramEnd"/>
      <w:r w:rsidRPr="00F05153">
        <w:t xml:space="preserve"> No adjustments were made for potential confounding</w:t>
      </w:r>
    </w:p>
    <w:p w:rsidR="00CC3BA4" w:rsidRPr="00F05153" w:rsidRDefault="00CC3BA4" w:rsidP="00C73C64">
      <w:pPr>
        <w:pStyle w:val="Tablenote"/>
      </w:pPr>
      <w:proofErr w:type="gramStart"/>
      <w:r w:rsidRPr="00F05153">
        <w:rPr>
          <w:vertAlign w:val="superscript"/>
        </w:rPr>
        <w:lastRenderedPageBreak/>
        <w:t>e</w:t>
      </w:r>
      <w:proofErr w:type="gramEnd"/>
      <w:r w:rsidRPr="00F05153">
        <w:t xml:space="preserve"> No baseline characteristics for subgroup of interest</w:t>
      </w:r>
    </w:p>
    <w:p w:rsidR="00CC3BA4" w:rsidRPr="00F05153" w:rsidRDefault="00CC3BA4" w:rsidP="00C73C64">
      <w:pPr>
        <w:pStyle w:val="Tablenote"/>
      </w:pPr>
      <w:proofErr w:type="gramStart"/>
      <w:r w:rsidRPr="00F05153">
        <w:rPr>
          <w:vertAlign w:val="superscript"/>
        </w:rPr>
        <w:t>f</w:t>
      </w:r>
      <w:proofErr w:type="gramEnd"/>
      <w:r w:rsidRPr="00F05153">
        <w:t xml:space="preserve"> Wide 95% CIs that span 1</w:t>
      </w:r>
    </w:p>
    <w:p w:rsidR="00BD743C" w:rsidRPr="00F05153" w:rsidRDefault="00BD743C" w:rsidP="00BD743C">
      <w:pPr>
        <w:pStyle w:val="Tablenote"/>
      </w:pPr>
      <w:proofErr w:type="gramStart"/>
      <w:r w:rsidRPr="00F05153">
        <w:rPr>
          <w:vertAlign w:val="superscript"/>
        </w:rPr>
        <w:t>g</w:t>
      </w:r>
      <w:proofErr w:type="gramEnd"/>
      <w:r w:rsidRPr="00F05153">
        <w:rPr>
          <w:vertAlign w:val="superscript"/>
        </w:rPr>
        <w:t xml:space="preserve"> </w:t>
      </w:r>
      <w:r w:rsidRPr="00F05153">
        <w:t>Small study size</w:t>
      </w:r>
    </w:p>
    <w:p w:rsidR="00CC3BA4" w:rsidRPr="00F05153" w:rsidRDefault="00BD743C" w:rsidP="00C73C64">
      <w:pPr>
        <w:pStyle w:val="Tablenote"/>
      </w:pPr>
      <w:proofErr w:type="gramStart"/>
      <w:r w:rsidRPr="00F05153">
        <w:rPr>
          <w:vertAlign w:val="superscript"/>
        </w:rPr>
        <w:t>h</w:t>
      </w:r>
      <w:proofErr w:type="gramEnd"/>
      <w:r w:rsidR="00CC3BA4" w:rsidRPr="00F05153">
        <w:t xml:space="preserve"> Randomisation was not stratified by subgroup of interest</w:t>
      </w:r>
    </w:p>
    <w:p w:rsidR="00D35699" w:rsidRPr="00F05153" w:rsidRDefault="00BD743C" w:rsidP="00C73C64">
      <w:pPr>
        <w:pStyle w:val="Tablenote"/>
      </w:pPr>
      <w:r w:rsidRPr="00F05153">
        <w:rPr>
          <w:vertAlign w:val="superscript"/>
        </w:rPr>
        <w:t xml:space="preserve">I </w:t>
      </w:r>
      <w:r w:rsidR="00D35699" w:rsidRPr="00F05153">
        <w:t>Surrogate outcome</w:t>
      </w:r>
    </w:p>
    <w:p w:rsidR="00D35699" w:rsidRPr="00F05153" w:rsidRDefault="00D35699" w:rsidP="00D35699">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Low quality:</w:t>
      </w:r>
      <w:r w:rsidRPr="00F05153">
        <w:t xml:space="preserve"> Our confidence in the effect estimate is limited: The true effect may be substantially different from the estimate of the effect</w:t>
      </w:r>
    </w:p>
    <w:p w:rsidR="00CC3BA4" w:rsidRPr="00F05153" w:rsidRDefault="00CC3BA4" w:rsidP="00C73C64">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Very low quality:</w:t>
      </w:r>
      <w:r w:rsidRPr="00F05153">
        <w:t xml:space="preserve"> We have very little confidence in the effect estimate: The true effect is likely to be substantially different from the estimate of effect</w:t>
      </w:r>
    </w:p>
    <w:p w:rsidR="00064FEF" w:rsidRPr="002046A0" w:rsidRDefault="00CC3BA4" w:rsidP="00C73C64">
      <w:pPr>
        <w:pStyle w:val="Tablenote"/>
      </w:pPr>
      <w:r w:rsidRPr="00F05153">
        <w:t xml:space="preserve">6MWD = 6-minute </w:t>
      </w:r>
      <w:r w:rsidR="0082368E" w:rsidRPr="00F05153">
        <w:t>walk distance</w:t>
      </w:r>
      <w:r w:rsidRPr="00F05153">
        <w:t xml:space="preserve">; CI = confidence interval; FC = functional class; </w:t>
      </w:r>
      <w:r w:rsidR="00385E5A" w:rsidRPr="00F05153">
        <w:t>GRADE = grading of recommendations assessment, development and evaluation</w:t>
      </w:r>
      <w:r w:rsidR="001D34EE" w:rsidRPr="00F05153">
        <w:rPr>
          <w:noProof/>
          <w:vertAlign w:val="superscript"/>
        </w:rPr>
        <w:t>1</w:t>
      </w:r>
      <w:r w:rsidR="00064FEF" w:rsidRPr="00F05153">
        <w:t xml:space="preserve">; </w:t>
      </w:r>
      <w:r w:rsidRPr="00F05153">
        <w:t xml:space="preserve">MD = mean </w:t>
      </w:r>
      <w:r w:rsidR="002D6BEE" w:rsidRPr="007B3BEB">
        <w:t>difference; PAH = pulmonary arterial hypertension; PDE-5 = phosphodiesterase type 5; RCT = randomised controlled trial; RR = relative risk; WHO = World Health Organization</w:t>
      </w:r>
    </w:p>
    <w:p w:rsidR="00CC3BA4" w:rsidRPr="002046A0" w:rsidRDefault="002046A0" w:rsidP="00BC5A2B">
      <w:pPr>
        <w:pStyle w:val="Caption"/>
        <w:rPr>
          <w:highlight w:val="black"/>
        </w:rPr>
      </w:pPr>
      <w:r>
        <w:rPr>
          <w:noProof/>
          <w:color w:val="000000"/>
          <w:highlight w:val="black"/>
        </w:rPr>
        <w:t>'''''''''' '''''''''''''''''''''''' ''''''''''''' '''''''''' '''''' ''''''' '''''''''''''''''' '''''''''''''''''' '''' '''''''''''''''' '''''' '''''''''''''''' ''''''''' ''''''''' '''' '''''' '''''''''</w:t>
      </w:r>
    </w:p>
    <w:tbl>
      <w:tblPr>
        <w:tblStyle w:val="TableGrid"/>
        <w:tblW w:w="14738" w:type="dxa"/>
        <w:tblLayout w:type="fixed"/>
        <w:tblLook w:val="04A0" w:firstRow="1" w:lastRow="0" w:firstColumn="1" w:lastColumn="0" w:noHBand="0" w:noVBand="1"/>
        <w:tblCaption w:val="Evidence profile table for sGC stimulator compared to placebo for patients with WHO FC I/II PAH"/>
      </w:tblPr>
      <w:tblGrid>
        <w:gridCol w:w="1493"/>
        <w:gridCol w:w="1054"/>
        <w:gridCol w:w="771"/>
        <w:gridCol w:w="1072"/>
        <w:gridCol w:w="1134"/>
        <w:gridCol w:w="1038"/>
        <w:gridCol w:w="1230"/>
        <w:gridCol w:w="1417"/>
        <w:gridCol w:w="1134"/>
        <w:gridCol w:w="993"/>
        <w:gridCol w:w="2188"/>
        <w:gridCol w:w="1214"/>
      </w:tblGrid>
      <w:tr w:rsidR="00476F09" w:rsidRPr="00F05153" w:rsidTr="00BC7F74">
        <w:trPr>
          <w:cnfStyle w:val="100000000000" w:firstRow="1" w:lastRow="0" w:firstColumn="0" w:lastColumn="0" w:oddVBand="0" w:evenVBand="0" w:oddHBand="0" w:evenHBand="0" w:firstRowFirstColumn="0" w:firstRowLastColumn="0" w:lastRowFirstColumn="0" w:lastRowLastColumn="0"/>
          <w:trHeight w:val="611"/>
        </w:trPr>
        <w:tc>
          <w:tcPr>
            <w:tcW w:w="1493" w:type="dxa"/>
          </w:tcPr>
          <w:p w:rsidR="00476F09" w:rsidRPr="002046A0" w:rsidRDefault="002046A0" w:rsidP="00476F09">
            <w:pPr>
              <w:pStyle w:val="Tabletext"/>
              <w:rPr>
                <w:b/>
                <w:highlight w:val="black"/>
              </w:rPr>
            </w:pPr>
            <w:r>
              <w:rPr>
                <w:b/>
                <w:noProof/>
                <w:color w:val="000000"/>
                <w:highlight w:val="black"/>
              </w:rPr>
              <w:t>'''''''''''''''''' ''''''''''''''''''''''''</w:t>
            </w:r>
          </w:p>
        </w:tc>
        <w:tc>
          <w:tcPr>
            <w:tcW w:w="1054" w:type="dxa"/>
          </w:tcPr>
          <w:p w:rsidR="00476F09" w:rsidRPr="002046A0" w:rsidRDefault="002046A0" w:rsidP="00476F09">
            <w:pPr>
              <w:pStyle w:val="Tabletext"/>
              <w:rPr>
                <w:b/>
                <w:highlight w:val="black"/>
              </w:rPr>
            </w:pPr>
            <w:r>
              <w:rPr>
                <w:b/>
                <w:noProof/>
                <w:color w:val="000000"/>
                <w:highlight w:val="black"/>
              </w:rPr>
              <w:t>'''''' ''''' '''''''''''''' '''''''' ''''''''''' '''''''''''''</w:t>
            </w:r>
          </w:p>
        </w:tc>
        <w:tc>
          <w:tcPr>
            <w:tcW w:w="771" w:type="dxa"/>
          </w:tcPr>
          <w:p w:rsidR="00476F09" w:rsidRPr="002046A0" w:rsidRDefault="002046A0" w:rsidP="00476F09">
            <w:pPr>
              <w:pStyle w:val="Tabletext"/>
              <w:rPr>
                <w:b/>
                <w:highlight w:val="black"/>
              </w:rPr>
            </w:pPr>
            <w:r>
              <w:rPr>
                <w:b/>
                <w:noProof/>
                <w:color w:val="000000"/>
                <w:highlight w:val="black"/>
              </w:rPr>
              <w:t>'''''''''' ''''' ''''''''</w:t>
            </w:r>
          </w:p>
        </w:tc>
        <w:tc>
          <w:tcPr>
            <w:tcW w:w="1072" w:type="dxa"/>
          </w:tcPr>
          <w:p w:rsidR="00476F09" w:rsidRPr="002046A0" w:rsidRDefault="002046A0" w:rsidP="00476F09">
            <w:pPr>
              <w:pStyle w:val="Tabletext"/>
              <w:rPr>
                <w:b/>
                <w:highlight w:val="black"/>
              </w:rPr>
            </w:pPr>
            <w:r>
              <w:rPr>
                <w:b/>
                <w:noProof/>
                <w:color w:val="000000"/>
                <w:highlight w:val="black"/>
              </w:rPr>
              <w:t>'''''''''''''''''''''''''''</w:t>
            </w:r>
          </w:p>
        </w:tc>
        <w:tc>
          <w:tcPr>
            <w:tcW w:w="1134" w:type="dxa"/>
          </w:tcPr>
          <w:p w:rsidR="00476F09" w:rsidRPr="002046A0" w:rsidRDefault="002046A0" w:rsidP="00476F09">
            <w:pPr>
              <w:pStyle w:val="Tabletext"/>
              <w:rPr>
                <w:b/>
                <w:highlight w:val="black"/>
              </w:rPr>
            </w:pPr>
            <w:r>
              <w:rPr>
                <w:b/>
                <w:noProof/>
                <w:color w:val="000000"/>
                <w:highlight w:val="black"/>
              </w:rPr>
              <w:t>''''''''''''''''''''''''''</w:t>
            </w:r>
          </w:p>
        </w:tc>
        <w:tc>
          <w:tcPr>
            <w:tcW w:w="1038" w:type="dxa"/>
          </w:tcPr>
          <w:p w:rsidR="00476F09" w:rsidRPr="002046A0" w:rsidRDefault="002046A0" w:rsidP="00476F09">
            <w:pPr>
              <w:pStyle w:val="Tabletext"/>
              <w:rPr>
                <w:b/>
                <w:highlight w:val="black"/>
              </w:rPr>
            </w:pPr>
            <w:r>
              <w:rPr>
                <w:b/>
                <w:noProof/>
                <w:color w:val="000000"/>
                <w:highlight w:val="black"/>
              </w:rPr>
              <w:t>'''''''''''''''''''''''''</w:t>
            </w:r>
          </w:p>
        </w:tc>
        <w:tc>
          <w:tcPr>
            <w:tcW w:w="1230" w:type="dxa"/>
          </w:tcPr>
          <w:p w:rsidR="00476F09" w:rsidRPr="002046A0" w:rsidRDefault="002046A0" w:rsidP="00476F09">
            <w:pPr>
              <w:pStyle w:val="Tabletext"/>
              <w:rPr>
                <w:b/>
                <w:highlight w:val="black"/>
              </w:rPr>
            </w:pPr>
            <w:r>
              <w:rPr>
                <w:b/>
                <w:noProof/>
                <w:color w:val="000000"/>
                <w:highlight w:val="black"/>
              </w:rPr>
              <w:t>''''''''''' '''''''''''''''''''''''''''''''</w:t>
            </w:r>
          </w:p>
        </w:tc>
        <w:tc>
          <w:tcPr>
            <w:tcW w:w="1417" w:type="dxa"/>
          </w:tcPr>
          <w:p w:rsidR="00476F09" w:rsidRPr="002046A0" w:rsidRDefault="002046A0" w:rsidP="004A42D5">
            <w:pPr>
              <w:pStyle w:val="Tabletext"/>
              <w:rPr>
                <w:b/>
                <w:highlight w:val="black"/>
              </w:rPr>
            </w:pPr>
            <w:r>
              <w:rPr>
                <w:b/>
                <w:noProof/>
                <w:color w:val="000000"/>
                <w:highlight w:val="black"/>
              </w:rPr>
              <w:t>''''''''''''' '''''''''''' '''''''''' ''''''' ''''''''' '''''''''' ''''''''''''''''''''''</w:t>
            </w:r>
          </w:p>
        </w:tc>
        <w:tc>
          <w:tcPr>
            <w:tcW w:w="1134" w:type="dxa"/>
          </w:tcPr>
          <w:p w:rsidR="00476F09" w:rsidRPr="002046A0" w:rsidRDefault="002046A0" w:rsidP="00476F09">
            <w:pPr>
              <w:pStyle w:val="Tabletext"/>
              <w:rPr>
                <w:b/>
                <w:highlight w:val="black"/>
              </w:rPr>
            </w:pPr>
            <w:r>
              <w:rPr>
                <w:b/>
                <w:noProof/>
                <w:color w:val="000000"/>
                <w:highlight w:val="black"/>
              </w:rPr>
              <w:t>'''''''''''' '''''''''' ''''''''''' '''''' '''''''''' '''''''''''''''''</w:t>
            </w:r>
          </w:p>
        </w:tc>
        <w:tc>
          <w:tcPr>
            <w:tcW w:w="993" w:type="dxa"/>
          </w:tcPr>
          <w:p w:rsidR="00476F09" w:rsidRPr="002046A0" w:rsidRDefault="002046A0" w:rsidP="00476F09">
            <w:pPr>
              <w:pStyle w:val="Tabletext"/>
              <w:rPr>
                <w:b/>
                <w:highlight w:val="black"/>
              </w:rPr>
            </w:pPr>
            <w:r>
              <w:rPr>
                <w:b/>
                <w:noProof/>
                <w:color w:val="000000"/>
                <w:highlight w:val="black"/>
              </w:rPr>
              <w:t>''''''''''''''' ''''''''''' ''''''''''''''''</w:t>
            </w:r>
          </w:p>
        </w:tc>
        <w:tc>
          <w:tcPr>
            <w:tcW w:w="2188" w:type="dxa"/>
          </w:tcPr>
          <w:p w:rsidR="00476F09" w:rsidRPr="002046A0" w:rsidRDefault="002046A0" w:rsidP="00476F09">
            <w:pPr>
              <w:pStyle w:val="Tabletext"/>
              <w:rPr>
                <w:b/>
                <w:highlight w:val="black"/>
              </w:rPr>
            </w:pPr>
            <w:r>
              <w:rPr>
                <w:b/>
                <w:noProof/>
                <w:color w:val="000000"/>
                <w:highlight w:val="black"/>
              </w:rPr>
              <w:t>''''''''''''''''' ''''''''''' ''''''''''''''''</w:t>
            </w:r>
          </w:p>
        </w:tc>
        <w:tc>
          <w:tcPr>
            <w:tcW w:w="1214" w:type="dxa"/>
          </w:tcPr>
          <w:p w:rsidR="00064FEF" w:rsidRPr="002046A0" w:rsidRDefault="002046A0" w:rsidP="00476F09">
            <w:pPr>
              <w:pStyle w:val="Tabletext"/>
              <w:rPr>
                <w:b/>
                <w:highlight w:val="black"/>
              </w:rPr>
            </w:pPr>
            <w:r>
              <w:rPr>
                <w:b/>
                <w:noProof/>
                <w:color w:val="000000"/>
                <w:highlight w:val="black"/>
              </w:rPr>
              <w:t>''''''''''''''''''</w:t>
            </w:r>
          </w:p>
          <w:p w:rsidR="00476F09" w:rsidRPr="002046A0" w:rsidRDefault="002046A0" w:rsidP="00476F09">
            <w:pPr>
              <w:pStyle w:val="Tabletext"/>
              <w:rPr>
                <w:b/>
                <w:highlight w:val="black"/>
              </w:rPr>
            </w:pPr>
            <w:r>
              <w:rPr>
                <w:b/>
                <w:noProof/>
                <w:color w:val="000000"/>
                <w:highlight w:val="black"/>
              </w:rPr>
              <w:t>'''''''''''''''</w:t>
            </w:r>
          </w:p>
          <w:p w:rsidR="00476F09" w:rsidRPr="002046A0" w:rsidRDefault="002046A0" w:rsidP="00476F09">
            <w:pPr>
              <w:pStyle w:val="Tabletext"/>
              <w:rPr>
                <w:b/>
                <w:highlight w:val="black"/>
              </w:rPr>
            </w:pPr>
            <w:r>
              <w:rPr>
                <w:b/>
                <w:noProof/>
                <w:color w:val="000000"/>
                <w:highlight w:val="black"/>
              </w:rPr>
              <w:t>''''''''''''''''''''''</w:t>
            </w:r>
          </w:p>
        </w:tc>
      </w:tr>
      <w:tr w:rsidR="00BD743C" w:rsidRPr="00F05153" w:rsidTr="00BC7F74">
        <w:trPr>
          <w:trHeight w:val="319"/>
        </w:trPr>
        <w:tc>
          <w:tcPr>
            <w:tcW w:w="1493" w:type="dxa"/>
          </w:tcPr>
          <w:p w:rsidR="00BD743C" w:rsidRPr="002046A0" w:rsidRDefault="002046A0" w:rsidP="00BD743C">
            <w:pPr>
              <w:pStyle w:val="Tabletext"/>
              <w:rPr>
                <w:rFonts w:cs="Tahoma"/>
                <w:highlight w:val="black"/>
              </w:rPr>
            </w:pPr>
            <w:r>
              <w:rPr>
                <w:rFonts w:cs="Tahoma"/>
                <w:noProof/>
                <w:color w:val="000000"/>
                <w:highlight w:val="black"/>
              </w:rPr>
              <w:t>'''''''''''''''' '''''''''''''''''''''''''</w:t>
            </w:r>
            <w:r>
              <w:rPr>
                <w:rFonts w:cs="Tahoma"/>
                <w:noProof/>
                <w:color w:val="000000"/>
                <w:highlight w:val="black"/>
              </w:rPr>
              <w:br/>
              <w:t>'''''''' '''''''''''''''''</w:t>
            </w:r>
          </w:p>
        </w:tc>
        <w:tc>
          <w:tcPr>
            <w:tcW w:w="1054"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771"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072"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134"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038" w:type="dxa"/>
          </w:tcPr>
          <w:p w:rsidR="00BD743C" w:rsidRPr="002046A0" w:rsidRDefault="002046A0" w:rsidP="00BD743C">
            <w:pPr>
              <w:pStyle w:val="Tabletext"/>
              <w:rPr>
                <w:rFonts w:cs="Tahoma"/>
                <w:highlight w:val="black"/>
              </w:rPr>
            </w:pPr>
            <w:r>
              <w:rPr>
                <w:rFonts w:cs="Tahoma"/>
                <w:noProof/>
                <w:color w:val="000000"/>
                <w:highlight w:val="black"/>
              </w:rPr>
              <w:t>''''''''''' ''''''''''''''''' '''</w:t>
            </w:r>
          </w:p>
        </w:tc>
        <w:tc>
          <w:tcPr>
            <w:tcW w:w="1230" w:type="dxa"/>
          </w:tcPr>
          <w:p w:rsidR="00BD743C" w:rsidRPr="002046A0" w:rsidRDefault="002046A0" w:rsidP="00BD743C">
            <w:pPr>
              <w:pStyle w:val="Tabletext"/>
              <w:rPr>
                <w:rFonts w:cs="Tahoma"/>
                <w:highlight w:val="black"/>
              </w:rPr>
            </w:pPr>
            <w:r>
              <w:rPr>
                <w:rFonts w:cs="Tahoma"/>
                <w:noProof/>
                <w:color w:val="000000"/>
                <w:highlight w:val="black"/>
              </w:rPr>
              <w:t>''''''''''''''</w:t>
            </w:r>
          </w:p>
        </w:tc>
        <w:tc>
          <w:tcPr>
            <w:tcW w:w="1417"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134"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993" w:type="dxa"/>
          </w:tcPr>
          <w:p w:rsidR="00BD743C" w:rsidRPr="002046A0" w:rsidRDefault="002046A0" w:rsidP="00BD743C">
            <w:pPr>
              <w:pStyle w:val="Tabletext"/>
              <w:rPr>
                <w:rFonts w:cs="Tahoma"/>
                <w:highlight w:val="black"/>
              </w:rPr>
            </w:pPr>
            <w:r>
              <w:rPr>
                <w:rFonts w:cs="Tahoma"/>
                <w:noProof/>
                <w:color w:val="000000"/>
                <w:highlight w:val="black"/>
              </w:rPr>
              <w:t>''''''' ''' ''''''''''' '''''''''''''' '''''''''''''</w:t>
            </w:r>
          </w:p>
        </w:tc>
        <w:tc>
          <w:tcPr>
            <w:tcW w:w="2188" w:type="dxa"/>
          </w:tcPr>
          <w:p w:rsidR="00BD743C" w:rsidRPr="002046A0" w:rsidRDefault="002046A0" w:rsidP="00BD743C">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BD743C" w:rsidRPr="002046A0" w:rsidRDefault="002046A0" w:rsidP="00BD743C">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BD743C" w:rsidRPr="002046A0" w:rsidRDefault="002046A0" w:rsidP="00BD743C">
            <w:pPr>
              <w:pStyle w:val="Tabletext"/>
              <w:rPr>
                <w:rFonts w:cs="Tahoma"/>
                <w:highlight w:val="black"/>
              </w:rPr>
            </w:pPr>
            <w:r>
              <w:rPr>
                <w:rFonts w:cs="Tahoma"/>
                <w:noProof/>
                <w:color w:val="000000"/>
                <w:highlight w:val="black"/>
              </w:rPr>
              <w:t>''''''''''''''''</w:t>
            </w:r>
          </w:p>
        </w:tc>
      </w:tr>
      <w:tr w:rsidR="00CC3BA4" w:rsidRPr="00F05153" w:rsidTr="00BC7F74">
        <w:trPr>
          <w:trHeight w:val="319"/>
        </w:trPr>
        <w:tc>
          <w:tcPr>
            <w:tcW w:w="1493" w:type="dxa"/>
          </w:tcPr>
          <w:p w:rsidR="00CC3BA4" w:rsidRPr="002046A0" w:rsidRDefault="002046A0" w:rsidP="0060259F">
            <w:pPr>
              <w:pStyle w:val="Tabletext"/>
              <w:rPr>
                <w:rFonts w:cs="Tahoma"/>
                <w:highlight w:val="black"/>
              </w:rPr>
            </w:pPr>
            <w:r>
              <w:rPr>
                <w:rFonts w:cs="Tahoma"/>
                <w:noProof/>
                <w:color w:val="000000"/>
                <w:highlight w:val="black"/>
              </w:rPr>
              <w:t>'''''''''''''''''''</w:t>
            </w:r>
            <w:r>
              <w:rPr>
                <w:rFonts w:cs="Tahoma"/>
                <w:noProof/>
                <w:color w:val="000000"/>
                <w:highlight w:val="black"/>
              </w:rPr>
              <w:br/>
              <w:t>'''''''' '''''''''''''''''</w:t>
            </w:r>
          </w:p>
        </w:tc>
        <w:tc>
          <w:tcPr>
            <w:tcW w:w="105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771"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072"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038" w:type="dxa"/>
          </w:tcPr>
          <w:p w:rsidR="00CC3BA4" w:rsidRPr="002046A0" w:rsidRDefault="002046A0" w:rsidP="00BD743C">
            <w:pPr>
              <w:pStyle w:val="Tabletext"/>
              <w:rPr>
                <w:rFonts w:cs="Tahoma"/>
                <w:highlight w:val="black"/>
                <w:vertAlign w:val="superscript"/>
              </w:rPr>
            </w:pPr>
            <w:r>
              <w:rPr>
                <w:rFonts w:cs="Tahoma"/>
                <w:noProof/>
                <w:color w:val="000000"/>
                <w:highlight w:val="black"/>
              </w:rPr>
              <w:t>'''''''' '''''''''''''''''</w:t>
            </w:r>
          </w:p>
        </w:tc>
        <w:tc>
          <w:tcPr>
            <w:tcW w:w="1230" w:type="dxa"/>
          </w:tcPr>
          <w:p w:rsidR="00CC3BA4" w:rsidRPr="002046A0" w:rsidRDefault="002046A0" w:rsidP="00C73C64">
            <w:pPr>
              <w:pStyle w:val="Tabletext"/>
              <w:rPr>
                <w:rFonts w:cs="Tahoma"/>
                <w:highlight w:val="black"/>
              </w:rPr>
            </w:pPr>
            <w:r>
              <w:rPr>
                <w:rFonts w:cs="Tahoma"/>
                <w:noProof/>
                <w:color w:val="000000"/>
                <w:highlight w:val="black"/>
              </w:rPr>
              <w:t>'''''''''''''</w:t>
            </w:r>
          </w:p>
        </w:tc>
        <w:tc>
          <w:tcPr>
            <w:tcW w:w="1417"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993" w:type="dxa"/>
          </w:tcPr>
          <w:p w:rsidR="00CC3BA4" w:rsidRPr="002046A0" w:rsidRDefault="002046A0" w:rsidP="0017797D">
            <w:pPr>
              <w:pStyle w:val="Tabletext"/>
              <w:rPr>
                <w:rFonts w:cs="Tahoma"/>
                <w:highlight w:val="black"/>
              </w:rPr>
            </w:pPr>
            <w:r>
              <w:rPr>
                <w:rFonts w:cs="Tahoma"/>
                <w:noProof/>
                <w:color w:val="000000"/>
                <w:highlight w:val="black"/>
              </w:rPr>
              <w:t xml:space="preserve">''''''''''' ''' '''''''''''' </w:t>
            </w:r>
            <w:r>
              <w:rPr>
                <w:rFonts w:cs="Tahoma"/>
                <w:noProof/>
                <w:color w:val="000000"/>
                <w:highlight w:val="black"/>
              </w:rPr>
              <w:br/>
              <w:t>'''''''''''''' '''''''''</w:t>
            </w:r>
          </w:p>
        </w:tc>
        <w:tc>
          <w:tcPr>
            <w:tcW w:w="2188" w:type="dxa"/>
          </w:tcPr>
          <w:p w:rsidR="00CC3BA4" w:rsidRPr="002046A0" w:rsidRDefault="002046A0" w:rsidP="0060259F">
            <w:pPr>
              <w:pStyle w:val="Tabletext"/>
              <w:rPr>
                <w:rFonts w:cs="Tahoma"/>
                <w:highlight w:val="black"/>
              </w:rPr>
            </w:pPr>
            <w:r>
              <w:rPr>
                <w:rFonts w:cs="Tahoma"/>
                <w:noProof/>
                <w:color w:val="000000"/>
                <w:highlight w:val="black"/>
              </w:rPr>
              <w:t>''''''''''''''''' '''''''' ''''''''''''''</w:t>
            </w:r>
            <w:r>
              <w:rPr>
                <w:rFonts w:cs="Tahoma"/>
                <w:noProof/>
                <w:color w:val="000000"/>
                <w:highlight w:val="black"/>
              </w:rPr>
              <w:br/>
              <w:t>''''''''''''' '''''' '''''''''''' '''' '''''' '''''''''''''''</w:t>
            </w:r>
          </w:p>
        </w:tc>
        <w:tc>
          <w:tcPr>
            <w:tcW w:w="1214" w:type="dxa"/>
          </w:tcPr>
          <w:p w:rsidR="00BD743C" w:rsidRPr="002046A0" w:rsidRDefault="002046A0" w:rsidP="00BD743C">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C73C64">
            <w:pPr>
              <w:pStyle w:val="Tabletext"/>
              <w:rPr>
                <w:rFonts w:cs="Tahoma"/>
                <w:highlight w:val="black"/>
              </w:rPr>
            </w:pPr>
            <w:r>
              <w:rPr>
                <w:rFonts w:cs="Tahoma"/>
                <w:noProof/>
                <w:color w:val="000000"/>
                <w:highlight w:val="black"/>
              </w:rPr>
              <w:t>'''''''''''''''</w:t>
            </w:r>
          </w:p>
        </w:tc>
      </w:tr>
      <w:tr w:rsidR="00CC3BA4" w:rsidRPr="00F05153" w:rsidTr="00BC7F74">
        <w:trPr>
          <w:trHeight w:val="319"/>
        </w:trPr>
        <w:tc>
          <w:tcPr>
            <w:tcW w:w="1493" w:type="dxa"/>
          </w:tcPr>
          <w:p w:rsidR="00CC3BA4" w:rsidRPr="002046A0" w:rsidRDefault="002046A0" w:rsidP="00C73C64">
            <w:pPr>
              <w:pStyle w:val="Tabletext"/>
              <w:rPr>
                <w:rFonts w:cs="Tahoma"/>
                <w:highlight w:val="black"/>
              </w:rPr>
            </w:pPr>
            <w:r>
              <w:rPr>
                <w:rFonts w:cs="Tahoma"/>
                <w:noProof/>
                <w:color w:val="000000"/>
                <w:highlight w:val="black"/>
              </w:rPr>
              <w:t>'''''''''''''''''''''''''''''''''' ''''''''' ''''' '''''''''''</w:t>
            </w:r>
            <w:r>
              <w:rPr>
                <w:rFonts w:cs="Tahoma"/>
                <w:noProof/>
                <w:color w:val="000000"/>
                <w:highlight w:val="black"/>
              </w:rPr>
              <w:br/>
              <w:t>'''''''' '''''''''''''''''</w:t>
            </w:r>
          </w:p>
        </w:tc>
        <w:tc>
          <w:tcPr>
            <w:tcW w:w="105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771"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072"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038"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230" w:type="dxa"/>
          </w:tcPr>
          <w:p w:rsidR="00CC3BA4" w:rsidRPr="002046A0" w:rsidRDefault="002046A0" w:rsidP="00C73C64">
            <w:pPr>
              <w:pStyle w:val="Tabletext"/>
              <w:rPr>
                <w:rFonts w:cs="Tahoma"/>
                <w:highlight w:val="black"/>
              </w:rPr>
            </w:pPr>
            <w:r>
              <w:rPr>
                <w:rFonts w:cs="Tahoma"/>
                <w:noProof/>
                <w:color w:val="000000"/>
                <w:highlight w:val="black"/>
              </w:rPr>
              <w:t>'''''''''''''</w:t>
            </w:r>
          </w:p>
        </w:tc>
        <w:tc>
          <w:tcPr>
            <w:tcW w:w="1417"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993"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2188"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214" w:type="dxa"/>
          </w:tcPr>
          <w:p w:rsidR="00CC3BA4" w:rsidRPr="002046A0" w:rsidRDefault="002046A0" w:rsidP="00C73C64">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C73C64">
            <w:pPr>
              <w:pStyle w:val="Tabletext"/>
              <w:rPr>
                <w:rFonts w:ascii="Cambria Math" w:eastAsia="Times New Roman" w:hAnsi="Cambria Math" w:cs="Cambria Math"/>
                <w:bCs/>
                <w:highlight w:val="black"/>
              </w:rPr>
            </w:pPr>
            <w:r>
              <w:rPr>
                <w:rFonts w:cs="Tahoma"/>
                <w:noProof/>
                <w:color w:val="000000"/>
                <w:highlight w:val="black"/>
              </w:rPr>
              <w:t>''''''''''''''''''''</w:t>
            </w:r>
          </w:p>
        </w:tc>
      </w:tr>
      <w:tr w:rsidR="00BD743C" w:rsidRPr="00F05153" w:rsidTr="00BC7F74">
        <w:trPr>
          <w:trHeight w:val="319"/>
        </w:trPr>
        <w:tc>
          <w:tcPr>
            <w:tcW w:w="1493" w:type="dxa"/>
          </w:tcPr>
          <w:p w:rsidR="00BD743C" w:rsidRPr="002046A0" w:rsidRDefault="002046A0" w:rsidP="00BD743C">
            <w:pPr>
              <w:pStyle w:val="Tabletext"/>
              <w:rPr>
                <w:rFonts w:cs="Tahoma"/>
                <w:highlight w:val="black"/>
              </w:rPr>
            </w:pPr>
            <w:r>
              <w:rPr>
                <w:rFonts w:cs="Tahoma"/>
                <w:noProof/>
                <w:color w:val="000000"/>
                <w:highlight w:val="black"/>
              </w:rPr>
              <w:t>'''''''''''''''''''''' ''''''''''''' '''''''</w:t>
            </w:r>
            <w:r>
              <w:rPr>
                <w:rFonts w:cs="Tahoma"/>
                <w:noProof/>
                <w:color w:val="000000"/>
                <w:highlight w:val="black"/>
              </w:rPr>
              <w:br/>
              <w:t>'''''''' '''''''''''''''''</w:t>
            </w:r>
          </w:p>
        </w:tc>
        <w:tc>
          <w:tcPr>
            <w:tcW w:w="1054"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771"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072"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134"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038"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230" w:type="dxa"/>
          </w:tcPr>
          <w:p w:rsidR="00BD743C" w:rsidRPr="002046A0" w:rsidRDefault="002046A0" w:rsidP="00BD743C">
            <w:pPr>
              <w:pStyle w:val="Tabletext"/>
              <w:rPr>
                <w:rFonts w:cs="Tahoma"/>
                <w:highlight w:val="black"/>
              </w:rPr>
            </w:pPr>
            <w:r>
              <w:rPr>
                <w:rFonts w:cs="Tahoma"/>
                <w:noProof/>
                <w:color w:val="000000"/>
                <w:highlight w:val="black"/>
              </w:rPr>
              <w:t>''''''''''''</w:t>
            </w:r>
          </w:p>
        </w:tc>
        <w:tc>
          <w:tcPr>
            <w:tcW w:w="1417"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1134" w:type="dxa"/>
          </w:tcPr>
          <w:p w:rsidR="00BD743C" w:rsidRPr="002046A0" w:rsidRDefault="002046A0" w:rsidP="00BD743C">
            <w:pPr>
              <w:pStyle w:val="Tabletext"/>
              <w:rPr>
                <w:rFonts w:cs="Tahoma"/>
                <w:highlight w:val="black"/>
              </w:rPr>
            </w:pPr>
            <w:r>
              <w:rPr>
                <w:rFonts w:cs="Tahoma"/>
                <w:noProof/>
                <w:color w:val="000000"/>
                <w:highlight w:val="black"/>
              </w:rPr>
              <w:t>'''''''''''' ''''''''''''</w:t>
            </w:r>
          </w:p>
        </w:tc>
        <w:tc>
          <w:tcPr>
            <w:tcW w:w="993" w:type="dxa"/>
          </w:tcPr>
          <w:p w:rsidR="00BD743C" w:rsidRPr="002046A0" w:rsidRDefault="002046A0" w:rsidP="00BD743C">
            <w:pPr>
              <w:pStyle w:val="Tabletext"/>
              <w:rPr>
                <w:rFonts w:cs="Tahoma"/>
                <w:highlight w:val="black"/>
              </w:rPr>
            </w:pPr>
            <w:r>
              <w:rPr>
                <w:rFonts w:cs="Tahoma"/>
                <w:noProof/>
                <w:color w:val="000000"/>
                <w:highlight w:val="black"/>
              </w:rPr>
              <w:t>'''''''' '''' '''''''''' ''''''''''''' '''''''''''</w:t>
            </w:r>
          </w:p>
        </w:tc>
        <w:tc>
          <w:tcPr>
            <w:tcW w:w="2188" w:type="dxa"/>
          </w:tcPr>
          <w:p w:rsidR="00BD743C" w:rsidRPr="002046A0" w:rsidRDefault="002046A0" w:rsidP="00BD743C">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BD743C" w:rsidRPr="002046A0" w:rsidRDefault="002046A0" w:rsidP="00BD743C">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BD743C" w:rsidRPr="002046A0" w:rsidRDefault="002046A0" w:rsidP="00BD743C">
            <w:pPr>
              <w:pStyle w:val="Tabletext"/>
              <w:rPr>
                <w:rFonts w:ascii="Cambria Math" w:eastAsia="Times New Roman" w:hAnsi="Cambria Math" w:cs="Cambria Math"/>
                <w:bCs/>
                <w:highlight w:val="black"/>
              </w:rPr>
            </w:pPr>
            <w:r>
              <w:rPr>
                <w:rFonts w:cs="Tahoma"/>
                <w:noProof/>
                <w:color w:val="000000"/>
                <w:highlight w:val="black"/>
              </w:rPr>
              <w:t>''''''''''''''''''''''</w:t>
            </w:r>
          </w:p>
        </w:tc>
      </w:tr>
      <w:tr w:rsidR="00CC3BA4" w:rsidRPr="00F05153" w:rsidTr="00BC7F74">
        <w:trPr>
          <w:trHeight w:val="319"/>
        </w:trPr>
        <w:tc>
          <w:tcPr>
            <w:tcW w:w="1493" w:type="dxa"/>
          </w:tcPr>
          <w:p w:rsidR="00CC3BA4" w:rsidRPr="002046A0" w:rsidRDefault="002046A0" w:rsidP="00C73C64">
            <w:pPr>
              <w:pStyle w:val="Tabletext"/>
              <w:rPr>
                <w:rFonts w:cs="Tahoma"/>
                <w:highlight w:val="black"/>
              </w:rPr>
            </w:pPr>
            <w:r>
              <w:rPr>
                <w:rFonts w:cs="Tahoma"/>
                <w:noProof/>
                <w:color w:val="000000"/>
                <w:highlight w:val="black"/>
              </w:rPr>
              <w:t>''''''''''''''''''''''' '''''''''''''' ''''''''</w:t>
            </w:r>
            <w:r>
              <w:rPr>
                <w:rFonts w:cs="Tahoma"/>
                <w:noProof/>
                <w:color w:val="000000"/>
                <w:highlight w:val="black"/>
              </w:rPr>
              <w:br/>
              <w:t>''''''' ''''''''''''''''</w:t>
            </w:r>
          </w:p>
        </w:tc>
        <w:tc>
          <w:tcPr>
            <w:tcW w:w="105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771"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072"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038"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230" w:type="dxa"/>
          </w:tcPr>
          <w:p w:rsidR="00CC3BA4" w:rsidRPr="002046A0" w:rsidRDefault="002046A0" w:rsidP="00C73C64">
            <w:pPr>
              <w:pStyle w:val="Tabletext"/>
              <w:rPr>
                <w:rFonts w:cs="Tahoma"/>
                <w:highlight w:val="black"/>
              </w:rPr>
            </w:pPr>
            <w:r>
              <w:rPr>
                <w:rFonts w:cs="Tahoma"/>
                <w:noProof/>
                <w:color w:val="000000"/>
                <w:highlight w:val="black"/>
              </w:rPr>
              <w:t>''''''''''' '''''''''''''' ''''''''''''''''''''''''</w:t>
            </w:r>
          </w:p>
        </w:tc>
        <w:tc>
          <w:tcPr>
            <w:tcW w:w="1417"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993" w:type="dxa"/>
          </w:tcPr>
          <w:p w:rsidR="00CC3BA4" w:rsidRPr="002046A0" w:rsidRDefault="002046A0" w:rsidP="00C73C64">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C73C64">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CC3BA4" w:rsidRPr="002046A0" w:rsidRDefault="002046A0" w:rsidP="00C73C64">
            <w:pPr>
              <w:pStyle w:val="Tabletext"/>
              <w:rPr>
                <w:rFonts w:ascii="Cambria Math" w:eastAsia="Times New Roman" w:hAnsi="Cambria Math" w:cs="Cambria Math"/>
                <w:bCs/>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C73C64">
            <w:pPr>
              <w:pStyle w:val="Tabletext"/>
              <w:rPr>
                <w:rFonts w:ascii="Cambria Math" w:eastAsia="Times New Roman" w:hAnsi="Cambria Math" w:cs="Cambria Math"/>
                <w:bCs/>
                <w:color w:val="00B050"/>
                <w:highlight w:val="black"/>
              </w:rPr>
            </w:pPr>
            <w:r>
              <w:rPr>
                <w:rFonts w:cs="Tahoma"/>
                <w:noProof/>
                <w:color w:val="000000"/>
                <w:highlight w:val="black"/>
              </w:rPr>
              <w:t>'''''''''''''''''''''</w:t>
            </w:r>
          </w:p>
        </w:tc>
      </w:tr>
      <w:tr w:rsidR="004A42D5" w:rsidRPr="00F05153" w:rsidTr="00BC7F74">
        <w:trPr>
          <w:trHeight w:val="319"/>
        </w:trPr>
        <w:tc>
          <w:tcPr>
            <w:tcW w:w="1493" w:type="dxa"/>
          </w:tcPr>
          <w:p w:rsidR="004A42D5" w:rsidRPr="002046A0" w:rsidRDefault="002046A0" w:rsidP="004A42D5">
            <w:pPr>
              <w:pStyle w:val="Tabletext"/>
              <w:rPr>
                <w:rFonts w:cs="Tahoma"/>
                <w:highlight w:val="black"/>
              </w:rPr>
            </w:pPr>
            <w:r>
              <w:rPr>
                <w:rFonts w:cs="Tahoma"/>
                <w:noProof/>
                <w:color w:val="000000"/>
                <w:highlight w:val="black"/>
              </w:rPr>
              <w:lastRenderedPageBreak/>
              <w:t>''''''''''''''''' ''''' ''''''''''''''' ''''''''' ''''''''''''''''''''</w:t>
            </w:r>
            <w:r>
              <w:rPr>
                <w:rFonts w:cs="Tahoma"/>
                <w:noProof/>
                <w:color w:val="000000"/>
                <w:highlight w:val="black"/>
              </w:rPr>
              <w:br/>
              <w:t xml:space="preserve">'''''''' '''''''''''''''''' </w:t>
            </w:r>
          </w:p>
        </w:tc>
        <w:tc>
          <w:tcPr>
            <w:tcW w:w="1054"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771"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1072"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1134" w:type="dxa"/>
          </w:tcPr>
          <w:p w:rsidR="004A42D5" w:rsidRPr="002046A0" w:rsidRDefault="002046A0" w:rsidP="00D35699">
            <w:pPr>
              <w:pStyle w:val="Tabletext"/>
              <w:rPr>
                <w:rFonts w:cs="Tahoma"/>
                <w:highlight w:val="black"/>
              </w:rPr>
            </w:pPr>
            <w:r>
              <w:rPr>
                <w:rFonts w:cs="Tahoma"/>
                <w:noProof/>
                <w:color w:val="000000"/>
                <w:highlight w:val="black"/>
              </w:rPr>
              <w:t>'''''''''''''''''''' ''''</w:t>
            </w:r>
          </w:p>
        </w:tc>
        <w:tc>
          <w:tcPr>
            <w:tcW w:w="1038"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1230" w:type="dxa"/>
          </w:tcPr>
          <w:p w:rsidR="004A42D5" w:rsidRPr="002046A0" w:rsidRDefault="002046A0" w:rsidP="004A42D5">
            <w:pPr>
              <w:pStyle w:val="Tabletext"/>
              <w:rPr>
                <w:rFonts w:cs="Tahoma"/>
                <w:highlight w:val="black"/>
              </w:rPr>
            </w:pPr>
            <w:r>
              <w:rPr>
                <w:rFonts w:cs="Tahoma"/>
                <w:noProof/>
                <w:color w:val="000000"/>
                <w:highlight w:val="black"/>
              </w:rPr>
              <w:t>''''''''''''''</w:t>
            </w:r>
          </w:p>
        </w:tc>
        <w:tc>
          <w:tcPr>
            <w:tcW w:w="1417" w:type="dxa"/>
          </w:tcPr>
          <w:p w:rsidR="004A42D5" w:rsidRPr="002046A0" w:rsidRDefault="002046A0" w:rsidP="004A42D5">
            <w:pPr>
              <w:pStyle w:val="Tabletext"/>
              <w:rPr>
                <w:rFonts w:cs="Tahoma"/>
                <w:highlight w:val="black"/>
              </w:rPr>
            </w:pPr>
            <w:r>
              <w:rPr>
                <w:rFonts w:cs="Tahoma"/>
                <w:noProof/>
                <w:color w:val="000000"/>
                <w:highlight w:val="black"/>
              </w:rPr>
              <w:t>'''''' ''''''''''''''''' ''''''''''''''</w:t>
            </w:r>
          </w:p>
        </w:tc>
        <w:tc>
          <w:tcPr>
            <w:tcW w:w="1134" w:type="dxa"/>
          </w:tcPr>
          <w:p w:rsidR="004A42D5" w:rsidRPr="002046A0" w:rsidRDefault="002046A0" w:rsidP="004A42D5">
            <w:pPr>
              <w:pStyle w:val="Tabletext"/>
              <w:rPr>
                <w:rFonts w:cs="Tahoma"/>
                <w:highlight w:val="black"/>
              </w:rPr>
            </w:pPr>
            <w:r>
              <w:rPr>
                <w:rFonts w:cs="Tahoma"/>
                <w:noProof/>
                <w:color w:val="000000"/>
                <w:highlight w:val="black"/>
              </w:rPr>
              <w:t>'''''' '''''''''''''''''''' '''''''''''''</w:t>
            </w:r>
          </w:p>
        </w:tc>
        <w:tc>
          <w:tcPr>
            <w:tcW w:w="993" w:type="dxa"/>
          </w:tcPr>
          <w:p w:rsidR="004A42D5" w:rsidRPr="002046A0" w:rsidRDefault="002046A0" w:rsidP="004A42D5">
            <w:pPr>
              <w:pStyle w:val="Tabletext"/>
              <w:rPr>
                <w:rFonts w:cs="Tahoma"/>
                <w:highlight w:val="black"/>
              </w:rPr>
            </w:pPr>
            <w:r>
              <w:rPr>
                <w:rFonts w:cs="Tahoma"/>
                <w:noProof/>
                <w:color w:val="000000"/>
                <w:highlight w:val="black"/>
              </w:rPr>
              <w:t>''</w:t>
            </w:r>
          </w:p>
        </w:tc>
        <w:tc>
          <w:tcPr>
            <w:tcW w:w="2188" w:type="dxa"/>
          </w:tcPr>
          <w:p w:rsidR="004A42D5" w:rsidRPr="002046A0" w:rsidRDefault="002046A0" w:rsidP="00C52089">
            <w:pPr>
              <w:pStyle w:val="Tabletext"/>
              <w:rPr>
                <w:rFonts w:cs="Tahoma"/>
                <w:highlight w:val="black"/>
              </w:rPr>
            </w:pPr>
            <w:r>
              <w:rPr>
                <w:rFonts w:cs="Tahoma"/>
                <w:noProof/>
                <w:color w:val="000000"/>
                <w:highlight w:val="black"/>
              </w:rPr>
              <w:t>'''''''' '''''''''''' '''' ''''''''''''''''</w:t>
            </w:r>
            <w:r>
              <w:rPr>
                <w:rFonts w:cs="Tahoma"/>
                <w:noProof/>
                <w:color w:val="000000"/>
                <w:highlight w:val="black"/>
              </w:rPr>
              <w:br/>
              <w:t>''''''''''''' '''''''''' ''''' '''''''''' ''''''''''''''''</w:t>
            </w:r>
          </w:p>
        </w:tc>
        <w:tc>
          <w:tcPr>
            <w:tcW w:w="1214" w:type="dxa"/>
          </w:tcPr>
          <w:p w:rsidR="004A42D5" w:rsidRPr="002046A0" w:rsidRDefault="002046A0" w:rsidP="004A42D5">
            <w:pPr>
              <w:pStyle w:val="Tabletext"/>
              <w:rPr>
                <w:rFonts w:ascii="Cambria Math" w:eastAsia="Times New Roman" w:hAnsi="Cambria Math" w:cs="Cambria Math"/>
                <w:bCs/>
              </w:rPr>
            </w:pPr>
            <w:r>
              <w:rPr>
                <w:rFonts w:eastAsia="Times New Roman" w:cs="Tahoma"/>
                <w:bCs/>
                <w:noProof/>
                <w:color w:val="000000"/>
                <w:highlight w:val="black"/>
              </w:rPr>
              <w:t>''''''''''''''''''''''''</w:t>
            </w:r>
            <w:r>
              <w:rPr>
                <w:rFonts w:eastAsia="Times New Roman" w:cs="Tahoma"/>
                <w:bCs/>
                <w:noProof/>
                <w:color w:val="000000"/>
                <w:highlight w:val="black"/>
              </w:rPr>
              <w:br/>
              <w:t>''''''''''''''</w:t>
            </w:r>
          </w:p>
          <w:p w:rsidR="004A42D5" w:rsidRPr="002046A0" w:rsidRDefault="002046A0" w:rsidP="004A42D5">
            <w:pPr>
              <w:pStyle w:val="Tabletext"/>
              <w:rPr>
                <w:rFonts w:eastAsia="Times New Roman" w:cs="Tahoma"/>
                <w:bCs/>
                <w:highlight w:val="black"/>
              </w:rPr>
            </w:pPr>
            <w:r>
              <w:rPr>
                <w:rFonts w:cs="Tahoma"/>
                <w:noProof/>
                <w:color w:val="000000"/>
                <w:highlight w:val="black"/>
              </w:rPr>
              <w:t>''''''''''''''''''''''''</w:t>
            </w:r>
          </w:p>
        </w:tc>
      </w:tr>
      <w:tr w:rsidR="004A42D5" w:rsidRPr="00F05153" w:rsidTr="00BC7F74">
        <w:trPr>
          <w:trHeight w:val="319"/>
        </w:trPr>
        <w:tc>
          <w:tcPr>
            <w:tcW w:w="1493" w:type="dxa"/>
          </w:tcPr>
          <w:p w:rsidR="004A42D5" w:rsidRPr="002046A0" w:rsidRDefault="002046A0" w:rsidP="004A42D5">
            <w:pPr>
              <w:pStyle w:val="Tabletext"/>
              <w:rPr>
                <w:rFonts w:cs="Tahoma"/>
                <w:highlight w:val="black"/>
              </w:rPr>
            </w:pPr>
            <w:r>
              <w:rPr>
                <w:rFonts w:cs="Tahoma"/>
                <w:noProof/>
                <w:color w:val="000000"/>
                <w:highlight w:val="black"/>
              </w:rPr>
              <w:t>''''''''''''''''' '''' ''''''''''' '''''''''' ''''''''''''''''''''</w:t>
            </w:r>
            <w:r>
              <w:rPr>
                <w:rFonts w:cs="Tahoma"/>
                <w:noProof/>
                <w:color w:val="000000"/>
                <w:highlight w:val="black"/>
              </w:rPr>
              <w:br/>
              <w:t>'''''''' '''''''''''''''''</w:t>
            </w:r>
          </w:p>
        </w:tc>
        <w:tc>
          <w:tcPr>
            <w:tcW w:w="1054"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771"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1072"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1134"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1038" w:type="dxa"/>
          </w:tcPr>
          <w:p w:rsidR="004A42D5" w:rsidRPr="002046A0" w:rsidRDefault="002046A0" w:rsidP="004A42D5">
            <w:pPr>
              <w:pStyle w:val="Tabletext"/>
              <w:rPr>
                <w:rFonts w:cs="Tahoma"/>
                <w:highlight w:val="black"/>
              </w:rPr>
            </w:pPr>
            <w:r>
              <w:rPr>
                <w:rFonts w:cs="Tahoma"/>
                <w:noProof/>
                <w:color w:val="000000"/>
                <w:highlight w:val="black"/>
              </w:rPr>
              <w:t>'''''''' '''''''''''''''''</w:t>
            </w:r>
          </w:p>
        </w:tc>
        <w:tc>
          <w:tcPr>
            <w:tcW w:w="1230" w:type="dxa"/>
          </w:tcPr>
          <w:p w:rsidR="004A42D5" w:rsidRPr="002046A0" w:rsidRDefault="002046A0" w:rsidP="004A42D5">
            <w:pPr>
              <w:pStyle w:val="Tabletext"/>
              <w:rPr>
                <w:rFonts w:cs="Tahoma"/>
                <w:highlight w:val="black"/>
              </w:rPr>
            </w:pPr>
            <w:r>
              <w:rPr>
                <w:rFonts w:cs="Tahoma"/>
                <w:noProof/>
                <w:color w:val="000000"/>
                <w:highlight w:val="black"/>
              </w:rPr>
              <w:t>''''''''''''''</w:t>
            </w:r>
          </w:p>
        </w:tc>
        <w:tc>
          <w:tcPr>
            <w:tcW w:w="1417" w:type="dxa"/>
          </w:tcPr>
          <w:p w:rsidR="004A42D5" w:rsidRPr="002046A0" w:rsidRDefault="002046A0" w:rsidP="004A42D5">
            <w:pPr>
              <w:pStyle w:val="Tabletext"/>
              <w:rPr>
                <w:rFonts w:cs="Tahoma"/>
                <w:highlight w:val="black"/>
              </w:rPr>
            </w:pPr>
            <w:r>
              <w:rPr>
                <w:rFonts w:cs="Tahoma"/>
                <w:noProof/>
                <w:color w:val="000000"/>
                <w:highlight w:val="black"/>
              </w:rPr>
              <w:t>'''''' ''''''''''''''''''''' ''''''''''''''''</w:t>
            </w:r>
          </w:p>
        </w:tc>
        <w:tc>
          <w:tcPr>
            <w:tcW w:w="1134" w:type="dxa"/>
          </w:tcPr>
          <w:p w:rsidR="004A42D5" w:rsidRPr="002046A0" w:rsidRDefault="002046A0" w:rsidP="004A42D5">
            <w:pPr>
              <w:pStyle w:val="Tabletext"/>
              <w:rPr>
                <w:rFonts w:cs="Tahoma"/>
                <w:highlight w:val="black"/>
              </w:rPr>
            </w:pPr>
            <w:r>
              <w:rPr>
                <w:rFonts w:cs="Tahoma"/>
                <w:noProof/>
                <w:color w:val="000000"/>
                <w:highlight w:val="black"/>
              </w:rPr>
              <w:t>'''''' ''''''''''''''''''''' ''''''''''''''</w:t>
            </w:r>
          </w:p>
        </w:tc>
        <w:tc>
          <w:tcPr>
            <w:tcW w:w="993" w:type="dxa"/>
          </w:tcPr>
          <w:p w:rsidR="004A42D5" w:rsidRPr="002046A0" w:rsidRDefault="002046A0" w:rsidP="004A42D5">
            <w:pPr>
              <w:pStyle w:val="Tabletext"/>
              <w:rPr>
                <w:rFonts w:cs="Tahoma"/>
                <w:highlight w:val="black"/>
              </w:rPr>
            </w:pPr>
            <w:r>
              <w:rPr>
                <w:rFonts w:cs="Tahoma"/>
                <w:noProof/>
                <w:color w:val="000000"/>
                <w:highlight w:val="black"/>
              </w:rPr>
              <w:t>''</w:t>
            </w:r>
          </w:p>
        </w:tc>
        <w:tc>
          <w:tcPr>
            <w:tcW w:w="2188" w:type="dxa"/>
          </w:tcPr>
          <w:p w:rsidR="004A42D5" w:rsidRPr="002046A0" w:rsidRDefault="002046A0" w:rsidP="004A42D5">
            <w:pPr>
              <w:pStyle w:val="Tabletext"/>
              <w:rPr>
                <w:rFonts w:cs="Tahoma"/>
                <w:highlight w:val="black"/>
              </w:rPr>
            </w:pPr>
            <w:r>
              <w:rPr>
                <w:rFonts w:cs="Tahoma"/>
                <w:noProof/>
                <w:color w:val="000000"/>
                <w:highlight w:val="black"/>
              </w:rPr>
              <w:t>''''''''''''''''''</w:t>
            </w:r>
            <w:r>
              <w:rPr>
                <w:rFonts w:cs="Tahoma"/>
                <w:noProof/>
                <w:color w:val="000000"/>
                <w:highlight w:val="black"/>
              </w:rPr>
              <w:br/>
              <w:t>'''''''' ''''''''''''''' '''''''''''''''' ''''''''''''''''''''''''''''''''</w:t>
            </w:r>
          </w:p>
          <w:p w:rsidR="004A42D5" w:rsidRPr="002046A0" w:rsidRDefault="002046A0" w:rsidP="004A42D5">
            <w:pPr>
              <w:pStyle w:val="Tabletext"/>
              <w:rPr>
                <w:rFonts w:cs="Tahoma"/>
                <w:highlight w:val="black"/>
              </w:rPr>
            </w:pPr>
            <w:r>
              <w:rPr>
                <w:rFonts w:cs="Tahoma"/>
                <w:noProof/>
                <w:color w:val="000000"/>
                <w:highlight w:val="black"/>
              </w:rPr>
              <w:t>'''''''''''''</w:t>
            </w:r>
            <w:r>
              <w:rPr>
                <w:rFonts w:cs="Tahoma"/>
                <w:noProof/>
                <w:color w:val="000000"/>
                <w:highlight w:val="black"/>
              </w:rPr>
              <w:br/>
              <w:t>''''''''' ''''''''''' ''''''''''''''' ''''''''''''''''''''''''''''''</w:t>
            </w:r>
          </w:p>
        </w:tc>
        <w:tc>
          <w:tcPr>
            <w:tcW w:w="1214" w:type="dxa"/>
          </w:tcPr>
          <w:p w:rsidR="004A42D5" w:rsidRPr="002046A0" w:rsidRDefault="002046A0" w:rsidP="004A42D5">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4A42D5" w:rsidRPr="002046A0" w:rsidRDefault="002046A0" w:rsidP="004A42D5">
            <w:pPr>
              <w:pStyle w:val="Tabletext"/>
              <w:rPr>
                <w:rFonts w:eastAsia="Times New Roman" w:cs="Tahoma"/>
                <w:bCs/>
                <w:highlight w:val="black"/>
              </w:rPr>
            </w:pPr>
            <w:r>
              <w:rPr>
                <w:rFonts w:cs="Tahoma"/>
                <w:noProof/>
                <w:color w:val="000000"/>
                <w:highlight w:val="black"/>
              </w:rPr>
              <w:t>'''''''''''''''''''''''</w:t>
            </w:r>
          </w:p>
        </w:tc>
      </w:tr>
      <w:tr w:rsidR="00CC3BA4" w:rsidRPr="00F05153" w:rsidTr="00BC7F74">
        <w:trPr>
          <w:trHeight w:val="948"/>
        </w:trPr>
        <w:tc>
          <w:tcPr>
            <w:tcW w:w="1493" w:type="dxa"/>
          </w:tcPr>
          <w:p w:rsidR="00CC3BA4" w:rsidRPr="002046A0" w:rsidRDefault="002046A0" w:rsidP="00C73C64">
            <w:pPr>
              <w:pStyle w:val="Tabletext"/>
              <w:rPr>
                <w:rFonts w:cs="Tahoma"/>
                <w:highlight w:val="black"/>
              </w:rPr>
            </w:pPr>
            <w:r>
              <w:rPr>
                <w:rFonts w:cs="Tahoma"/>
                <w:noProof/>
                <w:color w:val="000000"/>
                <w:highlight w:val="black"/>
              </w:rPr>
              <w:t>''''''''''''''''''' ''''' ''''''''''''''''''''''''''''''''' ''''''''''''''''''''''''''' ''''''''''' ''''''''''''''''''''''</w:t>
            </w:r>
            <w:r>
              <w:rPr>
                <w:rFonts w:cs="Tahoma"/>
                <w:noProof/>
                <w:color w:val="000000"/>
                <w:highlight w:val="black"/>
              </w:rPr>
              <w:br/>
              <w:t xml:space="preserve">''''''' '''''''''''''''' </w:t>
            </w:r>
          </w:p>
        </w:tc>
        <w:tc>
          <w:tcPr>
            <w:tcW w:w="1054"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771"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072"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35699">
            <w:pPr>
              <w:pStyle w:val="Tabletext"/>
              <w:rPr>
                <w:rFonts w:cs="Tahoma"/>
                <w:highlight w:val="black"/>
              </w:rPr>
            </w:pPr>
            <w:r>
              <w:rPr>
                <w:rFonts w:cs="Tahoma"/>
                <w:noProof/>
                <w:color w:val="000000"/>
                <w:highlight w:val="black"/>
              </w:rPr>
              <w:t>''''''''''' ''''''''''''''''' '''</w:t>
            </w:r>
          </w:p>
        </w:tc>
        <w:tc>
          <w:tcPr>
            <w:tcW w:w="1038"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230" w:type="dxa"/>
          </w:tcPr>
          <w:p w:rsidR="00CC3BA4" w:rsidRPr="002046A0" w:rsidRDefault="002046A0" w:rsidP="00C73C64">
            <w:pPr>
              <w:pStyle w:val="Tabletext"/>
              <w:rPr>
                <w:rFonts w:cs="Tahoma"/>
                <w:highlight w:val="black"/>
              </w:rPr>
            </w:pPr>
            <w:r>
              <w:rPr>
                <w:rFonts w:cs="Tahoma"/>
                <w:noProof/>
                <w:color w:val="000000"/>
                <w:highlight w:val="black"/>
              </w:rPr>
              <w:t>''''''''''''''''' '''''''''''''''''''''''''''''</w:t>
            </w:r>
          </w:p>
        </w:tc>
        <w:tc>
          <w:tcPr>
            <w:tcW w:w="1417" w:type="dxa"/>
          </w:tcPr>
          <w:p w:rsidR="00CC3BA4" w:rsidRPr="002046A0" w:rsidRDefault="002046A0" w:rsidP="00C73C64">
            <w:pPr>
              <w:pStyle w:val="Tabletext"/>
              <w:rPr>
                <w:rFonts w:cs="Tahoma"/>
                <w:highlight w:val="black"/>
              </w:rPr>
            </w:pPr>
            <w:r>
              <w:rPr>
                <w:rFonts w:cs="Tahoma"/>
                <w:noProof/>
                <w:color w:val="000000"/>
                <w:highlight w:val="black"/>
              </w:rPr>
              <w:t>''''''' '''''''''''''''''''' ''''''''''''''</w:t>
            </w:r>
          </w:p>
        </w:tc>
        <w:tc>
          <w:tcPr>
            <w:tcW w:w="1134" w:type="dxa"/>
          </w:tcPr>
          <w:p w:rsidR="00CC3BA4" w:rsidRPr="002046A0" w:rsidRDefault="002046A0" w:rsidP="00C73C64">
            <w:pPr>
              <w:pStyle w:val="Tabletext"/>
              <w:rPr>
                <w:rFonts w:cs="Tahoma"/>
                <w:highlight w:val="black"/>
              </w:rPr>
            </w:pPr>
            <w:r>
              <w:rPr>
                <w:rFonts w:cs="Tahoma"/>
                <w:noProof/>
                <w:color w:val="000000"/>
                <w:highlight w:val="black"/>
              </w:rPr>
              <w:t>'''''' ''''''''''''''''''''' ''''''''''''''</w:t>
            </w:r>
          </w:p>
        </w:tc>
        <w:tc>
          <w:tcPr>
            <w:tcW w:w="993" w:type="dxa"/>
          </w:tcPr>
          <w:p w:rsidR="00CC3BA4" w:rsidRPr="002046A0" w:rsidRDefault="002046A0" w:rsidP="00C73C64">
            <w:pPr>
              <w:pStyle w:val="Tabletext"/>
              <w:rPr>
                <w:rFonts w:cs="Tahoma"/>
                <w:highlight w:val="black"/>
              </w:rPr>
            </w:pPr>
            <w:r>
              <w:rPr>
                <w:rFonts w:cs="Tahoma"/>
                <w:noProof/>
                <w:color w:val="000000"/>
                <w:highlight w:val="black"/>
              </w:rPr>
              <w:t>'''</w:t>
            </w:r>
          </w:p>
        </w:tc>
        <w:tc>
          <w:tcPr>
            <w:tcW w:w="2188" w:type="dxa"/>
          </w:tcPr>
          <w:p w:rsidR="00CC3BA4" w:rsidRPr="002046A0" w:rsidRDefault="002046A0" w:rsidP="00063B4C">
            <w:pPr>
              <w:pStyle w:val="Tabletext"/>
              <w:rPr>
                <w:rFonts w:cs="Tahoma"/>
                <w:highlight w:val="black"/>
              </w:rPr>
            </w:pPr>
            <w:r>
              <w:rPr>
                <w:rFonts w:cs="Tahoma"/>
                <w:noProof/>
                <w:color w:val="000000"/>
                <w:highlight w:val="black"/>
              </w:rPr>
              <w:t>'''''''''''</w:t>
            </w:r>
            <w:r>
              <w:rPr>
                <w:rFonts w:cs="Tahoma"/>
                <w:noProof/>
                <w:color w:val="000000"/>
                <w:highlight w:val="black"/>
              </w:rPr>
              <w:br/>
              <w:t>''''''''' ''''''''''''''' '''''''''''''''''''''''''''''''</w:t>
            </w:r>
          </w:p>
        </w:tc>
        <w:tc>
          <w:tcPr>
            <w:tcW w:w="1214" w:type="dxa"/>
          </w:tcPr>
          <w:p w:rsidR="00CC3BA4" w:rsidRPr="002046A0" w:rsidRDefault="002046A0" w:rsidP="00C73C64">
            <w:pPr>
              <w:pStyle w:val="Tabletext"/>
              <w:rPr>
                <w:rFonts w:eastAsia="Times New Roman" w:cs="Tahoma"/>
                <w:bCs/>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C73C64">
            <w:pPr>
              <w:pStyle w:val="Tabletext"/>
              <w:rPr>
                <w:rFonts w:eastAsia="Times New Roman" w:cs="Tahoma"/>
                <w:bCs/>
                <w:highlight w:val="black"/>
              </w:rPr>
            </w:pPr>
            <w:r>
              <w:rPr>
                <w:rFonts w:eastAsia="Times New Roman" w:cs="Tahoma"/>
                <w:bCs/>
                <w:noProof/>
                <w:color w:val="000000"/>
                <w:highlight w:val="black"/>
              </w:rPr>
              <w:t>''''''''' '''''''''''''''''''''''</w:t>
            </w:r>
          </w:p>
        </w:tc>
      </w:tr>
    </w:tbl>
    <w:p w:rsidR="00CC3BA4" w:rsidRPr="002046A0" w:rsidRDefault="002046A0" w:rsidP="00476F09">
      <w:pPr>
        <w:pStyle w:val="Tablenote"/>
        <w:rPr>
          <w:highlight w:val="black"/>
        </w:rPr>
      </w:pPr>
      <w:r>
        <w:rPr>
          <w:noProof/>
          <w:color w:val="000000"/>
          <w:highlight w:val="black"/>
          <w:vertAlign w:val="superscript"/>
        </w:rPr>
        <w:t>''' '''''''''''' '''''''''''''''''''''''''''''''''' '''''''''''' '''''' ''''''''''''''''''''''' '''''''''' ''''''''' '''''''''''' '''''''''</w:t>
      </w:r>
    </w:p>
    <w:p w:rsidR="00BD743C" w:rsidRPr="002046A0" w:rsidRDefault="002046A0" w:rsidP="00476F09">
      <w:pPr>
        <w:pStyle w:val="Tablenote"/>
        <w:rPr>
          <w:highlight w:val="black"/>
        </w:rPr>
      </w:pPr>
      <w:r>
        <w:rPr>
          <w:noProof/>
          <w:color w:val="000000"/>
          <w:highlight w:val="black"/>
          <w:vertAlign w:val="superscript"/>
        </w:rPr>
        <w:t>''' ''''''''''''''''' '''''''''''''''''''' ''''''''''''''''' '''''''''''''''' ''''' ''''''''''''''''''''''''</w:t>
      </w:r>
    </w:p>
    <w:p w:rsidR="00CC3BA4" w:rsidRPr="002046A0" w:rsidRDefault="002046A0" w:rsidP="00476F09">
      <w:pPr>
        <w:pStyle w:val="Tablenote"/>
        <w:rPr>
          <w:highlight w:val="black"/>
        </w:rPr>
      </w:pPr>
      <w:r>
        <w:rPr>
          <w:noProof/>
          <w:color w:val="000000"/>
          <w:highlight w:val="black"/>
          <w:vertAlign w:val="superscript"/>
        </w:rPr>
        <w:t>''' '''''''''''''' '''''''''''' '''''''' '''''''' '''''''''''' '''</w:t>
      </w:r>
    </w:p>
    <w:p w:rsidR="00D35699" w:rsidRPr="002046A0" w:rsidRDefault="002046A0" w:rsidP="00476F09">
      <w:pPr>
        <w:pStyle w:val="Tablenote"/>
        <w:rPr>
          <w:highlight w:val="black"/>
        </w:rPr>
      </w:pPr>
      <w:r>
        <w:rPr>
          <w:noProof/>
          <w:color w:val="000000"/>
          <w:highlight w:val="black"/>
          <w:vertAlign w:val="superscript"/>
        </w:rPr>
        <w:t>''' ''''''''''''''''''''''''' ''''''''''''''''''''</w:t>
      </w:r>
    </w:p>
    <w:p w:rsidR="000211A3" w:rsidRPr="002046A0" w:rsidRDefault="002046A0" w:rsidP="000211A3">
      <w:pPr>
        <w:pStyle w:val="Tablenote"/>
        <w:rPr>
          <w:highlight w:val="black"/>
        </w:rPr>
      </w:pPr>
      <w:r>
        <w:rPr>
          <w:noProof/>
          <w:color w:val="000000"/>
          <w:highlight w:val="black"/>
          <w:vertAlign w:val="superscript"/>
        </w:rPr>
        <w:t>''' ''''''''''''''''' ''''''''''''' '''''''''''''''' ''''''''''''''' '''''''''''' '''''''''''''' '''''' ''''''''''''' ''' '''''''''''''' ''''''''''''''' ''''''''''''''''''''''' ''''''''''''''' ''''''''''</w:t>
      </w:r>
    </w:p>
    <w:p w:rsidR="000211A3" w:rsidRPr="002046A0" w:rsidRDefault="002046A0" w:rsidP="000211A3">
      <w:pPr>
        <w:pStyle w:val="Tablenote"/>
        <w:rPr>
          <w:highlight w:val="black"/>
        </w:rPr>
      </w:pPr>
      <w:r>
        <w:rPr>
          <w:noProof/>
          <w:color w:val="000000"/>
          <w:highlight w:val="black"/>
          <w:vertAlign w:val="superscript"/>
        </w:rPr>
        <w:t>'' ''''''''''' '''''''''' '''''''''''''''' '''''''''''''' ''''''''''' ''' '''' '''''''''''' '''' '''''''''''''' '''''''''''' ''''''''''''''''''''''' '''''''''''''' '''''''''''''</w:t>
      </w:r>
    </w:p>
    <w:p w:rsidR="00CC3BA4" w:rsidRPr="002046A0" w:rsidRDefault="002046A0" w:rsidP="00476F09">
      <w:pPr>
        <w:pStyle w:val="Tablenote"/>
      </w:pPr>
      <w:r>
        <w:rPr>
          <w:rFonts w:ascii="Cambria Math" w:hAnsi="Cambria Math" w:cs="Cambria Math"/>
          <w:noProof/>
          <w:color w:val="000000"/>
          <w:highlight w:val="black"/>
        </w:rPr>
        <w:t>''''''''''''''</w:t>
      </w:r>
      <w:r>
        <w:rPr>
          <w:noProof/>
          <w:color w:val="000000"/>
          <w:highlight w:val="black"/>
        </w:rPr>
        <w:t xml:space="preserve"> </w:t>
      </w:r>
      <w:r>
        <w:rPr>
          <w:b/>
          <w:noProof/>
          <w:color w:val="000000"/>
          <w:highlight w:val="black"/>
        </w:rPr>
        <w:t>''''''''''' ''''''''''''''</w:t>
      </w:r>
      <w:r>
        <w:rPr>
          <w:noProof/>
          <w:color w:val="000000"/>
          <w:highlight w:val="black"/>
        </w:rPr>
        <w:t xml:space="preserve"> ''''''''' '''''''' '''''''''' ''''''''''''''''''''''' ''''''''' ''''''' ''''''''' ''''''''''''' '''''''' ''''''''''''' ''''' ''''''''' ''''' '''''''' ''''''''''''''''''''' '''' ''''''''''''''</w:t>
      </w:r>
    </w:p>
    <w:p w:rsidR="00114427" w:rsidRPr="002046A0" w:rsidRDefault="002046A0" w:rsidP="00114427">
      <w:pPr>
        <w:pStyle w:val="Tablenote"/>
      </w:pPr>
      <w:r>
        <w:rPr>
          <w:rFonts w:ascii="Cambria Math" w:hAnsi="Cambria Math" w:cs="Cambria Math"/>
          <w:noProof/>
          <w:color w:val="000000"/>
          <w:highlight w:val="black"/>
        </w:rPr>
        <w:t>''''''''''''''</w:t>
      </w:r>
      <w:r>
        <w:rPr>
          <w:rFonts w:cs="Cambria Math"/>
          <w:noProof/>
          <w:color w:val="000000"/>
          <w:highlight w:val="black"/>
        </w:rPr>
        <w:t xml:space="preserve"> </w:t>
      </w:r>
      <w:r>
        <w:rPr>
          <w:b/>
          <w:noProof/>
          <w:color w:val="000000"/>
          <w:highlight w:val="black"/>
        </w:rPr>
        <w:t>'''''''''''''''''' ''''''''''''''''</w:t>
      </w:r>
      <w:r>
        <w:rPr>
          <w:noProof/>
          <w:color w:val="000000"/>
          <w:highlight w:val="black"/>
        </w:rPr>
        <w:t xml:space="preserve"> '''''''' '''''''' '''''''''''''''''''''''''''' ''''''''''''''''''''' '''' '''''''' '''''''''''' ''''''''''''''''''''''' ''''''''' ''''''''' ''''''''''''' '''' '''''''''''' ''''' '''''' '''''''''''' ''''' ''''''' '''''''''''''''''''' ''''' ''''''' ''''''''''''''' ''''''''' '''''''''''' '''' ''' ''''''''''''''''''''''' ''''''''' ''' '''' '''''''''''''''''''''''''''' '''''''''''''''''''''</w:t>
      </w:r>
    </w:p>
    <w:p w:rsidR="0079256B" w:rsidRPr="002046A0" w:rsidRDefault="002046A0" w:rsidP="0079256B">
      <w:pPr>
        <w:pStyle w:val="Tablenote"/>
      </w:pPr>
      <w:r>
        <w:rPr>
          <w:rFonts w:ascii="Cambria Math" w:hAnsi="Cambria Math" w:cs="Cambria Math"/>
          <w:noProof/>
          <w:color w:val="000000"/>
          <w:highlight w:val="black"/>
        </w:rPr>
        <w:t>''''''''''''''</w:t>
      </w:r>
      <w:r>
        <w:rPr>
          <w:rFonts w:cs="Cambria Math"/>
          <w:noProof/>
          <w:color w:val="000000"/>
          <w:highlight w:val="black"/>
        </w:rPr>
        <w:t xml:space="preserve"> </w:t>
      </w:r>
      <w:r>
        <w:rPr>
          <w:b/>
          <w:noProof/>
          <w:color w:val="000000"/>
          <w:highlight w:val="black"/>
        </w:rPr>
        <w:t>''''''''' ''''''''''''''</w:t>
      </w:r>
      <w:r>
        <w:rPr>
          <w:noProof/>
          <w:color w:val="000000"/>
          <w:highlight w:val="black"/>
        </w:rPr>
        <w:t xml:space="preserve"> ''''''''' ''''''''''''''''''''''''' ''''' '''''''' '''''''''''' ''''''''''''''''''' '''' '''''''''''''''' '''''''''' ''''''''''' ''''''''''''' ''''''''''' '''''' ''''''''''''''''''''''''''' ''''''''''''''''''' '''''''''' '''''''' '''''''''''''''''''''' '''' ''''''' ''''''''''''</w:t>
      </w:r>
    </w:p>
    <w:p w:rsidR="00064FEF" w:rsidRPr="002046A0" w:rsidRDefault="002046A0" w:rsidP="00476F09">
      <w:pPr>
        <w:pStyle w:val="Tablenote"/>
        <w:rPr>
          <w:highlight w:val="black"/>
        </w:rPr>
      </w:pPr>
      <w:r>
        <w:rPr>
          <w:noProof/>
          <w:color w:val="000000"/>
          <w:highlight w:val="black"/>
        </w:rPr>
        <w:t>'''''''''''''''' ''' ''''''''''''''''''''''' '''''''''''' '''''''''''''''''''''' ''''''''''''' ''' '''''''''''''''''' ''''''''' ''''''''''''''''''''''' '''''' ''' ''''''''''''''''''''''' ''''''''''''''''''' ''''''''''''''' ''' '''''''''''''''''' ''' '''''''''''''''''''''''''''' '''''''' '''' ''''''''''''''''''''''' '''''''''''''' ''''''''''''''''''' '''' ''''''''''''''''' '''' '''''''''''''''''''''''''''''''''''''''''' '''''''''''''''''''''''''''''' ''''''''''''''''''''''''''''''' ''''''''' '''''''''''''''''''''''''''''' ''''''''''' '''' '''''''''''''' '''''''''' ''''''''''''''''''''''''' ''''''''''''''''''''''''''''' ''''''''' ''' '''''''''''''' ''''''''''''''''''''''''' '''''''''''' ''' ''''''''''''''''''''''''' '''''''''''''''''' ''''''''''''''''''''''''''''' ''''''''''' ''' '''''''''''''''''''''''' ''''''''''''''''''' ''''''''''''''''''''''''' ''''''''' '''' ''''''''''''''' '''''' ''''''''' ''''''''''' ''' '''''''''''''''''''''''''''' '''''''''''''''''''''''' ''''''''''' '''''''' '''' ''''''''''''''''''' '''''''''' ''''''''''' ''' ''''''''''''''''' ''''''''''''''''''''''' ''''''''''''''''''''' '''''''''''''' '''' '''''''''''''' '''''''''''''' '''''''''''''''''''''''''''''</w:t>
      </w:r>
    </w:p>
    <w:p w:rsidR="00CC3BA4" w:rsidRPr="00F05153" w:rsidRDefault="00CC3BA4" w:rsidP="00BF48DF">
      <w:pPr>
        <w:pStyle w:val="Heading3"/>
        <w:numPr>
          <w:ilvl w:val="0"/>
          <w:numId w:val="0"/>
        </w:numPr>
      </w:pPr>
      <w:bookmarkStart w:id="508" w:name="_Toc38360297"/>
      <w:r w:rsidRPr="00F05153">
        <w:lastRenderedPageBreak/>
        <w:t>Question 3</w:t>
      </w:r>
      <w:bookmarkEnd w:id="508"/>
    </w:p>
    <w:p w:rsidR="00CC3BA4" w:rsidRPr="00F05153" w:rsidRDefault="00CC3BA4" w:rsidP="00BF48DF">
      <w:pPr>
        <w:pStyle w:val="Heading4"/>
      </w:pPr>
      <w:r w:rsidRPr="00F05153">
        <w:t>ERA in addition to PDE-5 inhibitor</w:t>
      </w:r>
    </w:p>
    <w:p w:rsidR="00CC3BA4" w:rsidRPr="00F05153" w:rsidRDefault="00796F18" w:rsidP="00BC5A2B">
      <w:pPr>
        <w:pStyle w:val="Caption"/>
      </w:pPr>
      <w:bookmarkStart w:id="509" w:name="_Ref505765493"/>
      <w:bookmarkStart w:id="510" w:name="_Toc38360446"/>
      <w:r w:rsidRPr="00F05153">
        <w:t>Table 4.</w:t>
      </w:r>
      <w:r w:rsidR="003951FA">
        <w:rPr>
          <w:noProof/>
        </w:rPr>
        <w:t>149</w:t>
      </w:r>
      <w:bookmarkEnd w:id="509"/>
      <w:r w:rsidRPr="00F05153">
        <w:tab/>
      </w:r>
      <w:r w:rsidR="00CC3BA4" w:rsidRPr="00F05153">
        <w:t xml:space="preserve">Evidence profile table for effectiveness of ERA </w:t>
      </w:r>
      <w:r w:rsidR="00C52089" w:rsidRPr="00F05153">
        <w:t>plus</w:t>
      </w:r>
      <w:r w:rsidR="00CC3BA4" w:rsidRPr="00F05153">
        <w:t xml:space="preserve"> PDE-5 inhibitor combination therapy compared to PDE-5 inhibitor monotherapy for all PAH patients</w:t>
      </w:r>
      <w:bookmarkEnd w:id="510"/>
    </w:p>
    <w:tbl>
      <w:tblPr>
        <w:tblStyle w:val="TableGrid"/>
        <w:tblW w:w="14596" w:type="dxa"/>
        <w:tblLayout w:type="fixed"/>
        <w:tblLook w:val="04A0" w:firstRow="1" w:lastRow="0" w:firstColumn="1" w:lastColumn="0" w:noHBand="0" w:noVBand="1"/>
        <w:tblCaption w:val="Evidence profile table for effectiveness of ERA plus PDE-5 inhibitor combination therapy compared to PDE-5 inhibitor monotherapy for all PAH patients"/>
      </w:tblPr>
      <w:tblGrid>
        <w:gridCol w:w="1493"/>
        <w:gridCol w:w="1054"/>
        <w:gridCol w:w="771"/>
        <w:gridCol w:w="1072"/>
        <w:gridCol w:w="992"/>
        <w:gridCol w:w="992"/>
        <w:gridCol w:w="1276"/>
        <w:gridCol w:w="1417"/>
        <w:gridCol w:w="1134"/>
        <w:gridCol w:w="993"/>
        <w:gridCol w:w="2188"/>
        <w:gridCol w:w="1214"/>
      </w:tblGrid>
      <w:tr w:rsidR="00F13836" w:rsidRPr="00F05153" w:rsidTr="001363C5">
        <w:trPr>
          <w:cnfStyle w:val="100000000000" w:firstRow="1" w:lastRow="0" w:firstColumn="0" w:lastColumn="0" w:oddVBand="0" w:evenVBand="0" w:oddHBand="0" w:evenHBand="0" w:firstRowFirstColumn="0" w:firstRowLastColumn="0" w:lastRowFirstColumn="0" w:lastRowLastColumn="0"/>
          <w:trHeight w:val="569"/>
        </w:trPr>
        <w:tc>
          <w:tcPr>
            <w:tcW w:w="1493" w:type="dxa"/>
          </w:tcPr>
          <w:p w:rsidR="00476F09" w:rsidRPr="00F05153" w:rsidRDefault="00476F09" w:rsidP="004A42D5">
            <w:pPr>
              <w:pStyle w:val="Tabletext"/>
              <w:rPr>
                <w:b/>
              </w:rPr>
            </w:pPr>
            <w:r w:rsidRPr="00F05153">
              <w:rPr>
                <w:b/>
              </w:rPr>
              <w:t>Outcome (follow-up)</w:t>
            </w:r>
          </w:p>
        </w:tc>
        <w:tc>
          <w:tcPr>
            <w:tcW w:w="1054" w:type="dxa"/>
          </w:tcPr>
          <w:p w:rsidR="00476F09" w:rsidRPr="00F05153" w:rsidRDefault="00476F09" w:rsidP="004A42D5">
            <w:pPr>
              <w:pStyle w:val="Tabletext"/>
              <w:rPr>
                <w:b/>
              </w:rPr>
            </w:pPr>
            <w:r w:rsidRPr="00F05153">
              <w:rPr>
                <w:b/>
              </w:rPr>
              <w:t>No. of studies and study design</w:t>
            </w:r>
          </w:p>
        </w:tc>
        <w:tc>
          <w:tcPr>
            <w:tcW w:w="771" w:type="dxa"/>
          </w:tcPr>
          <w:p w:rsidR="00476F09" w:rsidRPr="00F05153" w:rsidRDefault="00476F09" w:rsidP="004A42D5">
            <w:pPr>
              <w:pStyle w:val="Tabletext"/>
              <w:rPr>
                <w:b/>
              </w:rPr>
            </w:pPr>
            <w:r w:rsidRPr="00F05153">
              <w:rPr>
                <w:b/>
              </w:rPr>
              <w:t>Risk of bias</w:t>
            </w:r>
          </w:p>
        </w:tc>
        <w:tc>
          <w:tcPr>
            <w:tcW w:w="1072" w:type="dxa"/>
          </w:tcPr>
          <w:p w:rsidR="00476F09" w:rsidRPr="00F05153" w:rsidRDefault="00476F09" w:rsidP="004A42D5">
            <w:pPr>
              <w:pStyle w:val="Tabletext"/>
              <w:rPr>
                <w:b/>
              </w:rPr>
            </w:pPr>
            <w:r w:rsidRPr="00F05153">
              <w:rPr>
                <w:b/>
              </w:rPr>
              <w:t>Incon</w:t>
            </w:r>
            <w:r w:rsidR="001363C5" w:rsidRPr="00F05153">
              <w:rPr>
                <w:b/>
              </w:rPr>
              <w:t>-</w:t>
            </w:r>
            <w:r w:rsidRPr="00F05153">
              <w:rPr>
                <w:b/>
              </w:rPr>
              <w:t>sistency</w:t>
            </w:r>
          </w:p>
        </w:tc>
        <w:tc>
          <w:tcPr>
            <w:tcW w:w="992" w:type="dxa"/>
          </w:tcPr>
          <w:p w:rsidR="00476F09" w:rsidRPr="00F05153" w:rsidRDefault="00476F09" w:rsidP="004A42D5">
            <w:pPr>
              <w:pStyle w:val="Tabletext"/>
              <w:rPr>
                <w:b/>
              </w:rPr>
            </w:pPr>
            <w:r w:rsidRPr="00F05153">
              <w:rPr>
                <w:b/>
              </w:rPr>
              <w:t>Indirect</w:t>
            </w:r>
            <w:r w:rsidR="001363C5" w:rsidRPr="00F05153">
              <w:rPr>
                <w:b/>
              </w:rPr>
              <w:t>-</w:t>
            </w:r>
            <w:r w:rsidRPr="00F05153">
              <w:rPr>
                <w:b/>
              </w:rPr>
              <w:t>ness</w:t>
            </w:r>
          </w:p>
        </w:tc>
        <w:tc>
          <w:tcPr>
            <w:tcW w:w="992" w:type="dxa"/>
          </w:tcPr>
          <w:p w:rsidR="00476F09" w:rsidRPr="00F05153" w:rsidRDefault="00476F09" w:rsidP="004A42D5">
            <w:pPr>
              <w:pStyle w:val="Tabletext"/>
              <w:rPr>
                <w:b/>
              </w:rPr>
            </w:pPr>
            <w:r w:rsidRPr="00F05153">
              <w:rPr>
                <w:b/>
              </w:rPr>
              <w:t>Impre</w:t>
            </w:r>
            <w:r w:rsidR="001363C5" w:rsidRPr="00F05153">
              <w:rPr>
                <w:b/>
              </w:rPr>
              <w:t>-</w:t>
            </w:r>
            <w:r w:rsidRPr="00F05153">
              <w:rPr>
                <w:b/>
              </w:rPr>
              <w:t>cision</w:t>
            </w:r>
          </w:p>
        </w:tc>
        <w:tc>
          <w:tcPr>
            <w:tcW w:w="1276" w:type="dxa"/>
          </w:tcPr>
          <w:p w:rsidR="00476F09" w:rsidRPr="00F05153" w:rsidRDefault="00476F09" w:rsidP="004A42D5">
            <w:pPr>
              <w:pStyle w:val="Tabletext"/>
              <w:rPr>
                <w:b/>
              </w:rPr>
            </w:pPr>
            <w:r w:rsidRPr="00F05153">
              <w:rPr>
                <w:b/>
              </w:rPr>
              <w:t>Other considerations</w:t>
            </w:r>
            <w:r w:rsidRPr="00F05153">
              <w:rPr>
                <w:b/>
                <w:vertAlign w:val="superscript"/>
              </w:rPr>
              <w:t>a</w:t>
            </w:r>
          </w:p>
        </w:tc>
        <w:tc>
          <w:tcPr>
            <w:tcW w:w="1417" w:type="dxa"/>
          </w:tcPr>
          <w:p w:rsidR="00476F09" w:rsidRPr="00F05153" w:rsidRDefault="00476F09" w:rsidP="004A42D5">
            <w:pPr>
              <w:pStyle w:val="Tabletext"/>
              <w:rPr>
                <w:b/>
              </w:rPr>
            </w:pPr>
            <w:r w:rsidRPr="00F05153">
              <w:rPr>
                <w:b/>
              </w:rPr>
              <w:t>Study event rates (%) with ERA + PDE-5i</w:t>
            </w:r>
          </w:p>
        </w:tc>
        <w:tc>
          <w:tcPr>
            <w:tcW w:w="1134" w:type="dxa"/>
          </w:tcPr>
          <w:p w:rsidR="00476F09" w:rsidRPr="00F05153" w:rsidRDefault="00476F09" w:rsidP="004A42D5">
            <w:pPr>
              <w:pStyle w:val="Tabletext"/>
              <w:rPr>
                <w:b/>
              </w:rPr>
            </w:pPr>
            <w:r w:rsidRPr="00F05153">
              <w:rPr>
                <w:b/>
              </w:rPr>
              <w:t>Study event rates (%) with PDE-5i</w:t>
            </w:r>
          </w:p>
        </w:tc>
        <w:tc>
          <w:tcPr>
            <w:tcW w:w="993" w:type="dxa"/>
          </w:tcPr>
          <w:p w:rsidR="00476F09" w:rsidRPr="00F05153" w:rsidRDefault="00476F09" w:rsidP="004A42D5">
            <w:pPr>
              <w:pStyle w:val="Tabletext"/>
              <w:rPr>
                <w:b/>
              </w:rPr>
            </w:pPr>
            <w:r w:rsidRPr="00F05153">
              <w:rPr>
                <w:b/>
              </w:rPr>
              <w:t>Effect measure (95%CI)</w:t>
            </w:r>
          </w:p>
        </w:tc>
        <w:tc>
          <w:tcPr>
            <w:tcW w:w="2188" w:type="dxa"/>
          </w:tcPr>
          <w:p w:rsidR="00476F09" w:rsidRPr="00F05153" w:rsidRDefault="00476F09" w:rsidP="004A42D5">
            <w:pPr>
              <w:pStyle w:val="Tabletext"/>
              <w:rPr>
                <w:b/>
              </w:rPr>
            </w:pPr>
            <w:r w:rsidRPr="00F05153">
              <w:rPr>
                <w:b/>
              </w:rPr>
              <w:t>Absolute effect (95%CI)</w:t>
            </w:r>
          </w:p>
        </w:tc>
        <w:tc>
          <w:tcPr>
            <w:tcW w:w="1214" w:type="dxa"/>
          </w:tcPr>
          <w:p w:rsidR="00BD489D" w:rsidRPr="00F05153" w:rsidRDefault="00BD489D" w:rsidP="004A42D5">
            <w:pPr>
              <w:pStyle w:val="Tabletext"/>
              <w:rPr>
                <w:b/>
              </w:rPr>
            </w:pPr>
            <w:r w:rsidRPr="00F05153">
              <w:rPr>
                <w:b/>
              </w:rPr>
              <w:t>GRADE</w:t>
            </w:r>
            <w:r w:rsidRPr="00F05153">
              <w:rPr>
                <w:b/>
                <w:vertAlign w:val="superscript"/>
              </w:rPr>
              <w:t>b</w:t>
            </w:r>
          </w:p>
          <w:p w:rsidR="00476F09" w:rsidRPr="00F05153" w:rsidRDefault="00476F09" w:rsidP="004A42D5">
            <w:pPr>
              <w:pStyle w:val="Tabletext"/>
              <w:rPr>
                <w:b/>
                <w:vertAlign w:val="superscript"/>
              </w:rPr>
            </w:pPr>
            <w:r w:rsidRPr="00F05153">
              <w:rPr>
                <w:b/>
              </w:rPr>
              <w:t>Quality</w:t>
            </w:r>
          </w:p>
          <w:p w:rsidR="00476F09" w:rsidRPr="00F05153" w:rsidRDefault="00476F09" w:rsidP="004A42D5">
            <w:pPr>
              <w:pStyle w:val="Tabletext"/>
              <w:rPr>
                <w:b/>
              </w:rPr>
            </w:pPr>
            <w:r w:rsidRPr="00F05153">
              <w:rPr>
                <w:b/>
              </w:rPr>
              <w:t>Importance</w:t>
            </w:r>
          </w:p>
        </w:tc>
      </w:tr>
      <w:tr w:rsidR="00CC3BA4" w:rsidRPr="00F05153" w:rsidTr="001363C5">
        <w:trPr>
          <w:trHeight w:val="319"/>
        </w:trPr>
        <w:tc>
          <w:tcPr>
            <w:tcW w:w="1493" w:type="dxa"/>
          </w:tcPr>
          <w:p w:rsidR="00CC3BA4" w:rsidRPr="00F05153" w:rsidRDefault="00CC3BA4" w:rsidP="000801F8">
            <w:pPr>
              <w:pStyle w:val="Tabletext"/>
              <w:rPr>
                <w:rFonts w:cs="Tahoma"/>
              </w:rPr>
            </w:pPr>
            <w:r w:rsidRPr="00F05153">
              <w:rPr>
                <w:rFonts w:cs="Tahoma"/>
              </w:rPr>
              <w:t>Clinical worsening</w:t>
            </w:r>
            <w:r w:rsidRPr="00F05153">
              <w:rPr>
                <w:rFonts w:cs="Tahoma"/>
              </w:rPr>
              <w:br/>
              <w:t>(26–1</w:t>
            </w:r>
            <w:r w:rsidR="000801F8" w:rsidRPr="00F05153">
              <w:rPr>
                <w:rFonts w:cs="Tahoma"/>
              </w:rPr>
              <w:t>69</w:t>
            </w:r>
            <w:r w:rsidRPr="00F05153">
              <w:rPr>
                <w:rFonts w:cs="Tahoma"/>
              </w:rPr>
              <w:t xml:space="preserve"> weeks)</w:t>
            </w:r>
          </w:p>
        </w:tc>
        <w:tc>
          <w:tcPr>
            <w:tcW w:w="1054" w:type="dxa"/>
          </w:tcPr>
          <w:p w:rsidR="00CC3BA4" w:rsidRPr="00F05153" w:rsidRDefault="00CC3BA4" w:rsidP="004A42D5">
            <w:pPr>
              <w:pStyle w:val="Tabletext"/>
              <w:rPr>
                <w:rFonts w:cs="Tahoma"/>
              </w:rPr>
            </w:pPr>
            <w:r w:rsidRPr="00F05153">
              <w:rPr>
                <w:rFonts w:cs="Tahoma"/>
              </w:rPr>
              <w:t>4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Strong association</w:t>
            </w:r>
          </w:p>
        </w:tc>
        <w:tc>
          <w:tcPr>
            <w:tcW w:w="1417" w:type="dxa"/>
          </w:tcPr>
          <w:p w:rsidR="00CC3BA4" w:rsidRPr="002046A0" w:rsidRDefault="002046A0" w:rsidP="00362678">
            <w:pPr>
              <w:pStyle w:val="Tabletext"/>
              <w:rPr>
                <w:highlight w:val="black"/>
              </w:rPr>
            </w:pPr>
            <w:r>
              <w:rPr>
                <w:noProof/>
                <w:color w:val="000000"/>
                <w:highlight w:val="black"/>
              </w:rPr>
              <w:t>''''''''''''''''''' '''''''''''''''''''</w:t>
            </w:r>
            <w:r w:rsidR="00CC3BA4" w:rsidRPr="002046A0">
              <w:rPr>
                <w:highlight w:val="black"/>
              </w:rPr>
              <w:t xml:space="preserve"> </w:t>
            </w:r>
          </w:p>
        </w:tc>
        <w:tc>
          <w:tcPr>
            <w:tcW w:w="1134" w:type="dxa"/>
          </w:tcPr>
          <w:p w:rsidR="00CC3BA4" w:rsidRPr="002046A0" w:rsidRDefault="002046A0" w:rsidP="00362678">
            <w:pPr>
              <w:pStyle w:val="Tabletext"/>
              <w:rPr>
                <w:highlight w:val="black"/>
              </w:rPr>
            </w:pPr>
            <w:r>
              <w:rPr>
                <w:noProof/>
                <w:color w:val="000000"/>
                <w:highlight w:val="black"/>
              </w:rPr>
              <w:t>'''''''''''''''''''' '''''''''''''''''''</w:t>
            </w:r>
            <w:r w:rsidR="00CC3BA4" w:rsidRPr="002046A0">
              <w:rPr>
                <w:highlight w:val="black"/>
              </w:rPr>
              <w:t xml:space="preserve"> </w:t>
            </w:r>
          </w:p>
        </w:tc>
        <w:tc>
          <w:tcPr>
            <w:tcW w:w="993" w:type="dxa"/>
          </w:tcPr>
          <w:p w:rsidR="00CC3BA4" w:rsidRPr="002046A0" w:rsidRDefault="002046A0" w:rsidP="00362678">
            <w:pPr>
              <w:pStyle w:val="Tabletext"/>
              <w:rPr>
                <w:highlight w:val="black"/>
              </w:rPr>
            </w:pPr>
            <w:r>
              <w:rPr>
                <w:noProof/>
                <w:color w:val="000000"/>
                <w:highlight w:val="black"/>
              </w:rPr>
              <w:t>'''''''' '''' '''''''''''' '''''''''''''' '''''''''''</w:t>
            </w:r>
          </w:p>
        </w:tc>
        <w:tc>
          <w:tcPr>
            <w:tcW w:w="2188" w:type="dxa"/>
          </w:tcPr>
          <w:p w:rsidR="00CC3BA4" w:rsidRPr="002046A0" w:rsidRDefault="002046A0" w:rsidP="004A42D5">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Critical</w:t>
            </w:r>
          </w:p>
        </w:tc>
      </w:tr>
      <w:tr w:rsidR="00CC3BA4" w:rsidRPr="00F05153" w:rsidTr="001363C5">
        <w:trPr>
          <w:trHeight w:val="319"/>
        </w:trPr>
        <w:tc>
          <w:tcPr>
            <w:tcW w:w="1493" w:type="dxa"/>
          </w:tcPr>
          <w:p w:rsidR="00CC3BA4" w:rsidRPr="00F05153" w:rsidRDefault="00CC3BA4" w:rsidP="000801F8">
            <w:pPr>
              <w:pStyle w:val="Tabletext"/>
              <w:rPr>
                <w:rFonts w:cs="Tahoma"/>
              </w:rPr>
            </w:pPr>
            <w:r w:rsidRPr="00F05153">
              <w:rPr>
                <w:rFonts w:cs="Tahoma"/>
              </w:rPr>
              <w:t>Mortality</w:t>
            </w:r>
            <w:r w:rsidRPr="00F05153">
              <w:rPr>
                <w:rFonts w:cs="Tahoma"/>
              </w:rPr>
              <w:br/>
              <w:t>(26–1</w:t>
            </w:r>
            <w:r w:rsidR="000801F8" w:rsidRPr="00F05153">
              <w:rPr>
                <w:rFonts w:cs="Tahoma"/>
              </w:rPr>
              <w:t>69</w:t>
            </w:r>
            <w:r w:rsidRPr="00F05153">
              <w:rPr>
                <w:rFonts w:cs="Tahoma"/>
              </w:rPr>
              <w:t xml:space="preserve"> weeks)</w:t>
            </w:r>
          </w:p>
        </w:tc>
        <w:tc>
          <w:tcPr>
            <w:tcW w:w="1054" w:type="dxa"/>
          </w:tcPr>
          <w:p w:rsidR="00CC3BA4" w:rsidRPr="00F05153" w:rsidRDefault="00CC3BA4" w:rsidP="004A42D5">
            <w:pPr>
              <w:pStyle w:val="Tabletext"/>
              <w:rPr>
                <w:rFonts w:cs="Tahoma"/>
              </w:rPr>
            </w:pPr>
            <w:r w:rsidRPr="00F05153">
              <w:rPr>
                <w:rFonts w:cs="Tahoma"/>
              </w:rPr>
              <w:t>4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 xml:space="preserve">Serious </w:t>
            </w:r>
            <w:r w:rsidRPr="00F05153">
              <w:rPr>
                <w:rFonts w:cs="Tahoma"/>
                <w:vertAlign w:val="superscript"/>
              </w:rPr>
              <w:t>c</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2046A0" w:rsidRDefault="002046A0" w:rsidP="00EE4DF7">
            <w:pPr>
              <w:pStyle w:val="Tabletext"/>
              <w:rPr>
                <w:highlight w:val="black"/>
              </w:rPr>
            </w:pPr>
            <w:r>
              <w:rPr>
                <w:noProof/>
                <w:color w:val="000000"/>
                <w:highlight w:val="black"/>
              </w:rPr>
              <w:t>''''''''''''''''' ''''''''''''''''''''</w:t>
            </w:r>
            <w:r w:rsidR="00CC3BA4" w:rsidRPr="002046A0">
              <w:rPr>
                <w:highlight w:val="black"/>
              </w:rPr>
              <w:t xml:space="preserve"> </w:t>
            </w:r>
          </w:p>
        </w:tc>
        <w:tc>
          <w:tcPr>
            <w:tcW w:w="1134" w:type="dxa"/>
          </w:tcPr>
          <w:p w:rsidR="00CC3BA4" w:rsidRPr="002046A0" w:rsidRDefault="002046A0" w:rsidP="00EE4DF7">
            <w:pPr>
              <w:pStyle w:val="Tabletext"/>
              <w:rPr>
                <w:highlight w:val="black"/>
              </w:rPr>
            </w:pPr>
            <w:r>
              <w:rPr>
                <w:noProof/>
                <w:color w:val="000000"/>
                <w:highlight w:val="black"/>
              </w:rPr>
              <w:t>'''''''''''''''' '''''''''''''''''''''</w:t>
            </w:r>
            <w:r w:rsidR="00CC3BA4" w:rsidRPr="002046A0">
              <w:rPr>
                <w:highlight w:val="black"/>
              </w:rPr>
              <w:t xml:space="preserve"> </w:t>
            </w:r>
          </w:p>
        </w:tc>
        <w:tc>
          <w:tcPr>
            <w:tcW w:w="993" w:type="dxa"/>
          </w:tcPr>
          <w:p w:rsidR="00CC3BA4" w:rsidRPr="00F05153" w:rsidRDefault="002046A0" w:rsidP="009F446F">
            <w:pPr>
              <w:pStyle w:val="Tabletext"/>
            </w:pPr>
            <w:r>
              <w:rPr>
                <w:noProof/>
                <w:color w:val="000000"/>
                <w:highlight w:val="black"/>
              </w:rPr>
              <w:t>'''''''' '''' ''''''''''' ''''''''''''' ''''''''''</w:t>
            </w:r>
            <w:r w:rsidR="00CC3BA4" w:rsidRPr="00F05153">
              <w:t>)</w:t>
            </w:r>
          </w:p>
        </w:tc>
        <w:tc>
          <w:tcPr>
            <w:tcW w:w="2188" w:type="dxa"/>
          </w:tcPr>
          <w:p w:rsidR="00CC3BA4" w:rsidRPr="002046A0" w:rsidRDefault="002046A0" w:rsidP="00EE4DF7">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Cambria Math"/>
                <w:bCs/>
              </w:rPr>
              <w:t>Moderate</w:t>
            </w:r>
            <w:r w:rsidRPr="00F05153">
              <w:rPr>
                <w:rFonts w:eastAsia="Times New Roman" w:cs="Cambria Math"/>
                <w:bCs/>
              </w:rPr>
              <w:br/>
            </w:r>
            <w:r w:rsidRPr="00F05153">
              <w:rPr>
                <w:rFonts w:ascii="Cambria Math" w:eastAsia="Times New Roman" w:hAnsi="Cambria Math" w:cs="Cambria Math"/>
                <w:bCs/>
                <w:color w:val="00B050"/>
              </w:rPr>
              <w:t>⨁⨁⨁</w:t>
            </w:r>
            <w:r w:rsidRPr="00F05153">
              <w:rPr>
                <w:rFonts w:ascii="Cambria Math" w:eastAsia="Times New Roman" w:hAnsi="Cambria Math" w:cs="Cambria Math"/>
                <w:bCs/>
                <w:color w:val="C00000"/>
              </w:rPr>
              <w:t>⨀</w:t>
            </w:r>
          </w:p>
          <w:p w:rsidR="00CC3BA4" w:rsidRPr="00F05153" w:rsidRDefault="00CC3BA4" w:rsidP="004A42D5">
            <w:pPr>
              <w:pStyle w:val="Tabletext"/>
              <w:rPr>
                <w:rFonts w:cs="Tahoma"/>
              </w:rPr>
            </w:pPr>
            <w:r w:rsidRPr="00F05153">
              <w:rPr>
                <w:rFonts w:cs="Tahoma"/>
              </w:rPr>
              <w:t>Critical</w:t>
            </w:r>
          </w:p>
        </w:tc>
      </w:tr>
      <w:tr w:rsidR="00CC3BA4" w:rsidRPr="00F05153" w:rsidTr="001363C5">
        <w:trPr>
          <w:trHeight w:val="319"/>
        </w:trPr>
        <w:tc>
          <w:tcPr>
            <w:tcW w:w="1493" w:type="dxa"/>
          </w:tcPr>
          <w:p w:rsidR="00CC3BA4" w:rsidRPr="00F05153" w:rsidRDefault="00CC3BA4" w:rsidP="00C84392">
            <w:pPr>
              <w:pStyle w:val="Tabletext"/>
              <w:rPr>
                <w:rFonts w:cs="Tahoma"/>
              </w:rPr>
            </w:pPr>
            <w:r w:rsidRPr="00F05153">
              <w:rPr>
                <w:rFonts w:cs="Tahoma"/>
              </w:rPr>
              <w:t>Hospitalisation</w:t>
            </w:r>
            <w:r w:rsidR="00086A04" w:rsidRPr="00F05153">
              <w:rPr>
                <w:rFonts w:cs="Tahoma"/>
              </w:rPr>
              <w:t xml:space="preserve"> </w:t>
            </w:r>
            <w:r w:rsidR="00C84392" w:rsidRPr="00F05153">
              <w:rPr>
                <w:rFonts w:cs="Tahoma"/>
              </w:rPr>
              <w:t>due to PAH</w:t>
            </w:r>
            <w:r w:rsidRPr="00F05153">
              <w:rPr>
                <w:rFonts w:cs="Tahoma"/>
              </w:rPr>
              <w:br/>
              <w:t>(74–104 weeks)</w:t>
            </w:r>
          </w:p>
        </w:tc>
        <w:tc>
          <w:tcPr>
            <w:tcW w:w="1054" w:type="dxa"/>
          </w:tcPr>
          <w:p w:rsidR="00CC3BA4" w:rsidRPr="00F05153" w:rsidRDefault="00CC3BA4" w:rsidP="004A42D5">
            <w:pPr>
              <w:pStyle w:val="Tabletext"/>
              <w:rPr>
                <w:rFonts w:cs="Tahoma"/>
              </w:rPr>
            </w:pPr>
            <w:r w:rsidRPr="00F05153">
              <w:rPr>
                <w:rFonts w:cs="Tahoma"/>
              </w:rPr>
              <w:t>2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F42EBF" w:rsidP="004A42D5">
            <w:pPr>
              <w:pStyle w:val="Tabletext"/>
              <w:rPr>
                <w:rFonts w:cs="Tahoma"/>
              </w:rPr>
            </w:pPr>
            <w:r w:rsidRPr="00F05153">
              <w:rPr>
                <w:rFonts w:cs="Tahoma"/>
              </w:rPr>
              <w:t>Strong association</w:t>
            </w:r>
          </w:p>
        </w:tc>
        <w:tc>
          <w:tcPr>
            <w:tcW w:w="1417" w:type="dxa"/>
          </w:tcPr>
          <w:p w:rsidR="00CC3BA4" w:rsidRPr="00F05153" w:rsidRDefault="00CC3BA4" w:rsidP="00EE4DF7">
            <w:pPr>
              <w:pStyle w:val="Tabletext"/>
            </w:pPr>
            <w:r w:rsidRPr="00F05153">
              <w:t>5</w:t>
            </w:r>
            <w:r w:rsidR="009F446F" w:rsidRPr="00F05153">
              <w:t>9</w:t>
            </w:r>
            <w:r w:rsidRPr="00F05153">
              <w:t>/</w:t>
            </w:r>
            <w:r w:rsidR="009F446F" w:rsidRPr="00F05153">
              <w:t>456</w:t>
            </w:r>
            <w:r w:rsidRPr="00F05153">
              <w:t xml:space="preserve"> (</w:t>
            </w:r>
            <w:r w:rsidR="00EE4DF7" w:rsidRPr="00F05153">
              <w:t>12</w:t>
            </w:r>
            <w:r w:rsidRPr="00F05153">
              <w:t>.</w:t>
            </w:r>
            <w:r w:rsidR="00EE4DF7" w:rsidRPr="00F05153">
              <w:t>9</w:t>
            </w:r>
            <w:r w:rsidRPr="00F05153">
              <w:t xml:space="preserve">%) </w:t>
            </w:r>
          </w:p>
        </w:tc>
        <w:tc>
          <w:tcPr>
            <w:tcW w:w="1134" w:type="dxa"/>
          </w:tcPr>
          <w:p w:rsidR="00CC3BA4" w:rsidRPr="00F05153" w:rsidRDefault="00EE4DF7" w:rsidP="00EE4DF7">
            <w:pPr>
              <w:pStyle w:val="Tabletext"/>
            </w:pPr>
            <w:r w:rsidRPr="00F05153">
              <w:rPr>
                <w:rStyle w:val="cell-value"/>
              </w:rPr>
              <w:t>7</w:t>
            </w:r>
            <w:r w:rsidR="00CC3BA4" w:rsidRPr="00F05153">
              <w:rPr>
                <w:rStyle w:val="cell-value"/>
              </w:rPr>
              <w:t>1/</w:t>
            </w:r>
            <w:r w:rsidRPr="00F05153">
              <w:rPr>
                <w:rStyle w:val="cell-value"/>
              </w:rPr>
              <w:t>305</w:t>
            </w:r>
            <w:r w:rsidR="00CC3BA4" w:rsidRPr="00F05153">
              <w:rPr>
                <w:rStyle w:val="cell-value"/>
              </w:rPr>
              <w:t xml:space="preserve"> (</w:t>
            </w:r>
            <w:r w:rsidRPr="00F05153">
              <w:rPr>
                <w:rStyle w:val="cell-value"/>
              </w:rPr>
              <w:t>2</w:t>
            </w:r>
            <w:r w:rsidR="00CC3BA4" w:rsidRPr="00F05153">
              <w:rPr>
                <w:rStyle w:val="cell-value"/>
              </w:rPr>
              <w:t>3.</w:t>
            </w:r>
            <w:r w:rsidRPr="00F05153">
              <w:rPr>
                <w:rStyle w:val="cell-value"/>
              </w:rPr>
              <w:t>3</w:t>
            </w:r>
            <w:r w:rsidR="00CC3BA4" w:rsidRPr="00F05153">
              <w:rPr>
                <w:rStyle w:val="cell-value"/>
              </w:rPr>
              <w:t xml:space="preserve">%) </w:t>
            </w:r>
          </w:p>
        </w:tc>
        <w:tc>
          <w:tcPr>
            <w:tcW w:w="993" w:type="dxa"/>
          </w:tcPr>
          <w:p w:rsidR="00CC3BA4" w:rsidRPr="00F05153" w:rsidRDefault="00CC3BA4" w:rsidP="00EE4DF7">
            <w:pPr>
              <w:pStyle w:val="Tabletext"/>
            </w:pPr>
            <w:r w:rsidRPr="00F05153">
              <w:rPr>
                <w:rStyle w:val="block"/>
              </w:rPr>
              <w:t>RR = 0.</w:t>
            </w:r>
            <w:r w:rsidR="00EE4DF7" w:rsidRPr="00F05153">
              <w:rPr>
                <w:rStyle w:val="block"/>
              </w:rPr>
              <w:t>67</w:t>
            </w:r>
            <w:r w:rsidRPr="00F05153">
              <w:rPr>
                <w:rStyle w:val="block"/>
              </w:rPr>
              <w:t xml:space="preserve"> </w:t>
            </w:r>
            <w:r w:rsidRPr="00F05153">
              <w:rPr>
                <w:rStyle w:val="cell"/>
              </w:rPr>
              <w:t>(0.</w:t>
            </w:r>
            <w:r w:rsidR="00EE4DF7" w:rsidRPr="00F05153">
              <w:rPr>
                <w:rStyle w:val="cell"/>
              </w:rPr>
              <w:t>4</w:t>
            </w:r>
            <w:r w:rsidRPr="00F05153">
              <w:rPr>
                <w:rStyle w:val="cell"/>
              </w:rPr>
              <w:t>5, 0</w:t>
            </w:r>
            <w:r w:rsidR="00EE4DF7" w:rsidRPr="00F05153">
              <w:rPr>
                <w:rStyle w:val="cell"/>
              </w:rPr>
              <w:t>.9</w:t>
            </w:r>
            <w:r w:rsidRPr="00F05153">
              <w:rPr>
                <w:rStyle w:val="cell"/>
              </w:rPr>
              <w:t>8)</w:t>
            </w:r>
            <w:r w:rsidRPr="00F05153">
              <w:t xml:space="preserve"> </w:t>
            </w:r>
          </w:p>
        </w:tc>
        <w:tc>
          <w:tcPr>
            <w:tcW w:w="2188" w:type="dxa"/>
          </w:tcPr>
          <w:p w:rsidR="00CC3BA4" w:rsidRPr="00F05153" w:rsidRDefault="00EE4DF7" w:rsidP="00EE4DF7">
            <w:pPr>
              <w:pStyle w:val="Tabletext"/>
              <w:rPr>
                <w:rFonts w:cs="Tahoma"/>
              </w:rPr>
            </w:pPr>
            <w:r w:rsidRPr="00F05153">
              <w:rPr>
                <w:rFonts w:cs="Tahoma"/>
              </w:rPr>
              <w:t>77</w:t>
            </w:r>
            <w:r w:rsidR="00CC3BA4" w:rsidRPr="00F05153">
              <w:rPr>
                <w:rFonts w:cs="Tahoma"/>
              </w:rPr>
              <w:t xml:space="preserve"> fewer per 1,000</w:t>
            </w:r>
            <w:r w:rsidR="00CC3BA4" w:rsidRPr="00F05153">
              <w:rPr>
                <w:rFonts w:cs="Tahoma"/>
              </w:rPr>
              <w:br/>
              <w:t xml:space="preserve">(from </w:t>
            </w:r>
            <w:r w:rsidRPr="00F05153">
              <w:rPr>
                <w:rFonts w:cs="Tahoma"/>
              </w:rPr>
              <w:t>5</w:t>
            </w:r>
            <w:r w:rsidR="00767852" w:rsidRPr="00F05153">
              <w:rPr>
                <w:rFonts w:cs="Tahoma"/>
              </w:rPr>
              <w:t xml:space="preserve"> fewer</w:t>
            </w:r>
            <w:r w:rsidR="00CC3BA4" w:rsidRPr="00F05153">
              <w:rPr>
                <w:rFonts w:cs="Tahoma"/>
              </w:rPr>
              <w:t xml:space="preserve"> to 1</w:t>
            </w:r>
            <w:r w:rsidRPr="00F05153">
              <w:rPr>
                <w:rFonts w:cs="Tahoma"/>
              </w:rPr>
              <w:t>28</w:t>
            </w:r>
            <w:r w:rsidR="00CC3BA4" w:rsidRPr="00F05153">
              <w:rPr>
                <w:rFonts w:cs="Tahoma"/>
              </w:rPr>
              <w:t xml:space="preserve"> fewer)</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eastAsia="Times New Roman" w:cs="Cambria Math"/>
                <w:bCs/>
                <w:color w:val="00B050"/>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Improved WHO FC</w:t>
            </w:r>
            <w:r w:rsidRPr="00F05153">
              <w:rPr>
                <w:rFonts w:cs="Tahoma"/>
              </w:rPr>
              <w:br/>
              <w:t>(12 weeks)</w:t>
            </w:r>
          </w:p>
        </w:tc>
        <w:tc>
          <w:tcPr>
            <w:tcW w:w="1054" w:type="dxa"/>
          </w:tcPr>
          <w:p w:rsidR="00CC3BA4" w:rsidRPr="00F05153" w:rsidRDefault="00CC3BA4" w:rsidP="004A42D5">
            <w:pPr>
              <w:pStyle w:val="Tabletext"/>
              <w:rPr>
                <w:rFonts w:cs="Tahoma"/>
              </w:rPr>
            </w:pPr>
            <w:r w:rsidRPr="00F05153">
              <w:rPr>
                <w:rFonts w:cs="Tahoma"/>
              </w:rPr>
              <w:t>2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362678">
            <w:pPr>
              <w:pStyle w:val="Tabletext"/>
            </w:pPr>
            <w:r w:rsidRPr="00F05153">
              <w:t xml:space="preserve">119/411 (29.0%) </w:t>
            </w:r>
          </w:p>
        </w:tc>
        <w:tc>
          <w:tcPr>
            <w:tcW w:w="1134" w:type="dxa"/>
          </w:tcPr>
          <w:p w:rsidR="00CC3BA4" w:rsidRPr="00F05153" w:rsidRDefault="00CC3BA4" w:rsidP="00362678">
            <w:pPr>
              <w:pStyle w:val="Tabletext"/>
            </w:pPr>
            <w:r w:rsidRPr="00F05153">
              <w:rPr>
                <w:rStyle w:val="cell-value"/>
              </w:rPr>
              <w:t xml:space="preserve">67/295 (22.7%) </w:t>
            </w:r>
          </w:p>
        </w:tc>
        <w:tc>
          <w:tcPr>
            <w:tcW w:w="993" w:type="dxa"/>
          </w:tcPr>
          <w:p w:rsidR="00CC3BA4" w:rsidRPr="00F05153" w:rsidRDefault="00CC3BA4" w:rsidP="00362678">
            <w:pPr>
              <w:pStyle w:val="Tabletext"/>
            </w:pPr>
            <w:r w:rsidRPr="00F05153">
              <w:rPr>
                <w:rStyle w:val="block"/>
              </w:rPr>
              <w:t xml:space="preserve">RR = 1.10 </w:t>
            </w:r>
            <w:r w:rsidRPr="00F05153">
              <w:rPr>
                <w:rStyle w:val="cell"/>
              </w:rPr>
              <w:t>(0.85, 1.42)</w:t>
            </w:r>
            <w:r w:rsidRPr="00F05153">
              <w:t xml:space="preserve"> </w:t>
            </w:r>
          </w:p>
        </w:tc>
        <w:tc>
          <w:tcPr>
            <w:tcW w:w="2188" w:type="dxa"/>
          </w:tcPr>
          <w:p w:rsidR="00CC3BA4" w:rsidRPr="00F05153" w:rsidRDefault="00CC3BA4" w:rsidP="004A42D5">
            <w:pPr>
              <w:pStyle w:val="Tabletext"/>
              <w:rPr>
                <w:rFonts w:cs="Tahoma"/>
              </w:rPr>
            </w:pPr>
            <w:r w:rsidRPr="00F05153">
              <w:rPr>
                <w:rFonts w:cs="Tahoma"/>
              </w:rPr>
              <w:t>23 more per 1,000</w:t>
            </w:r>
            <w:r w:rsidRPr="00F05153">
              <w:rPr>
                <w:rFonts w:cs="Tahoma"/>
              </w:rPr>
              <w:br/>
              <w:t>(from 34 fewer to 95 more)</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eastAsia="Times New Roman" w:cs="Cambria Math"/>
                <w:bCs/>
                <w:color w:val="00B050"/>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Worsened WHO FC</w:t>
            </w:r>
            <w:r w:rsidRPr="00F05153">
              <w:rPr>
                <w:rFonts w:cs="Tahoma"/>
              </w:rPr>
              <w:br/>
              <w:t>(12 weeks)</w:t>
            </w:r>
          </w:p>
        </w:tc>
        <w:tc>
          <w:tcPr>
            <w:tcW w:w="1054" w:type="dxa"/>
          </w:tcPr>
          <w:p w:rsidR="00CC3BA4" w:rsidRPr="00F05153" w:rsidRDefault="00CC3BA4" w:rsidP="004A42D5">
            <w:pPr>
              <w:pStyle w:val="Tabletext"/>
              <w:rPr>
                <w:rFonts w:cs="Tahoma"/>
              </w:rPr>
            </w:pPr>
            <w:r w:rsidRPr="00F05153">
              <w:rPr>
                <w:rFonts w:cs="Tahoma"/>
              </w:rPr>
              <w:t>2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362678">
            <w:pPr>
              <w:pStyle w:val="Tabletext"/>
            </w:pPr>
            <w:r w:rsidRPr="00F05153">
              <w:t xml:space="preserve">25/411 (6.1%) </w:t>
            </w:r>
          </w:p>
        </w:tc>
        <w:tc>
          <w:tcPr>
            <w:tcW w:w="1134" w:type="dxa"/>
          </w:tcPr>
          <w:p w:rsidR="00CC3BA4" w:rsidRPr="00F05153" w:rsidRDefault="00CC3BA4" w:rsidP="00362678">
            <w:pPr>
              <w:pStyle w:val="Tabletext"/>
            </w:pPr>
            <w:r w:rsidRPr="00F05153">
              <w:rPr>
                <w:rStyle w:val="cell-value"/>
              </w:rPr>
              <w:t xml:space="preserve">24/295 (8.1%) </w:t>
            </w:r>
          </w:p>
        </w:tc>
        <w:tc>
          <w:tcPr>
            <w:tcW w:w="993" w:type="dxa"/>
          </w:tcPr>
          <w:p w:rsidR="00CC3BA4" w:rsidRPr="00F05153" w:rsidRDefault="00CC3BA4" w:rsidP="00362678">
            <w:pPr>
              <w:pStyle w:val="Tabletext"/>
            </w:pPr>
            <w:r w:rsidRPr="00F05153">
              <w:rPr>
                <w:rStyle w:val="block"/>
              </w:rPr>
              <w:t xml:space="preserve">RR = 1.00 </w:t>
            </w:r>
            <w:r w:rsidRPr="00F05153">
              <w:rPr>
                <w:rStyle w:val="cell"/>
              </w:rPr>
              <w:t>(0.58, 1.73)</w:t>
            </w:r>
            <w:r w:rsidRPr="00F05153">
              <w:t xml:space="preserve"> </w:t>
            </w:r>
          </w:p>
        </w:tc>
        <w:tc>
          <w:tcPr>
            <w:tcW w:w="2188" w:type="dxa"/>
          </w:tcPr>
          <w:p w:rsidR="00CC3BA4" w:rsidRPr="00F05153" w:rsidRDefault="00CC3BA4" w:rsidP="004A42D5">
            <w:pPr>
              <w:pStyle w:val="Tabletext"/>
              <w:rPr>
                <w:rFonts w:cs="Tahoma"/>
              </w:rPr>
            </w:pPr>
            <w:r w:rsidRPr="00F05153">
              <w:rPr>
                <w:rFonts w:cs="Tahoma"/>
              </w:rPr>
              <w:t>0 fewer per 1,000</w:t>
            </w:r>
            <w:r w:rsidRPr="00F05153">
              <w:rPr>
                <w:rFonts w:cs="Tahoma"/>
              </w:rPr>
              <w:br/>
              <w:t>(from 34 fewer to 55 more)</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eastAsia="Times New Roman" w:cs="Cambria Math"/>
                <w:bCs/>
                <w:color w:val="00B050"/>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Change in 6MWD from baseline</w:t>
            </w:r>
            <w:r w:rsidRPr="00F05153">
              <w:rPr>
                <w:rFonts w:cs="Tahoma"/>
              </w:rPr>
              <w:br/>
              <w:t xml:space="preserve">(26 weeks) </w:t>
            </w:r>
          </w:p>
        </w:tc>
        <w:tc>
          <w:tcPr>
            <w:tcW w:w="1054" w:type="dxa"/>
          </w:tcPr>
          <w:p w:rsidR="00CC3BA4" w:rsidRPr="00F05153" w:rsidRDefault="00E85CDD" w:rsidP="004A42D5">
            <w:pPr>
              <w:pStyle w:val="Tabletext"/>
              <w:rPr>
                <w:rFonts w:cs="Tahoma"/>
              </w:rPr>
            </w:pPr>
            <w:r w:rsidRPr="00F05153">
              <w:rPr>
                <w:rFonts w:cs="Tahoma"/>
              </w:rPr>
              <w:t>4</w:t>
            </w:r>
            <w:r w:rsidR="00CC3BA4" w:rsidRPr="00F05153">
              <w:rPr>
                <w:rFonts w:cs="Tahoma"/>
              </w:rPr>
              <w:t xml:space="preserve"> RCT</w:t>
            </w:r>
            <w:r w:rsidRPr="00F05153">
              <w:rPr>
                <w:rFonts w:cs="Tahoma"/>
              </w:rPr>
              <w: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114427" w:rsidP="004A42D5">
            <w:pPr>
              <w:pStyle w:val="Tabletext"/>
              <w:rPr>
                <w:rFonts w:cs="Tahoma"/>
              </w:rPr>
            </w:pPr>
            <w:r w:rsidRPr="00F05153">
              <w:rPr>
                <w:rFonts w:cs="Tahoma"/>
              </w:rPr>
              <w:t>S</w:t>
            </w:r>
            <w:r w:rsidR="00CC3BA4" w:rsidRPr="00F05153">
              <w:rPr>
                <w:rFonts w:cs="Tahoma"/>
              </w:rPr>
              <w:t>erious</w:t>
            </w:r>
            <w:r w:rsidRPr="00F05153">
              <w:rPr>
                <w:rFonts w:cs="Tahoma"/>
              </w:rPr>
              <w:t xml:space="preserve"> </w:t>
            </w:r>
            <w:r w:rsidRPr="00F05153">
              <w:rPr>
                <w:rFonts w:cs="Tahoma"/>
                <w:vertAlign w:val="superscript"/>
              </w:rPr>
              <w:t>d</w:t>
            </w:r>
          </w:p>
        </w:tc>
        <w:tc>
          <w:tcPr>
            <w:tcW w:w="992" w:type="dxa"/>
          </w:tcPr>
          <w:p w:rsidR="00CC3BA4" w:rsidRPr="00F05153" w:rsidRDefault="00B179F1" w:rsidP="004A42D5">
            <w:pPr>
              <w:pStyle w:val="Tabletext"/>
              <w:rPr>
                <w:rFonts w:cs="Tahoma"/>
                <w:vertAlign w:val="superscript"/>
              </w:rPr>
            </w:pPr>
            <w:r w:rsidRPr="00F05153">
              <w:rPr>
                <w:rFonts w:cs="Tahoma"/>
              </w:rPr>
              <w:t>S</w:t>
            </w:r>
            <w:r w:rsidR="00CC3BA4" w:rsidRPr="00F05153">
              <w:rPr>
                <w:rFonts w:cs="Tahoma"/>
              </w:rPr>
              <w:t>erious</w:t>
            </w:r>
            <w:r w:rsidRPr="00F05153">
              <w:rPr>
                <w:rFonts w:cs="Tahoma"/>
                <w:vertAlign w:val="superscript"/>
              </w:rPr>
              <w:t xml:space="preserve"> e</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362678">
            <w:pPr>
              <w:pStyle w:val="Tabletext"/>
            </w:pPr>
            <w:r w:rsidRPr="00F05153">
              <w:t>581 patients tested</w:t>
            </w:r>
          </w:p>
        </w:tc>
        <w:tc>
          <w:tcPr>
            <w:tcW w:w="1134" w:type="dxa"/>
          </w:tcPr>
          <w:p w:rsidR="00CC3BA4" w:rsidRPr="00F05153" w:rsidRDefault="00CC3BA4" w:rsidP="00362678">
            <w:pPr>
              <w:pStyle w:val="Tabletext"/>
            </w:pPr>
            <w:r w:rsidRPr="00F05153">
              <w:rPr>
                <w:rStyle w:val="cell-value"/>
              </w:rPr>
              <w:t>465</w:t>
            </w:r>
            <w:r w:rsidRPr="00F05153">
              <w:t xml:space="preserve"> patients tested</w:t>
            </w:r>
          </w:p>
        </w:tc>
        <w:tc>
          <w:tcPr>
            <w:tcW w:w="993" w:type="dxa"/>
          </w:tcPr>
          <w:p w:rsidR="00CC3BA4" w:rsidRPr="00F05153" w:rsidRDefault="00CC3BA4" w:rsidP="00362678">
            <w:pPr>
              <w:pStyle w:val="Tabletext"/>
            </w:pPr>
            <w:r w:rsidRPr="00F05153">
              <w:t>-</w:t>
            </w:r>
          </w:p>
        </w:tc>
        <w:tc>
          <w:tcPr>
            <w:tcW w:w="2188" w:type="dxa"/>
          </w:tcPr>
          <w:p w:rsidR="00CC3BA4" w:rsidRPr="00F05153" w:rsidRDefault="00CC3BA4" w:rsidP="001F1FDD">
            <w:pPr>
              <w:pStyle w:val="Tabletext"/>
              <w:rPr>
                <w:rFonts w:cs="Tahoma"/>
              </w:rPr>
            </w:pPr>
            <w:r w:rsidRPr="00F05153">
              <w:rPr>
                <w:rFonts w:cs="Tahoma"/>
              </w:rPr>
              <w:t>M</w:t>
            </w:r>
            <w:r w:rsidR="000A7CB9" w:rsidRPr="00F05153">
              <w:rPr>
                <w:rFonts w:cs="Tahoma"/>
              </w:rPr>
              <w:t xml:space="preserve">edian </w:t>
            </w:r>
            <w:r w:rsidR="001F1FDD" w:rsidRPr="00F05153">
              <w:rPr>
                <w:rFonts w:cs="Tahoma"/>
              </w:rPr>
              <w:t>MD</w:t>
            </w:r>
            <w:r w:rsidRPr="00F05153">
              <w:rPr>
                <w:rFonts w:cs="Tahoma"/>
              </w:rPr>
              <w:t xml:space="preserve"> 23.8 m further</w:t>
            </w:r>
            <w:r w:rsidRPr="00F05153">
              <w:rPr>
                <w:rFonts w:cs="Tahoma"/>
              </w:rPr>
              <w:br/>
              <w:t>(range 17.3 m less to 26.3 m further)</w:t>
            </w:r>
          </w:p>
        </w:tc>
        <w:tc>
          <w:tcPr>
            <w:tcW w:w="1214" w:type="dxa"/>
          </w:tcPr>
          <w:p w:rsidR="00CC3BA4" w:rsidRPr="00F05153" w:rsidRDefault="00B179F1" w:rsidP="004A42D5">
            <w:pPr>
              <w:pStyle w:val="Tabletext"/>
              <w:rPr>
                <w:rFonts w:ascii="Cambria Math" w:eastAsia="Times New Roman" w:hAnsi="Cambria Math" w:cs="Cambria Math"/>
                <w:bCs/>
              </w:rPr>
            </w:pPr>
            <w:r w:rsidRPr="00F05153">
              <w:rPr>
                <w:rFonts w:eastAsia="Times New Roman" w:cs="Tahoma"/>
                <w:bCs/>
              </w:rPr>
              <w:t>Low</w:t>
            </w:r>
            <w:r w:rsidR="00CC3BA4" w:rsidRPr="00F05153">
              <w:rPr>
                <w:rFonts w:eastAsia="Times New Roman" w:cs="Tahoma"/>
                <w:bCs/>
              </w:rPr>
              <w:br/>
            </w:r>
            <w:r w:rsidR="00CC3BA4" w:rsidRPr="00F05153">
              <w:rPr>
                <w:rFonts w:ascii="Cambria Math" w:eastAsia="Times New Roman" w:hAnsi="Cambria Math" w:cs="Cambria Math"/>
                <w:bCs/>
                <w:color w:val="00B050"/>
              </w:rPr>
              <w:t>⨁⨁</w:t>
            </w:r>
            <w:r w:rsidRPr="00F05153">
              <w:rPr>
                <w:rFonts w:ascii="Cambria Math" w:hAnsi="Cambria Math" w:cs="Cambria Math"/>
                <w:color w:val="C00000"/>
              </w:rPr>
              <w:t>⨀</w:t>
            </w:r>
            <w:r w:rsidR="00114427" w:rsidRPr="00F05153">
              <w:rPr>
                <w:rFonts w:ascii="Cambria Math" w:eastAsia="Times New Roman" w:hAnsi="Cambria Math" w:cs="Cambria Math"/>
                <w:bCs/>
                <w:color w:val="C00000"/>
              </w:rPr>
              <w:t>⨀</w:t>
            </w:r>
          </w:p>
          <w:p w:rsidR="00CC3BA4" w:rsidRPr="00F05153" w:rsidRDefault="00B14FF5" w:rsidP="004A42D5">
            <w:pPr>
              <w:pStyle w:val="Tabletext"/>
              <w:rPr>
                <w:rFonts w:cs="Tahoma"/>
              </w:rPr>
            </w:pPr>
            <w:r w:rsidRPr="00F05153">
              <w:rPr>
                <w:rFonts w:cs="Tahoma"/>
              </w:rPr>
              <w:t>I</w:t>
            </w:r>
            <w:r w:rsidR="00CC3BA4" w:rsidRPr="00F05153">
              <w:rPr>
                <w:rFonts w:cs="Tahoma"/>
              </w:rPr>
              <w:t>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lastRenderedPageBreak/>
              <w:t xml:space="preserve">Change in QoL from baseline (26 weeks) </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362678">
            <w:pPr>
              <w:pStyle w:val="Tabletext"/>
            </w:pPr>
            <w:r w:rsidRPr="00F05153">
              <w:t>150 patients tested</w:t>
            </w:r>
          </w:p>
        </w:tc>
        <w:tc>
          <w:tcPr>
            <w:tcW w:w="1134" w:type="dxa"/>
          </w:tcPr>
          <w:p w:rsidR="00CC3BA4" w:rsidRPr="00F05153" w:rsidRDefault="00CC3BA4" w:rsidP="00362678">
            <w:pPr>
              <w:pStyle w:val="Tabletext"/>
            </w:pPr>
            <w:r w:rsidRPr="00F05153">
              <w:rPr>
                <w:rStyle w:val="cell-value"/>
              </w:rPr>
              <w:t>149</w:t>
            </w:r>
            <w:r w:rsidRPr="00F05153">
              <w:t xml:space="preserve"> patients tested</w:t>
            </w:r>
          </w:p>
        </w:tc>
        <w:tc>
          <w:tcPr>
            <w:tcW w:w="993" w:type="dxa"/>
          </w:tcPr>
          <w:p w:rsidR="00CC3BA4" w:rsidRPr="00F05153" w:rsidRDefault="00CC3BA4" w:rsidP="00362678">
            <w:pPr>
              <w:pStyle w:val="Tabletext"/>
            </w:pPr>
            <w:r w:rsidRPr="00F05153">
              <w:t>-</w:t>
            </w:r>
          </w:p>
        </w:tc>
        <w:tc>
          <w:tcPr>
            <w:tcW w:w="2188" w:type="dxa"/>
          </w:tcPr>
          <w:p w:rsidR="00CC3BA4" w:rsidRPr="00F05153" w:rsidRDefault="00CC3BA4" w:rsidP="004A42D5">
            <w:pPr>
              <w:pStyle w:val="Tabletext"/>
              <w:rPr>
                <w:rFonts w:cs="Tahoma"/>
              </w:rPr>
            </w:pPr>
            <w:r w:rsidRPr="00F05153">
              <w:rPr>
                <w:rFonts w:cs="Tahoma"/>
              </w:rPr>
              <w:t>SF-36</w:t>
            </w:r>
            <w:r w:rsidR="00AD2B3C" w:rsidRPr="00F05153">
              <w:rPr>
                <w:rFonts w:cs="Tahoma"/>
              </w:rPr>
              <w:t xml:space="preserve"> physical component</w:t>
            </w:r>
            <w:r w:rsidR="00B63B1D" w:rsidRPr="00F05153">
              <w:rPr>
                <w:rFonts w:cs="Tahoma"/>
                <w:vertAlign w:val="superscript"/>
              </w:rPr>
              <w:t>f</w:t>
            </w:r>
            <w:r w:rsidRPr="00F05153">
              <w:rPr>
                <w:rFonts w:cs="Tahoma"/>
              </w:rPr>
              <w:br/>
              <w:t>Median 1.4 points improvement</w:t>
            </w:r>
            <w:r w:rsidRPr="00F05153">
              <w:rPr>
                <w:rFonts w:cs="Tahoma"/>
              </w:rPr>
              <w:br/>
              <w:t>(0 to 2.9 points)</w:t>
            </w:r>
          </w:p>
        </w:tc>
        <w:tc>
          <w:tcPr>
            <w:tcW w:w="1214" w:type="dxa"/>
          </w:tcPr>
          <w:p w:rsidR="00CC3BA4" w:rsidRPr="00F05153" w:rsidRDefault="00CC3BA4" w:rsidP="004A42D5">
            <w:pPr>
              <w:pStyle w:val="Tabletext"/>
              <w:rPr>
                <w:rFonts w:eastAsia="Times New Roman" w:cs="Tahoma"/>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B14FF5" w:rsidP="004A42D5">
            <w:pPr>
              <w:pStyle w:val="Tabletext"/>
              <w:rPr>
                <w:rFonts w:eastAsia="Times New Roman" w:cs="Cambria Math"/>
                <w:bCs/>
                <w:color w:val="00B050"/>
              </w:rPr>
            </w:pPr>
            <w:r w:rsidRPr="00F05153">
              <w:rPr>
                <w:rFonts w:eastAsia="Times New Roman" w:cs="Tahoma"/>
                <w:bCs/>
              </w:rPr>
              <w:t>I</w:t>
            </w:r>
            <w:r w:rsidR="00CC3BA4" w:rsidRPr="00F05153">
              <w:rPr>
                <w:rFonts w:eastAsia="Times New Roman" w:cs="Tahoma"/>
                <w:bCs/>
              </w:rPr>
              <w:t>mportant</w:t>
            </w:r>
          </w:p>
        </w:tc>
      </w:tr>
    </w:tbl>
    <w:p w:rsidR="00CC3BA4" w:rsidRPr="00F05153" w:rsidRDefault="00CC3BA4" w:rsidP="004A42D5">
      <w:pPr>
        <w:pStyle w:val="Tablenote"/>
      </w:pPr>
      <w:proofErr w:type="gramStart"/>
      <w:r w:rsidRPr="00F05153">
        <w:rPr>
          <w:vertAlign w:val="superscript"/>
        </w:rPr>
        <w:t>a</w:t>
      </w:r>
      <w:proofErr w:type="gramEnd"/>
      <w:r w:rsidRPr="00F05153">
        <w:rPr>
          <w:vertAlign w:val="superscript"/>
        </w:rPr>
        <w:t xml:space="preserve"> </w:t>
      </w:r>
      <w:r w:rsidRPr="00F05153">
        <w:t>Other considerations such as publication bias and effect size</w:t>
      </w:r>
    </w:p>
    <w:p w:rsidR="00CC3BA4" w:rsidRPr="00F05153" w:rsidRDefault="00CC3BA4" w:rsidP="004A42D5">
      <w:pPr>
        <w:pStyle w:val="Tablenote"/>
      </w:pPr>
      <w:proofErr w:type="gramStart"/>
      <w:r w:rsidRPr="00F05153">
        <w:rPr>
          <w:vertAlign w:val="superscript"/>
        </w:rPr>
        <w:t>b</w:t>
      </w:r>
      <w:proofErr w:type="gramEnd"/>
      <w:r w:rsidRPr="00F05153">
        <w:rPr>
          <w:vertAlign w:val="superscript"/>
        </w:rPr>
        <w:t xml:space="preserve"> </w:t>
      </w:r>
      <w:r w:rsidRPr="00F05153">
        <w:t>GRADE Working Group grades of evidence</w:t>
      </w:r>
      <w:r w:rsidR="001D34EE" w:rsidRPr="00F05153">
        <w:rPr>
          <w:noProof/>
          <w:vertAlign w:val="superscript"/>
        </w:rPr>
        <w:t>1</w:t>
      </w:r>
    </w:p>
    <w:p w:rsidR="00CC3BA4" w:rsidRPr="00F05153" w:rsidRDefault="00CC3BA4" w:rsidP="004A42D5">
      <w:pPr>
        <w:pStyle w:val="Tablenote"/>
      </w:pPr>
      <w:proofErr w:type="gramStart"/>
      <w:r w:rsidRPr="00F05153">
        <w:rPr>
          <w:vertAlign w:val="superscript"/>
        </w:rPr>
        <w:t>c</w:t>
      </w:r>
      <w:proofErr w:type="gramEnd"/>
      <w:r w:rsidRPr="00F05153">
        <w:t xml:space="preserve"> Trials show results trending in opposite directions</w:t>
      </w:r>
    </w:p>
    <w:p w:rsidR="00114427" w:rsidRPr="00F05153" w:rsidRDefault="00114427" w:rsidP="004A42D5">
      <w:pPr>
        <w:pStyle w:val="Tablenote"/>
      </w:pPr>
      <w:proofErr w:type="gramStart"/>
      <w:r w:rsidRPr="00F05153">
        <w:rPr>
          <w:vertAlign w:val="superscript"/>
        </w:rPr>
        <w:t>d</w:t>
      </w:r>
      <w:proofErr w:type="gramEnd"/>
      <w:r w:rsidRPr="00F05153">
        <w:rPr>
          <w:vertAlign w:val="superscript"/>
        </w:rPr>
        <w:t xml:space="preserve"> </w:t>
      </w:r>
      <w:r w:rsidRPr="00F05153">
        <w:t>Surrogate outcome</w:t>
      </w:r>
    </w:p>
    <w:p w:rsidR="00B179F1" w:rsidRPr="00F05153" w:rsidRDefault="00B179F1" w:rsidP="004A42D5">
      <w:pPr>
        <w:pStyle w:val="Tablenote"/>
      </w:pPr>
      <w:proofErr w:type="gramStart"/>
      <w:r w:rsidRPr="00F05153">
        <w:rPr>
          <w:vertAlign w:val="superscript"/>
        </w:rPr>
        <w:t>e</w:t>
      </w:r>
      <w:proofErr w:type="gramEnd"/>
      <w:r w:rsidRPr="00F05153">
        <w:rPr>
          <w:vertAlign w:val="superscript"/>
        </w:rPr>
        <w:t xml:space="preserve"> </w:t>
      </w:r>
      <w:r w:rsidRPr="00F05153">
        <w:t>Wide range</w:t>
      </w:r>
    </w:p>
    <w:p w:rsidR="00B63B1D" w:rsidRPr="00F05153" w:rsidRDefault="00B63B1D" w:rsidP="00B63B1D">
      <w:pPr>
        <w:pStyle w:val="Tablenote"/>
      </w:pPr>
      <w:proofErr w:type="gramStart"/>
      <w:r w:rsidRPr="00F05153">
        <w:rPr>
          <w:vertAlign w:val="superscript"/>
        </w:rPr>
        <w:t>f</w:t>
      </w:r>
      <w:proofErr w:type="gramEnd"/>
      <w:r w:rsidRPr="00F05153">
        <w:t xml:space="preserve"> SF-36 physical component summary scores range from 0 to 100. A higher score indicates better QoL. </w:t>
      </w:r>
    </w:p>
    <w:p w:rsidR="00CC3BA4" w:rsidRPr="00F05153" w:rsidRDefault="00CC3BA4" w:rsidP="004A42D5">
      <w:pPr>
        <w:pStyle w:val="Tablenote"/>
      </w:pPr>
      <w:r w:rsidRPr="00F05153">
        <w:rPr>
          <w:rFonts w:ascii="Cambria Math" w:hAnsi="Cambria Math" w:cs="Cambria Math"/>
          <w:color w:val="00B050"/>
        </w:rPr>
        <w:t>⨁⨁⨁⨁</w:t>
      </w:r>
      <w:r w:rsidRPr="00F05153">
        <w:rPr>
          <w:color w:val="00B050"/>
        </w:rPr>
        <w:t xml:space="preserve"> </w:t>
      </w:r>
      <w:r w:rsidRPr="00F05153">
        <w:rPr>
          <w:b/>
        </w:rPr>
        <w:t>High quality:</w:t>
      </w:r>
      <w:r w:rsidRPr="00F05153">
        <w:t xml:space="preserve"> We are very confident that the true effect lies close to that of the estimate of effect</w:t>
      </w:r>
    </w:p>
    <w:p w:rsidR="00CC3BA4" w:rsidRPr="00F05153" w:rsidRDefault="00CC3BA4" w:rsidP="004A42D5">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Moderate quality:</w:t>
      </w:r>
      <w:r w:rsidRPr="00F05153">
        <w:t xml:space="preserve"> We are moderately confident in the effect estimate: The true effect is likely to be close to the estimate of the effect, but there is a possibility that it is substantially different</w:t>
      </w:r>
    </w:p>
    <w:p w:rsidR="00B179F1" w:rsidRPr="00F05153" w:rsidRDefault="00B179F1" w:rsidP="00B179F1">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Low quality:</w:t>
      </w:r>
      <w:r w:rsidRPr="00F05153">
        <w:t xml:space="preserve"> Our confidence in the effect estimate is limited: The true effect may be substantially different from the estimate of the effect</w:t>
      </w:r>
    </w:p>
    <w:p w:rsidR="00BD489D" w:rsidRPr="00F05153" w:rsidRDefault="00CC3BA4" w:rsidP="004A42D5">
      <w:pPr>
        <w:pStyle w:val="Tablenote"/>
      </w:pPr>
      <w:r w:rsidRPr="00F05153">
        <w:t xml:space="preserve">6MWD = 6-minute </w:t>
      </w:r>
      <w:r w:rsidR="0082368E" w:rsidRPr="00F05153">
        <w:t>walk distance</w:t>
      </w:r>
      <w:r w:rsidRPr="00F05153">
        <w:t xml:space="preserve">; CI = confidence interval; ERA = endothelin receptor antagonist; FC = functional class; </w:t>
      </w:r>
      <w:r w:rsidR="00385E5A" w:rsidRPr="00F05153">
        <w:t>GRADE = grading of recommendations assessment, development and evaluation</w:t>
      </w:r>
      <w:r w:rsidR="001D34EE" w:rsidRPr="00F05153">
        <w:rPr>
          <w:noProof/>
          <w:vertAlign w:val="superscript"/>
        </w:rPr>
        <w:t>1</w:t>
      </w:r>
      <w:r w:rsidR="00BD489D" w:rsidRPr="00F05153">
        <w:t xml:space="preserve">; </w:t>
      </w:r>
      <w:r w:rsidRPr="00F05153">
        <w:t>MD = mean difference; PAH = pulmonary arterial hypertension; PDE-5</w:t>
      </w:r>
      <w:r w:rsidR="00BD489D" w:rsidRPr="00F05153">
        <w:t>i</w:t>
      </w:r>
      <w:r w:rsidRPr="00F05153">
        <w:t xml:space="preserve"> = phosphodiesterase type-5</w:t>
      </w:r>
      <w:r w:rsidR="00BD489D" w:rsidRPr="00F05153">
        <w:t xml:space="preserve"> inhibitor</w:t>
      </w:r>
      <w:r w:rsidRPr="00F05153">
        <w:t>; QoL = quality of life; RCT = randomised controlled trial; RR = relative risk; SF-36 = short form 36; WHO = World Health Organization</w:t>
      </w:r>
    </w:p>
    <w:p w:rsidR="009F1E35" w:rsidRDefault="009F1E35">
      <w:pPr>
        <w:spacing w:before="0" w:line="240" w:lineRule="auto"/>
        <w:rPr>
          <w:b/>
          <w:iCs/>
          <w:szCs w:val="18"/>
        </w:rPr>
      </w:pPr>
      <w:bookmarkStart w:id="511" w:name="_Toc38360447"/>
      <w:r>
        <w:br w:type="page"/>
      </w:r>
    </w:p>
    <w:p w:rsidR="00CC3BA4" w:rsidRPr="00F05153" w:rsidRDefault="00796F18" w:rsidP="00BC5A2B">
      <w:pPr>
        <w:pStyle w:val="Caption"/>
      </w:pPr>
      <w:r w:rsidRPr="00F05153">
        <w:lastRenderedPageBreak/>
        <w:t>Table 4.</w:t>
      </w:r>
      <w:r w:rsidR="003951FA">
        <w:rPr>
          <w:noProof/>
        </w:rPr>
        <w:t>150</w:t>
      </w:r>
      <w:r w:rsidRPr="00F05153">
        <w:tab/>
      </w:r>
      <w:r w:rsidR="00CC3BA4" w:rsidRPr="00F05153">
        <w:t xml:space="preserve">Evidence profile table for effectiveness of ERA </w:t>
      </w:r>
      <w:r w:rsidR="00AD2B3C" w:rsidRPr="00F05153">
        <w:t>plus</w:t>
      </w:r>
      <w:r w:rsidR="00CC3BA4" w:rsidRPr="00F05153">
        <w:t xml:space="preserve"> PDE-5 inhibitor combination therapy compared to PDE-5 inhibitor monotherapy for patients with WHO FC III/IV PAH</w:t>
      </w:r>
      <w:bookmarkEnd w:id="511"/>
    </w:p>
    <w:tbl>
      <w:tblPr>
        <w:tblStyle w:val="TableGrid"/>
        <w:tblW w:w="14596" w:type="dxa"/>
        <w:tblLayout w:type="fixed"/>
        <w:tblLook w:val="04A0" w:firstRow="1" w:lastRow="0" w:firstColumn="1" w:lastColumn="0" w:noHBand="0" w:noVBand="1"/>
        <w:tblCaption w:val="Evidence profile table for effectiveness of ERA plus PDE-5 inhibitor combination therapy compared to PDE-5 inhibitor monotherapy for patients with WHO FC III/IV PAH"/>
      </w:tblPr>
      <w:tblGrid>
        <w:gridCol w:w="1493"/>
        <w:gridCol w:w="1054"/>
        <w:gridCol w:w="771"/>
        <w:gridCol w:w="1072"/>
        <w:gridCol w:w="992"/>
        <w:gridCol w:w="992"/>
        <w:gridCol w:w="1276"/>
        <w:gridCol w:w="1417"/>
        <w:gridCol w:w="1134"/>
        <w:gridCol w:w="993"/>
        <w:gridCol w:w="2188"/>
        <w:gridCol w:w="1214"/>
      </w:tblGrid>
      <w:tr w:rsidR="00F13836" w:rsidRPr="00F05153" w:rsidTr="001363C5">
        <w:trPr>
          <w:cnfStyle w:val="100000000000" w:firstRow="1" w:lastRow="0" w:firstColumn="0" w:lastColumn="0" w:oddVBand="0" w:evenVBand="0" w:oddHBand="0" w:evenHBand="0" w:firstRowFirstColumn="0" w:firstRowLastColumn="0" w:lastRowFirstColumn="0" w:lastRowLastColumn="0"/>
          <w:trHeight w:val="450"/>
        </w:trPr>
        <w:tc>
          <w:tcPr>
            <w:tcW w:w="1493" w:type="dxa"/>
          </w:tcPr>
          <w:p w:rsidR="00476F09" w:rsidRPr="00F05153" w:rsidRDefault="00476F09" w:rsidP="004A42D5">
            <w:pPr>
              <w:pStyle w:val="Tabletext"/>
              <w:rPr>
                <w:b/>
              </w:rPr>
            </w:pPr>
            <w:r w:rsidRPr="00F05153">
              <w:rPr>
                <w:b/>
              </w:rPr>
              <w:t>Outcome (follow-up)</w:t>
            </w:r>
          </w:p>
        </w:tc>
        <w:tc>
          <w:tcPr>
            <w:tcW w:w="1054" w:type="dxa"/>
          </w:tcPr>
          <w:p w:rsidR="00476F09" w:rsidRPr="00F05153" w:rsidRDefault="00476F09" w:rsidP="004A42D5">
            <w:pPr>
              <w:pStyle w:val="Tabletext"/>
              <w:rPr>
                <w:b/>
              </w:rPr>
            </w:pPr>
            <w:r w:rsidRPr="00F05153">
              <w:rPr>
                <w:b/>
              </w:rPr>
              <w:t>No. of studies and study design</w:t>
            </w:r>
          </w:p>
        </w:tc>
        <w:tc>
          <w:tcPr>
            <w:tcW w:w="771" w:type="dxa"/>
          </w:tcPr>
          <w:p w:rsidR="00476F09" w:rsidRPr="00F05153" w:rsidRDefault="00476F09" w:rsidP="004A42D5">
            <w:pPr>
              <w:pStyle w:val="Tabletext"/>
              <w:rPr>
                <w:b/>
              </w:rPr>
            </w:pPr>
            <w:r w:rsidRPr="00F05153">
              <w:rPr>
                <w:b/>
              </w:rPr>
              <w:t>Risk of bias</w:t>
            </w:r>
          </w:p>
        </w:tc>
        <w:tc>
          <w:tcPr>
            <w:tcW w:w="1072" w:type="dxa"/>
          </w:tcPr>
          <w:p w:rsidR="00476F09" w:rsidRPr="00F05153" w:rsidRDefault="00476F09" w:rsidP="004A42D5">
            <w:pPr>
              <w:pStyle w:val="Tabletext"/>
              <w:rPr>
                <w:b/>
              </w:rPr>
            </w:pPr>
            <w:r w:rsidRPr="00F05153">
              <w:rPr>
                <w:b/>
              </w:rPr>
              <w:t>Incon</w:t>
            </w:r>
            <w:r w:rsidR="001363C5" w:rsidRPr="00F05153">
              <w:rPr>
                <w:b/>
              </w:rPr>
              <w:t>-</w:t>
            </w:r>
            <w:r w:rsidRPr="00F05153">
              <w:rPr>
                <w:b/>
              </w:rPr>
              <w:t>sistency</w:t>
            </w:r>
          </w:p>
        </w:tc>
        <w:tc>
          <w:tcPr>
            <w:tcW w:w="992" w:type="dxa"/>
          </w:tcPr>
          <w:p w:rsidR="00476F09" w:rsidRPr="00F05153" w:rsidRDefault="00476F09" w:rsidP="004A42D5">
            <w:pPr>
              <w:pStyle w:val="Tabletext"/>
              <w:rPr>
                <w:b/>
              </w:rPr>
            </w:pPr>
            <w:r w:rsidRPr="00F05153">
              <w:rPr>
                <w:b/>
              </w:rPr>
              <w:t>Indirect</w:t>
            </w:r>
            <w:r w:rsidR="001363C5" w:rsidRPr="00F05153">
              <w:rPr>
                <w:b/>
              </w:rPr>
              <w:t>-</w:t>
            </w:r>
            <w:r w:rsidRPr="00F05153">
              <w:rPr>
                <w:b/>
              </w:rPr>
              <w:t>ness</w:t>
            </w:r>
          </w:p>
        </w:tc>
        <w:tc>
          <w:tcPr>
            <w:tcW w:w="992" w:type="dxa"/>
          </w:tcPr>
          <w:p w:rsidR="00476F09" w:rsidRPr="00F05153" w:rsidRDefault="00476F09" w:rsidP="004A42D5">
            <w:pPr>
              <w:pStyle w:val="Tabletext"/>
              <w:rPr>
                <w:b/>
              </w:rPr>
            </w:pPr>
            <w:r w:rsidRPr="00F05153">
              <w:rPr>
                <w:b/>
              </w:rPr>
              <w:t>Impre</w:t>
            </w:r>
            <w:r w:rsidR="001363C5" w:rsidRPr="00F05153">
              <w:rPr>
                <w:b/>
              </w:rPr>
              <w:t>-</w:t>
            </w:r>
            <w:r w:rsidRPr="00F05153">
              <w:rPr>
                <w:b/>
              </w:rPr>
              <w:t>cision</w:t>
            </w:r>
          </w:p>
        </w:tc>
        <w:tc>
          <w:tcPr>
            <w:tcW w:w="1276" w:type="dxa"/>
          </w:tcPr>
          <w:p w:rsidR="00476F09" w:rsidRPr="00F05153" w:rsidRDefault="00476F09" w:rsidP="004A42D5">
            <w:pPr>
              <w:pStyle w:val="Tabletext"/>
              <w:rPr>
                <w:b/>
              </w:rPr>
            </w:pPr>
            <w:r w:rsidRPr="00F05153">
              <w:rPr>
                <w:b/>
              </w:rPr>
              <w:t>Other conside</w:t>
            </w:r>
            <w:r w:rsidR="001363C5" w:rsidRPr="00F05153">
              <w:rPr>
                <w:b/>
              </w:rPr>
              <w:t>-</w:t>
            </w:r>
            <w:r w:rsidRPr="00F05153">
              <w:rPr>
                <w:b/>
              </w:rPr>
              <w:t>rations</w:t>
            </w:r>
            <w:r w:rsidRPr="00F05153">
              <w:rPr>
                <w:b/>
                <w:vertAlign w:val="superscript"/>
              </w:rPr>
              <w:t>a</w:t>
            </w:r>
          </w:p>
        </w:tc>
        <w:tc>
          <w:tcPr>
            <w:tcW w:w="1417" w:type="dxa"/>
          </w:tcPr>
          <w:p w:rsidR="00476F09" w:rsidRPr="00F05153" w:rsidRDefault="00476F09" w:rsidP="004A42D5">
            <w:pPr>
              <w:pStyle w:val="Tabletext"/>
              <w:rPr>
                <w:b/>
              </w:rPr>
            </w:pPr>
            <w:r w:rsidRPr="00F05153">
              <w:rPr>
                <w:b/>
              </w:rPr>
              <w:t>Study event rates (%) with ERA + PDE-5i</w:t>
            </w:r>
          </w:p>
        </w:tc>
        <w:tc>
          <w:tcPr>
            <w:tcW w:w="1134" w:type="dxa"/>
          </w:tcPr>
          <w:p w:rsidR="00476F09" w:rsidRPr="00F05153" w:rsidRDefault="00476F09" w:rsidP="004A42D5">
            <w:pPr>
              <w:pStyle w:val="Tabletext"/>
              <w:rPr>
                <w:b/>
              </w:rPr>
            </w:pPr>
            <w:r w:rsidRPr="00F05153">
              <w:rPr>
                <w:b/>
              </w:rPr>
              <w:t>Study event rates (%) with PDE-5i</w:t>
            </w:r>
          </w:p>
        </w:tc>
        <w:tc>
          <w:tcPr>
            <w:tcW w:w="993" w:type="dxa"/>
          </w:tcPr>
          <w:p w:rsidR="00476F09" w:rsidRPr="00F05153" w:rsidRDefault="00476F09" w:rsidP="004A42D5">
            <w:pPr>
              <w:pStyle w:val="Tabletext"/>
              <w:rPr>
                <w:b/>
              </w:rPr>
            </w:pPr>
            <w:r w:rsidRPr="00F05153">
              <w:rPr>
                <w:b/>
              </w:rPr>
              <w:t>Effect measure (95%CI)</w:t>
            </w:r>
          </w:p>
        </w:tc>
        <w:tc>
          <w:tcPr>
            <w:tcW w:w="2188" w:type="dxa"/>
          </w:tcPr>
          <w:p w:rsidR="00476F09" w:rsidRPr="00F05153" w:rsidRDefault="00476F09" w:rsidP="004A42D5">
            <w:pPr>
              <w:pStyle w:val="Tabletext"/>
              <w:rPr>
                <w:b/>
              </w:rPr>
            </w:pPr>
            <w:r w:rsidRPr="00F05153">
              <w:rPr>
                <w:b/>
              </w:rPr>
              <w:t>Absolute effect (95%CI)</w:t>
            </w:r>
          </w:p>
        </w:tc>
        <w:tc>
          <w:tcPr>
            <w:tcW w:w="1214" w:type="dxa"/>
          </w:tcPr>
          <w:p w:rsidR="00BD489D" w:rsidRPr="00F05153" w:rsidRDefault="00BD489D" w:rsidP="004A42D5">
            <w:pPr>
              <w:pStyle w:val="Tabletext"/>
              <w:rPr>
                <w:b/>
              </w:rPr>
            </w:pPr>
            <w:r w:rsidRPr="00F05153">
              <w:rPr>
                <w:b/>
              </w:rPr>
              <w:t>GRADE</w:t>
            </w:r>
            <w:r w:rsidRPr="00F05153">
              <w:rPr>
                <w:b/>
                <w:vertAlign w:val="superscript"/>
              </w:rPr>
              <w:t>b</w:t>
            </w:r>
          </w:p>
          <w:p w:rsidR="00476F09" w:rsidRPr="00F05153" w:rsidRDefault="00476F09" w:rsidP="004A42D5">
            <w:pPr>
              <w:pStyle w:val="Tabletext"/>
              <w:rPr>
                <w:b/>
                <w:vertAlign w:val="superscript"/>
              </w:rPr>
            </w:pPr>
            <w:r w:rsidRPr="00F05153">
              <w:rPr>
                <w:b/>
              </w:rPr>
              <w:t>Quality</w:t>
            </w:r>
          </w:p>
          <w:p w:rsidR="00476F09" w:rsidRPr="00F05153" w:rsidRDefault="00476F09" w:rsidP="004A42D5">
            <w:pPr>
              <w:pStyle w:val="Tabletext"/>
              <w:rPr>
                <w:b/>
              </w:rPr>
            </w:pPr>
            <w:r w:rsidRPr="00F05153">
              <w:rPr>
                <w:b/>
              </w:rPr>
              <w:t>Importance</w:t>
            </w:r>
          </w:p>
        </w:tc>
      </w:tr>
      <w:tr w:rsidR="00CC3BA4" w:rsidRPr="00F05153" w:rsidTr="001363C5">
        <w:trPr>
          <w:trHeight w:val="319"/>
        </w:trPr>
        <w:tc>
          <w:tcPr>
            <w:tcW w:w="1493" w:type="dxa"/>
          </w:tcPr>
          <w:p w:rsidR="00CC3BA4" w:rsidRPr="00F05153" w:rsidRDefault="00CC3BA4" w:rsidP="000801F8">
            <w:pPr>
              <w:pStyle w:val="Tabletext"/>
              <w:rPr>
                <w:rFonts w:cs="Tahoma"/>
              </w:rPr>
            </w:pPr>
            <w:r w:rsidRPr="00F05153">
              <w:rPr>
                <w:rFonts w:cs="Tahoma"/>
              </w:rPr>
              <w:t>Clinical worsening</w:t>
            </w:r>
            <w:r w:rsidRPr="00F05153">
              <w:rPr>
                <w:rFonts w:cs="Tahoma"/>
              </w:rPr>
              <w:br/>
              <w:t>(104–1</w:t>
            </w:r>
            <w:r w:rsidR="000801F8" w:rsidRPr="00F05153">
              <w:rPr>
                <w:rFonts w:cs="Tahoma"/>
              </w:rPr>
              <w:t>69</w:t>
            </w:r>
            <w:r w:rsidRPr="00F05153">
              <w:rPr>
                <w:rFonts w:cs="Tahoma"/>
              </w:rPr>
              <w:t xml:space="preserve"> weeks)</w:t>
            </w:r>
          </w:p>
        </w:tc>
        <w:tc>
          <w:tcPr>
            <w:tcW w:w="1054" w:type="dxa"/>
          </w:tcPr>
          <w:p w:rsidR="00CC3BA4" w:rsidRPr="00F05153" w:rsidRDefault="00CC3BA4" w:rsidP="004A42D5">
            <w:pPr>
              <w:pStyle w:val="Tabletext"/>
              <w:rPr>
                <w:rFonts w:cs="Tahoma"/>
              </w:rPr>
            </w:pPr>
            <w:r w:rsidRPr="00F05153">
              <w:rPr>
                <w:rFonts w:cs="Tahoma"/>
              </w:rPr>
              <w:t>2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Strong association</w:t>
            </w:r>
          </w:p>
        </w:tc>
        <w:tc>
          <w:tcPr>
            <w:tcW w:w="1417" w:type="dxa"/>
          </w:tcPr>
          <w:p w:rsidR="00CC3BA4" w:rsidRPr="002046A0" w:rsidRDefault="002046A0" w:rsidP="004A42D5">
            <w:pPr>
              <w:pStyle w:val="Tabletext"/>
              <w:rPr>
                <w:rFonts w:cs="Tahoma"/>
                <w:highlight w:val="black"/>
              </w:rPr>
            </w:pPr>
            <w:r>
              <w:rPr>
                <w:noProof/>
                <w:color w:val="000000"/>
                <w:highlight w:val="black"/>
              </w:rPr>
              <w:t>'''''''''''''''' ''''''''''''''''''</w:t>
            </w:r>
          </w:p>
        </w:tc>
        <w:tc>
          <w:tcPr>
            <w:tcW w:w="1134" w:type="dxa"/>
          </w:tcPr>
          <w:p w:rsidR="00CC3BA4" w:rsidRPr="002046A0" w:rsidRDefault="002046A0" w:rsidP="004A42D5">
            <w:pPr>
              <w:pStyle w:val="Tabletext"/>
              <w:rPr>
                <w:rFonts w:cs="Tahoma"/>
                <w:highlight w:val="black"/>
              </w:rPr>
            </w:pPr>
            <w:r>
              <w:rPr>
                <w:noProof/>
                <w:color w:val="000000"/>
                <w:highlight w:val="black"/>
              </w:rPr>
              <w:t>''''''''''''''''''''' '''''''''''''''''''</w:t>
            </w:r>
          </w:p>
        </w:tc>
        <w:tc>
          <w:tcPr>
            <w:tcW w:w="993" w:type="dxa"/>
          </w:tcPr>
          <w:p w:rsidR="00CC3BA4" w:rsidRPr="002046A0" w:rsidRDefault="002046A0" w:rsidP="004A42D5">
            <w:pPr>
              <w:pStyle w:val="Tabletext"/>
              <w:rPr>
                <w:rFonts w:cs="Tahoma"/>
                <w:highlight w:val="black"/>
              </w:rPr>
            </w:pPr>
            <w:r>
              <w:rPr>
                <w:noProof/>
                <w:color w:val="000000"/>
                <w:highlight w:val="black"/>
              </w:rPr>
              <w:t>'''''''' '''' ''''''''''' ''''''''''''' '''''''''''</w:t>
            </w:r>
          </w:p>
        </w:tc>
        <w:tc>
          <w:tcPr>
            <w:tcW w:w="2188" w:type="dxa"/>
          </w:tcPr>
          <w:p w:rsidR="00CC3BA4" w:rsidRPr="002046A0" w:rsidRDefault="002046A0" w:rsidP="004A42D5">
            <w:pPr>
              <w:pStyle w:val="Tabletext"/>
              <w:rPr>
                <w:rFonts w:cs="Tahoma"/>
                <w:highlight w:val="black"/>
              </w:rPr>
            </w:pPr>
            <w:r>
              <w:rPr>
                <w:noProof/>
                <w:color w:val="000000"/>
                <w:highlight w:val="black"/>
              </w:rPr>
              <w:t>'''''''''' ''''''''''''''' '''''''' ''''''''''''''</w:t>
            </w:r>
            <w:r>
              <w:rPr>
                <w:noProof/>
                <w:color w:val="000000"/>
                <w:highlight w:val="black"/>
              </w:rPr>
              <w:br/>
              <w:t>''''''''''''' ''' '''''''''''''' ''''' '''''''''' ''''''''''''''''</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Critical</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Mortality</w:t>
            </w:r>
            <w:r w:rsidRPr="00F05153">
              <w:rPr>
                <w:rFonts w:cs="Tahoma"/>
              </w:rPr>
              <w:br/>
              <w:t>(129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2046A0" w:rsidRDefault="002046A0" w:rsidP="004A42D5">
            <w:pPr>
              <w:pStyle w:val="Tabletext"/>
              <w:rPr>
                <w:rFonts w:cs="Tahoma"/>
                <w:highlight w:val="black"/>
              </w:rPr>
            </w:pPr>
            <w:r>
              <w:rPr>
                <w:rFonts w:cs="Tahoma"/>
                <w:noProof/>
                <w:color w:val="000000"/>
                <w:highlight w:val="black"/>
              </w:rPr>
              <w:t>''''''''' '''''''''''''''''''</w:t>
            </w:r>
          </w:p>
        </w:tc>
        <w:tc>
          <w:tcPr>
            <w:tcW w:w="1134" w:type="dxa"/>
          </w:tcPr>
          <w:p w:rsidR="00CC3BA4" w:rsidRPr="002046A0" w:rsidRDefault="002046A0" w:rsidP="004A42D5">
            <w:pPr>
              <w:pStyle w:val="Tabletext"/>
              <w:rPr>
                <w:rFonts w:cs="Tahoma"/>
                <w:highlight w:val="black"/>
              </w:rPr>
            </w:pPr>
            <w:r>
              <w:rPr>
                <w:rFonts w:cs="Tahoma"/>
                <w:noProof/>
                <w:color w:val="000000"/>
                <w:highlight w:val="black"/>
              </w:rPr>
              <w:t>'''''''''''''' '''''''''''''''''</w:t>
            </w:r>
          </w:p>
        </w:tc>
        <w:tc>
          <w:tcPr>
            <w:tcW w:w="993" w:type="dxa"/>
          </w:tcPr>
          <w:p w:rsidR="00CC3BA4" w:rsidRPr="002046A0" w:rsidRDefault="002046A0" w:rsidP="004A42D5">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4A42D5">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Critical</w:t>
            </w:r>
          </w:p>
        </w:tc>
      </w:tr>
    </w:tbl>
    <w:p w:rsidR="00CC3BA4" w:rsidRPr="00F05153" w:rsidRDefault="00CC3BA4" w:rsidP="004A42D5">
      <w:pPr>
        <w:pStyle w:val="Tablenote"/>
      </w:pPr>
      <w:proofErr w:type="gramStart"/>
      <w:r w:rsidRPr="00F05153">
        <w:rPr>
          <w:vertAlign w:val="superscript"/>
        </w:rPr>
        <w:t>a</w:t>
      </w:r>
      <w:proofErr w:type="gramEnd"/>
      <w:r w:rsidRPr="00F05153">
        <w:rPr>
          <w:vertAlign w:val="superscript"/>
        </w:rPr>
        <w:t xml:space="preserve"> </w:t>
      </w:r>
      <w:r w:rsidRPr="00F05153">
        <w:t>Other considerations such as publication bias and effect size</w:t>
      </w:r>
    </w:p>
    <w:p w:rsidR="00CC3BA4" w:rsidRPr="00F05153" w:rsidRDefault="00CC3BA4" w:rsidP="004A42D5">
      <w:pPr>
        <w:pStyle w:val="Tablenote"/>
      </w:pPr>
      <w:proofErr w:type="gramStart"/>
      <w:r w:rsidRPr="00F05153">
        <w:rPr>
          <w:vertAlign w:val="superscript"/>
        </w:rPr>
        <w:t>b</w:t>
      </w:r>
      <w:proofErr w:type="gramEnd"/>
      <w:r w:rsidRPr="00F05153">
        <w:rPr>
          <w:vertAlign w:val="superscript"/>
        </w:rPr>
        <w:t xml:space="preserve"> </w:t>
      </w:r>
      <w:r w:rsidRPr="00F05153">
        <w:t>GRADE Working Group grades of evidence</w:t>
      </w:r>
      <w:r w:rsidR="001D34EE" w:rsidRPr="00F05153">
        <w:rPr>
          <w:noProof/>
          <w:vertAlign w:val="superscript"/>
        </w:rPr>
        <w:t>1</w:t>
      </w:r>
    </w:p>
    <w:p w:rsidR="00CC3BA4" w:rsidRPr="00F05153" w:rsidRDefault="00CC3BA4" w:rsidP="004A42D5">
      <w:pPr>
        <w:pStyle w:val="Tablenote"/>
      </w:pPr>
      <w:r w:rsidRPr="00F05153">
        <w:rPr>
          <w:rFonts w:ascii="Cambria Math" w:hAnsi="Cambria Math" w:cs="Cambria Math"/>
          <w:color w:val="00B050"/>
        </w:rPr>
        <w:t>⨁⨁⨁⨁</w:t>
      </w:r>
      <w:r w:rsidRPr="00F05153">
        <w:rPr>
          <w:color w:val="00B050"/>
        </w:rPr>
        <w:t xml:space="preserve"> </w:t>
      </w:r>
      <w:r w:rsidRPr="00F05153">
        <w:rPr>
          <w:b/>
        </w:rPr>
        <w:t>High quality:</w:t>
      </w:r>
      <w:r w:rsidRPr="00F05153">
        <w:t xml:space="preserve"> We are very confident that the true effect lies close to that of the estimate of effect</w:t>
      </w:r>
    </w:p>
    <w:p w:rsidR="00BD489D" w:rsidRPr="00F05153" w:rsidRDefault="00CC3BA4" w:rsidP="004A42D5">
      <w:pPr>
        <w:pStyle w:val="Tablenote"/>
      </w:pPr>
      <w:r w:rsidRPr="00F05153">
        <w:t xml:space="preserve">CI = confidence interval; ERA = endothelin receptor antagonist; FC = functional class; </w:t>
      </w:r>
      <w:r w:rsidR="00385E5A" w:rsidRPr="00F05153">
        <w:t>GRADE = grading of recommendations assessment, development and evaluation</w:t>
      </w:r>
      <w:r w:rsidR="001D34EE" w:rsidRPr="00F05153">
        <w:rPr>
          <w:noProof/>
          <w:vertAlign w:val="superscript"/>
        </w:rPr>
        <w:t>1</w:t>
      </w:r>
      <w:r w:rsidR="00BD489D" w:rsidRPr="00F05153">
        <w:t xml:space="preserve">; </w:t>
      </w:r>
      <w:r w:rsidRPr="00F05153">
        <w:t>HR = hazard ratio; PAH = pulmonary arterial hypertension; PDE-5</w:t>
      </w:r>
      <w:r w:rsidR="00BD489D" w:rsidRPr="00F05153">
        <w:t>i</w:t>
      </w:r>
      <w:r w:rsidRPr="00F05153">
        <w:t xml:space="preserve"> = phosphodiesterase type-5</w:t>
      </w:r>
      <w:r w:rsidR="00BD489D" w:rsidRPr="00F05153">
        <w:t xml:space="preserve"> inhibitor</w:t>
      </w:r>
      <w:r w:rsidRPr="00F05153">
        <w:t>; RCT = randomised controlled trial; RR = relative risk; WHO = World Health Organization</w:t>
      </w:r>
    </w:p>
    <w:p w:rsidR="009F1E35" w:rsidRDefault="009F1E35">
      <w:pPr>
        <w:spacing w:before="0" w:line="240" w:lineRule="auto"/>
        <w:rPr>
          <w:b/>
          <w:iCs/>
          <w:szCs w:val="18"/>
        </w:rPr>
      </w:pPr>
      <w:bookmarkStart w:id="512" w:name="_Ref505771544"/>
      <w:bookmarkStart w:id="513" w:name="_Toc38360448"/>
      <w:r>
        <w:br w:type="page"/>
      </w:r>
    </w:p>
    <w:p w:rsidR="00CC3BA4" w:rsidRPr="00F05153" w:rsidRDefault="00796F18" w:rsidP="00BC5A2B">
      <w:pPr>
        <w:pStyle w:val="Caption"/>
      </w:pPr>
      <w:r w:rsidRPr="00F05153">
        <w:lastRenderedPageBreak/>
        <w:t>Table 4.</w:t>
      </w:r>
      <w:r w:rsidR="003951FA">
        <w:rPr>
          <w:noProof/>
        </w:rPr>
        <w:t>151</w:t>
      </w:r>
      <w:bookmarkEnd w:id="512"/>
      <w:r w:rsidRPr="00F05153">
        <w:tab/>
      </w:r>
      <w:r w:rsidR="00CC3BA4" w:rsidRPr="00F05153">
        <w:t xml:space="preserve">Evidence profile table for effectiveness of ERA </w:t>
      </w:r>
      <w:r w:rsidR="00AD2B3C" w:rsidRPr="00F05153">
        <w:t>plus</w:t>
      </w:r>
      <w:r w:rsidR="00CC3BA4" w:rsidRPr="00F05153">
        <w:t xml:space="preserve"> PDE-5 inhibitor combination therapy compared to PDE-5 inhibitor monotherapy for patients with different PAH aetiologies</w:t>
      </w:r>
      <w:bookmarkEnd w:id="513"/>
    </w:p>
    <w:tbl>
      <w:tblPr>
        <w:tblStyle w:val="TableGrid"/>
        <w:tblW w:w="14596" w:type="dxa"/>
        <w:tblLayout w:type="fixed"/>
        <w:tblLook w:val="04A0" w:firstRow="1" w:lastRow="0" w:firstColumn="1" w:lastColumn="0" w:noHBand="0" w:noVBand="1"/>
        <w:tblCaption w:val="Evidence profile table for effectiveness of ERA plus PDE-5 inhibitor combination therapy compared to PDE-5 inhibitor monotherapy for patients with different PAH aetiologies"/>
      </w:tblPr>
      <w:tblGrid>
        <w:gridCol w:w="1493"/>
        <w:gridCol w:w="1054"/>
        <w:gridCol w:w="771"/>
        <w:gridCol w:w="1072"/>
        <w:gridCol w:w="995"/>
        <w:gridCol w:w="1035"/>
        <w:gridCol w:w="1230"/>
        <w:gridCol w:w="1417"/>
        <w:gridCol w:w="1134"/>
        <w:gridCol w:w="993"/>
        <w:gridCol w:w="2188"/>
        <w:gridCol w:w="1214"/>
      </w:tblGrid>
      <w:tr w:rsidR="004A42D5" w:rsidRPr="00F05153" w:rsidTr="001363C5">
        <w:trPr>
          <w:cnfStyle w:val="100000000000" w:firstRow="1" w:lastRow="0" w:firstColumn="0" w:lastColumn="0" w:oddVBand="0" w:evenVBand="0" w:oddHBand="0" w:evenHBand="0" w:firstRowFirstColumn="0" w:firstRowLastColumn="0" w:lastRowFirstColumn="0" w:lastRowLastColumn="0"/>
          <w:trHeight w:val="519"/>
        </w:trPr>
        <w:tc>
          <w:tcPr>
            <w:tcW w:w="1493" w:type="dxa"/>
          </w:tcPr>
          <w:p w:rsidR="00476F09" w:rsidRPr="00F05153" w:rsidRDefault="00476F09" w:rsidP="004A42D5">
            <w:pPr>
              <w:pStyle w:val="Tabletext"/>
              <w:rPr>
                <w:b/>
              </w:rPr>
            </w:pPr>
            <w:r w:rsidRPr="00F05153">
              <w:rPr>
                <w:b/>
              </w:rPr>
              <w:t>Outcome (follow-up)</w:t>
            </w:r>
          </w:p>
        </w:tc>
        <w:tc>
          <w:tcPr>
            <w:tcW w:w="1054" w:type="dxa"/>
          </w:tcPr>
          <w:p w:rsidR="00476F09" w:rsidRPr="00F05153" w:rsidRDefault="00476F09" w:rsidP="004A42D5">
            <w:pPr>
              <w:pStyle w:val="Tabletext"/>
              <w:rPr>
                <w:b/>
              </w:rPr>
            </w:pPr>
            <w:r w:rsidRPr="00F05153">
              <w:rPr>
                <w:b/>
              </w:rPr>
              <w:t>No. of studies and study design</w:t>
            </w:r>
          </w:p>
        </w:tc>
        <w:tc>
          <w:tcPr>
            <w:tcW w:w="771" w:type="dxa"/>
          </w:tcPr>
          <w:p w:rsidR="00476F09" w:rsidRPr="00F05153" w:rsidRDefault="00476F09" w:rsidP="004A42D5">
            <w:pPr>
              <w:pStyle w:val="Tabletext"/>
              <w:rPr>
                <w:b/>
              </w:rPr>
            </w:pPr>
            <w:r w:rsidRPr="00F05153">
              <w:rPr>
                <w:b/>
              </w:rPr>
              <w:t>Risk of bias</w:t>
            </w:r>
          </w:p>
        </w:tc>
        <w:tc>
          <w:tcPr>
            <w:tcW w:w="1072" w:type="dxa"/>
          </w:tcPr>
          <w:p w:rsidR="00476F09" w:rsidRPr="00F05153" w:rsidRDefault="00476F09" w:rsidP="004A42D5">
            <w:pPr>
              <w:pStyle w:val="Tabletext"/>
              <w:rPr>
                <w:b/>
              </w:rPr>
            </w:pPr>
            <w:r w:rsidRPr="00F05153">
              <w:rPr>
                <w:b/>
              </w:rPr>
              <w:t>Inconsis</w:t>
            </w:r>
            <w:r w:rsidR="001363C5" w:rsidRPr="00F05153">
              <w:rPr>
                <w:b/>
              </w:rPr>
              <w:t>-</w:t>
            </w:r>
            <w:r w:rsidRPr="00F05153">
              <w:rPr>
                <w:b/>
              </w:rPr>
              <w:t>tency</w:t>
            </w:r>
          </w:p>
        </w:tc>
        <w:tc>
          <w:tcPr>
            <w:tcW w:w="995" w:type="dxa"/>
          </w:tcPr>
          <w:p w:rsidR="00476F09" w:rsidRPr="00F05153" w:rsidRDefault="00476F09" w:rsidP="004A42D5">
            <w:pPr>
              <w:pStyle w:val="Tabletext"/>
              <w:rPr>
                <w:b/>
              </w:rPr>
            </w:pPr>
            <w:r w:rsidRPr="00F05153">
              <w:rPr>
                <w:b/>
              </w:rPr>
              <w:t>Indirect</w:t>
            </w:r>
            <w:r w:rsidR="001363C5" w:rsidRPr="00F05153">
              <w:rPr>
                <w:b/>
              </w:rPr>
              <w:t>-</w:t>
            </w:r>
            <w:r w:rsidRPr="00F05153">
              <w:rPr>
                <w:b/>
              </w:rPr>
              <w:t>ness</w:t>
            </w:r>
          </w:p>
        </w:tc>
        <w:tc>
          <w:tcPr>
            <w:tcW w:w="1035" w:type="dxa"/>
          </w:tcPr>
          <w:p w:rsidR="00476F09" w:rsidRPr="00F05153" w:rsidRDefault="00476F09" w:rsidP="004A42D5">
            <w:pPr>
              <w:pStyle w:val="Tabletext"/>
              <w:rPr>
                <w:b/>
              </w:rPr>
            </w:pPr>
            <w:r w:rsidRPr="00F05153">
              <w:rPr>
                <w:b/>
              </w:rPr>
              <w:t>Impre</w:t>
            </w:r>
            <w:r w:rsidR="001363C5" w:rsidRPr="00F05153">
              <w:rPr>
                <w:b/>
              </w:rPr>
              <w:t>-</w:t>
            </w:r>
            <w:r w:rsidRPr="00F05153">
              <w:rPr>
                <w:b/>
              </w:rPr>
              <w:t>cision</w:t>
            </w:r>
          </w:p>
        </w:tc>
        <w:tc>
          <w:tcPr>
            <w:tcW w:w="1230" w:type="dxa"/>
          </w:tcPr>
          <w:p w:rsidR="00476F09" w:rsidRPr="00F05153" w:rsidRDefault="00476F09" w:rsidP="004A42D5">
            <w:pPr>
              <w:pStyle w:val="Tabletext"/>
              <w:rPr>
                <w:b/>
              </w:rPr>
            </w:pPr>
            <w:r w:rsidRPr="00F05153">
              <w:rPr>
                <w:b/>
              </w:rPr>
              <w:t>Other conside</w:t>
            </w:r>
            <w:r w:rsidR="001363C5" w:rsidRPr="00F05153">
              <w:rPr>
                <w:b/>
              </w:rPr>
              <w:t>-</w:t>
            </w:r>
            <w:r w:rsidRPr="00F05153">
              <w:rPr>
                <w:b/>
              </w:rPr>
              <w:t>rations</w:t>
            </w:r>
            <w:r w:rsidRPr="00F05153">
              <w:rPr>
                <w:b/>
                <w:vertAlign w:val="superscript"/>
              </w:rPr>
              <w:t>a</w:t>
            </w:r>
          </w:p>
        </w:tc>
        <w:tc>
          <w:tcPr>
            <w:tcW w:w="1417" w:type="dxa"/>
          </w:tcPr>
          <w:p w:rsidR="00476F09" w:rsidRPr="00F05153" w:rsidRDefault="00476F09" w:rsidP="004A42D5">
            <w:pPr>
              <w:pStyle w:val="Tabletext"/>
              <w:rPr>
                <w:b/>
              </w:rPr>
            </w:pPr>
            <w:r w:rsidRPr="00F05153">
              <w:rPr>
                <w:b/>
              </w:rPr>
              <w:t>Study event rates (%) with ERA + PDE-5i</w:t>
            </w:r>
          </w:p>
        </w:tc>
        <w:tc>
          <w:tcPr>
            <w:tcW w:w="1134" w:type="dxa"/>
          </w:tcPr>
          <w:p w:rsidR="00476F09" w:rsidRPr="00F05153" w:rsidRDefault="00476F09" w:rsidP="004A42D5">
            <w:pPr>
              <w:pStyle w:val="Tabletext"/>
              <w:rPr>
                <w:b/>
              </w:rPr>
            </w:pPr>
            <w:r w:rsidRPr="00F05153">
              <w:rPr>
                <w:b/>
              </w:rPr>
              <w:t>Study event rates (%) with PDE-5i</w:t>
            </w:r>
          </w:p>
        </w:tc>
        <w:tc>
          <w:tcPr>
            <w:tcW w:w="993" w:type="dxa"/>
          </w:tcPr>
          <w:p w:rsidR="00476F09" w:rsidRPr="00F05153" w:rsidRDefault="00476F09" w:rsidP="004A42D5">
            <w:pPr>
              <w:pStyle w:val="Tabletext"/>
              <w:rPr>
                <w:b/>
              </w:rPr>
            </w:pPr>
            <w:r w:rsidRPr="00F05153">
              <w:rPr>
                <w:b/>
              </w:rPr>
              <w:t>Effect measure (95%CI)</w:t>
            </w:r>
          </w:p>
        </w:tc>
        <w:tc>
          <w:tcPr>
            <w:tcW w:w="2188" w:type="dxa"/>
          </w:tcPr>
          <w:p w:rsidR="00476F09" w:rsidRPr="00F05153" w:rsidRDefault="00476F09" w:rsidP="004A42D5">
            <w:pPr>
              <w:pStyle w:val="Tabletext"/>
              <w:rPr>
                <w:b/>
              </w:rPr>
            </w:pPr>
            <w:r w:rsidRPr="00F05153">
              <w:rPr>
                <w:b/>
              </w:rPr>
              <w:t>Absolute effect (95%CI)</w:t>
            </w:r>
          </w:p>
        </w:tc>
        <w:tc>
          <w:tcPr>
            <w:tcW w:w="1214" w:type="dxa"/>
          </w:tcPr>
          <w:p w:rsidR="00BD489D" w:rsidRPr="00F05153" w:rsidRDefault="00BD489D" w:rsidP="004A42D5">
            <w:pPr>
              <w:pStyle w:val="Tabletext"/>
              <w:rPr>
                <w:b/>
              </w:rPr>
            </w:pPr>
            <w:r w:rsidRPr="00F05153">
              <w:rPr>
                <w:b/>
              </w:rPr>
              <w:t>GRADE</w:t>
            </w:r>
            <w:r w:rsidRPr="00F05153">
              <w:rPr>
                <w:b/>
                <w:vertAlign w:val="superscript"/>
              </w:rPr>
              <w:t>b</w:t>
            </w:r>
          </w:p>
          <w:p w:rsidR="00476F09" w:rsidRPr="00F05153" w:rsidRDefault="00476F09" w:rsidP="004A42D5">
            <w:pPr>
              <w:pStyle w:val="Tabletext"/>
              <w:rPr>
                <w:b/>
                <w:vertAlign w:val="superscript"/>
              </w:rPr>
            </w:pPr>
            <w:r w:rsidRPr="00F05153">
              <w:rPr>
                <w:b/>
              </w:rPr>
              <w:t>Quality</w:t>
            </w:r>
          </w:p>
          <w:p w:rsidR="00476F09" w:rsidRPr="00F05153" w:rsidRDefault="00476F09" w:rsidP="004A42D5">
            <w:pPr>
              <w:pStyle w:val="Tabletext"/>
              <w:rPr>
                <w:b/>
              </w:rPr>
            </w:pPr>
            <w:r w:rsidRPr="00F05153">
              <w:rPr>
                <w:b/>
              </w:rPr>
              <w:t>Importance</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Clinical worsening in IPAH/HPAH</w:t>
            </w:r>
            <w:r w:rsidRPr="00F05153">
              <w:rPr>
                <w:rFonts w:cs="Tahoma"/>
              </w:rPr>
              <w:br/>
              <w:t>(</w:t>
            </w:r>
            <w:r w:rsidR="000801F8" w:rsidRPr="00F05153">
              <w:rPr>
                <w:rFonts w:cs="Tahoma"/>
              </w:rPr>
              <w:t>169</w:t>
            </w:r>
            <w:r w:rsidRPr="00F05153">
              <w:rPr>
                <w:rFonts w:cs="Tahoma"/>
              </w:rPr>
              <w:t xml:space="preserve">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5" w:type="dxa"/>
          </w:tcPr>
          <w:p w:rsidR="00CC3BA4" w:rsidRPr="00F05153" w:rsidRDefault="00CC3BA4" w:rsidP="004A42D5">
            <w:pPr>
              <w:pStyle w:val="Tabletext"/>
              <w:rPr>
                <w:rFonts w:cs="Tahoma"/>
              </w:rPr>
            </w:pPr>
            <w:r w:rsidRPr="00F05153">
              <w:rPr>
                <w:rFonts w:cs="Tahoma"/>
              </w:rPr>
              <w:t>Not serious</w:t>
            </w:r>
          </w:p>
        </w:tc>
        <w:tc>
          <w:tcPr>
            <w:tcW w:w="1035" w:type="dxa"/>
          </w:tcPr>
          <w:p w:rsidR="00CC3BA4" w:rsidRPr="00F05153" w:rsidRDefault="00CC3BA4" w:rsidP="004A42D5">
            <w:pPr>
              <w:pStyle w:val="Tabletext"/>
              <w:rPr>
                <w:rFonts w:cs="Tahoma"/>
              </w:rPr>
            </w:pPr>
            <w:r w:rsidRPr="00F05153">
              <w:rPr>
                <w:rFonts w:cs="Tahoma"/>
              </w:rPr>
              <w:t>Not serious</w:t>
            </w:r>
          </w:p>
        </w:tc>
        <w:tc>
          <w:tcPr>
            <w:tcW w:w="1230"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pPr>
            <w:r w:rsidRPr="00F05153">
              <w:t>44/107 (41.1%)</w:t>
            </w:r>
          </w:p>
        </w:tc>
        <w:tc>
          <w:tcPr>
            <w:tcW w:w="1134" w:type="dxa"/>
          </w:tcPr>
          <w:p w:rsidR="00CC3BA4" w:rsidRPr="00F05153" w:rsidRDefault="00CC3BA4" w:rsidP="004A42D5">
            <w:pPr>
              <w:pStyle w:val="Tabletext"/>
              <w:rPr>
                <w:rFonts w:cs="Tahoma"/>
              </w:rPr>
            </w:pPr>
            <w:r w:rsidRPr="00F05153">
              <w:t>60/119 (50.4%)</w:t>
            </w:r>
          </w:p>
        </w:tc>
        <w:tc>
          <w:tcPr>
            <w:tcW w:w="993" w:type="dxa"/>
          </w:tcPr>
          <w:p w:rsidR="00CC3BA4" w:rsidRPr="00F05153" w:rsidRDefault="00CC3BA4" w:rsidP="004A42D5">
            <w:pPr>
              <w:pStyle w:val="Tabletext"/>
              <w:rPr>
                <w:rFonts w:cs="Tahoma"/>
              </w:rPr>
            </w:pPr>
            <w:r w:rsidRPr="00F05153">
              <w:t>HR = 0.82 (0.55, 1.21)</w:t>
            </w:r>
          </w:p>
        </w:tc>
        <w:tc>
          <w:tcPr>
            <w:tcW w:w="2188" w:type="dxa"/>
          </w:tcPr>
          <w:p w:rsidR="00CC3BA4" w:rsidRPr="00F05153" w:rsidRDefault="00CC3BA4" w:rsidP="004A42D5">
            <w:pPr>
              <w:pStyle w:val="Tabletext"/>
              <w:rPr>
                <w:rFonts w:cs="Tahoma"/>
              </w:rPr>
            </w:pPr>
            <w:r w:rsidRPr="00F05153">
              <w:rPr>
                <w:rFonts w:cs="Tahoma"/>
              </w:rPr>
              <w:t>67 fewer per 1,000</w:t>
            </w:r>
            <w:r w:rsidRPr="00F05153">
              <w:rPr>
                <w:rFonts w:cs="Tahoma"/>
              </w:rPr>
              <w:br/>
              <w:t>(from 68 more to 184 fewer)</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Critical</w:t>
            </w:r>
          </w:p>
        </w:tc>
      </w:tr>
      <w:tr w:rsidR="00CC3BA4" w:rsidRPr="00F05153" w:rsidTr="001363C5">
        <w:trPr>
          <w:trHeight w:val="319"/>
        </w:trPr>
        <w:tc>
          <w:tcPr>
            <w:tcW w:w="1493" w:type="dxa"/>
          </w:tcPr>
          <w:p w:rsidR="00CC3BA4" w:rsidRPr="00F05153" w:rsidRDefault="00CC3BA4" w:rsidP="000801F8">
            <w:pPr>
              <w:pStyle w:val="Tabletext"/>
              <w:rPr>
                <w:rFonts w:cs="Tahoma"/>
              </w:rPr>
            </w:pPr>
            <w:r w:rsidRPr="00F05153">
              <w:rPr>
                <w:rFonts w:cs="Tahoma"/>
              </w:rPr>
              <w:t>Clinical worsening in PAH CTD</w:t>
            </w:r>
            <w:r w:rsidRPr="00F05153">
              <w:rPr>
                <w:rFonts w:cs="Tahoma"/>
              </w:rPr>
              <w:br/>
              <w:t>(74−1</w:t>
            </w:r>
            <w:r w:rsidR="000801F8" w:rsidRPr="00F05153">
              <w:rPr>
                <w:rFonts w:cs="Tahoma"/>
              </w:rPr>
              <w:t>69</w:t>
            </w:r>
            <w:r w:rsidRPr="00F05153">
              <w:rPr>
                <w:rFonts w:cs="Tahoma"/>
              </w:rPr>
              <w:t xml:space="preserve"> weeks)</w:t>
            </w:r>
          </w:p>
        </w:tc>
        <w:tc>
          <w:tcPr>
            <w:tcW w:w="1054" w:type="dxa"/>
          </w:tcPr>
          <w:p w:rsidR="00CC3BA4" w:rsidRPr="00F05153" w:rsidRDefault="00CC3BA4" w:rsidP="004A42D5">
            <w:pPr>
              <w:pStyle w:val="Tabletext"/>
              <w:rPr>
                <w:rFonts w:cs="Tahoma"/>
              </w:rPr>
            </w:pPr>
            <w:r w:rsidRPr="00F05153">
              <w:rPr>
                <w:rFonts w:cs="Tahoma"/>
              </w:rPr>
              <w:t>2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5" w:type="dxa"/>
          </w:tcPr>
          <w:p w:rsidR="00CC3BA4" w:rsidRPr="00F05153" w:rsidRDefault="00CC3BA4" w:rsidP="004A42D5">
            <w:pPr>
              <w:pStyle w:val="Tabletext"/>
              <w:rPr>
                <w:rFonts w:cs="Tahoma"/>
              </w:rPr>
            </w:pPr>
            <w:r w:rsidRPr="00F05153">
              <w:rPr>
                <w:rFonts w:cs="Tahoma"/>
              </w:rPr>
              <w:t>Not serious</w:t>
            </w:r>
          </w:p>
        </w:tc>
        <w:tc>
          <w:tcPr>
            <w:tcW w:w="1035" w:type="dxa"/>
          </w:tcPr>
          <w:p w:rsidR="00CC3BA4" w:rsidRPr="00F05153" w:rsidRDefault="00CC3BA4" w:rsidP="004A42D5">
            <w:pPr>
              <w:pStyle w:val="Tabletext"/>
              <w:rPr>
                <w:rFonts w:cs="Tahoma"/>
              </w:rPr>
            </w:pPr>
            <w:r w:rsidRPr="00F05153">
              <w:rPr>
                <w:rFonts w:cs="Tahoma"/>
              </w:rPr>
              <w:t>Not serious</w:t>
            </w:r>
          </w:p>
        </w:tc>
        <w:tc>
          <w:tcPr>
            <w:tcW w:w="1230" w:type="dxa"/>
          </w:tcPr>
          <w:p w:rsidR="00CC3BA4" w:rsidRPr="00F05153" w:rsidRDefault="00CC3BA4" w:rsidP="004A42D5">
            <w:pPr>
              <w:pStyle w:val="Tabletext"/>
              <w:rPr>
                <w:rFonts w:cs="Tahoma"/>
              </w:rPr>
            </w:pPr>
            <w:r w:rsidRPr="00F05153">
              <w:rPr>
                <w:rFonts w:cs="Tahoma"/>
              </w:rPr>
              <w:t>Strong association</w:t>
            </w:r>
          </w:p>
        </w:tc>
        <w:tc>
          <w:tcPr>
            <w:tcW w:w="1417" w:type="dxa"/>
          </w:tcPr>
          <w:p w:rsidR="00CC3BA4" w:rsidRPr="00F05153" w:rsidRDefault="00CC3BA4" w:rsidP="004A42D5">
            <w:pPr>
              <w:pStyle w:val="Tabletext"/>
              <w:rPr>
                <w:rFonts w:cs="Tahoma"/>
              </w:rPr>
            </w:pPr>
            <w:r w:rsidRPr="00F05153">
              <w:rPr>
                <w:rFonts w:cs="Tahoma"/>
              </w:rPr>
              <w:t>2/146 (28.8%)</w:t>
            </w:r>
          </w:p>
        </w:tc>
        <w:tc>
          <w:tcPr>
            <w:tcW w:w="1134" w:type="dxa"/>
          </w:tcPr>
          <w:p w:rsidR="00CC3BA4" w:rsidRPr="00F05153" w:rsidRDefault="00CC3BA4" w:rsidP="004A42D5">
            <w:pPr>
              <w:pStyle w:val="Tabletext"/>
              <w:rPr>
                <w:rFonts w:cs="Tahoma"/>
              </w:rPr>
            </w:pPr>
            <w:r w:rsidRPr="00F05153">
              <w:rPr>
                <w:rFonts w:cs="Tahoma"/>
              </w:rPr>
              <w:t>-/85</w:t>
            </w:r>
          </w:p>
        </w:tc>
        <w:tc>
          <w:tcPr>
            <w:tcW w:w="993" w:type="dxa"/>
          </w:tcPr>
          <w:p w:rsidR="00CC3BA4" w:rsidRPr="00F05153" w:rsidRDefault="00CC3BA4" w:rsidP="004A42D5">
            <w:pPr>
              <w:pStyle w:val="Tabletext"/>
              <w:rPr>
                <w:rFonts w:cs="Tahoma"/>
              </w:rPr>
            </w:pPr>
            <w:r w:rsidRPr="00F05153">
              <w:rPr>
                <w:rFonts w:cs="Tahoma"/>
              </w:rPr>
              <w:t>HR = 0.59 (0.12, 1.07</w:t>
            </w:r>
            <w:r w:rsidR="004D2553" w:rsidRPr="00F05153">
              <w:rPr>
                <w:rFonts w:cs="Tahoma"/>
              </w:rPr>
              <w:t>)</w:t>
            </w:r>
          </w:p>
        </w:tc>
        <w:tc>
          <w:tcPr>
            <w:tcW w:w="2188" w:type="dxa"/>
          </w:tcPr>
          <w:p w:rsidR="00CC3BA4" w:rsidRPr="00F05153" w:rsidRDefault="00CC3BA4" w:rsidP="004A42D5">
            <w:pPr>
              <w:pStyle w:val="Tabletext"/>
              <w:rPr>
                <w:rFonts w:cs="Tahoma"/>
              </w:rPr>
            </w:pPr>
            <w:r w:rsidRPr="00F05153">
              <w:rPr>
                <w:rFonts w:cs="Tahoma"/>
              </w:rPr>
              <w:t>Not estimable</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Critical</w:t>
            </w:r>
          </w:p>
        </w:tc>
      </w:tr>
      <w:tr w:rsidR="00CC3BA4" w:rsidRPr="00F05153" w:rsidTr="001363C5">
        <w:trPr>
          <w:trHeight w:val="319"/>
        </w:trPr>
        <w:tc>
          <w:tcPr>
            <w:tcW w:w="1493" w:type="dxa"/>
          </w:tcPr>
          <w:p w:rsidR="00CC3BA4" w:rsidRPr="00F05153" w:rsidRDefault="00CC3BA4" w:rsidP="000801F8">
            <w:pPr>
              <w:pStyle w:val="Tabletext"/>
              <w:rPr>
                <w:rFonts w:cs="Tahoma"/>
              </w:rPr>
            </w:pPr>
            <w:r w:rsidRPr="00F05153">
              <w:rPr>
                <w:rFonts w:cs="Tahoma"/>
              </w:rPr>
              <w:t>Clinical worsening in PAH-CHD</w:t>
            </w:r>
            <w:r w:rsidRPr="00F05153">
              <w:rPr>
                <w:rFonts w:cs="Tahoma"/>
              </w:rPr>
              <w:br/>
              <w:t>(1</w:t>
            </w:r>
            <w:r w:rsidR="000801F8" w:rsidRPr="00F05153">
              <w:rPr>
                <w:rFonts w:cs="Tahoma"/>
              </w:rPr>
              <w:t>69</w:t>
            </w:r>
            <w:r w:rsidRPr="00F05153">
              <w:rPr>
                <w:rFonts w:cs="Tahoma"/>
              </w:rPr>
              <w:t xml:space="preserve">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5" w:type="dxa"/>
          </w:tcPr>
          <w:p w:rsidR="00CC3BA4" w:rsidRPr="00F05153" w:rsidRDefault="00CC3BA4" w:rsidP="004A42D5">
            <w:pPr>
              <w:pStyle w:val="Tabletext"/>
              <w:rPr>
                <w:rFonts w:cs="Tahoma"/>
              </w:rPr>
            </w:pPr>
            <w:r w:rsidRPr="00F05153">
              <w:rPr>
                <w:rFonts w:cs="Tahoma"/>
              </w:rPr>
              <w:t>Not serious</w:t>
            </w:r>
          </w:p>
        </w:tc>
        <w:tc>
          <w:tcPr>
            <w:tcW w:w="1035" w:type="dxa"/>
          </w:tcPr>
          <w:p w:rsidR="00CC3BA4" w:rsidRPr="00F05153" w:rsidRDefault="0079256B" w:rsidP="0079256B">
            <w:pPr>
              <w:pStyle w:val="Tabletext"/>
              <w:rPr>
                <w:rFonts w:cs="Tahoma"/>
              </w:rPr>
            </w:pPr>
            <w:r w:rsidRPr="00F05153">
              <w:rPr>
                <w:rFonts w:cs="Tahoma"/>
              </w:rPr>
              <w:t>Very s</w:t>
            </w:r>
            <w:r w:rsidR="00CC3BA4" w:rsidRPr="00F05153">
              <w:rPr>
                <w:rFonts w:cs="Tahoma"/>
              </w:rPr>
              <w:t xml:space="preserve">erious </w:t>
            </w:r>
            <w:r w:rsidR="00CC3BA4" w:rsidRPr="00F05153">
              <w:rPr>
                <w:rFonts w:cs="Tahoma"/>
                <w:vertAlign w:val="superscript"/>
              </w:rPr>
              <w:t>c</w:t>
            </w:r>
          </w:p>
        </w:tc>
        <w:tc>
          <w:tcPr>
            <w:tcW w:w="1230" w:type="dxa"/>
          </w:tcPr>
          <w:p w:rsidR="00CC3BA4" w:rsidRPr="00F05153" w:rsidRDefault="008B0C36"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cs="Tahoma"/>
              </w:rPr>
            </w:pPr>
            <w:r w:rsidRPr="00F05153">
              <w:rPr>
                <w:rFonts w:cs="Tahoma"/>
              </w:rPr>
              <w:t>2/9 (22.2%)</w:t>
            </w:r>
          </w:p>
        </w:tc>
        <w:tc>
          <w:tcPr>
            <w:tcW w:w="1134" w:type="dxa"/>
          </w:tcPr>
          <w:p w:rsidR="00CC3BA4" w:rsidRPr="00F05153" w:rsidRDefault="00CC3BA4" w:rsidP="004A42D5">
            <w:pPr>
              <w:pStyle w:val="Tabletext"/>
              <w:rPr>
                <w:rFonts w:cs="Tahoma"/>
              </w:rPr>
            </w:pPr>
            <w:r w:rsidRPr="00F05153">
              <w:rPr>
                <w:rFonts w:cs="Tahoma"/>
              </w:rPr>
              <w:t>4/11 (36.4%)</w:t>
            </w:r>
          </w:p>
        </w:tc>
        <w:tc>
          <w:tcPr>
            <w:tcW w:w="993" w:type="dxa"/>
          </w:tcPr>
          <w:p w:rsidR="00CC3BA4" w:rsidRPr="00F05153" w:rsidRDefault="00CC3BA4" w:rsidP="004A42D5">
            <w:pPr>
              <w:pStyle w:val="Tabletext"/>
              <w:rPr>
                <w:rFonts w:cs="Tahoma"/>
              </w:rPr>
            </w:pPr>
            <w:r w:rsidRPr="00F05153">
              <w:rPr>
                <w:rFonts w:cs="Tahoma"/>
              </w:rPr>
              <w:t>HR = 0.57 (0.10, 3.17)</w:t>
            </w:r>
          </w:p>
        </w:tc>
        <w:tc>
          <w:tcPr>
            <w:tcW w:w="2188" w:type="dxa"/>
          </w:tcPr>
          <w:p w:rsidR="00CC3BA4" w:rsidRPr="00F05153" w:rsidRDefault="00CC3BA4" w:rsidP="004A42D5">
            <w:pPr>
              <w:pStyle w:val="Tabletext"/>
              <w:rPr>
                <w:rFonts w:cs="Tahoma"/>
              </w:rPr>
            </w:pPr>
            <w:r w:rsidRPr="00F05153">
              <w:rPr>
                <w:rFonts w:cs="Tahoma"/>
              </w:rPr>
              <w:t>137 fewer per 1,000</w:t>
            </w:r>
            <w:r w:rsidRPr="00F05153">
              <w:rPr>
                <w:rFonts w:cs="Tahoma"/>
              </w:rPr>
              <w:br/>
              <w:t>(from 319 fewer to 398 more)</w:t>
            </w:r>
          </w:p>
        </w:tc>
        <w:tc>
          <w:tcPr>
            <w:tcW w:w="1214" w:type="dxa"/>
          </w:tcPr>
          <w:p w:rsidR="008B0C36" w:rsidRPr="00F05153" w:rsidRDefault="00BD743C" w:rsidP="008B0C36">
            <w:pPr>
              <w:pStyle w:val="Tabletext"/>
              <w:rPr>
                <w:rFonts w:ascii="Cambria Math" w:eastAsia="Times New Roman" w:hAnsi="Cambria Math" w:cs="Cambria Math"/>
                <w:bCs/>
              </w:rPr>
            </w:pPr>
            <w:r w:rsidRPr="00F05153">
              <w:rPr>
                <w:rFonts w:eastAsia="Times New Roman" w:cs="Tahoma"/>
                <w:bCs/>
              </w:rPr>
              <w:t>Low</w:t>
            </w:r>
            <w:r w:rsidR="008B0C36" w:rsidRPr="00F05153">
              <w:rPr>
                <w:rFonts w:eastAsia="Times New Roman" w:cs="Tahoma"/>
                <w:bCs/>
              </w:rPr>
              <w:br/>
            </w:r>
            <w:r w:rsidR="008B0C36" w:rsidRPr="00F05153">
              <w:rPr>
                <w:rFonts w:ascii="Cambria Math" w:eastAsia="Times New Roman" w:hAnsi="Cambria Math" w:cs="Cambria Math"/>
                <w:bCs/>
                <w:color w:val="00B050"/>
              </w:rPr>
              <w:t>⨁⨁</w:t>
            </w:r>
            <w:r w:rsidRPr="00F05153">
              <w:rPr>
                <w:rFonts w:ascii="Cambria Math" w:eastAsia="Times New Roman" w:hAnsi="Cambria Math" w:cs="Cambria Math"/>
                <w:bCs/>
                <w:color w:val="C00000"/>
              </w:rPr>
              <w:t>⨀</w:t>
            </w:r>
            <w:r w:rsidR="008B0C36" w:rsidRPr="00F05153">
              <w:rPr>
                <w:rFonts w:ascii="Cambria Math" w:eastAsia="Times New Roman" w:hAnsi="Cambria Math" w:cs="Cambria Math"/>
                <w:bCs/>
                <w:color w:val="C00000"/>
              </w:rPr>
              <w:t>⨀</w:t>
            </w:r>
          </w:p>
          <w:p w:rsidR="00CC3BA4" w:rsidRPr="00F05153" w:rsidRDefault="00CC3BA4" w:rsidP="004A42D5">
            <w:pPr>
              <w:pStyle w:val="Tabletext"/>
              <w:rPr>
                <w:rFonts w:eastAsia="Times New Roman" w:cs="Cambria Math"/>
                <w:bCs/>
                <w:color w:val="00B050"/>
              </w:rPr>
            </w:pPr>
            <w:r w:rsidRPr="00F05153">
              <w:rPr>
                <w:rFonts w:cs="Tahoma"/>
              </w:rPr>
              <w:t>Critical</w:t>
            </w:r>
          </w:p>
        </w:tc>
      </w:tr>
    </w:tbl>
    <w:p w:rsidR="00CC3BA4" w:rsidRPr="00F05153" w:rsidRDefault="00CC3BA4" w:rsidP="004A42D5">
      <w:pPr>
        <w:pStyle w:val="Tablenote"/>
      </w:pPr>
      <w:proofErr w:type="gramStart"/>
      <w:r w:rsidRPr="00F05153">
        <w:rPr>
          <w:vertAlign w:val="superscript"/>
        </w:rPr>
        <w:t>a</w:t>
      </w:r>
      <w:proofErr w:type="gramEnd"/>
      <w:r w:rsidRPr="00F05153">
        <w:rPr>
          <w:vertAlign w:val="superscript"/>
        </w:rPr>
        <w:t xml:space="preserve"> </w:t>
      </w:r>
      <w:r w:rsidRPr="00F05153">
        <w:t>Other considerations such as publication bias and effect size</w:t>
      </w:r>
    </w:p>
    <w:p w:rsidR="00CC3BA4" w:rsidRPr="00F05153" w:rsidRDefault="00CC3BA4" w:rsidP="004A42D5">
      <w:pPr>
        <w:pStyle w:val="Tablenote"/>
      </w:pPr>
      <w:proofErr w:type="gramStart"/>
      <w:r w:rsidRPr="00F05153">
        <w:rPr>
          <w:vertAlign w:val="superscript"/>
        </w:rPr>
        <w:t>b</w:t>
      </w:r>
      <w:proofErr w:type="gramEnd"/>
      <w:r w:rsidRPr="00F05153">
        <w:rPr>
          <w:vertAlign w:val="superscript"/>
        </w:rPr>
        <w:t xml:space="preserve"> </w:t>
      </w:r>
      <w:r w:rsidRPr="00F05153">
        <w:t>GRADE Working Group grades of evidence</w:t>
      </w:r>
      <w:r w:rsidR="001D34EE" w:rsidRPr="00F05153">
        <w:rPr>
          <w:noProof/>
          <w:vertAlign w:val="superscript"/>
        </w:rPr>
        <w:t>1</w:t>
      </w:r>
    </w:p>
    <w:p w:rsidR="00CC3BA4" w:rsidRPr="00F05153" w:rsidRDefault="00CC3BA4" w:rsidP="004A42D5">
      <w:pPr>
        <w:pStyle w:val="Tablenote"/>
      </w:pPr>
      <w:proofErr w:type="gramStart"/>
      <w:r w:rsidRPr="00F05153">
        <w:rPr>
          <w:vertAlign w:val="superscript"/>
        </w:rPr>
        <w:t>c</w:t>
      </w:r>
      <w:proofErr w:type="gramEnd"/>
      <w:r w:rsidRPr="00F05153">
        <w:t xml:space="preserve"> Wide 95% CIs span 1</w:t>
      </w:r>
    </w:p>
    <w:p w:rsidR="00CC3BA4" w:rsidRPr="00F05153" w:rsidRDefault="00CC3BA4" w:rsidP="004A42D5">
      <w:pPr>
        <w:pStyle w:val="Tablenote"/>
      </w:pPr>
      <w:r w:rsidRPr="00F05153">
        <w:rPr>
          <w:rFonts w:ascii="Cambria Math" w:hAnsi="Cambria Math" w:cs="Cambria Math"/>
          <w:color w:val="00B050"/>
        </w:rPr>
        <w:t>⨁⨁⨁⨁</w:t>
      </w:r>
      <w:r w:rsidRPr="00F05153">
        <w:rPr>
          <w:color w:val="00B050"/>
        </w:rPr>
        <w:t xml:space="preserve"> </w:t>
      </w:r>
      <w:r w:rsidRPr="00F05153">
        <w:rPr>
          <w:b/>
        </w:rPr>
        <w:t>High quality:</w:t>
      </w:r>
      <w:r w:rsidRPr="00F05153">
        <w:t xml:space="preserve"> We are very confident that the true effect lies close to that of the estimate of effect</w:t>
      </w:r>
    </w:p>
    <w:p w:rsidR="0079256B" w:rsidRPr="00F05153" w:rsidRDefault="0079256B" w:rsidP="0079256B">
      <w:pPr>
        <w:pStyle w:val="Tablenote"/>
      </w:pPr>
      <w:r w:rsidRPr="00F05153">
        <w:rPr>
          <w:rFonts w:ascii="Cambria Math" w:hAnsi="Cambria Math" w:cs="Cambria Math"/>
          <w:color w:val="00B050"/>
        </w:rPr>
        <w:t>⨁⨁</w:t>
      </w:r>
      <w:r w:rsidRPr="00F05153">
        <w:rPr>
          <w:rFonts w:ascii="Cambria Math" w:hAnsi="Cambria Math" w:cs="Cambria Math"/>
          <w:color w:val="C00000"/>
        </w:rPr>
        <w:t>⨀⨀</w:t>
      </w:r>
      <w:r w:rsidRPr="00F05153">
        <w:rPr>
          <w:rFonts w:cs="Cambria Math"/>
          <w:color w:val="C00000"/>
        </w:rPr>
        <w:t xml:space="preserve"> </w:t>
      </w:r>
      <w:r w:rsidRPr="00F05153">
        <w:rPr>
          <w:b/>
        </w:rPr>
        <w:t>Low quality:</w:t>
      </w:r>
      <w:r w:rsidRPr="00F05153">
        <w:t xml:space="preserve"> Our confidence in the effect estimate is limited: The true effect may be substantially different from the estimate of the effect</w:t>
      </w:r>
    </w:p>
    <w:p w:rsidR="00BD489D" w:rsidRPr="00F05153" w:rsidRDefault="00CC3BA4" w:rsidP="004A42D5">
      <w:pPr>
        <w:pStyle w:val="Tablenote"/>
      </w:pPr>
      <w:r w:rsidRPr="00F05153">
        <w:t xml:space="preserve">CI = confidence interval; ERA = endothelin receptor antagonist; FC = functional class; </w:t>
      </w:r>
      <w:r w:rsidR="00385E5A" w:rsidRPr="00F05153">
        <w:t>GRADE = grading of recommendations assessment, development and evaluation</w:t>
      </w:r>
      <w:r w:rsidR="001D34EE" w:rsidRPr="00F05153">
        <w:rPr>
          <w:noProof/>
          <w:vertAlign w:val="superscript"/>
        </w:rPr>
        <w:t>1</w:t>
      </w:r>
      <w:r w:rsidR="00BD489D" w:rsidRPr="00F05153">
        <w:t xml:space="preserve">; HPAH = heritable PAH; </w:t>
      </w:r>
      <w:r w:rsidRPr="00F05153">
        <w:t xml:space="preserve">HR = hazard ratio; IPAH = idiopathic PAH; PAH = pulmonary arterial hypertension; </w:t>
      </w:r>
      <w:r w:rsidR="00BD489D" w:rsidRPr="00F05153">
        <w:t xml:space="preserve">PAH-CHD = PAH associated with congenital heart disease; PAH-CTD = PAH associated with connective tissue disease; </w:t>
      </w:r>
      <w:r w:rsidRPr="00F05153">
        <w:t>PDE-5</w:t>
      </w:r>
      <w:r w:rsidR="00BD489D" w:rsidRPr="00F05153">
        <w:t>i</w:t>
      </w:r>
      <w:r w:rsidRPr="00F05153">
        <w:t xml:space="preserve"> = phosphodiesterase type-5</w:t>
      </w:r>
      <w:r w:rsidR="00BD489D" w:rsidRPr="00F05153">
        <w:t xml:space="preserve"> inhibitor</w:t>
      </w:r>
      <w:r w:rsidRPr="00F05153">
        <w:t>; RCT = randomised controlled trial</w:t>
      </w:r>
    </w:p>
    <w:p w:rsidR="00CC3BA4" w:rsidRPr="00F05153" w:rsidRDefault="00796F18" w:rsidP="00BC5A2B">
      <w:pPr>
        <w:pStyle w:val="Caption"/>
      </w:pPr>
      <w:bookmarkStart w:id="514" w:name="_Ref505771575"/>
      <w:bookmarkStart w:id="515" w:name="_Toc38360449"/>
      <w:r w:rsidRPr="00F05153">
        <w:lastRenderedPageBreak/>
        <w:t>Table 4.</w:t>
      </w:r>
      <w:r w:rsidR="003951FA">
        <w:rPr>
          <w:noProof/>
        </w:rPr>
        <w:t>152</w:t>
      </w:r>
      <w:bookmarkEnd w:id="514"/>
      <w:r w:rsidRPr="00F05153">
        <w:tab/>
      </w:r>
      <w:r w:rsidR="00CC3BA4" w:rsidRPr="00F05153">
        <w:t xml:space="preserve">Evidence profile table for comparative safety of ERA </w:t>
      </w:r>
      <w:r w:rsidR="00AD2B3C" w:rsidRPr="00F05153">
        <w:t>plus</w:t>
      </w:r>
      <w:r w:rsidR="00CC3BA4" w:rsidRPr="00F05153">
        <w:t xml:space="preserve"> PDE-5 inhibitor combination therapy compared to PDE-5 inhibitor monotherapy for all PAH patients</w:t>
      </w:r>
      <w:bookmarkEnd w:id="515"/>
    </w:p>
    <w:tbl>
      <w:tblPr>
        <w:tblStyle w:val="TableGrid"/>
        <w:tblW w:w="14596" w:type="dxa"/>
        <w:tblLayout w:type="fixed"/>
        <w:tblLook w:val="04A0" w:firstRow="1" w:lastRow="0" w:firstColumn="1" w:lastColumn="0" w:noHBand="0" w:noVBand="1"/>
        <w:tblCaption w:val="Evidence profile table for comparative safety of ERA plus PDE-5 inhibitor combination therapy compared to PDE-5 inhibitor monotherapy for all PAH patients"/>
      </w:tblPr>
      <w:tblGrid>
        <w:gridCol w:w="1493"/>
        <w:gridCol w:w="1054"/>
        <w:gridCol w:w="771"/>
        <w:gridCol w:w="1072"/>
        <w:gridCol w:w="992"/>
        <w:gridCol w:w="992"/>
        <w:gridCol w:w="1276"/>
        <w:gridCol w:w="1417"/>
        <w:gridCol w:w="1134"/>
        <w:gridCol w:w="993"/>
        <w:gridCol w:w="2188"/>
        <w:gridCol w:w="1214"/>
      </w:tblGrid>
      <w:tr w:rsidR="00F13836" w:rsidRPr="00F05153" w:rsidTr="001363C5">
        <w:trPr>
          <w:cnfStyle w:val="100000000000" w:firstRow="1" w:lastRow="0" w:firstColumn="0" w:lastColumn="0" w:oddVBand="0" w:evenVBand="0" w:oddHBand="0" w:evenHBand="0" w:firstRowFirstColumn="0" w:firstRowLastColumn="0" w:lastRowFirstColumn="0" w:lastRowLastColumn="0"/>
          <w:trHeight w:val="321"/>
        </w:trPr>
        <w:tc>
          <w:tcPr>
            <w:tcW w:w="1493" w:type="dxa"/>
          </w:tcPr>
          <w:p w:rsidR="00476F09" w:rsidRPr="00F05153" w:rsidRDefault="00476F09" w:rsidP="004A42D5">
            <w:pPr>
              <w:pStyle w:val="Tabletext"/>
              <w:rPr>
                <w:b/>
              </w:rPr>
            </w:pPr>
            <w:r w:rsidRPr="00F05153">
              <w:rPr>
                <w:b/>
              </w:rPr>
              <w:t>Outcome (follow-up)</w:t>
            </w:r>
          </w:p>
        </w:tc>
        <w:tc>
          <w:tcPr>
            <w:tcW w:w="1054" w:type="dxa"/>
          </w:tcPr>
          <w:p w:rsidR="00476F09" w:rsidRPr="00F05153" w:rsidRDefault="00476F09" w:rsidP="004A42D5">
            <w:pPr>
              <w:pStyle w:val="Tabletext"/>
              <w:rPr>
                <w:b/>
              </w:rPr>
            </w:pPr>
            <w:r w:rsidRPr="00F05153">
              <w:rPr>
                <w:b/>
              </w:rPr>
              <w:t>No. of studies and study design</w:t>
            </w:r>
          </w:p>
        </w:tc>
        <w:tc>
          <w:tcPr>
            <w:tcW w:w="771" w:type="dxa"/>
          </w:tcPr>
          <w:p w:rsidR="00476F09" w:rsidRPr="00F05153" w:rsidRDefault="00476F09" w:rsidP="004A42D5">
            <w:pPr>
              <w:pStyle w:val="Tabletext"/>
              <w:rPr>
                <w:b/>
              </w:rPr>
            </w:pPr>
            <w:r w:rsidRPr="00F05153">
              <w:rPr>
                <w:b/>
              </w:rPr>
              <w:t>Risk of bias</w:t>
            </w:r>
          </w:p>
        </w:tc>
        <w:tc>
          <w:tcPr>
            <w:tcW w:w="1072" w:type="dxa"/>
          </w:tcPr>
          <w:p w:rsidR="00476F09" w:rsidRPr="00F05153" w:rsidRDefault="00476F09" w:rsidP="004A42D5">
            <w:pPr>
              <w:pStyle w:val="Tabletext"/>
              <w:rPr>
                <w:b/>
              </w:rPr>
            </w:pPr>
            <w:r w:rsidRPr="00F05153">
              <w:rPr>
                <w:b/>
              </w:rPr>
              <w:t>Inconsis</w:t>
            </w:r>
            <w:r w:rsidR="001363C5" w:rsidRPr="00F05153">
              <w:rPr>
                <w:b/>
              </w:rPr>
              <w:t>-</w:t>
            </w:r>
            <w:r w:rsidRPr="00F05153">
              <w:rPr>
                <w:b/>
              </w:rPr>
              <w:t>tency</w:t>
            </w:r>
          </w:p>
        </w:tc>
        <w:tc>
          <w:tcPr>
            <w:tcW w:w="992" w:type="dxa"/>
          </w:tcPr>
          <w:p w:rsidR="00476F09" w:rsidRPr="00F05153" w:rsidRDefault="00476F09" w:rsidP="004A42D5">
            <w:pPr>
              <w:pStyle w:val="Tabletext"/>
              <w:rPr>
                <w:b/>
              </w:rPr>
            </w:pPr>
            <w:r w:rsidRPr="00F05153">
              <w:rPr>
                <w:b/>
              </w:rPr>
              <w:t>Indirect</w:t>
            </w:r>
            <w:r w:rsidR="001363C5" w:rsidRPr="00F05153">
              <w:rPr>
                <w:b/>
              </w:rPr>
              <w:t>-</w:t>
            </w:r>
            <w:r w:rsidRPr="00F05153">
              <w:rPr>
                <w:b/>
              </w:rPr>
              <w:t>ness</w:t>
            </w:r>
          </w:p>
        </w:tc>
        <w:tc>
          <w:tcPr>
            <w:tcW w:w="992" w:type="dxa"/>
          </w:tcPr>
          <w:p w:rsidR="00476F09" w:rsidRPr="00F05153" w:rsidRDefault="00476F09" w:rsidP="004A42D5">
            <w:pPr>
              <w:pStyle w:val="Tabletext"/>
              <w:rPr>
                <w:b/>
              </w:rPr>
            </w:pPr>
            <w:r w:rsidRPr="00F05153">
              <w:rPr>
                <w:b/>
              </w:rPr>
              <w:t>Impre</w:t>
            </w:r>
            <w:r w:rsidR="001363C5" w:rsidRPr="00F05153">
              <w:rPr>
                <w:b/>
              </w:rPr>
              <w:t>-</w:t>
            </w:r>
            <w:r w:rsidRPr="00F05153">
              <w:rPr>
                <w:b/>
              </w:rPr>
              <w:t>cision</w:t>
            </w:r>
          </w:p>
        </w:tc>
        <w:tc>
          <w:tcPr>
            <w:tcW w:w="1276" w:type="dxa"/>
          </w:tcPr>
          <w:p w:rsidR="00476F09" w:rsidRPr="00F05153" w:rsidRDefault="00476F09" w:rsidP="004A42D5">
            <w:pPr>
              <w:pStyle w:val="Tabletext"/>
              <w:rPr>
                <w:b/>
              </w:rPr>
            </w:pPr>
            <w:r w:rsidRPr="00F05153">
              <w:rPr>
                <w:b/>
              </w:rPr>
              <w:t>Other conside</w:t>
            </w:r>
            <w:r w:rsidR="001363C5" w:rsidRPr="00F05153">
              <w:rPr>
                <w:b/>
              </w:rPr>
              <w:t>-</w:t>
            </w:r>
            <w:r w:rsidRPr="00F05153">
              <w:rPr>
                <w:b/>
              </w:rPr>
              <w:t>rations</w:t>
            </w:r>
            <w:r w:rsidRPr="00F05153">
              <w:rPr>
                <w:b/>
                <w:vertAlign w:val="superscript"/>
              </w:rPr>
              <w:t>a</w:t>
            </w:r>
          </w:p>
        </w:tc>
        <w:tc>
          <w:tcPr>
            <w:tcW w:w="1417" w:type="dxa"/>
          </w:tcPr>
          <w:p w:rsidR="00476F09" w:rsidRPr="00F05153" w:rsidRDefault="00476F09" w:rsidP="004A42D5">
            <w:pPr>
              <w:pStyle w:val="Tabletext"/>
              <w:rPr>
                <w:b/>
              </w:rPr>
            </w:pPr>
            <w:r w:rsidRPr="00F05153">
              <w:rPr>
                <w:b/>
              </w:rPr>
              <w:t>Study event rates (%) with ERA + PDE-5i</w:t>
            </w:r>
          </w:p>
        </w:tc>
        <w:tc>
          <w:tcPr>
            <w:tcW w:w="1134" w:type="dxa"/>
          </w:tcPr>
          <w:p w:rsidR="00476F09" w:rsidRPr="00F05153" w:rsidRDefault="00476F09" w:rsidP="004A42D5">
            <w:pPr>
              <w:pStyle w:val="Tabletext"/>
              <w:rPr>
                <w:b/>
              </w:rPr>
            </w:pPr>
            <w:r w:rsidRPr="00F05153">
              <w:rPr>
                <w:b/>
              </w:rPr>
              <w:t>Study event rates (%) with PDE-5i</w:t>
            </w:r>
          </w:p>
        </w:tc>
        <w:tc>
          <w:tcPr>
            <w:tcW w:w="993" w:type="dxa"/>
          </w:tcPr>
          <w:p w:rsidR="00476F09" w:rsidRPr="00F05153" w:rsidRDefault="00476F09" w:rsidP="004A42D5">
            <w:pPr>
              <w:pStyle w:val="Tabletext"/>
              <w:rPr>
                <w:b/>
              </w:rPr>
            </w:pPr>
            <w:r w:rsidRPr="00F05153">
              <w:rPr>
                <w:b/>
              </w:rPr>
              <w:t>Effect measure (95%CI)</w:t>
            </w:r>
          </w:p>
        </w:tc>
        <w:tc>
          <w:tcPr>
            <w:tcW w:w="2188" w:type="dxa"/>
          </w:tcPr>
          <w:p w:rsidR="00476F09" w:rsidRPr="00F05153" w:rsidRDefault="00476F09" w:rsidP="004A42D5">
            <w:pPr>
              <w:pStyle w:val="Tabletext"/>
              <w:rPr>
                <w:b/>
              </w:rPr>
            </w:pPr>
            <w:r w:rsidRPr="00F05153">
              <w:rPr>
                <w:b/>
              </w:rPr>
              <w:t>Absolute effect (95%CI)</w:t>
            </w:r>
          </w:p>
        </w:tc>
        <w:tc>
          <w:tcPr>
            <w:tcW w:w="1214" w:type="dxa"/>
          </w:tcPr>
          <w:p w:rsidR="00BD489D" w:rsidRPr="00F05153" w:rsidRDefault="00BD489D" w:rsidP="004A42D5">
            <w:pPr>
              <w:pStyle w:val="Tabletext"/>
              <w:rPr>
                <w:b/>
              </w:rPr>
            </w:pPr>
            <w:r w:rsidRPr="00F05153">
              <w:rPr>
                <w:b/>
              </w:rPr>
              <w:t>GRADE</w:t>
            </w:r>
            <w:r w:rsidRPr="00F05153">
              <w:rPr>
                <w:b/>
                <w:vertAlign w:val="superscript"/>
              </w:rPr>
              <w:t>b</w:t>
            </w:r>
          </w:p>
          <w:p w:rsidR="00476F09" w:rsidRPr="00F05153" w:rsidRDefault="00476F09" w:rsidP="004A42D5">
            <w:pPr>
              <w:pStyle w:val="Tabletext"/>
              <w:rPr>
                <w:b/>
                <w:vertAlign w:val="superscript"/>
              </w:rPr>
            </w:pPr>
            <w:r w:rsidRPr="00F05153">
              <w:rPr>
                <w:b/>
              </w:rPr>
              <w:t>Quality</w:t>
            </w:r>
          </w:p>
          <w:p w:rsidR="00476F09" w:rsidRPr="00F05153" w:rsidRDefault="00476F09" w:rsidP="004A42D5">
            <w:pPr>
              <w:pStyle w:val="Tabletext"/>
              <w:rPr>
                <w:b/>
              </w:rPr>
            </w:pPr>
            <w:r w:rsidRPr="00F05153">
              <w:rPr>
                <w:b/>
              </w:rPr>
              <w:t>Importance</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Any AE</w:t>
            </w:r>
            <w:r w:rsidRPr="00F05153">
              <w:rPr>
                <w:rFonts w:cs="Tahoma"/>
              </w:rPr>
              <w:br/>
              <w:t>(104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cs="Tahoma"/>
              </w:rPr>
            </w:pPr>
            <w:r w:rsidRPr="00F05153">
              <w:rPr>
                <w:rFonts w:eastAsia="Times New Roman"/>
              </w:rPr>
              <w:t xml:space="preserve">144/159 (90.6%) </w:t>
            </w:r>
          </w:p>
        </w:tc>
        <w:tc>
          <w:tcPr>
            <w:tcW w:w="1134" w:type="dxa"/>
          </w:tcPr>
          <w:p w:rsidR="00CC3BA4" w:rsidRPr="00F05153" w:rsidRDefault="00CC3BA4" w:rsidP="00362678">
            <w:pPr>
              <w:pStyle w:val="Tabletext"/>
            </w:pPr>
            <w:r w:rsidRPr="00F05153">
              <w:rPr>
                <w:rStyle w:val="cell-value"/>
              </w:rPr>
              <w:t xml:space="preserve">159/174 (91.4%) </w:t>
            </w:r>
          </w:p>
        </w:tc>
        <w:tc>
          <w:tcPr>
            <w:tcW w:w="993" w:type="dxa"/>
          </w:tcPr>
          <w:p w:rsidR="00CC3BA4" w:rsidRPr="00F05153" w:rsidRDefault="00CC3BA4" w:rsidP="00362678">
            <w:pPr>
              <w:pStyle w:val="Tabletext"/>
            </w:pPr>
            <w:r w:rsidRPr="00F05153">
              <w:rPr>
                <w:rStyle w:val="block"/>
              </w:rPr>
              <w:t xml:space="preserve">RR = 0.99 </w:t>
            </w:r>
            <w:r w:rsidRPr="00F05153">
              <w:rPr>
                <w:rStyle w:val="cell"/>
              </w:rPr>
              <w:t>(0.93, 1.06)</w:t>
            </w:r>
            <w:r w:rsidRPr="00F05153">
              <w:t xml:space="preserve"> </w:t>
            </w:r>
          </w:p>
        </w:tc>
        <w:tc>
          <w:tcPr>
            <w:tcW w:w="2188" w:type="dxa"/>
          </w:tcPr>
          <w:p w:rsidR="00CC3BA4" w:rsidRPr="00F05153" w:rsidRDefault="00CC3BA4" w:rsidP="004A42D5">
            <w:pPr>
              <w:pStyle w:val="Tabletext"/>
              <w:rPr>
                <w:rFonts w:cs="Tahoma"/>
              </w:rPr>
            </w:pPr>
            <w:r w:rsidRPr="00F05153">
              <w:rPr>
                <w:rFonts w:eastAsia="Times New Roman"/>
                <w:bCs/>
              </w:rPr>
              <w:t>9 fewer per 1,000</w:t>
            </w:r>
            <w:r w:rsidRPr="00F05153">
              <w:rPr>
                <w:rFonts w:eastAsia="Times New Roman"/>
              </w:rPr>
              <w:br/>
              <w:t xml:space="preserve">(from 55 more to 64 fewer) </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Serious AEs</w:t>
            </w:r>
            <w:r w:rsidRPr="00F05153">
              <w:rPr>
                <w:rFonts w:cs="Tahoma"/>
              </w:rPr>
              <w:br/>
              <w:t>(24−104 weeks)</w:t>
            </w:r>
          </w:p>
        </w:tc>
        <w:tc>
          <w:tcPr>
            <w:tcW w:w="1054" w:type="dxa"/>
          </w:tcPr>
          <w:p w:rsidR="00CC3BA4" w:rsidRPr="00F05153" w:rsidRDefault="00CC3BA4" w:rsidP="004A42D5">
            <w:pPr>
              <w:pStyle w:val="Tabletext"/>
              <w:rPr>
                <w:rFonts w:cs="Tahoma"/>
              </w:rPr>
            </w:pPr>
            <w:r w:rsidRPr="00F05153">
              <w:rPr>
                <w:rFonts w:cs="Tahoma"/>
              </w:rPr>
              <w:t>2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cs="Tahoma"/>
              </w:rPr>
            </w:pPr>
            <w:r w:rsidRPr="00F05153">
              <w:rPr>
                <w:rFonts w:eastAsia="Times New Roman"/>
              </w:rPr>
              <w:t xml:space="preserve">165/411 (40.1%) </w:t>
            </w:r>
          </w:p>
        </w:tc>
        <w:tc>
          <w:tcPr>
            <w:tcW w:w="1134" w:type="dxa"/>
          </w:tcPr>
          <w:p w:rsidR="00CC3BA4" w:rsidRPr="00F05153" w:rsidRDefault="00CC3BA4" w:rsidP="00362678">
            <w:pPr>
              <w:pStyle w:val="Tabletext"/>
            </w:pPr>
            <w:r w:rsidRPr="00F05153">
              <w:rPr>
                <w:rStyle w:val="cell-value"/>
              </w:rPr>
              <w:t xml:space="preserve">152/294 (51.7%) </w:t>
            </w:r>
          </w:p>
        </w:tc>
        <w:tc>
          <w:tcPr>
            <w:tcW w:w="993" w:type="dxa"/>
          </w:tcPr>
          <w:p w:rsidR="00CC3BA4" w:rsidRPr="00F05153" w:rsidRDefault="00CC3BA4" w:rsidP="00362678">
            <w:pPr>
              <w:pStyle w:val="Tabletext"/>
            </w:pPr>
            <w:r w:rsidRPr="00F05153">
              <w:rPr>
                <w:rStyle w:val="block"/>
              </w:rPr>
              <w:t xml:space="preserve">RR = 0.82 </w:t>
            </w:r>
            <w:r w:rsidRPr="00F05153">
              <w:rPr>
                <w:rStyle w:val="cell"/>
              </w:rPr>
              <w:t>(0.69, 0.96)</w:t>
            </w:r>
            <w:r w:rsidRPr="00F05153">
              <w:t xml:space="preserve"> </w:t>
            </w:r>
          </w:p>
        </w:tc>
        <w:tc>
          <w:tcPr>
            <w:tcW w:w="2188" w:type="dxa"/>
          </w:tcPr>
          <w:p w:rsidR="00CC3BA4" w:rsidRPr="00F05153" w:rsidRDefault="00CC3BA4" w:rsidP="004A42D5">
            <w:pPr>
              <w:pStyle w:val="Tabletext"/>
              <w:rPr>
                <w:rFonts w:cs="Tahoma"/>
              </w:rPr>
            </w:pPr>
            <w:r w:rsidRPr="00F05153">
              <w:rPr>
                <w:rFonts w:eastAsia="Times New Roman"/>
                <w:bCs/>
              </w:rPr>
              <w:t>93 fewer per 1,000</w:t>
            </w:r>
            <w:r w:rsidRPr="00F05153">
              <w:rPr>
                <w:rFonts w:eastAsia="Times New Roman"/>
              </w:rPr>
              <w:br/>
              <w:t xml:space="preserve">(from 21 fewer to 160 fewer) </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AEs leading to treatment discontinuation</w:t>
            </w:r>
            <w:r w:rsidRPr="00F05153">
              <w:rPr>
                <w:rFonts w:cs="Tahoma"/>
              </w:rPr>
              <w:br/>
              <w:t>(24−104 weeks)</w:t>
            </w:r>
          </w:p>
        </w:tc>
        <w:tc>
          <w:tcPr>
            <w:tcW w:w="1054" w:type="dxa"/>
          </w:tcPr>
          <w:p w:rsidR="00CC3BA4" w:rsidRPr="00F05153" w:rsidRDefault="00CC3BA4" w:rsidP="004A42D5">
            <w:pPr>
              <w:pStyle w:val="Tabletext"/>
              <w:rPr>
                <w:rFonts w:cs="Tahoma"/>
              </w:rPr>
            </w:pPr>
            <w:r w:rsidRPr="00F05153">
              <w:rPr>
                <w:rFonts w:cs="Tahoma"/>
              </w:rPr>
              <w:t>2 RCTs</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cs="Tahoma"/>
              </w:rPr>
            </w:pPr>
            <w:r w:rsidRPr="00F05153">
              <w:rPr>
                <w:rFonts w:eastAsia="Times New Roman"/>
              </w:rPr>
              <w:t xml:space="preserve">70/411 (17.0%) </w:t>
            </w:r>
          </w:p>
        </w:tc>
        <w:tc>
          <w:tcPr>
            <w:tcW w:w="1134" w:type="dxa"/>
          </w:tcPr>
          <w:p w:rsidR="00CC3BA4" w:rsidRPr="00F05153" w:rsidRDefault="00CC3BA4" w:rsidP="00362678">
            <w:pPr>
              <w:pStyle w:val="Tabletext"/>
            </w:pPr>
            <w:r w:rsidRPr="00F05153">
              <w:rPr>
                <w:rStyle w:val="cell-value"/>
              </w:rPr>
              <w:t xml:space="preserve">36/294 (12.2%) </w:t>
            </w:r>
          </w:p>
        </w:tc>
        <w:tc>
          <w:tcPr>
            <w:tcW w:w="993" w:type="dxa"/>
          </w:tcPr>
          <w:p w:rsidR="00CC3BA4" w:rsidRPr="00F05153" w:rsidRDefault="00CC3BA4" w:rsidP="00362678">
            <w:pPr>
              <w:pStyle w:val="Tabletext"/>
            </w:pPr>
            <w:r w:rsidRPr="00F05153">
              <w:rPr>
                <w:rStyle w:val="block"/>
              </w:rPr>
              <w:t xml:space="preserve">RR = 1.47 </w:t>
            </w:r>
            <w:r w:rsidRPr="00F05153">
              <w:rPr>
                <w:rStyle w:val="cell"/>
              </w:rPr>
              <w:t>(0.81, 2.66)</w:t>
            </w:r>
            <w:r w:rsidRPr="00F05153">
              <w:t xml:space="preserve"> </w:t>
            </w:r>
          </w:p>
        </w:tc>
        <w:tc>
          <w:tcPr>
            <w:tcW w:w="2188" w:type="dxa"/>
          </w:tcPr>
          <w:p w:rsidR="00CC3BA4" w:rsidRPr="00F05153" w:rsidRDefault="00CC3BA4" w:rsidP="004A42D5">
            <w:pPr>
              <w:pStyle w:val="Tabletext"/>
              <w:rPr>
                <w:rFonts w:cs="Tahoma"/>
              </w:rPr>
            </w:pPr>
            <w:r w:rsidRPr="00F05153">
              <w:rPr>
                <w:rFonts w:eastAsia="Times New Roman"/>
                <w:bCs/>
              </w:rPr>
              <w:t>58 more per 1,000</w:t>
            </w:r>
            <w:r w:rsidRPr="00F05153">
              <w:rPr>
                <w:rFonts w:eastAsia="Times New Roman"/>
              </w:rPr>
              <w:br/>
              <w:t xml:space="preserve">(from 23 fewer to 203 more) </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ascii="Cambria Math" w:eastAsia="Times New Roman" w:hAnsi="Cambria Math" w:cs="Cambria Math"/>
                <w:bCs/>
                <w:color w:val="00B050"/>
              </w:rPr>
            </w:pPr>
            <w:r w:rsidRPr="00F05153">
              <w:rPr>
                <w:rFonts w:cs="Tahoma"/>
              </w:rPr>
              <w:t>Important</w:t>
            </w:r>
          </w:p>
        </w:tc>
      </w:tr>
      <w:tr w:rsidR="007C71D5" w:rsidRPr="00F05153" w:rsidTr="001363C5">
        <w:trPr>
          <w:trHeight w:val="319"/>
        </w:trPr>
        <w:tc>
          <w:tcPr>
            <w:tcW w:w="1493" w:type="dxa"/>
          </w:tcPr>
          <w:p w:rsidR="007C71D5" w:rsidRPr="00F05153" w:rsidRDefault="007C71D5" w:rsidP="002B03AB">
            <w:pPr>
              <w:pStyle w:val="Tabletext"/>
              <w:rPr>
                <w:rFonts w:cs="Tahoma"/>
              </w:rPr>
            </w:pPr>
            <w:r w:rsidRPr="00F05153">
              <w:rPr>
                <w:rFonts w:cs="Tahoma"/>
              </w:rPr>
              <w:t>Abnormal liver function AEs</w:t>
            </w:r>
            <w:r w:rsidRPr="00F05153">
              <w:rPr>
                <w:rFonts w:cs="Tahoma"/>
              </w:rPr>
              <w:br/>
              <w:t>(12 weeks)</w:t>
            </w:r>
          </w:p>
        </w:tc>
        <w:tc>
          <w:tcPr>
            <w:tcW w:w="1054" w:type="dxa"/>
          </w:tcPr>
          <w:p w:rsidR="007C71D5" w:rsidRPr="00F05153" w:rsidRDefault="007C71D5" w:rsidP="002B03AB">
            <w:pPr>
              <w:pStyle w:val="Tabletext"/>
              <w:rPr>
                <w:rFonts w:cs="Tahoma"/>
              </w:rPr>
            </w:pPr>
            <w:r w:rsidRPr="00F05153">
              <w:rPr>
                <w:rFonts w:cs="Tahoma"/>
              </w:rPr>
              <w:t>1 RCT</w:t>
            </w:r>
          </w:p>
        </w:tc>
        <w:tc>
          <w:tcPr>
            <w:tcW w:w="771" w:type="dxa"/>
          </w:tcPr>
          <w:p w:rsidR="007C71D5" w:rsidRPr="00F05153" w:rsidRDefault="007C71D5" w:rsidP="002B03AB">
            <w:pPr>
              <w:pStyle w:val="Tabletext"/>
              <w:rPr>
                <w:rFonts w:cs="Tahoma"/>
              </w:rPr>
            </w:pPr>
            <w:r w:rsidRPr="00F05153">
              <w:rPr>
                <w:rFonts w:cs="Tahoma"/>
              </w:rPr>
              <w:t>Not serious</w:t>
            </w:r>
          </w:p>
        </w:tc>
        <w:tc>
          <w:tcPr>
            <w:tcW w:w="1072" w:type="dxa"/>
          </w:tcPr>
          <w:p w:rsidR="007C71D5" w:rsidRPr="00F05153" w:rsidRDefault="007C71D5" w:rsidP="002B03AB">
            <w:pPr>
              <w:pStyle w:val="Tabletext"/>
              <w:rPr>
                <w:rFonts w:cs="Tahoma"/>
              </w:rPr>
            </w:pPr>
            <w:r w:rsidRPr="00F05153">
              <w:rPr>
                <w:rFonts w:cs="Tahoma"/>
              </w:rPr>
              <w:t>Not serious</w:t>
            </w:r>
          </w:p>
        </w:tc>
        <w:tc>
          <w:tcPr>
            <w:tcW w:w="992" w:type="dxa"/>
          </w:tcPr>
          <w:p w:rsidR="007C71D5" w:rsidRPr="00F05153" w:rsidRDefault="0079256B" w:rsidP="002B03AB">
            <w:pPr>
              <w:pStyle w:val="Tabletext"/>
              <w:rPr>
                <w:rFonts w:cs="Tahoma"/>
                <w:vertAlign w:val="superscript"/>
              </w:rPr>
            </w:pPr>
            <w:r w:rsidRPr="00F05153">
              <w:rPr>
                <w:rFonts w:cs="Tahoma"/>
              </w:rPr>
              <w:t>S</w:t>
            </w:r>
            <w:r w:rsidR="007C71D5" w:rsidRPr="00F05153">
              <w:rPr>
                <w:rFonts w:cs="Tahoma"/>
              </w:rPr>
              <w:t>erious</w:t>
            </w:r>
            <w:r w:rsidRPr="00F05153">
              <w:rPr>
                <w:rFonts w:cs="Tahoma"/>
                <w:vertAlign w:val="superscript"/>
              </w:rPr>
              <w:t xml:space="preserve"> c</w:t>
            </w:r>
          </w:p>
        </w:tc>
        <w:tc>
          <w:tcPr>
            <w:tcW w:w="992" w:type="dxa"/>
          </w:tcPr>
          <w:p w:rsidR="007C71D5" w:rsidRPr="00F05153" w:rsidRDefault="007C71D5" w:rsidP="002B03AB">
            <w:pPr>
              <w:pStyle w:val="Tabletext"/>
              <w:rPr>
                <w:rFonts w:cs="Tahoma"/>
              </w:rPr>
            </w:pPr>
            <w:r w:rsidRPr="00F05153">
              <w:rPr>
                <w:rFonts w:cs="Tahoma"/>
              </w:rPr>
              <w:t>Not serious</w:t>
            </w:r>
          </w:p>
        </w:tc>
        <w:tc>
          <w:tcPr>
            <w:tcW w:w="1276" w:type="dxa"/>
          </w:tcPr>
          <w:p w:rsidR="007C71D5" w:rsidRPr="00F05153" w:rsidRDefault="007C71D5" w:rsidP="002B03AB">
            <w:pPr>
              <w:pStyle w:val="Tabletext"/>
              <w:rPr>
                <w:rFonts w:cs="Tahoma"/>
              </w:rPr>
            </w:pPr>
            <w:r w:rsidRPr="00F05153">
              <w:rPr>
                <w:rFonts w:cs="Tahoma"/>
              </w:rPr>
              <w:t>Strong association</w:t>
            </w:r>
          </w:p>
        </w:tc>
        <w:tc>
          <w:tcPr>
            <w:tcW w:w="1417" w:type="dxa"/>
          </w:tcPr>
          <w:p w:rsidR="007C71D5" w:rsidRPr="002046A0" w:rsidRDefault="002046A0" w:rsidP="002B03AB">
            <w:pPr>
              <w:pStyle w:val="Tabletext"/>
              <w:rPr>
                <w:rFonts w:cs="Tahoma"/>
                <w:highlight w:val="black"/>
              </w:rPr>
            </w:pPr>
            <w:r>
              <w:rPr>
                <w:rFonts w:eastAsia="Times New Roman"/>
                <w:noProof/>
                <w:color w:val="000000"/>
                <w:highlight w:val="black"/>
              </w:rPr>
              <w:t>'''''''''''''''' ''''''''''''''''</w:t>
            </w:r>
            <w:r w:rsidR="007C71D5" w:rsidRPr="002046A0">
              <w:rPr>
                <w:rFonts w:eastAsia="Times New Roman"/>
                <w:highlight w:val="black"/>
              </w:rPr>
              <w:t xml:space="preserve"> </w:t>
            </w:r>
          </w:p>
        </w:tc>
        <w:tc>
          <w:tcPr>
            <w:tcW w:w="1134" w:type="dxa"/>
          </w:tcPr>
          <w:p w:rsidR="007C71D5" w:rsidRPr="002046A0" w:rsidRDefault="002046A0" w:rsidP="002B03AB">
            <w:pPr>
              <w:pStyle w:val="Tabletext"/>
              <w:rPr>
                <w:highlight w:val="black"/>
              </w:rPr>
            </w:pPr>
            <w:r>
              <w:rPr>
                <w:rStyle w:val="cell-value"/>
                <w:noProof/>
                <w:color w:val="000000"/>
                <w:highlight w:val="black"/>
              </w:rPr>
              <w:t>'''''''''''''''' '''''''''''''''''</w:t>
            </w:r>
            <w:r w:rsidR="007C71D5" w:rsidRPr="002046A0">
              <w:rPr>
                <w:rStyle w:val="cell-value"/>
                <w:highlight w:val="black"/>
              </w:rPr>
              <w:t xml:space="preserve"> </w:t>
            </w:r>
          </w:p>
        </w:tc>
        <w:tc>
          <w:tcPr>
            <w:tcW w:w="993" w:type="dxa"/>
          </w:tcPr>
          <w:p w:rsidR="007C71D5" w:rsidRPr="00F05153" w:rsidRDefault="002046A0" w:rsidP="002B03AB">
            <w:pPr>
              <w:pStyle w:val="Tabletext"/>
            </w:pPr>
            <w:r>
              <w:rPr>
                <w:rStyle w:val="block"/>
                <w:noProof/>
                <w:color w:val="000000"/>
                <w:highlight w:val="black"/>
              </w:rPr>
              <w:t>''''''''' '''' '''''''''''' '''''''''''''' '''''''''''</w:t>
            </w:r>
            <w:r w:rsidR="007C71D5" w:rsidRPr="00F05153">
              <w:rPr>
                <w:rStyle w:val="cell"/>
              </w:rPr>
              <w:t>)</w:t>
            </w:r>
            <w:r w:rsidR="007C71D5" w:rsidRPr="00F05153">
              <w:t xml:space="preserve"> </w:t>
            </w:r>
          </w:p>
        </w:tc>
        <w:tc>
          <w:tcPr>
            <w:tcW w:w="2188" w:type="dxa"/>
          </w:tcPr>
          <w:p w:rsidR="007C71D5" w:rsidRPr="002046A0" w:rsidRDefault="002046A0" w:rsidP="002B03AB">
            <w:pPr>
              <w:pStyle w:val="Tabletext"/>
              <w:rPr>
                <w:rFonts w:cs="Tahoma"/>
                <w:highlight w:val="black"/>
              </w:rPr>
            </w:pPr>
            <w:r>
              <w:rPr>
                <w:rFonts w:eastAsia="Times New Roman"/>
                <w:bCs/>
                <w:noProof/>
                <w:color w:val="000000"/>
                <w:highlight w:val="black"/>
              </w:rPr>
              <w:t>'''''' '''''''''''' '''''''' ''''''''''''</w:t>
            </w:r>
            <w:r>
              <w:rPr>
                <w:rFonts w:eastAsia="Times New Roman"/>
                <w:bCs/>
                <w:noProof/>
                <w:color w:val="000000"/>
                <w:highlight w:val="black"/>
              </w:rPr>
              <w:br/>
              <w:t>'''''''''''''' ''''''' '''''''''''''' ''''' '''''''''' ''''''''''''''</w:t>
            </w:r>
            <w:r w:rsidR="007C71D5" w:rsidRPr="002046A0">
              <w:rPr>
                <w:rFonts w:eastAsia="Times New Roman"/>
                <w:highlight w:val="black"/>
              </w:rPr>
              <w:t xml:space="preserve"> </w:t>
            </w:r>
          </w:p>
        </w:tc>
        <w:tc>
          <w:tcPr>
            <w:tcW w:w="1214" w:type="dxa"/>
          </w:tcPr>
          <w:p w:rsidR="007C71D5" w:rsidRPr="00F05153" w:rsidRDefault="007C71D5" w:rsidP="002B03AB">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7C71D5" w:rsidRPr="00F05153" w:rsidRDefault="007C71D5" w:rsidP="002B03AB">
            <w:pPr>
              <w:pStyle w:val="Tabletext"/>
              <w:rPr>
                <w:rFonts w:ascii="Cambria Math" w:eastAsia="Times New Roman" w:hAnsi="Cambria Math" w:cs="Cambria Math"/>
                <w:bCs/>
                <w:color w:val="00B050"/>
              </w:rPr>
            </w:pPr>
            <w:r w:rsidRPr="00F05153">
              <w:rPr>
                <w:rFonts w:cs="Tahoma"/>
              </w:rPr>
              <w:t>Important</w:t>
            </w:r>
          </w:p>
        </w:tc>
      </w:tr>
      <w:tr w:rsidR="007C71D5" w:rsidRPr="00F05153" w:rsidTr="001363C5">
        <w:trPr>
          <w:trHeight w:val="319"/>
        </w:trPr>
        <w:tc>
          <w:tcPr>
            <w:tcW w:w="1493" w:type="dxa"/>
          </w:tcPr>
          <w:p w:rsidR="007C71D5" w:rsidRPr="00F05153" w:rsidRDefault="007C71D5" w:rsidP="002B03AB">
            <w:pPr>
              <w:pStyle w:val="Tabletext"/>
              <w:rPr>
                <w:rFonts w:cs="Tahoma"/>
              </w:rPr>
            </w:pPr>
            <w:r w:rsidRPr="00F05153">
              <w:rPr>
                <w:rFonts w:cs="Tahoma"/>
              </w:rPr>
              <w:t>Haemoglobin decrease-related AEs</w:t>
            </w:r>
            <w:r w:rsidRPr="00F05153">
              <w:rPr>
                <w:rFonts w:cs="Tahoma"/>
              </w:rPr>
              <w:br/>
              <w:t>(12 weeks)</w:t>
            </w:r>
          </w:p>
        </w:tc>
        <w:tc>
          <w:tcPr>
            <w:tcW w:w="1054" w:type="dxa"/>
          </w:tcPr>
          <w:p w:rsidR="007C71D5" w:rsidRPr="00F05153" w:rsidRDefault="007C71D5" w:rsidP="002B03AB">
            <w:pPr>
              <w:pStyle w:val="Tabletext"/>
              <w:rPr>
                <w:rFonts w:cs="Tahoma"/>
              </w:rPr>
            </w:pPr>
            <w:r w:rsidRPr="00F05153">
              <w:rPr>
                <w:rFonts w:cs="Tahoma"/>
              </w:rPr>
              <w:t>1 RCT</w:t>
            </w:r>
          </w:p>
        </w:tc>
        <w:tc>
          <w:tcPr>
            <w:tcW w:w="771" w:type="dxa"/>
          </w:tcPr>
          <w:p w:rsidR="007C71D5" w:rsidRPr="00F05153" w:rsidRDefault="007C71D5" w:rsidP="002B03AB">
            <w:pPr>
              <w:pStyle w:val="Tabletext"/>
              <w:rPr>
                <w:rFonts w:cs="Tahoma"/>
              </w:rPr>
            </w:pPr>
            <w:r w:rsidRPr="00F05153">
              <w:rPr>
                <w:rFonts w:cs="Tahoma"/>
              </w:rPr>
              <w:t>Not serious</w:t>
            </w:r>
          </w:p>
        </w:tc>
        <w:tc>
          <w:tcPr>
            <w:tcW w:w="1072" w:type="dxa"/>
          </w:tcPr>
          <w:p w:rsidR="007C71D5" w:rsidRPr="00F05153" w:rsidRDefault="007C71D5" w:rsidP="002B03AB">
            <w:pPr>
              <w:pStyle w:val="Tabletext"/>
              <w:rPr>
                <w:rFonts w:cs="Tahoma"/>
              </w:rPr>
            </w:pPr>
            <w:r w:rsidRPr="00F05153">
              <w:rPr>
                <w:rFonts w:cs="Tahoma"/>
              </w:rPr>
              <w:t>Not serious</w:t>
            </w:r>
          </w:p>
        </w:tc>
        <w:tc>
          <w:tcPr>
            <w:tcW w:w="992" w:type="dxa"/>
          </w:tcPr>
          <w:p w:rsidR="007C71D5" w:rsidRPr="00F05153" w:rsidRDefault="0079256B" w:rsidP="002B03AB">
            <w:pPr>
              <w:pStyle w:val="Tabletext"/>
              <w:rPr>
                <w:rFonts w:cs="Tahoma"/>
                <w:vertAlign w:val="superscript"/>
              </w:rPr>
            </w:pPr>
            <w:r w:rsidRPr="00F05153">
              <w:rPr>
                <w:rFonts w:cs="Tahoma"/>
              </w:rPr>
              <w:t>S</w:t>
            </w:r>
            <w:r w:rsidR="007C71D5" w:rsidRPr="00F05153">
              <w:rPr>
                <w:rFonts w:cs="Tahoma"/>
              </w:rPr>
              <w:t>erious</w:t>
            </w:r>
            <w:r w:rsidRPr="00F05153">
              <w:rPr>
                <w:rFonts w:cs="Tahoma"/>
                <w:vertAlign w:val="superscript"/>
              </w:rPr>
              <w:t xml:space="preserve"> c</w:t>
            </w:r>
          </w:p>
        </w:tc>
        <w:tc>
          <w:tcPr>
            <w:tcW w:w="992" w:type="dxa"/>
          </w:tcPr>
          <w:p w:rsidR="007C71D5" w:rsidRPr="00F05153" w:rsidRDefault="007C71D5" w:rsidP="002B03AB">
            <w:pPr>
              <w:pStyle w:val="Tabletext"/>
              <w:rPr>
                <w:rFonts w:cs="Tahoma"/>
              </w:rPr>
            </w:pPr>
            <w:r w:rsidRPr="00F05153">
              <w:rPr>
                <w:rFonts w:cs="Tahoma"/>
              </w:rPr>
              <w:t>Not serious</w:t>
            </w:r>
          </w:p>
        </w:tc>
        <w:tc>
          <w:tcPr>
            <w:tcW w:w="1276" w:type="dxa"/>
          </w:tcPr>
          <w:p w:rsidR="007C71D5" w:rsidRPr="00F05153" w:rsidRDefault="007C71D5" w:rsidP="002B03AB">
            <w:pPr>
              <w:pStyle w:val="Tabletext"/>
              <w:rPr>
                <w:rFonts w:cs="Tahoma"/>
              </w:rPr>
            </w:pPr>
            <w:r w:rsidRPr="00F05153">
              <w:rPr>
                <w:rFonts w:cs="Tahoma"/>
              </w:rPr>
              <w:t>Strong association</w:t>
            </w:r>
          </w:p>
        </w:tc>
        <w:tc>
          <w:tcPr>
            <w:tcW w:w="1417" w:type="dxa"/>
          </w:tcPr>
          <w:p w:rsidR="007C71D5" w:rsidRPr="002046A0" w:rsidRDefault="002046A0" w:rsidP="007C71D5">
            <w:pPr>
              <w:pStyle w:val="Tabletext"/>
              <w:rPr>
                <w:rFonts w:cs="Tahoma"/>
                <w:highlight w:val="black"/>
              </w:rPr>
            </w:pPr>
            <w:r>
              <w:rPr>
                <w:rFonts w:eastAsia="Times New Roman"/>
                <w:noProof/>
                <w:color w:val="000000"/>
                <w:highlight w:val="black"/>
              </w:rPr>
              <w:t>''''''''''''''''' '''''''''''''''''''</w:t>
            </w:r>
            <w:r w:rsidR="007C71D5" w:rsidRPr="002046A0">
              <w:rPr>
                <w:rFonts w:eastAsia="Times New Roman"/>
                <w:highlight w:val="black"/>
              </w:rPr>
              <w:t xml:space="preserve"> </w:t>
            </w:r>
          </w:p>
        </w:tc>
        <w:tc>
          <w:tcPr>
            <w:tcW w:w="1134" w:type="dxa"/>
          </w:tcPr>
          <w:p w:rsidR="007C71D5" w:rsidRPr="002046A0" w:rsidRDefault="002046A0" w:rsidP="007C71D5">
            <w:pPr>
              <w:pStyle w:val="Tabletext"/>
              <w:rPr>
                <w:highlight w:val="black"/>
              </w:rPr>
            </w:pPr>
            <w:r>
              <w:rPr>
                <w:rStyle w:val="cell-value"/>
                <w:noProof/>
                <w:color w:val="000000"/>
                <w:highlight w:val="black"/>
              </w:rPr>
              <w:t>''''''''''''''''' ''''''''''''''''</w:t>
            </w:r>
            <w:r w:rsidR="007C71D5" w:rsidRPr="002046A0">
              <w:rPr>
                <w:rStyle w:val="cell-value"/>
                <w:highlight w:val="black"/>
              </w:rPr>
              <w:t xml:space="preserve"> </w:t>
            </w:r>
          </w:p>
        </w:tc>
        <w:tc>
          <w:tcPr>
            <w:tcW w:w="993" w:type="dxa"/>
          </w:tcPr>
          <w:p w:rsidR="007C71D5" w:rsidRPr="002046A0" w:rsidRDefault="002046A0" w:rsidP="007C71D5">
            <w:pPr>
              <w:pStyle w:val="Tabletext"/>
              <w:rPr>
                <w:highlight w:val="black"/>
              </w:rPr>
            </w:pPr>
            <w:r>
              <w:rPr>
                <w:rStyle w:val="block"/>
                <w:noProof/>
                <w:color w:val="000000"/>
                <w:highlight w:val="black"/>
              </w:rPr>
              <w:t>'''''''' '''' '''''''''''' ''''''''''''' '''''''''''</w:t>
            </w:r>
            <w:r w:rsidR="007C71D5" w:rsidRPr="002046A0">
              <w:rPr>
                <w:highlight w:val="black"/>
              </w:rPr>
              <w:t xml:space="preserve"> </w:t>
            </w:r>
          </w:p>
        </w:tc>
        <w:tc>
          <w:tcPr>
            <w:tcW w:w="2188" w:type="dxa"/>
          </w:tcPr>
          <w:p w:rsidR="007C71D5" w:rsidRPr="002046A0" w:rsidRDefault="002046A0" w:rsidP="007C71D5">
            <w:pPr>
              <w:pStyle w:val="Tabletext"/>
              <w:rPr>
                <w:rFonts w:cs="Tahoma"/>
                <w:highlight w:val="black"/>
              </w:rPr>
            </w:pPr>
            <w:r>
              <w:rPr>
                <w:rFonts w:eastAsia="Times New Roman"/>
                <w:bCs/>
                <w:noProof/>
                <w:color w:val="000000"/>
                <w:highlight w:val="black"/>
              </w:rPr>
              <w:t>''''''''' '''''''''''' '''''''' ''''''''''''''</w:t>
            </w:r>
            <w:r>
              <w:rPr>
                <w:rFonts w:eastAsia="Times New Roman"/>
                <w:bCs/>
                <w:noProof/>
                <w:color w:val="000000"/>
                <w:highlight w:val="black"/>
              </w:rPr>
              <w:br/>
              <w:t>''''''''''''' '''''' ''''''''''''' ''''' ''''''''' ''''''''''''''</w:t>
            </w:r>
            <w:r w:rsidR="007C71D5" w:rsidRPr="002046A0">
              <w:rPr>
                <w:rFonts w:eastAsia="Times New Roman"/>
                <w:highlight w:val="black"/>
              </w:rPr>
              <w:t xml:space="preserve"> </w:t>
            </w:r>
          </w:p>
        </w:tc>
        <w:tc>
          <w:tcPr>
            <w:tcW w:w="1214" w:type="dxa"/>
          </w:tcPr>
          <w:p w:rsidR="007C71D5" w:rsidRPr="00F05153" w:rsidRDefault="007C71D5" w:rsidP="002B03AB">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7C71D5" w:rsidRPr="00F05153" w:rsidRDefault="007C71D5" w:rsidP="002B03AB">
            <w:pPr>
              <w:pStyle w:val="Tabletext"/>
              <w:rPr>
                <w:rFonts w:ascii="Cambria Math" w:eastAsia="Times New Roman" w:hAnsi="Cambria Math" w:cs="Cambria Math"/>
                <w:bCs/>
                <w:color w:val="00B050"/>
              </w:rPr>
            </w:pPr>
            <w:r w:rsidRPr="00F05153">
              <w:rPr>
                <w:rFonts w:cs="Tahoma"/>
              </w:rPr>
              <w:t>Important</w:t>
            </w:r>
          </w:p>
        </w:tc>
      </w:tr>
    </w:tbl>
    <w:p w:rsidR="00CC3BA4" w:rsidRPr="00F05153" w:rsidRDefault="00CC3BA4" w:rsidP="004A42D5">
      <w:pPr>
        <w:pStyle w:val="Tablenote"/>
      </w:pPr>
      <w:proofErr w:type="gramStart"/>
      <w:r w:rsidRPr="00F05153">
        <w:rPr>
          <w:vertAlign w:val="superscript"/>
        </w:rPr>
        <w:t>a</w:t>
      </w:r>
      <w:proofErr w:type="gramEnd"/>
      <w:r w:rsidRPr="00F05153">
        <w:rPr>
          <w:vertAlign w:val="superscript"/>
        </w:rPr>
        <w:t xml:space="preserve"> </w:t>
      </w:r>
      <w:r w:rsidRPr="00F05153">
        <w:t>Other considerations such as publication bias and effect size</w:t>
      </w:r>
    </w:p>
    <w:p w:rsidR="00CC3BA4" w:rsidRPr="00F05153" w:rsidRDefault="00CC3BA4" w:rsidP="004A42D5">
      <w:pPr>
        <w:pStyle w:val="Tablenote"/>
      </w:pPr>
      <w:proofErr w:type="gramStart"/>
      <w:r w:rsidRPr="00F05153">
        <w:rPr>
          <w:vertAlign w:val="superscript"/>
        </w:rPr>
        <w:t>b</w:t>
      </w:r>
      <w:proofErr w:type="gramEnd"/>
      <w:r w:rsidRPr="00F05153">
        <w:rPr>
          <w:vertAlign w:val="superscript"/>
        </w:rPr>
        <w:t xml:space="preserve"> </w:t>
      </w:r>
      <w:r w:rsidRPr="00F05153">
        <w:t>GRADE Working Group grades of evidence</w:t>
      </w:r>
      <w:r w:rsidR="001D34EE" w:rsidRPr="00F05153">
        <w:rPr>
          <w:noProof/>
          <w:vertAlign w:val="superscript"/>
        </w:rPr>
        <w:t>1</w:t>
      </w:r>
    </w:p>
    <w:p w:rsidR="0079256B" w:rsidRPr="00F05153" w:rsidRDefault="0079256B" w:rsidP="004A42D5">
      <w:pPr>
        <w:pStyle w:val="Tablenote"/>
      </w:pPr>
      <w:proofErr w:type="gramStart"/>
      <w:r w:rsidRPr="00F05153">
        <w:rPr>
          <w:vertAlign w:val="superscript"/>
        </w:rPr>
        <w:t>c</w:t>
      </w:r>
      <w:proofErr w:type="gramEnd"/>
      <w:r w:rsidRPr="00F05153">
        <w:rPr>
          <w:vertAlign w:val="superscript"/>
        </w:rPr>
        <w:t xml:space="preserve"> </w:t>
      </w:r>
      <w:r w:rsidRPr="00F05153">
        <w:t>Surrogate outcome</w:t>
      </w:r>
    </w:p>
    <w:p w:rsidR="00CC3BA4" w:rsidRPr="00F05153" w:rsidRDefault="00CC3BA4" w:rsidP="004A42D5">
      <w:pPr>
        <w:pStyle w:val="Tablenote"/>
      </w:pPr>
      <w:r w:rsidRPr="00F05153">
        <w:rPr>
          <w:rFonts w:ascii="Cambria Math" w:hAnsi="Cambria Math" w:cs="Cambria Math"/>
          <w:color w:val="00B050"/>
        </w:rPr>
        <w:t>⨁⨁⨁⨁</w:t>
      </w:r>
      <w:r w:rsidRPr="00F05153">
        <w:rPr>
          <w:color w:val="00B050"/>
        </w:rPr>
        <w:t xml:space="preserve"> </w:t>
      </w:r>
      <w:r w:rsidRPr="00F05153">
        <w:rPr>
          <w:b/>
        </w:rPr>
        <w:t>High quality:</w:t>
      </w:r>
      <w:r w:rsidRPr="00F05153">
        <w:t xml:space="preserve"> We are very confident that the true effect lies close to that of the estimate of effect</w:t>
      </w:r>
    </w:p>
    <w:p w:rsidR="00BD489D" w:rsidRPr="00F05153" w:rsidRDefault="00CC3BA4" w:rsidP="004A42D5">
      <w:pPr>
        <w:pStyle w:val="Tablenote"/>
      </w:pPr>
      <w:r w:rsidRPr="00F05153">
        <w:t xml:space="preserve">AE = adverse event; CI = confidence interval; ERA = endothelin receptor antagonist; </w:t>
      </w:r>
      <w:r w:rsidR="00385E5A" w:rsidRPr="00F05153">
        <w:t>GRADE = grading of recommendations assessment, development and evaluation</w:t>
      </w:r>
      <w:r w:rsidR="001D34EE" w:rsidRPr="00F05153">
        <w:rPr>
          <w:noProof/>
          <w:vertAlign w:val="superscript"/>
        </w:rPr>
        <w:t>1</w:t>
      </w:r>
      <w:r w:rsidR="00BD489D" w:rsidRPr="00F05153">
        <w:t xml:space="preserve">; </w:t>
      </w:r>
      <w:r w:rsidRPr="00F05153">
        <w:t>PAH = pulmonary arterial hypertension; PDE-5</w:t>
      </w:r>
      <w:r w:rsidR="00C871F2" w:rsidRPr="00F05153">
        <w:t>i</w:t>
      </w:r>
      <w:r w:rsidRPr="00F05153">
        <w:t xml:space="preserve"> = phosphodiesterase type-5</w:t>
      </w:r>
      <w:r w:rsidR="00C871F2" w:rsidRPr="00F05153">
        <w:t xml:space="preserve"> inhibitor</w:t>
      </w:r>
      <w:r w:rsidRPr="00F05153">
        <w:t>; RCT = randomised controlled trial; RR = relative risk</w:t>
      </w:r>
    </w:p>
    <w:p w:rsidR="002856B6" w:rsidRDefault="002856B6">
      <w:pPr>
        <w:spacing w:before="0" w:line="240" w:lineRule="auto"/>
        <w:rPr>
          <w:b/>
          <w:iCs/>
          <w:szCs w:val="18"/>
        </w:rPr>
      </w:pPr>
      <w:bookmarkStart w:id="516" w:name="_Ref505765521"/>
      <w:bookmarkStart w:id="517" w:name="_Toc38360450"/>
      <w:r>
        <w:br w:type="page"/>
      </w:r>
    </w:p>
    <w:p w:rsidR="00CC3BA4" w:rsidRPr="00F05153" w:rsidRDefault="00796F18" w:rsidP="00BC5A2B">
      <w:pPr>
        <w:pStyle w:val="Caption"/>
      </w:pPr>
      <w:r w:rsidRPr="00F05153">
        <w:lastRenderedPageBreak/>
        <w:t>Table 4.</w:t>
      </w:r>
      <w:r w:rsidR="003951FA">
        <w:rPr>
          <w:noProof/>
        </w:rPr>
        <w:t>153</w:t>
      </w:r>
      <w:bookmarkEnd w:id="516"/>
      <w:r w:rsidRPr="00F05153">
        <w:tab/>
      </w:r>
      <w:r w:rsidR="00CC3BA4" w:rsidRPr="00F05153">
        <w:t>Evidence profile table for comparative safety of ERA + PDE-5 inhibitor combination therapy compared to PDE-5 inhibitor monotherapy for patients with different PAH aetiologies</w:t>
      </w:r>
      <w:bookmarkEnd w:id="517"/>
    </w:p>
    <w:tbl>
      <w:tblPr>
        <w:tblStyle w:val="TableGrid"/>
        <w:tblW w:w="14596" w:type="dxa"/>
        <w:tblLayout w:type="fixed"/>
        <w:tblLook w:val="04A0" w:firstRow="1" w:lastRow="0" w:firstColumn="1" w:lastColumn="0" w:noHBand="0" w:noVBand="1"/>
        <w:tblCaption w:val="Evidence profile table for comparative safety of ERA + PDE-5 inhibitor combination therapy compared to PDE-5 inhibitor monotherapy for patients with different PAH aetiologies"/>
      </w:tblPr>
      <w:tblGrid>
        <w:gridCol w:w="1493"/>
        <w:gridCol w:w="1054"/>
        <w:gridCol w:w="771"/>
        <w:gridCol w:w="1072"/>
        <w:gridCol w:w="992"/>
        <w:gridCol w:w="992"/>
        <w:gridCol w:w="1276"/>
        <w:gridCol w:w="1417"/>
        <w:gridCol w:w="1134"/>
        <w:gridCol w:w="993"/>
        <w:gridCol w:w="2188"/>
        <w:gridCol w:w="1214"/>
      </w:tblGrid>
      <w:tr w:rsidR="00F13836" w:rsidRPr="00F05153" w:rsidTr="001363C5">
        <w:trPr>
          <w:cnfStyle w:val="100000000000" w:firstRow="1" w:lastRow="0" w:firstColumn="0" w:lastColumn="0" w:oddVBand="0" w:evenVBand="0" w:oddHBand="0" w:evenHBand="0" w:firstRowFirstColumn="0" w:firstRowLastColumn="0" w:lastRowFirstColumn="0" w:lastRowLastColumn="0"/>
          <w:trHeight w:val="473"/>
        </w:trPr>
        <w:tc>
          <w:tcPr>
            <w:tcW w:w="1493" w:type="dxa"/>
          </w:tcPr>
          <w:p w:rsidR="00476F09" w:rsidRPr="00F05153" w:rsidRDefault="00476F09" w:rsidP="004A42D5">
            <w:pPr>
              <w:pStyle w:val="Tabletext"/>
              <w:rPr>
                <w:b/>
              </w:rPr>
            </w:pPr>
            <w:r w:rsidRPr="00F05153">
              <w:rPr>
                <w:b/>
              </w:rPr>
              <w:t>Outcome (follow-up)</w:t>
            </w:r>
          </w:p>
        </w:tc>
        <w:tc>
          <w:tcPr>
            <w:tcW w:w="1054" w:type="dxa"/>
          </w:tcPr>
          <w:p w:rsidR="00476F09" w:rsidRPr="00F05153" w:rsidRDefault="00476F09" w:rsidP="004A42D5">
            <w:pPr>
              <w:pStyle w:val="Tabletext"/>
              <w:rPr>
                <w:b/>
              </w:rPr>
            </w:pPr>
            <w:r w:rsidRPr="00F05153">
              <w:rPr>
                <w:b/>
              </w:rPr>
              <w:t>No. of studies and study design</w:t>
            </w:r>
          </w:p>
        </w:tc>
        <w:tc>
          <w:tcPr>
            <w:tcW w:w="771" w:type="dxa"/>
          </w:tcPr>
          <w:p w:rsidR="00476F09" w:rsidRPr="00F05153" w:rsidRDefault="00476F09" w:rsidP="004A42D5">
            <w:pPr>
              <w:pStyle w:val="Tabletext"/>
              <w:rPr>
                <w:b/>
              </w:rPr>
            </w:pPr>
            <w:r w:rsidRPr="00F05153">
              <w:rPr>
                <w:b/>
              </w:rPr>
              <w:t>Risk of bias</w:t>
            </w:r>
          </w:p>
        </w:tc>
        <w:tc>
          <w:tcPr>
            <w:tcW w:w="1072" w:type="dxa"/>
          </w:tcPr>
          <w:p w:rsidR="00476F09" w:rsidRPr="00F05153" w:rsidRDefault="00476F09" w:rsidP="004A42D5">
            <w:pPr>
              <w:pStyle w:val="Tabletext"/>
              <w:rPr>
                <w:b/>
              </w:rPr>
            </w:pPr>
            <w:r w:rsidRPr="00F05153">
              <w:rPr>
                <w:b/>
              </w:rPr>
              <w:t>Inconsis</w:t>
            </w:r>
            <w:r w:rsidR="001363C5" w:rsidRPr="00F05153">
              <w:rPr>
                <w:b/>
              </w:rPr>
              <w:t>-</w:t>
            </w:r>
            <w:r w:rsidRPr="00F05153">
              <w:rPr>
                <w:b/>
              </w:rPr>
              <w:t>tency</w:t>
            </w:r>
          </w:p>
        </w:tc>
        <w:tc>
          <w:tcPr>
            <w:tcW w:w="992" w:type="dxa"/>
          </w:tcPr>
          <w:p w:rsidR="00476F09" w:rsidRPr="00F05153" w:rsidRDefault="00476F09" w:rsidP="004A42D5">
            <w:pPr>
              <w:pStyle w:val="Tabletext"/>
              <w:rPr>
                <w:b/>
              </w:rPr>
            </w:pPr>
            <w:r w:rsidRPr="00F05153">
              <w:rPr>
                <w:b/>
              </w:rPr>
              <w:t>Indirect</w:t>
            </w:r>
            <w:r w:rsidR="001363C5" w:rsidRPr="00F05153">
              <w:rPr>
                <w:b/>
              </w:rPr>
              <w:t>-</w:t>
            </w:r>
            <w:r w:rsidRPr="00F05153">
              <w:rPr>
                <w:b/>
              </w:rPr>
              <w:t>ness</w:t>
            </w:r>
          </w:p>
        </w:tc>
        <w:tc>
          <w:tcPr>
            <w:tcW w:w="992" w:type="dxa"/>
          </w:tcPr>
          <w:p w:rsidR="00476F09" w:rsidRPr="00F05153" w:rsidRDefault="00476F09" w:rsidP="004A42D5">
            <w:pPr>
              <w:pStyle w:val="Tabletext"/>
              <w:rPr>
                <w:b/>
              </w:rPr>
            </w:pPr>
            <w:r w:rsidRPr="00F05153">
              <w:rPr>
                <w:b/>
              </w:rPr>
              <w:t>Impre</w:t>
            </w:r>
            <w:r w:rsidR="001363C5" w:rsidRPr="00F05153">
              <w:rPr>
                <w:b/>
              </w:rPr>
              <w:t>-</w:t>
            </w:r>
            <w:r w:rsidRPr="00F05153">
              <w:rPr>
                <w:b/>
              </w:rPr>
              <w:t>cision</w:t>
            </w:r>
          </w:p>
        </w:tc>
        <w:tc>
          <w:tcPr>
            <w:tcW w:w="1276" w:type="dxa"/>
          </w:tcPr>
          <w:p w:rsidR="00476F09" w:rsidRPr="00F05153" w:rsidRDefault="00476F09" w:rsidP="004A42D5">
            <w:pPr>
              <w:pStyle w:val="Tabletext"/>
              <w:rPr>
                <w:b/>
              </w:rPr>
            </w:pPr>
            <w:r w:rsidRPr="00F05153">
              <w:rPr>
                <w:b/>
              </w:rPr>
              <w:t>Other conside</w:t>
            </w:r>
            <w:r w:rsidR="001363C5" w:rsidRPr="00F05153">
              <w:rPr>
                <w:b/>
              </w:rPr>
              <w:t>-</w:t>
            </w:r>
            <w:r w:rsidRPr="00F05153">
              <w:rPr>
                <w:b/>
              </w:rPr>
              <w:t>rations</w:t>
            </w:r>
            <w:r w:rsidRPr="00F05153">
              <w:rPr>
                <w:b/>
                <w:vertAlign w:val="superscript"/>
              </w:rPr>
              <w:t>a</w:t>
            </w:r>
          </w:p>
        </w:tc>
        <w:tc>
          <w:tcPr>
            <w:tcW w:w="1417" w:type="dxa"/>
          </w:tcPr>
          <w:p w:rsidR="00476F09" w:rsidRPr="00F05153" w:rsidRDefault="00476F09" w:rsidP="004A42D5">
            <w:pPr>
              <w:pStyle w:val="Tabletext"/>
              <w:rPr>
                <w:b/>
              </w:rPr>
            </w:pPr>
            <w:r w:rsidRPr="00F05153">
              <w:rPr>
                <w:b/>
              </w:rPr>
              <w:t>Study event rates (%) with ERA + PDE-5i</w:t>
            </w:r>
          </w:p>
        </w:tc>
        <w:tc>
          <w:tcPr>
            <w:tcW w:w="1134" w:type="dxa"/>
          </w:tcPr>
          <w:p w:rsidR="00476F09" w:rsidRPr="00F05153" w:rsidRDefault="00476F09" w:rsidP="004A42D5">
            <w:pPr>
              <w:pStyle w:val="Tabletext"/>
              <w:rPr>
                <w:b/>
              </w:rPr>
            </w:pPr>
            <w:r w:rsidRPr="00F05153">
              <w:rPr>
                <w:b/>
              </w:rPr>
              <w:t>Study event rates (%) with PDE-5i</w:t>
            </w:r>
          </w:p>
        </w:tc>
        <w:tc>
          <w:tcPr>
            <w:tcW w:w="993" w:type="dxa"/>
          </w:tcPr>
          <w:p w:rsidR="00476F09" w:rsidRPr="00F05153" w:rsidRDefault="00476F09" w:rsidP="004A42D5">
            <w:pPr>
              <w:pStyle w:val="Tabletext"/>
              <w:rPr>
                <w:b/>
              </w:rPr>
            </w:pPr>
            <w:r w:rsidRPr="00F05153">
              <w:rPr>
                <w:b/>
              </w:rPr>
              <w:t>Effect measure (95%CI)</w:t>
            </w:r>
          </w:p>
        </w:tc>
        <w:tc>
          <w:tcPr>
            <w:tcW w:w="2188" w:type="dxa"/>
          </w:tcPr>
          <w:p w:rsidR="00476F09" w:rsidRPr="00F05153" w:rsidRDefault="00476F09" w:rsidP="004A42D5">
            <w:pPr>
              <w:pStyle w:val="Tabletext"/>
              <w:rPr>
                <w:b/>
              </w:rPr>
            </w:pPr>
            <w:r w:rsidRPr="00F05153">
              <w:rPr>
                <w:b/>
              </w:rPr>
              <w:t>Absolute effect (95%CI)</w:t>
            </w:r>
          </w:p>
        </w:tc>
        <w:tc>
          <w:tcPr>
            <w:tcW w:w="1214" w:type="dxa"/>
          </w:tcPr>
          <w:p w:rsidR="00C871F2" w:rsidRPr="00F05153" w:rsidRDefault="00C871F2" w:rsidP="004A42D5">
            <w:pPr>
              <w:pStyle w:val="Tabletext"/>
              <w:rPr>
                <w:b/>
              </w:rPr>
            </w:pPr>
            <w:r w:rsidRPr="00F05153">
              <w:rPr>
                <w:b/>
              </w:rPr>
              <w:t>GRADE</w:t>
            </w:r>
            <w:r w:rsidRPr="00F05153">
              <w:rPr>
                <w:b/>
                <w:vertAlign w:val="superscript"/>
              </w:rPr>
              <w:t>b</w:t>
            </w:r>
          </w:p>
          <w:p w:rsidR="00476F09" w:rsidRPr="00F05153" w:rsidRDefault="00476F09" w:rsidP="004A42D5">
            <w:pPr>
              <w:pStyle w:val="Tabletext"/>
              <w:rPr>
                <w:b/>
                <w:vertAlign w:val="superscript"/>
              </w:rPr>
            </w:pPr>
            <w:r w:rsidRPr="00F05153">
              <w:rPr>
                <w:b/>
              </w:rPr>
              <w:t>Quality</w:t>
            </w:r>
          </w:p>
          <w:p w:rsidR="00476F09" w:rsidRPr="00F05153" w:rsidRDefault="00476F09" w:rsidP="004A42D5">
            <w:pPr>
              <w:pStyle w:val="Tabletext"/>
              <w:rPr>
                <w:b/>
              </w:rPr>
            </w:pPr>
            <w:r w:rsidRPr="00F05153">
              <w:rPr>
                <w:b/>
              </w:rPr>
              <w:t>Importance</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Any AE in IPAH/HPAH</w:t>
            </w:r>
            <w:r w:rsidRPr="00F05153">
              <w:rPr>
                <w:rFonts w:cs="Tahoma"/>
              </w:rPr>
              <w:br/>
              <w:t>(24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cs="Tahoma"/>
              </w:rPr>
            </w:pPr>
            <w:r w:rsidRPr="00F05153">
              <w:rPr>
                <w:rFonts w:cs="Tahoma"/>
              </w:rPr>
              <w:t>130/134 (97.0%)</w:t>
            </w:r>
          </w:p>
        </w:tc>
        <w:tc>
          <w:tcPr>
            <w:tcW w:w="1134" w:type="dxa"/>
          </w:tcPr>
          <w:p w:rsidR="00CC3BA4" w:rsidRPr="00F05153" w:rsidRDefault="00CC3BA4" w:rsidP="004A42D5">
            <w:pPr>
              <w:pStyle w:val="Tabletext"/>
              <w:rPr>
                <w:rFonts w:cs="Tahoma"/>
              </w:rPr>
            </w:pPr>
            <w:r w:rsidRPr="00F05153">
              <w:rPr>
                <w:rFonts w:cs="Tahoma"/>
              </w:rPr>
              <w:t>65/70 (92.9%)</w:t>
            </w:r>
          </w:p>
        </w:tc>
        <w:tc>
          <w:tcPr>
            <w:tcW w:w="993" w:type="dxa"/>
          </w:tcPr>
          <w:p w:rsidR="00CC3BA4" w:rsidRPr="00F05153" w:rsidRDefault="00CC3BA4" w:rsidP="004A42D5">
            <w:pPr>
              <w:pStyle w:val="Tabletext"/>
              <w:rPr>
                <w:rFonts w:cs="Tahoma"/>
              </w:rPr>
            </w:pPr>
            <w:r w:rsidRPr="00F05153">
              <w:rPr>
                <w:rFonts w:cs="Tahoma"/>
              </w:rPr>
              <w:t>RR = 1.04 (0.97, 1.12)</w:t>
            </w:r>
          </w:p>
        </w:tc>
        <w:tc>
          <w:tcPr>
            <w:tcW w:w="2188" w:type="dxa"/>
          </w:tcPr>
          <w:p w:rsidR="00CC3BA4" w:rsidRPr="00F05153" w:rsidRDefault="00CC3BA4" w:rsidP="004A42D5">
            <w:pPr>
              <w:pStyle w:val="Tabletext"/>
              <w:rPr>
                <w:rFonts w:cs="Tahoma"/>
              </w:rPr>
            </w:pPr>
            <w:r w:rsidRPr="00F05153">
              <w:rPr>
                <w:rFonts w:cs="Tahoma"/>
              </w:rPr>
              <w:t>37 more per 1,000</w:t>
            </w:r>
            <w:r w:rsidRPr="00F05153">
              <w:rPr>
                <w:rFonts w:cs="Tahoma"/>
              </w:rPr>
              <w:br/>
              <w:t>(from 28 fewer to 111 more)</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Any AE in PAH-CTD</w:t>
            </w:r>
            <w:r w:rsidRPr="00F05153">
              <w:rPr>
                <w:rFonts w:cs="Tahoma"/>
              </w:rPr>
              <w:br/>
              <w:t>(24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eastAsia="Times New Roman"/>
              </w:rPr>
            </w:pPr>
            <w:r w:rsidRPr="00F05153">
              <w:rPr>
                <w:rFonts w:eastAsia="Times New Roman"/>
              </w:rPr>
              <w:t>102/103 (99.0%)</w:t>
            </w:r>
          </w:p>
        </w:tc>
        <w:tc>
          <w:tcPr>
            <w:tcW w:w="1134" w:type="dxa"/>
          </w:tcPr>
          <w:p w:rsidR="00CC3BA4" w:rsidRPr="00F05153" w:rsidRDefault="00CC3BA4" w:rsidP="004A42D5">
            <w:pPr>
              <w:pStyle w:val="Tabletext"/>
              <w:rPr>
                <w:rFonts w:eastAsia="Times New Roman"/>
              </w:rPr>
            </w:pPr>
            <w:r w:rsidRPr="00F05153">
              <w:rPr>
                <w:rFonts w:eastAsia="Times New Roman"/>
              </w:rPr>
              <w:t>39/40 (97.5%)</w:t>
            </w:r>
          </w:p>
        </w:tc>
        <w:tc>
          <w:tcPr>
            <w:tcW w:w="993" w:type="dxa"/>
          </w:tcPr>
          <w:p w:rsidR="00CC3BA4" w:rsidRPr="00F05153" w:rsidRDefault="00CC3BA4" w:rsidP="004A42D5">
            <w:pPr>
              <w:pStyle w:val="Tabletext"/>
              <w:rPr>
                <w:rFonts w:eastAsia="Times New Roman"/>
              </w:rPr>
            </w:pPr>
            <w:r w:rsidRPr="00F05153">
              <w:rPr>
                <w:rFonts w:eastAsia="Times New Roman"/>
              </w:rPr>
              <w:t>RR = 1.02 (0.96, 1.07)</w:t>
            </w:r>
          </w:p>
        </w:tc>
        <w:tc>
          <w:tcPr>
            <w:tcW w:w="2188" w:type="dxa"/>
          </w:tcPr>
          <w:p w:rsidR="00CC3BA4" w:rsidRPr="00F05153" w:rsidRDefault="00CC3BA4" w:rsidP="004A42D5">
            <w:pPr>
              <w:pStyle w:val="Tabletext"/>
              <w:rPr>
                <w:rFonts w:eastAsia="Times New Roman"/>
                <w:bCs/>
              </w:rPr>
            </w:pPr>
            <w:r w:rsidRPr="00F05153">
              <w:rPr>
                <w:rFonts w:eastAsia="Times New Roman"/>
              </w:rPr>
              <w:t>20 more per 1,000</w:t>
            </w:r>
            <w:r w:rsidRPr="00F05153">
              <w:rPr>
                <w:rFonts w:eastAsia="Times New Roman"/>
              </w:rPr>
              <w:br/>
              <w:t>(from 39 fewer to 68 more)</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ascii="Cambria Math" w:eastAsia="Times New Roman" w:hAnsi="Cambria Math" w:cs="Cambria Math"/>
                <w:bCs/>
                <w:color w:val="00B050"/>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Serious AEs in IPAH/HPAH</w:t>
            </w:r>
            <w:r w:rsidRPr="00F05153">
              <w:rPr>
                <w:rFonts w:cs="Tahoma"/>
              </w:rPr>
              <w:br/>
              <w:t>(24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cs="Tahoma"/>
              </w:rPr>
            </w:pPr>
            <w:r w:rsidRPr="00F05153">
              <w:rPr>
                <w:rFonts w:cs="Tahoma"/>
              </w:rPr>
              <w:t>44/134 (32.8%)</w:t>
            </w:r>
          </w:p>
        </w:tc>
        <w:tc>
          <w:tcPr>
            <w:tcW w:w="1134" w:type="dxa"/>
          </w:tcPr>
          <w:p w:rsidR="00CC3BA4" w:rsidRPr="00F05153" w:rsidRDefault="00CC3BA4" w:rsidP="004A42D5">
            <w:pPr>
              <w:pStyle w:val="Tabletext"/>
              <w:rPr>
                <w:rFonts w:cs="Tahoma"/>
              </w:rPr>
            </w:pPr>
            <w:r w:rsidRPr="00F05153">
              <w:rPr>
                <w:rFonts w:cs="Tahoma"/>
              </w:rPr>
              <w:t>27/70 (38.6%)</w:t>
            </w:r>
          </w:p>
        </w:tc>
        <w:tc>
          <w:tcPr>
            <w:tcW w:w="993" w:type="dxa"/>
          </w:tcPr>
          <w:p w:rsidR="00CC3BA4" w:rsidRPr="00F05153" w:rsidRDefault="00CC3BA4" w:rsidP="004A42D5">
            <w:pPr>
              <w:pStyle w:val="Tabletext"/>
              <w:rPr>
                <w:rFonts w:cs="Tahoma"/>
              </w:rPr>
            </w:pPr>
            <w:r w:rsidRPr="00F05153">
              <w:rPr>
                <w:rFonts w:cs="Tahoma"/>
              </w:rPr>
              <w:t>RR = 0.85 (0.58, 1.25)</w:t>
            </w:r>
          </w:p>
        </w:tc>
        <w:tc>
          <w:tcPr>
            <w:tcW w:w="2188" w:type="dxa"/>
          </w:tcPr>
          <w:p w:rsidR="00CC3BA4" w:rsidRPr="00F05153" w:rsidRDefault="00CC3BA4" w:rsidP="004A42D5">
            <w:pPr>
              <w:pStyle w:val="Tabletext"/>
              <w:rPr>
                <w:rFonts w:cs="Tahoma"/>
              </w:rPr>
            </w:pPr>
            <w:r w:rsidRPr="00F05153">
              <w:rPr>
                <w:rFonts w:cs="Tahoma"/>
              </w:rPr>
              <w:t>58 fewer per 1,000</w:t>
            </w:r>
            <w:r w:rsidRPr="00F05153">
              <w:rPr>
                <w:rFonts w:cs="Tahoma"/>
              </w:rPr>
              <w:br/>
              <w:t>(from 96 more to 162 fewer)</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Serious AEs in PAH-CTD</w:t>
            </w:r>
            <w:r w:rsidRPr="00F05153">
              <w:rPr>
                <w:rFonts w:cs="Tahoma"/>
              </w:rPr>
              <w:br/>
              <w:t>(24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cs="Tahoma"/>
              </w:rPr>
            </w:pPr>
            <w:r w:rsidRPr="00F05153">
              <w:rPr>
                <w:rFonts w:cs="Tahoma"/>
              </w:rPr>
              <w:t>45/103 (43.7%)</w:t>
            </w:r>
          </w:p>
        </w:tc>
        <w:tc>
          <w:tcPr>
            <w:tcW w:w="1134" w:type="dxa"/>
          </w:tcPr>
          <w:p w:rsidR="00CC3BA4" w:rsidRPr="00F05153" w:rsidRDefault="00CC3BA4" w:rsidP="004A42D5">
            <w:pPr>
              <w:pStyle w:val="Tabletext"/>
              <w:rPr>
                <w:rFonts w:cs="Tahoma"/>
              </w:rPr>
            </w:pPr>
            <w:r w:rsidRPr="00F05153">
              <w:rPr>
                <w:rFonts w:cs="Tahoma"/>
              </w:rPr>
              <w:t>20/40 (50.0%)</w:t>
            </w:r>
          </w:p>
        </w:tc>
        <w:tc>
          <w:tcPr>
            <w:tcW w:w="993" w:type="dxa"/>
          </w:tcPr>
          <w:p w:rsidR="00CC3BA4" w:rsidRPr="00F05153" w:rsidRDefault="00CC3BA4" w:rsidP="00AD2B3C">
            <w:pPr>
              <w:pStyle w:val="Tabletext"/>
              <w:rPr>
                <w:rFonts w:cs="Tahoma"/>
              </w:rPr>
            </w:pPr>
            <w:r w:rsidRPr="00F05153">
              <w:rPr>
                <w:rFonts w:cs="Tahoma"/>
              </w:rPr>
              <w:t>RR = 0.87 (0.60, 1</w:t>
            </w:r>
            <w:r w:rsidR="00AD2B3C" w:rsidRPr="00F05153">
              <w:rPr>
                <w:rFonts w:cs="Tahoma"/>
              </w:rPr>
              <w:t>.28</w:t>
            </w:r>
            <w:r w:rsidRPr="00F05153">
              <w:rPr>
                <w:rFonts w:cs="Tahoma"/>
              </w:rPr>
              <w:t>)</w:t>
            </w:r>
          </w:p>
        </w:tc>
        <w:tc>
          <w:tcPr>
            <w:tcW w:w="2188" w:type="dxa"/>
          </w:tcPr>
          <w:p w:rsidR="00CC3BA4" w:rsidRPr="00F05153" w:rsidRDefault="00CC3BA4" w:rsidP="004D2553">
            <w:pPr>
              <w:pStyle w:val="Tabletext"/>
              <w:rPr>
                <w:rFonts w:cs="Tahoma"/>
              </w:rPr>
            </w:pPr>
            <w:r w:rsidRPr="00F05153">
              <w:rPr>
                <w:rFonts w:cs="Tahoma"/>
              </w:rPr>
              <w:t>65 fewer per 1,000</w:t>
            </w:r>
            <w:r w:rsidRPr="00F05153">
              <w:rPr>
                <w:rFonts w:cs="Tahoma"/>
              </w:rPr>
              <w:br/>
              <w:t xml:space="preserve">(from </w:t>
            </w:r>
            <w:r w:rsidR="004D2553" w:rsidRPr="00F05153">
              <w:rPr>
                <w:rFonts w:cs="Tahoma"/>
              </w:rPr>
              <w:t xml:space="preserve">140 more </w:t>
            </w:r>
            <w:r w:rsidRPr="00F05153">
              <w:rPr>
                <w:rFonts w:cs="Tahoma"/>
              </w:rPr>
              <w:t>to</w:t>
            </w:r>
            <w:r w:rsidR="00EA3D9F" w:rsidRPr="00F05153">
              <w:rPr>
                <w:rFonts w:cs="Tahoma"/>
              </w:rPr>
              <w:t xml:space="preserve"> </w:t>
            </w:r>
            <w:r w:rsidR="004D2553" w:rsidRPr="00F05153">
              <w:rPr>
                <w:rFonts w:cs="Tahoma"/>
              </w:rPr>
              <w:t>200 fewer</w:t>
            </w:r>
            <w:r w:rsidRPr="00F05153">
              <w:rPr>
                <w:rFonts w:cs="Tahoma"/>
              </w:rPr>
              <w:t>)</w:t>
            </w:r>
          </w:p>
        </w:tc>
        <w:tc>
          <w:tcPr>
            <w:tcW w:w="1214" w:type="dxa"/>
          </w:tcPr>
          <w:p w:rsidR="00CC3BA4" w:rsidRPr="00F05153" w:rsidRDefault="00CC3BA4" w:rsidP="004A42D5">
            <w:pPr>
              <w:pStyle w:val="Tabletext"/>
              <w:rPr>
                <w:rFonts w:ascii="Cambria Math" w:eastAsia="Times New Roman" w:hAnsi="Cambria Math" w:cs="Cambria Math"/>
                <w:bCs/>
              </w:rPr>
            </w:pPr>
            <w:r w:rsidRPr="00F05153">
              <w:rPr>
                <w:rFonts w:eastAsia="Times New Roman" w:cs="Tahoma"/>
                <w:bCs/>
              </w:rPr>
              <w:t>High</w:t>
            </w:r>
            <w:r w:rsidRPr="00F05153">
              <w:rPr>
                <w:rFonts w:eastAsia="Times New Roman" w:cs="Tahoma"/>
                <w:bCs/>
              </w:rPr>
              <w:br/>
            </w:r>
            <w:r w:rsidRPr="00F05153">
              <w:rPr>
                <w:rFonts w:ascii="Cambria Math" w:eastAsia="Times New Roman" w:hAnsi="Cambria Math" w:cs="Cambria Math"/>
                <w:bCs/>
                <w:color w:val="00B050"/>
              </w:rPr>
              <w:t>⨁⨁⨁⨁</w:t>
            </w:r>
          </w:p>
          <w:p w:rsidR="00CC3BA4" w:rsidRPr="00F05153" w:rsidRDefault="00CC3BA4" w:rsidP="004A42D5">
            <w:pPr>
              <w:pStyle w:val="Tabletext"/>
              <w:rPr>
                <w:rFonts w:cs="Tahoma"/>
              </w:rPr>
            </w:pPr>
            <w:r w:rsidRPr="00F05153">
              <w:rPr>
                <w:rFonts w:cs="Tahoma"/>
              </w:rPr>
              <w:t>Important</w:t>
            </w:r>
          </w:p>
        </w:tc>
      </w:tr>
      <w:tr w:rsidR="00CC3BA4" w:rsidRPr="00F05153" w:rsidTr="001363C5">
        <w:trPr>
          <w:trHeight w:val="319"/>
        </w:trPr>
        <w:tc>
          <w:tcPr>
            <w:tcW w:w="1493" w:type="dxa"/>
          </w:tcPr>
          <w:p w:rsidR="00CC3BA4" w:rsidRPr="00F05153" w:rsidRDefault="00CC3BA4" w:rsidP="004A42D5">
            <w:pPr>
              <w:pStyle w:val="Tabletext"/>
              <w:rPr>
                <w:rFonts w:cs="Tahoma"/>
              </w:rPr>
            </w:pPr>
            <w:r w:rsidRPr="00F05153">
              <w:rPr>
                <w:rFonts w:cs="Tahoma"/>
              </w:rPr>
              <w:t>AEs leading to treatment discontinuation in IPAH/HPAH</w:t>
            </w:r>
            <w:r w:rsidRPr="00F05153">
              <w:rPr>
                <w:rFonts w:cs="Tahoma"/>
              </w:rPr>
              <w:br/>
              <w:t>(24 weeks)</w:t>
            </w:r>
          </w:p>
        </w:tc>
        <w:tc>
          <w:tcPr>
            <w:tcW w:w="1054" w:type="dxa"/>
          </w:tcPr>
          <w:p w:rsidR="00CC3BA4" w:rsidRPr="00F05153" w:rsidRDefault="00CC3BA4" w:rsidP="004A42D5">
            <w:pPr>
              <w:pStyle w:val="Tabletext"/>
              <w:rPr>
                <w:rFonts w:cs="Tahoma"/>
              </w:rPr>
            </w:pPr>
            <w:r w:rsidRPr="00F05153">
              <w:rPr>
                <w:rFonts w:cs="Tahoma"/>
              </w:rPr>
              <w:t>1 RCT</w:t>
            </w:r>
          </w:p>
        </w:tc>
        <w:tc>
          <w:tcPr>
            <w:tcW w:w="771" w:type="dxa"/>
          </w:tcPr>
          <w:p w:rsidR="00CC3BA4" w:rsidRPr="00F05153" w:rsidRDefault="00CC3BA4" w:rsidP="004A42D5">
            <w:pPr>
              <w:pStyle w:val="Tabletext"/>
              <w:rPr>
                <w:rFonts w:cs="Tahoma"/>
              </w:rPr>
            </w:pPr>
            <w:r w:rsidRPr="00F05153">
              <w:rPr>
                <w:rFonts w:cs="Tahoma"/>
              </w:rPr>
              <w:t>Not serious</w:t>
            </w:r>
          </w:p>
        </w:tc>
        <w:tc>
          <w:tcPr>
            <w:tcW w:w="107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CC3BA4" w:rsidP="004A42D5">
            <w:pPr>
              <w:pStyle w:val="Tabletext"/>
              <w:rPr>
                <w:rFonts w:cs="Tahoma"/>
              </w:rPr>
            </w:pPr>
            <w:r w:rsidRPr="00F05153">
              <w:rPr>
                <w:rFonts w:cs="Tahoma"/>
              </w:rPr>
              <w:t>Not serious</w:t>
            </w:r>
          </w:p>
        </w:tc>
        <w:tc>
          <w:tcPr>
            <w:tcW w:w="992" w:type="dxa"/>
          </w:tcPr>
          <w:p w:rsidR="00CC3BA4" w:rsidRPr="00F05153" w:rsidRDefault="00EA3D9F" w:rsidP="004A42D5">
            <w:pPr>
              <w:pStyle w:val="Tabletext"/>
              <w:rPr>
                <w:rFonts w:cs="Tahoma"/>
                <w:vertAlign w:val="superscript"/>
              </w:rPr>
            </w:pPr>
            <w:r w:rsidRPr="00F05153">
              <w:rPr>
                <w:rFonts w:cs="Tahoma"/>
              </w:rPr>
              <w:t>S</w:t>
            </w:r>
            <w:r w:rsidR="00CC3BA4" w:rsidRPr="00F05153">
              <w:rPr>
                <w:rFonts w:cs="Tahoma"/>
              </w:rPr>
              <w:t>erious</w:t>
            </w:r>
            <w:r w:rsidRPr="00F05153">
              <w:rPr>
                <w:rFonts w:cs="Tahoma"/>
                <w:vertAlign w:val="superscript"/>
              </w:rPr>
              <w:t xml:space="preserve"> c</w:t>
            </w:r>
          </w:p>
        </w:tc>
        <w:tc>
          <w:tcPr>
            <w:tcW w:w="1276" w:type="dxa"/>
          </w:tcPr>
          <w:p w:rsidR="00CC3BA4" w:rsidRPr="00F05153" w:rsidRDefault="00CC3BA4" w:rsidP="004A42D5">
            <w:pPr>
              <w:pStyle w:val="Tabletext"/>
              <w:rPr>
                <w:rFonts w:cs="Tahoma"/>
              </w:rPr>
            </w:pPr>
            <w:r w:rsidRPr="00F05153">
              <w:rPr>
                <w:rFonts w:cs="Tahoma"/>
              </w:rPr>
              <w:t>None</w:t>
            </w:r>
          </w:p>
        </w:tc>
        <w:tc>
          <w:tcPr>
            <w:tcW w:w="1417" w:type="dxa"/>
          </w:tcPr>
          <w:p w:rsidR="00CC3BA4" w:rsidRPr="00F05153" w:rsidRDefault="00CC3BA4" w:rsidP="004A42D5">
            <w:pPr>
              <w:pStyle w:val="Tabletext"/>
              <w:rPr>
                <w:rFonts w:cs="Tahoma"/>
              </w:rPr>
            </w:pPr>
            <w:r w:rsidRPr="00F05153">
              <w:rPr>
                <w:rFonts w:cs="Tahoma"/>
              </w:rPr>
              <w:t>15/134 (11.2%)</w:t>
            </w:r>
          </w:p>
        </w:tc>
        <w:tc>
          <w:tcPr>
            <w:tcW w:w="1134" w:type="dxa"/>
          </w:tcPr>
          <w:p w:rsidR="00CC3BA4" w:rsidRPr="00F05153" w:rsidRDefault="00CC3BA4" w:rsidP="004A42D5">
            <w:pPr>
              <w:pStyle w:val="Tabletext"/>
              <w:rPr>
                <w:rFonts w:cs="Tahoma"/>
              </w:rPr>
            </w:pPr>
            <w:r w:rsidRPr="00F05153">
              <w:rPr>
                <w:rFonts w:cs="Tahoma"/>
              </w:rPr>
              <w:t>8/70 (11.4%)</w:t>
            </w:r>
          </w:p>
        </w:tc>
        <w:tc>
          <w:tcPr>
            <w:tcW w:w="993" w:type="dxa"/>
          </w:tcPr>
          <w:p w:rsidR="00CC3BA4" w:rsidRPr="00F05153" w:rsidRDefault="00CC3BA4" w:rsidP="004A42D5">
            <w:pPr>
              <w:pStyle w:val="Tabletext"/>
              <w:rPr>
                <w:rFonts w:cs="Tahoma"/>
              </w:rPr>
            </w:pPr>
            <w:r w:rsidRPr="00F05153">
              <w:rPr>
                <w:rFonts w:cs="Tahoma"/>
              </w:rPr>
              <w:t>RR = 0.98 (0.44, 2.20)</w:t>
            </w:r>
          </w:p>
        </w:tc>
        <w:tc>
          <w:tcPr>
            <w:tcW w:w="2188" w:type="dxa"/>
          </w:tcPr>
          <w:p w:rsidR="00CC3BA4" w:rsidRPr="00F05153" w:rsidRDefault="00CC3BA4" w:rsidP="004A42D5">
            <w:pPr>
              <w:pStyle w:val="Tabletext"/>
              <w:rPr>
                <w:rFonts w:cs="Tahoma"/>
              </w:rPr>
            </w:pPr>
            <w:r w:rsidRPr="00F05153">
              <w:rPr>
                <w:rFonts w:cs="Tahoma"/>
              </w:rPr>
              <w:t>2 fewer per 1,000</w:t>
            </w:r>
            <w:r w:rsidRPr="00F05153">
              <w:rPr>
                <w:rFonts w:cs="Tahoma"/>
              </w:rPr>
              <w:br/>
              <w:t>(from 64 fewer to 137 more)</w:t>
            </w:r>
          </w:p>
        </w:tc>
        <w:tc>
          <w:tcPr>
            <w:tcW w:w="1214" w:type="dxa"/>
          </w:tcPr>
          <w:p w:rsidR="00CC3BA4" w:rsidRPr="00F05153" w:rsidRDefault="00EA3D9F" w:rsidP="004A42D5">
            <w:pPr>
              <w:pStyle w:val="Tabletext"/>
              <w:rPr>
                <w:rFonts w:ascii="Cambria Math" w:eastAsia="Times New Roman" w:hAnsi="Cambria Math" w:cs="Cambria Math"/>
                <w:bCs/>
              </w:rPr>
            </w:pPr>
            <w:r w:rsidRPr="00F05153">
              <w:rPr>
                <w:rFonts w:eastAsia="Times New Roman" w:cs="Tahoma"/>
                <w:bCs/>
              </w:rPr>
              <w:t>Moderate</w:t>
            </w:r>
            <w:r w:rsidR="00CC3BA4" w:rsidRPr="00F05153">
              <w:rPr>
                <w:rFonts w:eastAsia="Times New Roman" w:cs="Tahoma"/>
                <w:bCs/>
              </w:rPr>
              <w:br/>
            </w:r>
            <w:r w:rsidR="00CC3BA4" w:rsidRPr="00F05153">
              <w:rPr>
                <w:rFonts w:ascii="Cambria Math" w:eastAsia="Times New Roman" w:hAnsi="Cambria Math" w:cs="Cambria Math"/>
                <w:bCs/>
                <w:color w:val="00B050"/>
              </w:rPr>
              <w:t>⨁⨁⨁</w:t>
            </w:r>
            <w:r w:rsidRPr="00F05153">
              <w:rPr>
                <w:rFonts w:ascii="Cambria Math" w:hAnsi="Cambria Math" w:cs="Cambria Math"/>
                <w:color w:val="C00000"/>
              </w:rPr>
              <w:t>⨀</w:t>
            </w:r>
          </w:p>
          <w:p w:rsidR="00CC3BA4" w:rsidRPr="00F05153" w:rsidRDefault="00CC3BA4" w:rsidP="004A42D5">
            <w:pPr>
              <w:pStyle w:val="Tabletext"/>
              <w:rPr>
                <w:rFonts w:ascii="Cambria Math" w:eastAsia="Times New Roman" w:hAnsi="Cambria Math" w:cs="Cambria Math"/>
                <w:bCs/>
                <w:color w:val="00B050"/>
              </w:rPr>
            </w:pPr>
            <w:r w:rsidRPr="00F05153">
              <w:rPr>
                <w:rFonts w:cs="Tahoma"/>
              </w:rPr>
              <w:t>Important</w:t>
            </w:r>
          </w:p>
        </w:tc>
      </w:tr>
      <w:tr w:rsidR="00A25B65" w:rsidRPr="00F05153" w:rsidTr="001363C5">
        <w:trPr>
          <w:trHeight w:val="844"/>
        </w:trPr>
        <w:tc>
          <w:tcPr>
            <w:tcW w:w="1493" w:type="dxa"/>
          </w:tcPr>
          <w:p w:rsidR="00A25B65" w:rsidRPr="00F05153" w:rsidRDefault="00A25B65" w:rsidP="00A25B65">
            <w:pPr>
              <w:pStyle w:val="Tabletext"/>
              <w:rPr>
                <w:rFonts w:cs="Tahoma"/>
              </w:rPr>
            </w:pPr>
            <w:r w:rsidRPr="00F05153">
              <w:rPr>
                <w:rFonts w:cs="Tahoma"/>
              </w:rPr>
              <w:t>AEs leading to treatment discontinuation in PAH-CTD</w:t>
            </w:r>
            <w:r w:rsidRPr="00F05153">
              <w:rPr>
                <w:rFonts w:cs="Tahoma"/>
              </w:rPr>
              <w:br/>
              <w:t>(24 weeks)</w:t>
            </w:r>
          </w:p>
        </w:tc>
        <w:tc>
          <w:tcPr>
            <w:tcW w:w="1054" w:type="dxa"/>
          </w:tcPr>
          <w:p w:rsidR="00A25B65" w:rsidRPr="00F05153" w:rsidRDefault="00A25B65" w:rsidP="00A25B65">
            <w:pPr>
              <w:pStyle w:val="Tabletext"/>
              <w:rPr>
                <w:rFonts w:cs="Tahoma"/>
              </w:rPr>
            </w:pPr>
            <w:r w:rsidRPr="00F05153">
              <w:rPr>
                <w:rFonts w:cs="Tahoma"/>
              </w:rPr>
              <w:t>1 RCT</w:t>
            </w:r>
          </w:p>
        </w:tc>
        <w:tc>
          <w:tcPr>
            <w:tcW w:w="771" w:type="dxa"/>
          </w:tcPr>
          <w:p w:rsidR="00A25B65" w:rsidRPr="00F05153" w:rsidRDefault="00A25B65" w:rsidP="00A25B65">
            <w:pPr>
              <w:pStyle w:val="Tabletext"/>
              <w:rPr>
                <w:rFonts w:cs="Tahoma"/>
              </w:rPr>
            </w:pPr>
            <w:r w:rsidRPr="00F05153">
              <w:rPr>
                <w:rFonts w:cs="Tahoma"/>
              </w:rPr>
              <w:t>Not serious</w:t>
            </w:r>
          </w:p>
        </w:tc>
        <w:tc>
          <w:tcPr>
            <w:tcW w:w="1072" w:type="dxa"/>
          </w:tcPr>
          <w:p w:rsidR="00A25B65" w:rsidRPr="00F05153" w:rsidRDefault="00A25B65" w:rsidP="00A25B65">
            <w:pPr>
              <w:pStyle w:val="Tabletext"/>
              <w:rPr>
                <w:rFonts w:cs="Tahoma"/>
              </w:rPr>
            </w:pPr>
            <w:r w:rsidRPr="00F05153">
              <w:rPr>
                <w:rFonts w:cs="Tahoma"/>
              </w:rPr>
              <w:t>Not serious</w:t>
            </w:r>
          </w:p>
        </w:tc>
        <w:tc>
          <w:tcPr>
            <w:tcW w:w="992" w:type="dxa"/>
          </w:tcPr>
          <w:p w:rsidR="00A25B65" w:rsidRPr="00F05153" w:rsidRDefault="00A25B65" w:rsidP="00A25B65">
            <w:pPr>
              <w:pStyle w:val="Tabletext"/>
              <w:rPr>
                <w:rFonts w:cs="Tahoma"/>
              </w:rPr>
            </w:pPr>
            <w:r w:rsidRPr="00F05153">
              <w:rPr>
                <w:rFonts w:cs="Tahoma"/>
              </w:rPr>
              <w:t>Not serious</w:t>
            </w:r>
          </w:p>
        </w:tc>
        <w:tc>
          <w:tcPr>
            <w:tcW w:w="992" w:type="dxa"/>
          </w:tcPr>
          <w:p w:rsidR="00A25B65" w:rsidRPr="00F05153" w:rsidRDefault="00A25B65" w:rsidP="00A25B65">
            <w:pPr>
              <w:pStyle w:val="Tabletext"/>
              <w:rPr>
                <w:rFonts w:cs="Tahoma"/>
              </w:rPr>
            </w:pPr>
            <w:r w:rsidRPr="00F05153">
              <w:rPr>
                <w:rFonts w:cs="Tahoma"/>
              </w:rPr>
              <w:t>Serious</w:t>
            </w:r>
            <w:r w:rsidRPr="00F05153">
              <w:rPr>
                <w:rFonts w:cs="Tahoma"/>
                <w:vertAlign w:val="superscript"/>
              </w:rPr>
              <w:t xml:space="preserve"> c</w:t>
            </w:r>
          </w:p>
        </w:tc>
        <w:tc>
          <w:tcPr>
            <w:tcW w:w="1276" w:type="dxa"/>
          </w:tcPr>
          <w:p w:rsidR="00A25B65" w:rsidRPr="00F05153" w:rsidRDefault="00A25B65" w:rsidP="00A25B65">
            <w:pPr>
              <w:pStyle w:val="Tabletext"/>
              <w:rPr>
                <w:rFonts w:cs="Tahoma"/>
              </w:rPr>
            </w:pPr>
            <w:r w:rsidRPr="00F05153">
              <w:rPr>
                <w:rFonts w:cs="Tahoma"/>
              </w:rPr>
              <w:t>None</w:t>
            </w:r>
          </w:p>
        </w:tc>
        <w:tc>
          <w:tcPr>
            <w:tcW w:w="1417" w:type="dxa"/>
          </w:tcPr>
          <w:p w:rsidR="00A25B65" w:rsidRPr="00F05153" w:rsidRDefault="00A25B65" w:rsidP="00A25B65">
            <w:pPr>
              <w:pStyle w:val="Tabletext"/>
              <w:rPr>
                <w:rFonts w:cs="Tahoma"/>
              </w:rPr>
            </w:pPr>
            <w:r w:rsidRPr="00F05153">
              <w:rPr>
                <w:rFonts w:cs="Tahoma"/>
              </w:rPr>
              <w:t>14/103 (13.6%)</w:t>
            </w:r>
          </w:p>
        </w:tc>
        <w:tc>
          <w:tcPr>
            <w:tcW w:w="1134" w:type="dxa"/>
          </w:tcPr>
          <w:p w:rsidR="00A25B65" w:rsidRPr="00F05153" w:rsidRDefault="00A25B65" w:rsidP="00A25B65">
            <w:pPr>
              <w:pStyle w:val="Tabletext"/>
              <w:rPr>
                <w:rFonts w:cs="Tahoma"/>
              </w:rPr>
            </w:pPr>
            <w:r w:rsidRPr="00F05153">
              <w:rPr>
                <w:rFonts w:cs="Tahoma"/>
              </w:rPr>
              <w:t>6/40 (15.0%)</w:t>
            </w:r>
          </w:p>
        </w:tc>
        <w:tc>
          <w:tcPr>
            <w:tcW w:w="993" w:type="dxa"/>
          </w:tcPr>
          <w:p w:rsidR="00A25B65" w:rsidRPr="00F05153" w:rsidRDefault="00A25B65" w:rsidP="00A25B65">
            <w:pPr>
              <w:pStyle w:val="Tabletext"/>
              <w:rPr>
                <w:rFonts w:cs="Tahoma"/>
              </w:rPr>
            </w:pPr>
            <w:r w:rsidRPr="00F05153">
              <w:rPr>
                <w:rFonts w:cs="Tahoma"/>
              </w:rPr>
              <w:t>RR = 0.91 (0.37, 2.19)</w:t>
            </w:r>
          </w:p>
        </w:tc>
        <w:tc>
          <w:tcPr>
            <w:tcW w:w="2188" w:type="dxa"/>
          </w:tcPr>
          <w:p w:rsidR="00A25B65" w:rsidRPr="00F05153" w:rsidRDefault="00A25B65" w:rsidP="00A25B65">
            <w:pPr>
              <w:pStyle w:val="Tabletext"/>
              <w:rPr>
                <w:rFonts w:cs="Tahoma"/>
              </w:rPr>
            </w:pPr>
            <w:r w:rsidRPr="00F05153">
              <w:rPr>
                <w:rFonts w:cs="Tahoma"/>
              </w:rPr>
              <w:t>13 fewer per 1,000</w:t>
            </w:r>
            <w:r w:rsidRPr="00F05153">
              <w:rPr>
                <w:rFonts w:cs="Tahoma"/>
              </w:rPr>
              <w:br/>
              <w:t>(from 95 fewer to 179 more)</w:t>
            </w:r>
          </w:p>
        </w:tc>
        <w:tc>
          <w:tcPr>
            <w:tcW w:w="1214" w:type="dxa"/>
          </w:tcPr>
          <w:p w:rsidR="00A25B65" w:rsidRPr="00F05153" w:rsidRDefault="00A25B65" w:rsidP="00A25B65">
            <w:pPr>
              <w:pStyle w:val="Tabletext"/>
              <w:rPr>
                <w:rFonts w:ascii="Cambria Math" w:eastAsia="Times New Roman" w:hAnsi="Cambria Math" w:cs="Cambria Math"/>
                <w:bCs/>
              </w:rPr>
            </w:pPr>
            <w:r w:rsidRPr="00F05153">
              <w:rPr>
                <w:rFonts w:eastAsia="Times New Roman" w:cs="Tahoma"/>
                <w:bCs/>
              </w:rPr>
              <w:t>Moderate</w:t>
            </w:r>
            <w:r w:rsidRPr="00F05153">
              <w:rPr>
                <w:rFonts w:eastAsia="Times New Roman" w:cs="Tahoma"/>
                <w:bCs/>
              </w:rPr>
              <w:br/>
            </w:r>
            <w:r w:rsidRPr="00F05153">
              <w:rPr>
                <w:rFonts w:ascii="Cambria Math" w:eastAsia="Times New Roman" w:hAnsi="Cambria Math" w:cs="Cambria Math"/>
                <w:bCs/>
                <w:color w:val="00B050"/>
              </w:rPr>
              <w:t>⨁⨁⨁</w:t>
            </w:r>
            <w:r w:rsidRPr="00F05153">
              <w:rPr>
                <w:rFonts w:ascii="Cambria Math" w:hAnsi="Cambria Math" w:cs="Cambria Math"/>
                <w:color w:val="C00000"/>
              </w:rPr>
              <w:t>⨀</w:t>
            </w:r>
          </w:p>
          <w:p w:rsidR="00A25B65" w:rsidRPr="00F05153" w:rsidRDefault="00A25B65" w:rsidP="00A25B65">
            <w:pPr>
              <w:pStyle w:val="Tabletext"/>
              <w:rPr>
                <w:rFonts w:ascii="Cambria Math" w:eastAsia="Times New Roman" w:hAnsi="Cambria Math" w:cs="Cambria Math"/>
                <w:bCs/>
                <w:color w:val="00B050"/>
              </w:rPr>
            </w:pPr>
            <w:r w:rsidRPr="00F05153">
              <w:rPr>
                <w:rFonts w:cs="Tahoma"/>
              </w:rPr>
              <w:t>Important</w:t>
            </w:r>
          </w:p>
        </w:tc>
      </w:tr>
    </w:tbl>
    <w:p w:rsidR="00CC3BA4" w:rsidRPr="00F05153" w:rsidRDefault="00CC3BA4" w:rsidP="004A42D5">
      <w:pPr>
        <w:pStyle w:val="Tablenote"/>
      </w:pPr>
      <w:proofErr w:type="gramStart"/>
      <w:r w:rsidRPr="00F05153">
        <w:rPr>
          <w:vertAlign w:val="superscript"/>
        </w:rPr>
        <w:t>a</w:t>
      </w:r>
      <w:proofErr w:type="gramEnd"/>
      <w:r w:rsidRPr="00F05153">
        <w:rPr>
          <w:vertAlign w:val="superscript"/>
        </w:rPr>
        <w:t xml:space="preserve"> </w:t>
      </w:r>
      <w:r w:rsidRPr="00F05153">
        <w:t>Other considerations such as publication bias and effect size</w:t>
      </w:r>
    </w:p>
    <w:p w:rsidR="00CC3BA4" w:rsidRPr="00F05153" w:rsidRDefault="00CC3BA4" w:rsidP="004A42D5">
      <w:pPr>
        <w:pStyle w:val="Tablenote"/>
      </w:pPr>
      <w:proofErr w:type="gramStart"/>
      <w:r w:rsidRPr="00F05153">
        <w:rPr>
          <w:vertAlign w:val="superscript"/>
        </w:rPr>
        <w:t>b</w:t>
      </w:r>
      <w:proofErr w:type="gramEnd"/>
      <w:r w:rsidRPr="00F05153">
        <w:rPr>
          <w:vertAlign w:val="superscript"/>
        </w:rPr>
        <w:t xml:space="preserve"> </w:t>
      </w:r>
      <w:r w:rsidRPr="00F05153">
        <w:t>GRADE Working Group grades of evidence</w:t>
      </w:r>
      <w:r w:rsidR="001D34EE" w:rsidRPr="00F05153">
        <w:rPr>
          <w:noProof/>
          <w:vertAlign w:val="superscript"/>
        </w:rPr>
        <w:t>1</w:t>
      </w:r>
    </w:p>
    <w:p w:rsidR="00EA3D9F" w:rsidRPr="00F05153" w:rsidRDefault="00EA3D9F" w:rsidP="004A42D5">
      <w:pPr>
        <w:pStyle w:val="Tablenote"/>
        <w:rPr>
          <w:vertAlign w:val="superscript"/>
        </w:rPr>
      </w:pPr>
      <w:proofErr w:type="gramStart"/>
      <w:r w:rsidRPr="00F05153">
        <w:rPr>
          <w:vertAlign w:val="superscript"/>
        </w:rPr>
        <w:t>c</w:t>
      </w:r>
      <w:proofErr w:type="gramEnd"/>
      <w:r w:rsidRPr="00F05153">
        <w:rPr>
          <w:vertAlign w:val="superscript"/>
        </w:rPr>
        <w:t xml:space="preserve"> </w:t>
      </w:r>
      <w:r w:rsidRPr="00F05153">
        <w:t>Wide 95% CIs</w:t>
      </w:r>
    </w:p>
    <w:p w:rsidR="00CC3BA4" w:rsidRPr="00E564DD" w:rsidRDefault="00CC3BA4" w:rsidP="004A42D5">
      <w:pPr>
        <w:pStyle w:val="Tablenote"/>
      </w:pPr>
      <w:r w:rsidRPr="00F05153">
        <w:rPr>
          <w:rFonts w:ascii="Cambria Math" w:hAnsi="Cambria Math" w:cs="Cambria Math"/>
          <w:color w:val="00B050"/>
        </w:rPr>
        <w:lastRenderedPageBreak/>
        <w:t>⨁⨁⨁⨁</w:t>
      </w:r>
      <w:r w:rsidRPr="00F05153">
        <w:rPr>
          <w:color w:val="00B050"/>
        </w:rPr>
        <w:t xml:space="preserve"> </w:t>
      </w:r>
      <w:r w:rsidRPr="00F05153">
        <w:rPr>
          <w:b/>
        </w:rPr>
        <w:t>High quality:</w:t>
      </w:r>
      <w:r w:rsidRPr="00F05153">
        <w:t xml:space="preserve"> We are very confident that the true effect lies close to that of the estimate of effect</w:t>
      </w:r>
    </w:p>
    <w:p w:rsidR="00A25B65" w:rsidRPr="00E564DD" w:rsidRDefault="00A25B65" w:rsidP="00A25B65">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C871F2" w:rsidRDefault="00CC3BA4" w:rsidP="004A42D5">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C871F2" w:rsidRPr="00F24B06">
        <w:t xml:space="preserve">; </w:t>
      </w:r>
      <w:r w:rsidRPr="00C65B42">
        <w:t xml:space="preserve">HPAH = heritable PAH; IPAH = idiopathic PAH; PAH = pulmonary arterial hypertension; </w:t>
      </w:r>
      <w:r w:rsidR="00C871F2">
        <w:t>PAH-</w:t>
      </w:r>
      <w:r w:rsidR="00C871F2" w:rsidRPr="00822C52">
        <w:t xml:space="preserve">CTD = </w:t>
      </w:r>
      <w:r w:rsidR="00C871F2">
        <w:t xml:space="preserve">PAH associated with </w:t>
      </w:r>
      <w:r w:rsidR="00C871F2" w:rsidRPr="00822C52">
        <w:t xml:space="preserve">connective tissue disease; </w:t>
      </w:r>
      <w:r w:rsidRPr="009B5AB3">
        <w:t>PDE-5</w:t>
      </w:r>
      <w:r w:rsidR="00C871F2">
        <w:t>i</w:t>
      </w:r>
      <w:r w:rsidRPr="009B5AB3">
        <w:t xml:space="preserve"> = phosphodiesterase type-5</w:t>
      </w:r>
      <w:r w:rsidR="00C871F2">
        <w:t xml:space="preserve"> inhibitor</w:t>
      </w:r>
      <w:r>
        <w:t>;</w:t>
      </w:r>
      <w:r w:rsidRPr="009B5AB3">
        <w:t xml:space="preserve"> </w:t>
      </w:r>
      <w:r>
        <w:t>RCT = randomised controlled trial; RR = relative risk</w:t>
      </w:r>
    </w:p>
    <w:p w:rsidR="00CC3BA4" w:rsidRPr="006632FB" w:rsidRDefault="00CC3BA4" w:rsidP="00BF48DF">
      <w:pPr>
        <w:pStyle w:val="Heading4"/>
      </w:pPr>
      <w:r w:rsidRPr="006632FB">
        <w:t xml:space="preserve">ERA in addition to </w:t>
      </w:r>
      <w:r w:rsidR="0017012F" w:rsidRPr="0017012F">
        <w:t>prostanoid</w:t>
      </w:r>
    </w:p>
    <w:p w:rsidR="00CC3BA4" w:rsidRPr="005D4CA0" w:rsidRDefault="00796F18" w:rsidP="00BC5A2B">
      <w:pPr>
        <w:pStyle w:val="Caption"/>
      </w:pPr>
      <w:bookmarkStart w:id="518" w:name="_Ref505775056"/>
      <w:bookmarkStart w:id="519" w:name="_Toc38360451"/>
      <w:r>
        <w:t>Table 4.</w:t>
      </w:r>
      <w:r w:rsidR="003951FA">
        <w:rPr>
          <w:noProof/>
        </w:rPr>
        <w:t>154</w:t>
      </w:r>
      <w:bookmarkEnd w:id="518"/>
      <w:r>
        <w:tab/>
      </w:r>
      <w:r w:rsidR="00CC3BA4" w:rsidRPr="005D4CA0">
        <w:t xml:space="preserve">Evidence profile table for </w:t>
      </w:r>
      <w:r w:rsidR="00CC3BA4">
        <w:t xml:space="preserve">effectiveness of </w:t>
      </w:r>
      <w:r w:rsidR="00CC3BA4" w:rsidRPr="005D4CA0">
        <w:t xml:space="preserve">ERA </w:t>
      </w:r>
      <w:r w:rsidR="007E6052">
        <w:t>plus</w:t>
      </w:r>
      <w:r w:rsidR="00CC3BA4">
        <w:t xml:space="preserve"> </w:t>
      </w:r>
      <w:r w:rsidR="0017012F">
        <w:t>prostanoid</w:t>
      </w:r>
      <w:r w:rsidR="00CC3BA4">
        <w:t xml:space="preserve"> combination therapy </w:t>
      </w:r>
      <w:r w:rsidR="00CC3BA4" w:rsidRPr="005D4CA0">
        <w:t xml:space="preserve">compared to </w:t>
      </w:r>
      <w:r w:rsidR="0017012F">
        <w:t>prostanoid</w:t>
      </w:r>
      <w:r w:rsidR="00CC3BA4" w:rsidRPr="005D4CA0">
        <w:t xml:space="preserve"> </w:t>
      </w:r>
      <w:r w:rsidR="00CC3BA4">
        <w:t xml:space="preserve">monotherapy </w:t>
      </w:r>
      <w:r w:rsidR="00CC3BA4" w:rsidRPr="005D4CA0">
        <w:t xml:space="preserve">for </w:t>
      </w:r>
      <w:r w:rsidR="00CC3BA4">
        <w:t>patients with WHO FC III/IV PAH</w:t>
      </w:r>
      <w:bookmarkEnd w:id="519"/>
    </w:p>
    <w:tbl>
      <w:tblPr>
        <w:tblStyle w:val="TableGrid"/>
        <w:tblW w:w="14848" w:type="dxa"/>
        <w:tblLayout w:type="fixed"/>
        <w:tblLook w:val="04A0" w:firstRow="1" w:lastRow="0" w:firstColumn="1" w:lastColumn="0" w:noHBand="0" w:noVBand="1"/>
        <w:tblCaption w:val="Evidence profile table for effectiveness of ERA plus prostanoid combination therapy compared to prostanoid monotherapy for patients with WHO FC III/IV PAH"/>
      </w:tblPr>
      <w:tblGrid>
        <w:gridCol w:w="1191"/>
        <w:gridCol w:w="1356"/>
        <w:gridCol w:w="912"/>
        <w:gridCol w:w="1134"/>
        <w:gridCol w:w="1276"/>
        <w:gridCol w:w="1276"/>
        <w:gridCol w:w="1417"/>
        <w:gridCol w:w="1276"/>
        <w:gridCol w:w="1134"/>
        <w:gridCol w:w="992"/>
        <w:gridCol w:w="1750"/>
        <w:gridCol w:w="1134"/>
      </w:tblGrid>
      <w:tr w:rsidR="00F13836" w:rsidRPr="00192560" w:rsidTr="00115AB1">
        <w:trPr>
          <w:cnfStyle w:val="100000000000" w:firstRow="1" w:lastRow="0" w:firstColumn="0" w:lastColumn="0" w:oddVBand="0" w:evenVBand="0" w:oddHBand="0" w:evenHBand="0" w:firstRowFirstColumn="0" w:firstRowLastColumn="0" w:lastRowFirstColumn="0" w:lastRowLastColumn="0"/>
          <w:trHeight w:val="541"/>
        </w:trPr>
        <w:tc>
          <w:tcPr>
            <w:tcW w:w="1191" w:type="dxa"/>
          </w:tcPr>
          <w:p w:rsidR="00476F09" w:rsidRPr="00192560" w:rsidRDefault="00476F09" w:rsidP="004A42D5">
            <w:pPr>
              <w:pStyle w:val="Tabletext"/>
              <w:rPr>
                <w:b/>
                <w:sz w:val="18"/>
                <w:szCs w:val="18"/>
              </w:rPr>
            </w:pPr>
            <w:r w:rsidRPr="00192560">
              <w:rPr>
                <w:b/>
                <w:sz w:val="18"/>
                <w:szCs w:val="18"/>
              </w:rPr>
              <w:t>Outcome (follow-up)</w:t>
            </w:r>
          </w:p>
        </w:tc>
        <w:tc>
          <w:tcPr>
            <w:tcW w:w="1356" w:type="dxa"/>
          </w:tcPr>
          <w:p w:rsidR="00476F09" w:rsidRPr="00192560" w:rsidRDefault="00476F09" w:rsidP="004A42D5">
            <w:pPr>
              <w:pStyle w:val="Tabletext"/>
              <w:rPr>
                <w:b/>
                <w:sz w:val="18"/>
                <w:szCs w:val="18"/>
              </w:rPr>
            </w:pPr>
            <w:r w:rsidRPr="00192560">
              <w:rPr>
                <w:b/>
                <w:sz w:val="18"/>
                <w:szCs w:val="18"/>
              </w:rPr>
              <w:t>No. of studies and study design</w:t>
            </w:r>
          </w:p>
        </w:tc>
        <w:tc>
          <w:tcPr>
            <w:tcW w:w="912" w:type="dxa"/>
          </w:tcPr>
          <w:p w:rsidR="00476F09" w:rsidRPr="00192560" w:rsidRDefault="00476F09" w:rsidP="004A42D5">
            <w:pPr>
              <w:pStyle w:val="Tabletext"/>
              <w:rPr>
                <w:b/>
                <w:sz w:val="18"/>
                <w:szCs w:val="18"/>
              </w:rPr>
            </w:pPr>
            <w:r w:rsidRPr="00192560">
              <w:rPr>
                <w:b/>
                <w:sz w:val="18"/>
                <w:szCs w:val="18"/>
              </w:rPr>
              <w:t>Risk of bias</w:t>
            </w:r>
          </w:p>
        </w:tc>
        <w:tc>
          <w:tcPr>
            <w:tcW w:w="1134" w:type="dxa"/>
          </w:tcPr>
          <w:p w:rsidR="00476F09" w:rsidRPr="00192560" w:rsidRDefault="00476F09" w:rsidP="004A42D5">
            <w:pPr>
              <w:pStyle w:val="Tabletext"/>
              <w:rPr>
                <w:b/>
                <w:sz w:val="18"/>
                <w:szCs w:val="18"/>
              </w:rPr>
            </w:pPr>
            <w:r w:rsidRPr="00192560">
              <w:rPr>
                <w:b/>
                <w:sz w:val="18"/>
                <w:szCs w:val="18"/>
              </w:rPr>
              <w:t>Inconsis</w:t>
            </w:r>
            <w:r w:rsidR="00115AB1">
              <w:rPr>
                <w:b/>
                <w:sz w:val="18"/>
                <w:szCs w:val="18"/>
              </w:rPr>
              <w:t>-</w:t>
            </w:r>
            <w:r w:rsidRPr="00192560">
              <w:rPr>
                <w:b/>
                <w:sz w:val="18"/>
                <w:szCs w:val="18"/>
              </w:rPr>
              <w:t>tency</w:t>
            </w:r>
          </w:p>
        </w:tc>
        <w:tc>
          <w:tcPr>
            <w:tcW w:w="1276" w:type="dxa"/>
          </w:tcPr>
          <w:p w:rsidR="00476F09" w:rsidRPr="00192560" w:rsidRDefault="00476F09" w:rsidP="004A42D5">
            <w:pPr>
              <w:pStyle w:val="Tabletext"/>
              <w:rPr>
                <w:b/>
                <w:sz w:val="18"/>
                <w:szCs w:val="18"/>
              </w:rPr>
            </w:pPr>
            <w:r w:rsidRPr="00192560">
              <w:rPr>
                <w:b/>
                <w:sz w:val="18"/>
                <w:szCs w:val="18"/>
              </w:rPr>
              <w:t>Indirectness</w:t>
            </w:r>
          </w:p>
        </w:tc>
        <w:tc>
          <w:tcPr>
            <w:tcW w:w="1276" w:type="dxa"/>
          </w:tcPr>
          <w:p w:rsidR="00476F09" w:rsidRPr="00192560" w:rsidRDefault="00476F09" w:rsidP="004A42D5">
            <w:pPr>
              <w:pStyle w:val="Tabletext"/>
              <w:rPr>
                <w:b/>
                <w:sz w:val="18"/>
                <w:szCs w:val="18"/>
              </w:rPr>
            </w:pPr>
            <w:r w:rsidRPr="00192560">
              <w:rPr>
                <w:b/>
                <w:sz w:val="18"/>
                <w:szCs w:val="18"/>
              </w:rPr>
              <w:t>Imprecision</w:t>
            </w:r>
          </w:p>
        </w:tc>
        <w:tc>
          <w:tcPr>
            <w:tcW w:w="1417" w:type="dxa"/>
          </w:tcPr>
          <w:p w:rsidR="00476F09" w:rsidRPr="00192560" w:rsidRDefault="00476F09" w:rsidP="004A42D5">
            <w:pPr>
              <w:pStyle w:val="Tabletext"/>
              <w:rPr>
                <w:b/>
                <w:sz w:val="18"/>
                <w:szCs w:val="18"/>
              </w:rPr>
            </w:pPr>
            <w:r w:rsidRPr="00192560">
              <w:rPr>
                <w:b/>
                <w:sz w:val="18"/>
                <w:szCs w:val="18"/>
              </w:rPr>
              <w:t>Other considerations</w:t>
            </w:r>
            <w:r w:rsidRPr="00192560">
              <w:rPr>
                <w:b/>
                <w:sz w:val="18"/>
                <w:szCs w:val="18"/>
                <w:vertAlign w:val="superscript"/>
              </w:rPr>
              <w:t>a</w:t>
            </w:r>
          </w:p>
        </w:tc>
        <w:tc>
          <w:tcPr>
            <w:tcW w:w="1276" w:type="dxa"/>
          </w:tcPr>
          <w:p w:rsidR="00476F09" w:rsidRPr="00192560" w:rsidRDefault="00476F09" w:rsidP="00F13836">
            <w:pPr>
              <w:pStyle w:val="Tabletext"/>
              <w:ind w:right="-57"/>
              <w:rPr>
                <w:b/>
                <w:sz w:val="18"/>
                <w:szCs w:val="18"/>
              </w:rPr>
            </w:pPr>
            <w:r w:rsidRPr="00192560">
              <w:rPr>
                <w:b/>
                <w:sz w:val="18"/>
                <w:szCs w:val="18"/>
              </w:rPr>
              <w:t>Study event rates (%) with ERA + prostanoid</w:t>
            </w:r>
          </w:p>
        </w:tc>
        <w:tc>
          <w:tcPr>
            <w:tcW w:w="1134" w:type="dxa"/>
          </w:tcPr>
          <w:p w:rsidR="00476F09" w:rsidRPr="00192560" w:rsidRDefault="00476F09" w:rsidP="004A42D5">
            <w:pPr>
              <w:pStyle w:val="Tabletext"/>
              <w:rPr>
                <w:b/>
                <w:sz w:val="18"/>
                <w:szCs w:val="18"/>
              </w:rPr>
            </w:pPr>
            <w:r w:rsidRPr="00192560">
              <w:rPr>
                <w:b/>
                <w:sz w:val="18"/>
                <w:szCs w:val="18"/>
              </w:rPr>
              <w:t>Study event rates (%) with prostanoid</w:t>
            </w:r>
          </w:p>
        </w:tc>
        <w:tc>
          <w:tcPr>
            <w:tcW w:w="992" w:type="dxa"/>
          </w:tcPr>
          <w:p w:rsidR="00476F09" w:rsidRPr="00192560" w:rsidRDefault="00476F09" w:rsidP="004A42D5">
            <w:pPr>
              <w:pStyle w:val="Tabletext"/>
              <w:rPr>
                <w:b/>
                <w:sz w:val="18"/>
                <w:szCs w:val="18"/>
              </w:rPr>
            </w:pPr>
            <w:r w:rsidRPr="00192560">
              <w:rPr>
                <w:b/>
                <w:sz w:val="18"/>
                <w:szCs w:val="18"/>
              </w:rPr>
              <w:t>Effect measure (95%CI)</w:t>
            </w:r>
          </w:p>
        </w:tc>
        <w:tc>
          <w:tcPr>
            <w:tcW w:w="1750" w:type="dxa"/>
          </w:tcPr>
          <w:p w:rsidR="00476F09" w:rsidRPr="00192560" w:rsidRDefault="00476F09" w:rsidP="004A42D5">
            <w:pPr>
              <w:pStyle w:val="Tabletext"/>
              <w:rPr>
                <w:b/>
                <w:sz w:val="18"/>
                <w:szCs w:val="18"/>
              </w:rPr>
            </w:pPr>
            <w:r w:rsidRPr="00192560">
              <w:rPr>
                <w:b/>
                <w:sz w:val="18"/>
                <w:szCs w:val="18"/>
              </w:rPr>
              <w:t>Absolute effect (95%CI)</w:t>
            </w:r>
          </w:p>
        </w:tc>
        <w:tc>
          <w:tcPr>
            <w:tcW w:w="1134" w:type="dxa"/>
          </w:tcPr>
          <w:p w:rsidR="00C871F2" w:rsidRPr="00192560" w:rsidRDefault="00C871F2" w:rsidP="004A42D5">
            <w:pPr>
              <w:pStyle w:val="Tabletext"/>
              <w:rPr>
                <w:b/>
                <w:sz w:val="18"/>
                <w:szCs w:val="18"/>
              </w:rPr>
            </w:pPr>
            <w:r w:rsidRPr="00192560">
              <w:rPr>
                <w:b/>
                <w:sz w:val="18"/>
                <w:szCs w:val="18"/>
              </w:rPr>
              <w:t>GRADE</w:t>
            </w:r>
            <w:r w:rsidRPr="00192560">
              <w:rPr>
                <w:b/>
                <w:sz w:val="18"/>
                <w:szCs w:val="18"/>
                <w:vertAlign w:val="superscript"/>
              </w:rPr>
              <w:t>b</w:t>
            </w:r>
          </w:p>
          <w:p w:rsidR="00476F09" w:rsidRPr="00192560" w:rsidRDefault="00476F09" w:rsidP="004A42D5">
            <w:pPr>
              <w:pStyle w:val="Tabletext"/>
              <w:rPr>
                <w:b/>
                <w:sz w:val="18"/>
                <w:szCs w:val="18"/>
                <w:vertAlign w:val="superscript"/>
              </w:rPr>
            </w:pPr>
            <w:r w:rsidRPr="00192560">
              <w:rPr>
                <w:b/>
                <w:sz w:val="18"/>
                <w:szCs w:val="18"/>
              </w:rPr>
              <w:t>Quality</w:t>
            </w:r>
          </w:p>
          <w:p w:rsidR="00476F09" w:rsidRPr="00192560" w:rsidRDefault="00476F09" w:rsidP="004A42D5">
            <w:pPr>
              <w:pStyle w:val="Tabletext"/>
              <w:rPr>
                <w:b/>
                <w:sz w:val="18"/>
                <w:szCs w:val="18"/>
              </w:rPr>
            </w:pPr>
            <w:r w:rsidRPr="00192560">
              <w:rPr>
                <w:b/>
                <w:sz w:val="18"/>
                <w:szCs w:val="18"/>
              </w:rPr>
              <w:t>Importance</w:t>
            </w:r>
          </w:p>
        </w:tc>
      </w:tr>
      <w:tr w:rsidR="00CC3BA4" w:rsidRPr="00D36FBC" w:rsidTr="00115AB1">
        <w:trPr>
          <w:trHeight w:val="319"/>
        </w:trPr>
        <w:tc>
          <w:tcPr>
            <w:tcW w:w="1191" w:type="dxa"/>
          </w:tcPr>
          <w:p w:rsidR="00CC3BA4" w:rsidRPr="00D36FBC" w:rsidRDefault="0079256B" w:rsidP="0079256B">
            <w:pPr>
              <w:pStyle w:val="Tabletext"/>
              <w:rPr>
                <w:rFonts w:cs="Tahoma"/>
              </w:rPr>
            </w:pPr>
            <w:r>
              <w:rPr>
                <w:rFonts w:cs="Tahoma"/>
              </w:rPr>
              <w:t>All-cause m</w:t>
            </w:r>
            <w:r w:rsidR="00CC3BA4" w:rsidRPr="007E6052">
              <w:rPr>
                <w:rFonts w:cs="Tahoma"/>
              </w:rPr>
              <w:t>ortality</w:t>
            </w:r>
            <w:r w:rsidR="00CC3BA4" w:rsidRPr="007E6052">
              <w:rPr>
                <w:rFonts w:cs="Tahoma"/>
              </w:rPr>
              <w:br/>
              <w:t>(16 weeks)</w:t>
            </w:r>
          </w:p>
        </w:tc>
        <w:tc>
          <w:tcPr>
            <w:tcW w:w="1356" w:type="dxa"/>
          </w:tcPr>
          <w:p w:rsidR="00CC3BA4" w:rsidRPr="00D36FBC" w:rsidRDefault="00CC3BA4" w:rsidP="004A42D5">
            <w:pPr>
              <w:pStyle w:val="Tabletext"/>
              <w:rPr>
                <w:rFonts w:cs="Tahoma"/>
              </w:rPr>
            </w:pPr>
            <w:r>
              <w:rPr>
                <w:rFonts w:cs="Tahoma"/>
              </w:rPr>
              <w:t>1</w:t>
            </w:r>
            <w:r w:rsidRPr="00D36FBC">
              <w:rPr>
                <w:rFonts w:cs="Tahoma"/>
              </w:rPr>
              <w:t xml:space="preserve"> RCT</w:t>
            </w:r>
          </w:p>
        </w:tc>
        <w:tc>
          <w:tcPr>
            <w:tcW w:w="912" w:type="dxa"/>
          </w:tcPr>
          <w:p w:rsidR="00CC3BA4" w:rsidRPr="00D36FBC" w:rsidRDefault="00CC3BA4" w:rsidP="004A42D5">
            <w:pPr>
              <w:pStyle w:val="Tabletext"/>
              <w:rPr>
                <w:rFonts w:cs="Tahoma"/>
              </w:rPr>
            </w:pPr>
            <w:r w:rsidRPr="00D36FBC">
              <w:rPr>
                <w:rFonts w:cs="Tahoma"/>
              </w:rPr>
              <w:t>Not serious</w:t>
            </w:r>
          </w:p>
        </w:tc>
        <w:tc>
          <w:tcPr>
            <w:tcW w:w="1134" w:type="dxa"/>
          </w:tcPr>
          <w:p w:rsidR="00CC3BA4" w:rsidRPr="00D36FBC" w:rsidRDefault="00CC3BA4" w:rsidP="004A42D5">
            <w:pPr>
              <w:pStyle w:val="Tabletext"/>
              <w:rPr>
                <w:rFonts w:cs="Tahoma"/>
              </w:rPr>
            </w:pPr>
            <w:r w:rsidRPr="00D36FBC">
              <w:rPr>
                <w:rFonts w:cs="Tahoma"/>
              </w:rPr>
              <w:t>Not serious</w:t>
            </w:r>
          </w:p>
        </w:tc>
        <w:tc>
          <w:tcPr>
            <w:tcW w:w="1276" w:type="dxa"/>
          </w:tcPr>
          <w:p w:rsidR="00CC3BA4" w:rsidRPr="00D36FBC" w:rsidRDefault="00CC3BA4" w:rsidP="004A42D5">
            <w:pPr>
              <w:pStyle w:val="Tabletext"/>
              <w:rPr>
                <w:rFonts w:cs="Tahoma"/>
              </w:rPr>
            </w:pPr>
            <w:r w:rsidRPr="00D36FBC">
              <w:rPr>
                <w:rFonts w:cs="Tahoma"/>
              </w:rPr>
              <w:t>Not serious</w:t>
            </w:r>
          </w:p>
        </w:tc>
        <w:tc>
          <w:tcPr>
            <w:tcW w:w="1276" w:type="dxa"/>
          </w:tcPr>
          <w:p w:rsidR="00CC3BA4" w:rsidRPr="0079256B" w:rsidRDefault="0079256B" w:rsidP="0079256B">
            <w:pPr>
              <w:pStyle w:val="Tabletext"/>
              <w:rPr>
                <w:rFonts w:cs="Tahoma"/>
                <w:vertAlign w:val="superscript"/>
              </w:rPr>
            </w:pPr>
            <w:r>
              <w:rPr>
                <w:rFonts w:cs="Tahoma"/>
              </w:rPr>
              <w:t>Very s</w:t>
            </w:r>
            <w:r w:rsidR="00CC3BA4" w:rsidRPr="00D36FBC">
              <w:rPr>
                <w:rFonts w:cs="Tahoma"/>
              </w:rPr>
              <w:t>erious</w:t>
            </w:r>
            <w:r>
              <w:rPr>
                <w:rFonts w:cs="Tahoma"/>
                <w:vertAlign w:val="superscript"/>
              </w:rPr>
              <w:t xml:space="preserve"> c</w:t>
            </w:r>
          </w:p>
        </w:tc>
        <w:tc>
          <w:tcPr>
            <w:tcW w:w="1417" w:type="dxa"/>
          </w:tcPr>
          <w:p w:rsidR="00CC3BA4" w:rsidRPr="00D36FBC" w:rsidRDefault="00CC3BA4" w:rsidP="004A42D5">
            <w:pPr>
              <w:pStyle w:val="Tabletext"/>
              <w:rPr>
                <w:rFonts w:cs="Tahoma"/>
              </w:rPr>
            </w:pPr>
            <w:r w:rsidRPr="00D36FBC">
              <w:rPr>
                <w:rFonts w:cs="Tahoma"/>
              </w:rPr>
              <w:t>None</w:t>
            </w:r>
          </w:p>
        </w:tc>
        <w:tc>
          <w:tcPr>
            <w:tcW w:w="1276" w:type="dxa"/>
          </w:tcPr>
          <w:p w:rsidR="00CC3BA4" w:rsidRPr="002E6544" w:rsidRDefault="00CC3BA4" w:rsidP="004A42D5">
            <w:pPr>
              <w:pStyle w:val="Tabletext"/>
              <w:rPr>
                <w:rFonts w:cs="Tahoma"/>
              </w:rPr>
            </w:pPr>
            <w:r>
              <w:rPr>
                <w:rFonts w:cs="Tahoma"/>
              </w:rPr>
              <w:t>3/22 (13.6%)</w:t>
            </w:r>
          </w:p>
        </w:tc>
        <w:tc>
          <w:tcPr>
            <w:tcW w:w="1134" w:type="dxa"/>
          </w:tcPr>
          <w:p w:rsidR="00CC3BA4" w:rsidRPr="001D2AD7" w:rsidRDefault="00CC3BA4" w:rsidP="004A42D5">
            <w:pPr>
              <w:pStyle w:val="Tabletext"/>
              <w:rPr>
                <w:rFonts w:cs="Tahoma"/>
                <w:highlight w:val="cyan"/>
              </w:rPr>
            </w:pPr>
            <w:r w:rsidRPr="002E6544">
              <w:rPr>
                <w:rFonts w:cs="Tahoma"/>
              </w:rPr>
              <w:t>0/11 (0.0%)</w:t>
            </w:r>
          </w:p>
        </w:tc>
        <w:tc>
          <w:tcPr>
            <w:tcW w:w="992" w:type="dxa"/>
          </w:tcPr>
          <w:p w:rsidR="00CC3BA4" w:rsidRPr="001D2AD7" w:rsidRDefault="00B21201" w:rsidP="00645E4A">
            <w:pPr>
              <w:pStyle w:val="Tabletext"/>
              <w:rPr>
                <w:rFonts w:cs="Tahoma"/>
                <w:highlight w:val="cyan"/>
              </w:rPr>
            </w:pPr>
            <w:r>
              <w:rPr>
                <w:rFonts w:cs="Tahoma"/>
              </w:rPr>
              <w:t>ARD</w:t>
            </w:r>
            <w:r w:rsidR="00CC3BA4" w:rsidRPr="002E6544">
              <w:rPr>
                <w:rFonts w:cs="Tahoma"/>
              </w:rPr>
              <w:t xml:space="preserve"> </w:t>
            </w:r>
            <w:r w:rsidR="00CC3BA4">
              <w:rPr>
                <w:rFonts w:cs="Tahoma"/>
              </w:rPr>
              <w:t xml:space="preserve">= </w:t>
            </w:r>
            <w:r w:rsidR="00CC3BA4" w:rsidRPr="002E6544">
              <w:rPr>
                <w:rFonts w:cs="Tahoma"/>
              </w:rPr>
              <w:t>13.6%</w:t>
            </w:r>
            <w:r w:rsidR="00CC3BA4">
              <w:rPr>
                <w:rFonts w:cs="Tahoma"/>
              </w:rPr>
              <w:t xml:space="preserve"> (</w:t>
            </w:r>
            <w:r w:rsidR="00CC3BA4" w:rsidRPr="002E6544">
              <w:rPr>
                <w:rFonts w:cs="Tahoma"/>
              </w:rPr>
              <w:t>−</w:t>
            </w:r>
            <w:r w:rsidR="00645E4A" w:rsidRPr="002E6544">
              <w:rPr>
                <w:rFonts w:cs="Tahoma"/>
              </w:rPr>
              <w:t>0.70</w:t>
            </w:r>
            <w:r w:rsidR="00645E4A">
              <w:rPr>
                <w:rFonts w:cs="Tahoma"/>
              </w:rPr>
              <w:t xml:space="preserve">, </w:t>
            </w:r>
            <w:r w:rsidR="00CC3BA4" w:rsidRPr="002E6544">
              <w:rPr>
                <w:rFonts w:cs="Tahoma"/>
              </w:rPr>
              <w:t>28.0)</w:t>
            </w:r>
          </w:p>
        </w:tc>
        <w:tc>
          <w:tcPr>
            <w:tcW w:w="1750" w:type="dxa"/>
          </w:tcPr>
          <w:p w:rsidR="00CC3BA4" w:rsidRPr="00D36FBC" w:rsidRDefault="00CC3BA4" w:rsidP="002A15D3">
            <w:pPr>
              <w:pStyle w:val="Tabletext"/>
              <w:rPr>
                <w:rFonts w:cs="Tahoma"/>
                <w:highlight w:val="cyan"/>
              </w:rPr>
            </w:pPr>
            <w:r w:rsidRPr="002E6544">
              <w:rPr>
                <w:rFonts w:cs="Tahoma"/>
              </w:rPr>
              <w:t xml:space="preserve">136 </w:t>
            </w:r>
            <w:r w:rsidR="002A15D3">
              <w:rPr>
                <w:rFonts w:cs="Tahoma"/>
              </w:rPr>
              <w:t>more</w:t>
            </w:r>
            <w:r w:rsidR="002A15D3" w:rsidRPr="002E6544">
              <w:rPr>
                <w:rFonts w:cs="Tahoma"/>
              </w:rPr>
              <w:t xml:space="preserve"> </w:t>
            </w:r>
            <w:r w:rsidRPr="002E6544">
              <w:rPr>
                <w:rFonts w:cs="Tahoma"/>
              </w:rPr>
              <w:t>per 1,000</w:t>
            </w:r>
            <w:r>
              <w:rPr>
                <w:rFonts w:cs="Tahoma"/>
              </w:rPr>
              <w:br/>
            </w:r>
            <w:r w:rsidRPr="002E6544">
              <w:rPr>
                <w:rFonts w:cs="Tahoma"/>
              </w:rPr>
              <w:t xml:space="preserve">(from </w:t>
            </w:r>
            <w:r w:rsidR="00BE59C4" w:rsidRPr="002E6544">
              <w:rPr>
                <w:rFonts w:cs="Tahoma"/>
              </w:rPr>
              <w:t xml:space="preserve">7 </w:t>
            </w:r>
            <w:r w:rsidR="002A15D3">
              <w:rPr>
                <w:rFonts w:cs="Tahoma"/>
              </w:rPr>
              <w:t>fewer</w:t>
            </w:r>
            <w:r w:rsidR="002A15D3" w:rsidRPr="002E6544">
              <w:rPr>
                <w:rFonts w:cs="Tahoma"/>
              </w:rPr>
              <w:t xml:space="preserve"> </w:t>
            </w:r>
            <w:r w:rsidR="00BE59C4" w:rsidRPr="002E6544">
              <w:rPr>
                <w:rFonts w:cs="Tahoma"/>
              </w:rPr>
              <w:t xml:space="preserve">to </w:t>
            </w:r>
            <w:r w:rsidRPr="002E6544">
              <w:rPr>
                <w:rFonts w:cs="Tahoma"/>
              </w:rPr>
              <w:t xml:space="preserve">280 </w:t>
            </w:r>
            <w:r w:rsidR="002A15D3">
              <w:rPr>
                <w:rFonts w:cs="Tahoma"/>
              </w:rPr>
              <w:t>more</w:t>
            </w:r>
            <w:r w:rsidRPr="002E6544">
              <w:rPr>
                <w:rFonts w:cs="Tahoma"/>
              </w:rPr>
              <w:t>)</w:t>
            </w:r>
          </w:p>
        </w:tc>
        <w:tc>
          <w:tcPr>
            <w:tcW w:w="1134" w:type="dxa"/>
          </w:tcPr>
          <w:p w:rsidR="0079256B" w:rsidRPr="00B14FF5" w:rsidRDefault="0079256B" w:rsidP="0079256B">
            <w:pPr>
              <w:pStyle w:val="Tabletext"/>
              <w:rPr>
                <w:rFonts w:eastAsia="Times New Roman" w:cs="Tahoma"/>
                <w:bCs/>
              </w:rPr>
            </w:pPr>
            <w:r>
              <w:rPr>
                <w:rFonts w:eastAsia="Times New Roman" w:cs="Tahoma"/>
                <w:bCs/>
              </w:rPr>
              <w:t>Low</w:t>
            </w:r>
            <w:r>
              <w:rPr>
                <w:rFonts w:eastAsia="Times New Roman" w:cs="Tahoma"/>
                <w:bCs/>
              </w:rPr>
              <w:br/>
            </w:r>
            <w:r w:rsidRPr="00E564DD">
              <w:rPr>
                <w:rFonts w:ascii="Cambria Math" w:hAnsi="Cambria Math" w:cs="Cambria Math"/>
                <w:color w:val="00B050"/>
              </w:rPr>
              <w:t>⨁⨁</w:t>
            </w:r>
            <w:r w:rsidRPr="00E564DD">
              <w:rPr>
                <w:rFonts w:ascii="Cambria Math" w:hAnsi="Cambria Math" w:cs="Cambria Math"/>
                <w:color w:val="C00000"/>
              </w:rPr>
              <w:t>⨀⨀</w:t>
            </w:r>
          </w:p>
          <w:p w:rsidR="00CC3BA4" w:rsidRPr="00D36FBC" w:rsidRDefault="00CC3BA4" w:rsidP="004A42D5">
            <w:pPr>
              <w:pStyle w:val="Tabletext"/>
              <w:rPr>
                <w:rFonts w:cs="Tahoma"/>
              </w:rPr>
            </w:pPr>
            <w:r w:rsidRPr="00E564DD">
              <w:rPr>
                <w:rFonts w:cs="Tahoma"/>
              </w:rPr>
              <w:t>Critical</w:t>
            </w:r>
          </w:p>
        </w:tc>
      </w:tr>
      <w:tr w:rsidR="00CC3BA4" w:rsidRPr="00D36FBC" w:rsidTr="00115AB1">
        <w:trPr>
          <w:trHeight w:val="319"/>
        </w:trPr>
        <w:tc>
          <w:tcPr>
            <w:tcW w:w="1191" w:type="dxa"/>
          </w:tcPr>
          <w:p w:rsidR="00CC3BA4" w:rsidRPr="00D36FBC" w:rsidRDefault="00CC3BA4" w:rsidP="004A42D5">
            <w:pPr>
              <w:pStyle w:val="Tabletext"/>
              <w:rPr>
                <w:rFonts w:cs="Tahoma"/>
              </w:rPr>
            </w:pPr>
            <w:r w:rsidRPr="00D36FBC">
              <w:rPr>
                <w:rFonts w:cs="Tahoma"/>
              </w:rPr>
              <w:t>Improved WHO FC</w:t>
            </w:r>
            <w:r>
              <w:rPr>
                <w:rFonts w:cs="Tahoma"/>
              </w:rPr>
              <w:br/>
            </w:r>
            <w:r w:rsidRPr="00D36FBC">
              <w:rPr>
                <w:rFonts w:cs="Tahoma"/>
              </w:rPr>
              <w:t>(12 weeks)</w:t>
            </w:r>
          </w:p>
        </w:tc>
        <w:tc>
          <w:tcPr>
            <w:tcW w:w="1356" w:type="dxa"/>
          </w:tcPr>
          <w:p w:rsidR="00CC3BA4" w:rsidRPr="00D36FBC" w:rsidRDefault="00CC3BA4" w:rsidP="004A42D5">
            <w:pPr>
              <w:pStyle w:val="Tabletext"/>
              <w:rPr>
                <w:rFonts w:cs="Tahoma"/>
              </w:rPr>
            </w:pPr>
            <w:r>
              <w:rPr>
                <w:rFonts w:cs="Tahoma"/>
              </w:rPr>
              <w:t>1</w:t>
            </w:r>
            <w:r w:rsidRPr="00D36FBC">
              <w:rPr>
                <w:rFonts w:cs="Tahoma"/>
              </w:rPr>
              <w:t xml:space="preserve"> RCT</w:t>
            </w:r>
          </w:p>
        </w:tc>
        <w:tc>
          <w:tcPr>
            <w:tcW w:w="912" w:type="dxa"/>
          </w:tcPr>
          <w:p w:rsidR="00CC3BA4" w:rsidRPr="00D36FBC" w:rsidRDefault="00CC3BA4" w:rsidP="004A42D5">
            <w:pPr>
              <w:pStyle w:val="Tabletext"/>
              <w:rPr>
                <w:rFonts w:cs="Tahoma"/>
              </w:rPr>
            </w:pPr>
            <w:r w:rsidRPr="00D36FBC">
              <w:rPr>
                <w:rFonts w:cs="Tahoma"/>
              </w:rPr>
              <w:t>Not serious</w:t>
            </w:r>
          </w:p>
        </w:tc>
        <w:tc>
          <w:tcPr>
            <w:tcW w:w="1134" w:type="dxa"/>
          </w:tcPr>
          <w:p w:rsidR="00CC3BA4" w:rsidRPr="00D36FBC" w:rsidRDefault="00CC3BA4" w:rsidP="004A42D5">
            <w:pPr>
              <w:pStyle w:val="Tabletext"/>
              <w:rPr>
                <w:rFonts w:cs="Tahoma"/>
              </w:rPr>
            </w:pPr>
            <w:r w:rsidRPr="00D36FBC">
              <w:rPr>
                <w:rFonts w:cs="Tahoma"/>
              </w:rPr>
              <w:t>Not serious</w:t>
            </w:r>
          </w:p>
        </w:tc>
        <w:tc>
          <w:tcPr>
            <w:tcW w:w="1276" w:type="dxa"/>
          </w:tcPr>
          <w:p w:rsidR="00CC3BA4" w:rsidRPr="00D36FBC" w:rsidRDefault="00CC3BA4" w:rsidP="004A42D5">
            <w:pPr>
              <w:pStyle w:val="Tabletext"/>
              <w:rPr>
                <w:rFonts w:cs="Tahoma"/>
              </w:rPr>
            </w:pPr>
            <w:r w:rsidRPr="00D36FBC">
              <w:rPr>
                <w:rFonts w:cs="Tahoma"/>
              </w:rPr>
              <w:t>Not serious</w:t>
            </w:r>
          </w:p>
        </w:tc>
        <w:tc>
          <w:tcPr>
            <w:tcW w:w="1276" w:type="dxa"/>
          </w:tcPr>
          <w:p w:rsidR="00CC3BA4" w:rsidRPr="00A25B65" w:rsidRDefault="0079256B" w:rsidP="0079256B">
            <w:pPr>
              <w:pStyle w:val="Tabletext"/>
              <w:rPr>
                <w:rFonts w:cs="Tahoma"/>
                <w:vertAlign w:val="superscript"/>
              </w:rPr>
            </w:pPr>
            <w:r>
              <w:rPr>
                <w:rFonts w:cs="Tahoma"/>
              </w:rPr>
              <w:t>Very s</w:t>
            </w:r>
            <w:r w:rsidR="00CC3BA4" w:rsidRPr="00D36FBC">
              <w:rPr>
                <w:rFonts w:cs="Tahoma"/>
              </w:rPr>
              <w:t>erious</w:t>
            </w:r>
            <w:r w:rsidR="00A25B65">
              <w:rPr>
                <w:rFonts w:cs="Tahoma"/>
                <w:vertAlign w:val="superscript"/>
              </w:rPr>
              <w:t xml:space="preserve"> c</w:t>
            </w:r>
            <w:r>
              <w:rPr>
                <w:rFonts w:cs="Tahoma"/>
                <w:vertAlign w:val="superscript"/>
              </w:rPr>
              <w:t>,d</w:t>
            </w:r>
          </w:p>
        </w:tc>
        <w:tc>
          <w:tcPr>
            <w:tcW w:w="1417" w:type="dxa"/>
          </w:tcPr>
          <w:p w:rsidR="00CC3BA4" w:rsidRPr="00D36FBC" w:rsidRDefault="00CC3BA4" w:rsidP="004A42D5">
            <w:pPr>
              <w:pStyle w:val="Tabletext"/>
              <w:rPr>
                <w:rFonts w:cs="Tahoma"/>
              </w:rPr>
            </w:pPr>
            <w:r w:rsidRPr="00D36FBC">
              <w:rPr>
                <w:rFonts w:cs="Tahoma"/>
              </w:rPr>
              <w:t>None</w:t>
            </w:r>
          </w:p>
        </w:tc>
        <w:tc>
          <w:tcPr>
            <w:tcW w:w="1276" w:type="dxa"/>
          </w:tcPr>
          <w:p w:rsidR="00CC3BA4" w:rsidRPr="00456F1B" w:rsidRDefault="00CC3BA4" w:rsidP="004A42D5">
            <w:pPr>
              <w:pStyle w:val="Tabletext"/>
              <w:rPr>
                <w:rFonts w:cs="Tahoma"/>
              </w:rPr>
            </w:pPr>
            <w:r>
              <w:rPr>
                <w:rFonts w:cs="Tahoma"/>
              </w:rPr>
              <w:t>13/22 (59.1%)</w:t>
            </w:r>
          </w:p>
        </w:tc>
        <w:tc>
          <w:tcPr>
            <w:tcW w:w="1134" w:type="dxa"/>
          </w:tcPr>
          <w:p w:rsidR="00CC3BA4" w:rsidRPr="00456F1B" w:rsidRDefault="00CC3BA4" w:rsidP="004A42D5">
            <w:pPr>
              <w:pStyle w:val="Tabletext"/>
              <w:rPr>
                <w:rFonts w:cs="Tahoma"/>
              </w:rPr>
            </w:pPr>
            <w:r w:rsidRPr="002E6544">
              <w:rPr>
                <w:rFonts w:cs="Tahoma"/>
              </w:rPr>
              <w:t>5/11 (45.5%)</w:t>
            </w:r>
          </w:p>
        </w:tc>
        <w:tc>
          <w:tcPr>
            <w:tcW w:w="992" w:type="dxa"/>
          </w:tcPr>
          <w:p w:rsidR="00CC3BA4" w:rsidRPr="00456F1B" w:rsidRDefault="00CC3BA4" w:rsidP="004A42D5">
            <w:pPr>
              <w:pStyle w:val="Tabletext"/>
              <w:rPr>
                <w:rFonts w:cs="Tahoma"/>
              </w:rPr>
            </w:pPr>
            <w:r w:rsidRPr="002E6544">
              <w:rPr>
                <w:rFonts w:cs="Tahoma"/>
              </w:rPr>
              <w:t xml:space="preserve">RR </w:t>
            </w:r>
            <w:r>
              <w:rPr>
                <w:rFonts w:cs="Tahoma"/>
              </w:rPr>
              <w:t xml:space="preserve">= </w:t>
            </w:r>
            <w:r w:rsidRPr="002E6544">
              <w:rPr>
                <w:rFonts w:cs="Tahoma"/>
              </w:rPr>
              <w:t>1.30</w:t>
            </w:r>
            <w:r>
              <w:rPr>
                <w:rFonts w:cs="Tahoma"/>
              </w:rPr>
              <w:t xml:space="preserve"> </w:t>
            </w:r>
            <w:r w:rsidRPr="002E6544">
              <w:rPr>
                <w:rFonts w:cs="Tahoma"/>
              </w:rPr>
              <w:t>(0.62</w:t>
            </w:r>
            <w:r>
              <w:rPr>
                <w:rFonts w:cs="Tahoma"/>
              </w:rPr>
              <w:t>,</w:t>
            </w:r>
            <w:r w:rsidRPr="002E6544">
              <w:rPr>
                <w:rFonts w:cs="Tahoma"/>
              </w:rPr>
              <w:t xml:space="preserve"> 2.71)</w:t>
            </w:r>
          </w:p>
        </w:tc>
        <w:tc>
          <w:tcPr>
            <w:tcW w:w="1750" w:type="dxa"/>
          </w:tcPr>
          <w:p w:rsidR="00CC3BA4" w:rsidRPr="00D36FBC" w:rsidRDefault="00CC3BA4" w:rsidP="004A42D5">
            <w:pPr>
              <w:pStyle w:val="Tabletext"/>
              <w:rPr>
                <w:rFonts w:cs="Tahoma"/>
              </w:rPr>
            </w:pPr>
            <w:r w:rsidRPr="002E6544">
              <w:rPr>
                <w:rFonts w:cs="Tahoma"/>
              </w:rPr>
              <w:t>136 more per 1,000</w:t>
            </w:r>
            <w:r>
              <w:rPr>
                <w:rFonts w:cs="Tahoma"/>
              </w:rPr>
              <w:br/>
            </w:r>
            <w:r w:rsidRPr="002E6544">
              <w:rPr>
                <w:rFonts w:cs="Tahoma"/>
              </w:rPr>
              <w:t>(from 173 fewer to 777 more)</w:t>
            </w:r>
          </w:p>
        </w:tc>
        <w:tc>
          <w:tcPr>
            <w:tcW w:w="1134" w:type="dxa"/>
          </w:tcPr>
          <w:p w:rsidR="0079256B" w:rsidRDefault="0079256B" w:rsidP="0079256B">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sidRPr="00E564DD">
              <w:rPr>
                <w:rFonts w:ascii="Cambria Math" w:eastAsia="Times New Roman" w:hAnsi="Cambria Math" w:cs="Cambria Math"/>
                <w:bCs/>
                <w:color w:val="00B050"/>
              </w:rPr>
              <w:t>⨁</w:t>
            </w:r>
            <w:r w:rsidRPr="00E564DD">
              <w:rPr>
                <w:rFonts w:ascii="Cambria Math" w:hAnsi="Cambria Math" w:cs="Cambria Math"/>
                <w:color w:val="C00000"/>
              </w:rPr>
              <w:t>⨀⨀</w:t>
            </w:r>
            <w:r w:rsidRPr="00E564DD">
              <w:rPr>
                <w:rFonts w:ascii="Cambria Math" w:eastAsia="Times New Roman" w:hAnsi="Cambria Math" w:cs="Cambria Math"/>
                <w:bCs/>
                <w:color w:val="FF0000"/>
              </w:rPr>
              <w:t>⨀</w:t>
            </w:r>
          </w:p>
          <w:p w:rsidR="00CC3BA4" w:rsidRPr="00D36FBC" w:rsidRDefault="00CC3BA4" w:rsidP="004A42D5">
            <w:pPr>
              <w:pStyle w:val="Tabletext"/>
              <w:rPr>
                <w:rFonts w:eastAsia="Times New Roman" w:cs="Cambria Math"/>
                <w:bCs/>
                <w:color w:val="00B050"/>
              </w:rPr>
            </w:pPr>
            <w:r>
              <w:rPr>
                <w:rFonts w:cs="Tahoma"/>
              </w:rPr>
              <w:t>Important</w:t>
            </w:r>
          </w:p>
        </w:tc>
      </w:tr>
      <w:tr w:rsidR="00B14FF5" w:rsidRPr="00D36FBC" w:rsidTr="00115AB1">
        <w:trPr>
          <w:trHeight w:val="319"/>
        </w:trPr>
        <w:tc>
          <w:tcPr>
            <w:tcW w:w="1191" w:type="dxa"/>
          </w:tcPr>
          <w:p w:rsidR="00B14FF5" w:rsidRPr="00D36FBC" w:rsidRDefault="00B14FF5" w:rsidP="004A42D5">
            <w:pPr>
              <w:pStyle w:val="Tabletext"/>
              <w:rPr>
                <w:rFonts w:cs="Tahoma"/>
              </w:rPr>
            </w:pPr>
            <w:r w:rsidRPr="00D36FBC">
              <w:rPr>
                <w:rFonts w:cs="Tahoma"/>
              </w:rPr>
              <w:t>Change in 6MWD from baseline</w:t>
            </w:r>
            <w:r>
              <w:rPr>
                <w:rFonts w:cs="Tahoma"/>
              </w:rPr>
              <w:br/>
            </w:r>
            <w:r w:rsidRPr="00D36FBC">
              <w:rPr>
                <w:rFonts w:cs="Tahoma"/>
              </w:rPr>
              <w:t>(</w:t>
            </w:r>
            <w:r>
              <w:rPr>
                <w:rFonts w:cs="Tahoma"/>
              </w:rPr>
              <w:t>1</w:t>
            </w:r>
            <w:r w:rsidRPr="00D36FBC">
              <w:rPr>
                <w:rFonts w:cs="Tahoma"/>
              </w:rPr>
              <w:t>2</w:t>
            </w:r>
            <w:r>
              <w:rPr>
                <w:rFonts w:cs="Tahoma"/>
              </w:rPr>
              <w:t>−1</w:t>
            </w:r>
            <w:r w:rsidRPr="00D36FBC">
              <w:rPr>
                <w:rFonts w:cs="Tahoma"/>
              </w:rPr>
              <w:t xml:space="preserve">6 weeks) </w:t>
            </w:r>
          </w:p>
        </w:tc>
        <w:tc>
          <w:tcPr>
            <w:tcW w:w="1356" w:type="dxa"/>
          </w:tcPr>
          <w:p w:rsidR="00B14FF5" w:rsidRPr="00D36FBC" w:rsidRDefault="00B14FF5" w:rsidP="004A42D5">
            <w:pPr>
              <w:pStyle w:val="Tabletext"/>
              <w:rPr>
                <w:rFonts w:cs="Tahoma"/>
              </w:rPr>
            </w:pPr>
            <w:r>
              <w:rPr>
                <w:rFonts w:cs="Tahoma"/>
              </w:rPr>
              <w:t>2</w:t>
            </w:r>
            <w:r w:rsidRPr="00D36FBC">
              <w:rPr>
                <w:rFonts w:cs="Tahoma"/>
              </w:rPr>
              <w:t xml:space="preserve"> RCT</w:t>
            </w:r>
            <w:r>
              <w:rPr>
                <w:rFonts w:cs="Tahoma"/>
              </w:rPr>
              <w:t>s</w:t>
            </w:r>
          </w:p>
        </w:tc>
        <w:tc>
          <w:tcPr>
            <w:tcW w:w="912" w:type="dxa"/>
          </w:tcPr>
          <w:p w:rsidR="00B14FF5" w:rsidRPr="00A25B65" w:rsidRDefault="00A25B65" w:rsidP="0079256B">
            <w:pPr>
              <w:pStyle w:val="Tabletext"/>
              <w:rPr>
                <w:rFonts w:cs="Tahoma"/>
                <w:vertAlign w:val="superscript"/>
              </w:rPr>
            </w:pPr>
            <w:r>
              <w:rPr>
                <w:rFonts w:cs="Tahoma"/>
              </w:rPr>
              <w:t>Serious</w:t>
            </w:r>
            <w:r>
              <w:rPr>
                <w:rFonts w:cs="Tahoma"/>
                <w:vertAlign w:val="superscript"/>
              </w:rPr>
              <w:t xml:space="preserve"> </w:t>
            </w:r>
            <w:r w:rsidR="0079256B">
              <w:rPr>
                <w:rFonts w:cs="Tahoma"/>
                <w:vertAlign w:val="superscript"/>
              </w:rPr>
              <w:t>e</w:t>
            </w:r>
          </w:p>
        </w:tc>
        <w:tc>
          <w:tcPr>
            <w:tcW w:w="1134" w:type="dxa"/>
          </w:tcPr>
          <w:p w:rsidR="00B14FF5" w:rsidRPr="00A25B65" w:rsidRDefault="00B14FF5" w:rsidP="00A25B65">
            <w:pPr>
              <w:pStyle w:val="Tabletext"/>
              <w:rPr>
                <w:rFonts w:cs="Tahoma"/>
                <w:vertAlign w:val="superscript"/>
              </w:rPr>
            </w:pPr>
            <w:r>
              <w:rPr>
                <w:rFonts w:cs="Tahoma"/>
              </w:rPr>
              <w:t>S</w:t>
            </w:r>
            <w:r w:rsidRPr="00D36FBC">
              <w:rPr>
                <w:rFonts w:cs="Tahoma"/>
              </w:rPr>
              <w:t>erious</w:t>
            </w:r>
            <w:r w:rsidR="0079256B">
              <w:rPr>
                <w:rFonts w:cs="Tahoma"/>
                <w:vertAlign w:val="superscript"/>
              </w:rPr>
              <w:t xml:space="preserve"> f</w:t>
            </w:r>
          </w:p>
        </w:tc>
        <w:tc>
          <w:tcPr>
            <w:tcW w:w="1276" w:type="dxa"/>
          </w:tcPr>
          <w:p w:rsidR="00B14FF5" w:rsidRPr="00A25B65" w:rsidRDefault="00114427" w:rsidP="00A25B65">
            <w:pPr>
              <w:pStyle w:val="Tabletext"/>
              <w:rPr>
                <w:rFonts w:cs="Tahoma"/>
                <w:vertAlign w:val="superscript"/>
              </w:rPr>
            </w:pPr>
            <w:r>
              <w:rPr>
                <w:rFonts w:cs="Tahoma"/>
              </w:rPr>
              <w:t>S</w:t>
            </w:r>
            <w:r w:rsidR="00B14FF5" w:rsidRPr="00D36FBC">
              <w:rPr>
                <w:rFonts w:cs="Tahoma"/>
              </w:rPr>
              <w:t>erious</w:t>
            </w:r>
            <w:r w:rsidR="0079256B">
              <w:rPr>
                <w:rFonts w:cs="Tahoma"/>
                <w:vertAlign w:val="superscript"/>
              </w:rPr>
              <w:t xml:space="preserve"> f</w:t>
            </w:r>
          </w:p>
        </w:tc>
        <w:tc>
          <w:tcPr>
            <w:tcW w:w="1276" w:type="dxa"/>
          </w:tcPr>
          <w:p w:rsidR="00B14FF5" w:rsidRPr="0079256B" w:rsidRDefault="0079256B" w:rsidP="0079256B">
            <w:pPr>
              <w:pStyle w:val="Tabletext"/>
              <w:rPr>
                <w:rFonts w:cs="Tahoma"/>
                <w:vertAlign w:val="superscript"/>
              </w:rPr>
            </w:pPr>
            <w:r>
              <w:rPr>
                <w:rFonts w:cs="Tahoma"/>
              </w:rPr>
              <w:t>Very s</w:t>
            </w:r>
            <w:r w:rsidR="00B14FF5" w:rsidRPr="00D36FBC">
              <w:rPr>
                <w:rFonts w:cs="Tahoma"/>
              </w:rPr>
              <w:t>erious</w:t>
            </w:r>
            <w:r>
              <w:rPr>
                <w:rFonts w:cs="Tahoma"/>
                <w:vertAlign w:val="superscript"/>
              </w:rPr>
              <w:t xml:space="preserve"> c</w:t>
            </w:r>
          </w:p>
        </w:tc>
        <w:tc>
          <w:tcPr>
            <w:tcW w:w="1417" w:type="dxa"/>
          </w:tcPr>
          <w:p w:rsidR="00B14FF5" w:rsidRPr="00D36FBC" w:rsidRDefault="00B14FF5" w:rsidP="004A42D5">
            <w:pPr>
              <w:pStyle w:val="Tabletext"/>
              <w:rPr>
                <w:rFonts w:cs="Tahoma"/>
              </w:rPr>
            </w:pPr>
            <w:r w:rsidRPr="00D36FBC">
              <w:rPr>
                <w:rFonts w:cs="Tahoma"/>
              </w:rPr>
              <w:t>None</w:t>
            </w:r>
          </w:p>
        </w:tc>
        <w:tc>
          <w:tcPr>
            <w:tcW w:w="1276" w:type="dxa"/>
          </w:tcPr>
          <w:p w:rsidR="00B14FF5" w:rsidRPr="006A0576" w:rsidRDefault="00B14FF5" w:rsidP="006A0576">
            <w:pPr>
              <w:pStyle w:val="Tabletext"/>
            </w:pPr>
            <w:r w:rsidRPr="006A0576">
              <w:t>30 patients tested</w:t>
            </w:r>
          </w:p>
        </w:tc>
        <w:tc>
          <w:tcPr>
            <w:tcW w:w="1134" w:type="dxa"/>
          </w:tcPr>
          <w:p w:rsidR="00B14FF5" w:rsidRPr="006A0576" w:rsidRDefault="00B14FF5" w:rsidP="006A0576">
            <w:pPr>
              <w:pStyle w:val="Tabletext"/>
            </w:pPr>
            <w:r w:rsidRPr="006A0576">
              <w:rPr>
                <w:rStyle w:val="cell-value"/>
              </w:rPr>
              <w:t>17</w:t>
            </w:r>
            <w:r w:rsidRPr="006A0576">
              <w:t xml:space="preserve"> patients tested</w:t>
            </w:r>
          </w:p>
        </w:tc>
        <w:tc>
          <w:tcPr>
            <w:tcW w:w="992" w:type="dxa"/>
          </w:tcPr>
          <w:p w:rsidR="00B14FF5" w:rsidRPr="001D2AD7" w:rsidRDefault="00B14FF5" w:rsidP="004A42D5">
            <w:pPr>
              <w:pStyle w:val="Tabletext"/>
              <w:rPr>
                <w:rFonts w:cs="Tahoma"/>
              </w:rPr>
            </w:pPr>
            <w:r>
              <w:rPr>
                <w:rFonts w:cs="Tahoma"/>
              </w:rPr>
              <w:t>-</w:t>
            </w:r>
          </w:p>
        </w:tc>
        <w:tc>
          <w:tcPr>
            <w:tcW w:w="1750" w:type="dxa"/>
          </w:tcPr>
          <w:p w:rsidR="00B14FF5" w:rsidRPr="00B14FF5" w:rsidRDefault="00B14FF5" w:rsidP="004A42D5">
            <w:pPr>
              <w:pStyle w:val="Tabletext"/>
              <w:rPr>
                <w:rFonts w:cs="Tahoma"/>
              </w:rPr>
            </w:pPr>
            <w:r w:rsidRPr="00B14FF5">
              <w:rPr>
                <w:rFonts w:cs="Tahoma"/>
              </w:rPr>
              <w:t>MD 64.8 m further</w:t>
            </w:r>
            <w:r w:rsidRPr="00B14FF5">
              <w:rPr>
                <w:rFonts w:cs="Tahoma"/>
              </w:rPr>
              <w:br/>
              <w:t>(range 6.0 m less to 123.6 m further)</w:t>
            </w:r>
          </w:p>
        </w:tc>
        <w:tc>
          <w:tcPr>
            <w:tcW w:w="1134" w:type="dxa"/>
          </w:tcPr>
          <w:p w:rsidR="00B14FF5" w:rsidRPr="00B14FF5" w:rsidRDefault="00114427" w:rsidP="004A42D5">
            <w:pPr>
              <w:pStyle w:val="Tabletext"/>
              <w:rPr>
                <w:rFonts w:eastAsia="Times New Roman" w:cs="Tahoma"/>
                <w:bCs/>
              </w:rPr>
            </w:pPr>
            <w:r>
              <w:rPr>
                <w:rFonts w:eastAsia="Times New Roman" w:cs="Tahoma"/>
                <w:bCs/>
              </w:rPr>
              <w:t>Very l</w:t>
            </w:r>
            <w:r w:rsidR="00B14FF5">
              <w:rPr>
                <w:rFonts w:eastAsia="Times New Roman" w:cs="Tahoma"/>
                <w:bCs/>
              </w:rPr>
              <w:t>ow</w:t>
            </w:r>
            <w:r w:rsidR="00B14FF5">
              <w:rPr>
                <w:rFonts w:eastAsia="Times New Roman" w:cs="Tahoma"/>
                <w:bCs/>
              </w:rPr>
              <w:br/>
            </w:r>
            <w:r w:rsidR="00F13836" w:rsidRPr="00E564DD">
              <w:rPr>
                <w:rFonts w:ascii="Cambria Math" w:hAnsi="Cambria Math" w:cs="Cambria Math"/>
                <w:color w:val="00B050"/>
              </w:rPr>
              <w:t>⨁</w:t>
            </w:r>
            <w:r w:rsidRPr="00E564DD">
              <w:rPr>
                <w:rFonts w:ascii="Cambria Math" w:hAnsi="Cambria Math" w:cs="Cambria Math"/>
                <w:color w:val="C00000"/>
              </w:rPr>
              <w:t>⨀</w:t>
            </w:r>
            <w:r w:rsidR="00F13836" w:rsidRPr="00E564DD">
              <w:rPr>
                <w:rFonts w:ascii="Cambria Math" w:hAnsi="Cambria Math" w:cs="Cambria Math"/>
                <w:color w:val="C00000"/>
              </w:rPr>
              <w:t>⨀⨀</w:t>
            </w:r>
          </w:p>
          <w:p w:rsidR="00B14FF5" w:rsidRPr="00B14FF5" w:rsidRDefault="00B14FF5" w:rsidP="004A42D5">
            <w:pPr>
              <w:pStyle w:val="Tabletext"/>
              <w:rPr>
                <w:rFonts w:eastAsia="Times New Roman" w:cs="Tahoma"/>
                <w:bCs/>
              </w:rPr>
            </w:pPr>
            <w:r>
              <w:rPr>
                <w:rFonts w:eastAsia="Times New Roman" w:cs="Tahoma"/>
                <w:bCs/>
              </w:rPr>
              <w:t>I</w:t>
            </w:r>
            <w:r w:rsidRPr="00B14FF5">
              <w:rPr>
                <w:rFonts w:eastAsia="Times New Roman" w:cs="Tahoma"/>
                <w:bCs/>
              </w:rPr>
              <w:t>mportant</w:t>
            </w:r>
          </w:p>
        </w:tc>
      </w:tr>
      <w:tr w:rsidR="0079256B" w:rsidRPr="00D36FBC" w:rsidTr="00115AB1">
        <w:trPr>
          <w:trHeight w:val="319"/>
        </w:trPr>
        <w:tc>
          <w:tcPr>
            <w:tcW w:w="1191" w:type="dxa"/>
          </w:tcPr>
          <w:p w:rsidR="0079256B" w:rsidRPr="00D36FBC" w:rsidRDefault="0079256B" w:rsidP="0079256B">
            <w:pPr>
              <w:pStyle w:val="Tabletext"/>
              <w:rPr>
                <w:rFonts w:cs="Tahoma"/>
              </w:rPr>
            </w:pPr>
            <w:r w:rsidRPr="00D36FBC">
              <w:rPr>
                <w:rFonts w:cs="Tahoma"/>
              </w:rPr>
              <w:t>Change in QoL from baseline</w:t>
            </w:r>
            <w:r>
              <w:rPr>
                <w:rFonts w:cs="Tahoma"/>
              </w:rPr>
              <w:br/>
            </w:r>
            <w:r w:rsidRPr="00D36FBC">
              <w:rPr>
                <w:rFonts w:cs="Tahoma"/>
              </w:rPr>
              <w:t>(</w:t>
            </w:r>
            <w:r>
              <w:rPr>
                <w:rFonts w:cs="Tahoma"/>
              </w:rPr>
              <w:t>1</w:t>
            </w:r>
            <w:r w:rsidRPr="00D36FBC">
              <w:rPr>
                <w:rFonts w:cs="Tahoma"/>
              </w:rPr>
              <w:t xml:space="preserve">2 weeks) </w:t>
            </w:r>
          </w:p>
        </w:tc>
        <w:tc>
          <w:tcPr>
            <w:tcW w:w="1356" w:type="dxa"/>
          </w:tcPr>
          <w:p w:rsidR="0079256B" w:rsidRPr="00D36FBC" w:rsidRDefault="0079256B" w:rsidP="0079256B">
            <w:pPr>
              <w:pStyle w:val="Tabletext"/>
              <w:rPr>
                <w:rFonts w:cs="Tahoma"/>
              </w:rPr>
            </w:pPr>
            <w:r w:rsidRPr="00D36FBC">
              <w:rPr>
                <w:rFonts w:cs="Tahoma"/>
              </w:rPr>
              <w:t>1 RCT</w:t>
            </w:r>
          </w:p>
        </w:tc>
        <w:tc>
          <w:tcPr>
            <w:tcW w:w="912" w:type="dxa"/>
          </w:tcPr>
          <w:p w:rsidR="0079256B" w:rsidRPr="00A25B65" w:rsidRDefault="0079256B" w:rsidP="0079256B">
            <w:pPr>
              <w:pStyle w:val="Tabletext"/>
              <w:rPr>
                <w:rFonts w:cs="Tahoma"/>
                <w:vertAlign w:val="superscript"/>
              </w:rPr>
            </w:pPr>
            <w:r>
              <w:rPr>
                <w:rFonts w:cs="Tahoma"/>
              </w:rPr>
              <w:t xml:space="preserve">Very </w:t>
            </w:r>
            <w:r w:rsidRPr="00A25B65">
              <w:rPr>
                <w:rFonts w:cs="Tahoma"/>
              </w:rPr>
              <w:t>serious</w:t>
            </w:r>
            <w:r>
              <w:rPr>
                <w:rFonts w:cs="Tahoma"/>
                <w:vertAlign w:val="superscript"/>
              </w:rPr>
              <w:t xml:space="preserve"> e</w:t>
            </w:r>
          </w:p>
        </w:tc>
        <w:tc>
          <w:tcPr>
            <w:tcW w:w="1134" w:type="dxa"/>
          </w:tcPr>
          <w:p w:rsidR="0079256B" w:rsidRPr="00D36FBC" w:rsidRDefault="0079256B" w:rsidP="0079256B">
            <w:pPr>
              <w:pStyle w:val="Tabletext"/>
              <w:rPr>
                <w:rFonts w:cs="Tahoma"/>
              </w:rPr>
            </w:pPr>
            <w:r w:rsidRPr="00D36FBC">
              <w:rPr>
                <w:rFonts w:cs="Tahoma"/>
              </w:rPr>
              <w:t>Not serious</w:t>
            </w:r>
          </w:p>
        </w:tc>
        <w:tc>
          <w:tcPr>
            <w:tcW w:w="1276" w:type="dxa"/>
          </w:tcPr>
          <w:p w:rsidR="0079256B" w:rsidRPr="00D36FBC" w:rsidRDefault="0079256B" w:rsidP="0079256B">
            <w:pPr>
              <w:pStyle w:val="Tabletext"/>
              <w:rPr>
                <w:rFonts w:cs="Tahoma"/>
              </w:rPr>
            </w:pPr>
            <w:r w:rsidRPr="00D36FBC">
              <w:rPr>
                <w:rFonts w:cs="Tahoma"/>
              </w:rPr>
              <w:t>Not serious</w:t>
            </w:r>
          </w:p>
        </w:tc>
        <w:tc>
          <w:tcPr>
            <w:tcW w:w="1276" w:type="dxa"/>
          </w:tcPr>
          <w:p w:rsidR="0079256B" w:rsidRPr="00D36FBC" w:rsidRDefault="0079256B" w:rsidP="0079256B">
            <w:pPr>
              <w:pStyle w:val="Tabletext"/>
              <w:rPr>
                <w:rFonts w:cs="Tahoma"/>
              </w:rPr>
            </w:pPr>
            <w:r>
              <w:rPr>
                <w:rFonts w:cs="Tahoma"/>
              </w:rPr>
              <w:t>Very s</w:t>
            </w:r>
            <w:r w:rsidRPr="00D36FBC">
              <w:rPr>
                <w:rFonts w:cs="Tahoma"/>
              </w:rPr>
              <w:t>erious</w:t>
            </w:r>
            <w:r>
              <w:rPr>
                <w:rFonts w:cs="Tahoma"/>
                <w:vertAlign w:val="superscript"/>
              </w:rPr>
              <w:t xml:space="preserve"> c</w:t>
            </w:r>
          </w:p>
        </w:tc>
        <w:tc>
          <w:tcPr>
            <w:tcW w:w="1417" w:type="dxa"/>
          </w:tcPr>
          <w:p w:rsidR="0079256B" w:rsidRPr="00D36FBC" w:rsidRDefault="0079256B" w:rsidP="0079256B">
            <w:pPr>
              <w:pStyle w:val="Tabletext"/>
              <w:rPr>
                <w:rFonts w:cs="Tahoma"/>
              </w:rPr>
            </w:pPr>
            <w:r w:rsidRPr="00D36FBC">
              <w:rPr>
                <w:rFonts w:cs="Tahoma"/>
              </w:rPr>
              <w:t>None</w:t>
            </w:r>
          </w:p>
        </w:tc>
        <w:tc>
          <w:tcPr>
            <w:tcW w:w="1276" w:type="dxa"/>
          </w:tcPr>
          <w:p w:rsidR="0079256B" w:rsidRPr="006A0576" w:rsidRDefault="0079256B" w:rsidP="0079256B">
            <w:pPr>
              <w:pStyle w:val="Tabletext"/>
            </w:pPr>
            <w:r w:rsidRPr="006A0576">
              <w:t>150 patients tested</w:t>
            </w:r>
          </w:p>
        </w:tc>
        <w:tc>
          <w:tcPr>
            <w:tcW w:w="1134" w:type="dxa"/>
          </w:tcPr>
          <w:p w:rsidR="0079256B" w:rsidRPr="006A0576" w:rsidRDefault="0079256B" w:rsidP="0079256B">
            <w:pPr>
              <w:pStyle w:val="Tabletext"/>
            </w:pPr>
            <w:r w:rsidRPr="006A0576">
              <w:rPr>
                <w:rStyle w:val="cell-value"/>
              </w:rPr>
              <w:t>149</w:t>
            </w:r>
            <w:r w:rsidRPr="006A0576">
              <w:t xml:space="preserve"> patients tested</w:t>
            </w:r>
          </w:p>
        </w:tc>
        <w:tc>
          <w:tcPr>
            <w:tcW w:w="992" w:type="dxa"/>
          </w:tcPr>
          <w:p w:rsidR="0079256B" w:rsidRPr="001D2AD7" w:rsidRDefault="0079256B" w:rsidP="0079256B">
            <w:pPr>
              <w:pStyle w:val="Tabletext"/>
              <w:rPr>
                <w:rFonts w:cs="Tahoma"/>
              </w:rPr>
            </w:pPr>
            <w:r>
              <w:rPr>
                <w:rFonts w:cs="Tahoma"/>
              </w:rPr>
              <w:t>-</w:t>
            </w:r>
          </w:p>
        </w:tc>
        <w:tc>
          <w:tcPr>
            <w:tcW w:w="1750" w:type="dxa"/>
          </w:tcPr>
          <w:p w:rsidR="0079256B" w:rsidRPr="00B14FF5" w:rsidRDefault="0079256B" w:rsidP="0079256B">
            <w:pPr>
              <w:pStyle w:val="Tabletext"/>
              <w:rPr>
                <w:rFonts w:cs="Tahoma"/>
              </w:rPr>
            </w:pPr>
            <w:r>
              <w:rPr>
                <w:rFonts w:cs="Tahoma"/>
              </w:rPr>
              <w:t>MLHF</w:t>
            </w:r>
            <w:r w:rsidRPr="00B63B1D">
              <w:rPr>
                <w:rFonts w:cs="Tahoma"/>
                <w:vertAlign w:val="superscript"/>
              </w:rPr>
              <w:t>g</w:t>
            </w:r>
            <w:r>
              <w:rPr>
                <w:rFonts w:cs="Tahoma"/>
              </w:rPr>
              <w:br/>
            </w:r>
            <w:r w:rsidRPr="00B14FF5">
              <w:rPr>
                <w:rFonts w:cs="Tahoma"/>
              </w:rPr>
              <w:t>MD 35.34 points improvement</w:t>
            </w:r>
          </w:p>
        </w:tc>
        <w:tc>
          <w:tcPr>
            <w:tcW w:w="1134" w:type="dxa"/>
          </w:tcPr>
          <w:p w:rsidR="0079256B" w:rsidRDefault="0079256B" w:rsidP="0079256B">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sidRPr="00E564DD">
              <w:rPr>
                <w:rFonts w:ascii="Cambria Math" w:eastAsia="Times New Roman" w:hAnsi="Cambria Math" w:cs="Cambria Math"/>
                <w:bCs/>
                <w:color w:val="00B050"/>
              </w:rPr>
              <w:t>⨁</w:t>
            </w:r>
            <w:r w:rsidRPr="00E564DD">
              <w:rPr>
                <w:rFonts w:ascii="Cambria Math" w:hAnsi="Cambria Math" w:cs="Cambria Math"/>
                <w:color w:val="C00000"/>
              </w:rPr>
              <w:t>⨀⨀</w:t>
            </w:r>
            <w:r w:rsidRPr="00E564DD">
              <w:rPr>
                <w:rFonts w:ascii="Cambria Math" w:eastAsia="Times New Roman" w:hAnsi="Cambria Math" w:cs="Cambria Math"/>
                <w:bCs/>
                <w:color w:val="FF0000"/>
              </w:rPr>
              <w:t>⨀</w:t>
            </w:r>
          </w:p>
          <w:p w:rsidR="0079256B" w:rsidRPr="00B14FF5" w:rsidRDefault="0079256B" w:rsidP="0079256B">
            <w:pPr>
              <w:pStyle w:val="Tabletext"/>
              <w:rPr>
                <w:rFonts w:eastAsia="Times New Roman" w:cs="Tahoma"/>
                <w:bCs/>
              </w:rPr>
            </w:pPr>
            <w:r>
              <w:rPr>
                <w:rFonts w:eastAsia="Times New Roman" w:cs="Tahoma"/>
                <w:bCs/>
              </w:rPr>
              <w:t>I</w:t>
            </w:r>
            <w:r w:rsidRPr="005334F8">
              <w:rPr>
                <w:rFonts w:eastAsia="Times New Roman" w:cs="Tahoma"/>
                <w:bCs/>
              </w:rPr>
              <w:t>mportant</w:t>
            </w:r>
          </w:p>
        </w:tc>
      </w:tr>
      <w:tr w:rsidR="0079256B" w:rsidRPr="00E564DD" w:rsidTr="00115AB1">
        <w:trPr>
          <w:trHeight w:val="319"/>
        </w:trPr>
        <w:tc>
          <w:tcPr>
            <w:tcW w:w="1191" w:type="dxa"/>
          </w:tcPr>
          <w:p w:rsidR="0079256B" w:rsidRPr="00092BB4" w:rsidRDefault="0079256B" w:rsidP="0079256B">
            <w:pPr>
              <w:pStyle w:val="Tabletext"/>
              <w:rPr>
                <w:rFonts w:cs="Tahoma"/>
              </w:rPr>
            </w:pPr>
            <w:r w:rsidRPr="00092BB4">
              <w:rPr>
                <w:rFonts w:cs="Tahoma"/>
              </w:rPr>
              <w:lastRenderedPageBreak/>
              <w:t>Change in haemodynamic parameters from baseline</w:t>
            </w:r>
            <w:r>
              <w:rPr>
                <w:rFonts w:cs="Tahoma"/>
              </w:rPr>
              <w:br/>
            </w:r>
            <w:r w:rsidRPr="00092BB4">
              <w:rPr>
                <w:rFonts w:cs="Tahoma"/>
              </w:rPr>
              <w:t>(12</w:t>
            </w:r>
            <w:r>
              <w:rPr>
                <w:rFonts w:cs="Tahoma"/>
              </w:rPr>
              <w:t>−16</w:t>
            </w:r>
            <w:r w:rsidRPr="00092BB4">
              <w:rPr>
                <w:rFonts w:cs="Tahoma"/>
              </w:rPr>
              <w:t xml:space="preserve"> weeks) </w:t>
            </w:r>
          </w:p>
        </w:tc>
        <w:tc>
          <w:tcPr>
            <w:tcW w:w="1356" w:type="dxa"/>
          </w:tcPr>
          <w:p w:rsidR="0079256B" w:rsidRPr="00092BB4" w:rsidRDefault="0079256B" w:rsidP="0079256B">
            <w:pPr>
              <w:pStyle w:val="Tabletext"/>
              <w:rPr>
                <w:rFonts w:cs="Tahoma"/>
              </w:rPr>
            </w:pPr>
            <w:r>
              <w:rPr>
                <w:rFonts w:cs="Tahoma"/>
              </w:rPr>
              <w:t>2 RCTs</w:t>
            </w:r>
          </w:p>
        </w:tc>
        <w:tc>
          <w:tcPr>
            <w:tcW w:w="912" w:type="dxa"/>
          </w:tcPr>
          <w:p w:rsidR="0079256B" w:rsidRPr="00A25B65" w:rsidRDefault="0079256B" w:rsidP="0079256B">
            <w:pPr>
              <w:pStyle w:val="Tabletext"/>
              <w:rPr>
                <w:rFonts w:cs="Tahoma"/>
                <w:vertAlign w:val="superscript"/>
              </w:rPr>
            </w:pPr>
            <w:r>
              <w:rPr>
                <w:rFonts w:cs="Tahoma"/>
              </w:rPr>
              <w:t>S</w:t>
            </w:r>
            <w:r w:rsidRPr="00092BB4">
              <w:rPr>
                <w:rFonts w:cs="Tahoma"/>
              </w:rPr>
              <w:t>erious</w:t>
            </w:r>
            <w:r>
              <w:rPr>
                <w:rFonts w:cs="Tahoma"/>
                <w:vertAlign w:val="superscript"/>
              </w:rPr>
              <w:t xml:space="preserve"> e</w:t>
            </w:r>
          </w:p>
        </w:tc>
        <w:tc>
          <w:tcPr>
            <w:tcW w:w="1134" w:type="dxa"/>
          </w:tcPr>
          <w:p w:rsidR="0079256B" w:rsidRPr="00092BB4" w:rsidRDefault="0079256B" w:rsidP="0079256B">
            <w:pPr>
              <w:pStyle w:val="Tabletext"/>
              <w:rPr>
                <w:rFonts w:cs="Tahoma"/>
              </w:rPr>
            </w:pPr>
            <w:r w:rsidRPr="00092BB4">
              <w:rPr>
                <w:rFonts w:cs="Tahoma"/>
              </w:rPr>
              <w:t>Not serious</w:t>
            </w:r>
          </w:p>
        </w:tc>
        <w:tc>
          <w:tcPr>
            <w:tcW w:w="1276" w:type="dxa"/>
          </w:tcPr>
          <w:p w:rsidR="0079256B" w:rsidRPr="00A25B65" w:rsidRDefault="0079256B" w:rsidP="0079256B">
            <w:pPr>
              <w:pStyle w:val="Tabletext"/>
              <w:rPr>
                <w:rFonts w:cs="Tahoma"/>
                <w:vertAlign w:val="superscript"/>
              </w:rPr>
            </w:pPr>
            <w:r>
              <w:rPr>
                <w:rFonts w:cs="Tahoma"/>
              </w:rPr>
              <w:t>Very</w:t>
            </w:r>
            <w:r w:rsidRPr="00092BB4">
              <w:rPr>
                <w:rFonts w:cs="Tahoma"/>
              </w:rPr>
              <w:t xml:space="preserve"> serious</w:t>
            </w:r>
            <w:r>
              <w:rPr>
                <w:rFonts w:cs="Tahoma"/>
                <w:vertAlign w:val="superscript"/>
              </w:rPr>
              <w:t xml:space="preserve"> g</w:t>
            </w:r>
          </w:p>
        </w:tc>
        <w:tc>
          <w:tcPr>
            <w:tcW w:w="1276" w:type="dxa"/>
          </w:tcPr>
          <w:p w:rsidR="0079256B" w:rsidRPr="00092BB4" w:rsidRDefault="0079256B" w:rsidP="0079256B">
            <w:pPr>
              <w:pStyle w:val="Tabletext"/>
              <w:rPr>
                <w:rFonts w:cs="Tahoma"/>
              </w:rPr>
            </w:pPr>
            <w:r>
              <w:rPr>
                <w:rFonts w:cs="Tahoma"/>
              </w:rPr>
              <w:t>Very s</w:t>
            </w:r>
            <w:r w:rsidRPr="00D36FBC">
              <w:rPr>
                <w:rFonts w:cs="Tahoma"/>
              </w:rPr>
              <w:t>erious</w:t>
            </w:r>
            <w:r>
              <w:rPr>
                <w:rFonts w:cs="Tahoma"/>
                <w:vertAlign w:val="superscript"/>
              </w:rPr>
              <w:t xml:space="preserve"> c</w:t>
            </w:r>
          </w:p>
        </w:tc>
        <w:tc>
          <w:tcPr>
            <w:tcW w:w="1417" w:type="dxa"/>
          </w:tcPr>
          <w:p w:rsidR="0079256B" w:rsidRPr="00092BB4" w:rsidRDefault="0079256B" w:rsidP="0079256B">
            <w:pPr>
              <w:pStyle w:val="Tabletext"/>
              <w:rPr>
                <w:rFonts w:cs="Tahoma"/>
              </w:rPr>
            </w:pPr>
            <w:r>
              <w:rPr>
                <w:rFonts w:cs="Tahoma"/>
              </w:rPr>
              <w:t>None</w:t>
            </w:r>
          </w:p>
        </w:tc>
        <w:tc>
          <w:tcPr>
            <w:tcW w:w="1276" w:type="dxa"/>
          </w:tcPr>
          <w:p w:rsidR="0079256B" w:rsidRPr="00092BB4" w:rsidRDefault="0079256B" w:rsidP="0079256B">
            <w:pPr>
              <w:pStyle w:val="Tabletext"/>
              <w:rPr>
                <w:rFonts w:eastAsia="Times New Roman"/>
              </w:rPr>
            </w:pPr>
            <w:r>
              <w:rPr>
                <w:rFonts w:eastAsia="Times New Roman"/>
              </w:rPr>
              <w:t>30</w:t>
            </w:r>
            <w:r w:rsidRPr="00092BB4">
              <w:rPr>
                <w:rFonts w:eastAsia="Times New Roman"/>
              </w:rPr>
              <w:t xml:space="preserve"> patients tested</w:t>
            </w:r>
          </w:p>
        </w:tc>
        <w:tc>
          <w:tcPr>
            <w:tcW w:w="1134" w:type="dxa"/>
          </w:tcPr>
          <w:p w:rsidR="0079256B" w:rsidRPr="00092BB4" w:rsidRDefault="0079256B" w:rsidP="0079256B">
            <w:pPr>
              <w:pStyle w:val="Tabletext"/>
              <w:rPr>
                <w:rFonts w:eastAsia="Times New Roman"/>
              </w:rPr>
            </w:pPr>
            <w:r>
              <w:rPr>
                <w:rFonts w:eastAsia="Times New Roman"/>
              </w:rPr>
              <w:t>17</w:t>
            </w:r>
            <w:r w:rsidRPr="00092BB4">
              <w:rPr>
                <w:rFonts w:eastAsia="Times New Roman"/>
              </w:rPr>
              <w:t xml:space="preserve"> patients tested</w:t>
            </w:r>
          </w:p>
        </w:tc>
        <w:tc>
          <w:tcPr>
            <w:tcW w:w="992" w:type="dxa"/>
          </w:tcPr>
          <w:p w:rsidR="0079256B" w:rsidRPr="00092BB4" w:rsidRDefault="0079256B" w:rsidP="0079256B">
            <w:pPr>
              <w:pStyle w:val="Tabletext"/>
              <w:rPr>
                <w:rFonts w:eastAsia="Times New Roman"/>
                <w:bCs/>
              </w:rPr>
            </w:pPr>
            <w:r w:rsidRPr="00092BB4">
              <w:rPr>
                <w:rFonts w:eastAsia="Times New Roman"/>
                <w:bCs/>
              </w:rPr>
              <w:t>-</w:t>
            </w:r>
          </w:p>
        </w:tc>
        <w:tc>
          <w:tcPr>
            <w:tcW w:w="1750" w:type="dxa"/>
          </w:tcPr>
          <w:p w:rsidR="0079256B" w:rsidRDefault="0079256B" w:rsidP="0079256B">
            <w:pPr>
              <w:pStyle w:val="Tabletext"/>
              <w:rPr>
                <w:rFonts w:cs="Tahoma"/>
              </w:rPr>
            </w:pPr>
            <w:r>
              <w:rPr>
                <w:rFonts w:cs="Tahoma"/>
              </w:rPr>
              <w:t>CAI</w:t>
            </w:r>
            <w:r>
              <w:rPr>
                <w:rFonts w:cs="Tahoma"/>
              </w:rPr>
              <w:br/>
            </w:r>
            <w:r w:rsidRPr="004B3FD7">
              <w:rPr>
                <w:rFonts w:cs="Tahoma"/>
              </w:rPr>
              <w:t>M</w:t>
            </w:r>
            <w:r>
              <w:rPr>
                <w:rFonts w:cs="Tahoma"/>
              </w:rPr>
              <w:t>edian MD</w:t>
            </w:r>
            <w:r w:rsidRPr="004B3FD7">
              <w:rPr>
                <w:rFonts w:cs="Tahoma"/>
              </w:rPr>
              <w:t xml:space="preserve"> </w:t>
            </w:r>
            <w:r>
              <w:rPr>
                <w:rFonts w:cs="Tahoma"/>
              </w:rPr>
              <w:t>13</w:t>
            </w:r>
            <w:r w:rsidRPr="004B3FD7">
              <w:rPr>
                <w:rFonts w:cs="Tahoma"/>
              </w:rPr>
              <w:t>.</w:t>
            </w:r>
            <w:r>
              <w:rPr>
                <w:rFonts w:cs="Tahoma"/>
              </w:rPr>
              <w:t>9</w:t>
            </w:r>
            <w:r w:rsidRPr="004B3FD7">
              <w:rPr>
                <w:rFonts w:cs="Tahoma"/>
              </w:rPr>
              <w:t>% improvement</w:t>
            </w:r>
            <w:r>
              <w:rPr>
                <w:rFonts w:cs="Tahoma"/>
              </w:rPr>
              <w:t xml:space="preserve"> (range 10.8−17)</w:t>
            </w:r>
          </w:p>
          <w:p w:rsidR="0079256B" w:rsidRDefault="0079256B" w:rsidP="0079256B">
            <w:pPr>
              <w:pStyle w:val="Tabletext"/>
              <w:rPr>
                <w:rFonts w:cs="Tahoma"/>
              </w:rPr>
            </w:pPr>
            <w:r w:rsidRPr="00092BB4">
              <w:rPr>
                <w:rFonts w:cs="Tahoma"/>
              </w:rPr>
              <w:t>PVR</w:t>
            </w:r>
            <w:r w:rsidRPr="00092BB4">
              <w:rPr>
                <w:rFonts w:cs="Tahoma"/>
              </w:rPr>
              <w:br/>
              <w:t>M</w:t>
            </w:r>
            <w:r>
              <w:rPr>
                <w:rFonts w:cs="Tahoma"/>
              </w:rPr>
              <w:t>edian MD</w:t>
            </w:r>
            <w:r w:rsidRPr="00092BB4">
              <w:rPr>
                <w:rFonts w:cs="Tahoma"/>
              </w:rPr>
              <w:t xml:space="preserve"> </w:t>
            </w:r>
            <w:r>
              <w:rPr>
                <w:rFonts w:cs="Tahoma"/>
              </w:rPr>
              <w:t>12.5</w:t>
            </w:r>
            <w:r w:rsidRPr="00092BB4">
              <w:rPr>
                <w:rFonts w:cs="Tahoma"/>
              </w:rPr>
              <w:t>% improvement</w:t>
            </w:r>
            <w:r>
              <w:rPr>
                <w:rFonts w:cs="Tahoma"/>
              </w:rPr>
              <w:t xml:space="preserve"> (range 9.5−21.5)</w:t>
            </w:r>
          </w:p>
          <w:p w:rsidR="0079256B" w:rsidRPr="00092BB4" w:rsidRDefault="0079256B" w:rsidP="0079256B">
            <w:pPr>
              <w:pStyle w:val="Tabletext"/>
              <w:rPr>
                <w:rFonts w:cs="Tahoma"/>
              </w:rPr>
            </w:pPr>
            <w:r>
              <w:rPr>
                <w:rFonts w:cs="Tahoma"/>
              </w:rPr>
              <w:t>mPAP</w:t>
            </w:r>
            <w:r>
              <w:rPr>
                <w:rFonts w:cs="Tahoma"/>
              </w:rPr>
              <w:br/>
            </w:r>
            <w:r w:rsidRPr="004B3FD7">
              <w:rPr>
                <w:rFonts w:cs="Tahoma"/>
              </w:rPr>
              <w:t>M</w:t>
            </w:r>
            <w:r>
              <w:rPr>
                <w:rFonts w:cs="Tahoma"/>
              </w:rPr>
              <w:t>edian MD</w:t>
            </w:r>
            <w:r w:rsidRPr="004B3FD7">
              <w:rPr>
                <w:rFonts w:cs="Tahoma"/>
              </w:rPr>
              <w:t xml:space="preserve"> </w:t>
            </w:r>
            <w:r>
              <w:rPr>
                <w:rFonts w:cs="Tahoma"/>
              </w:rPr>
              <w:t>1</w:t>
            </w:r>
            <w:r w:rsidRPr="004B3FD7">
              <w:rPr>
                <w:rFonts w:cs="Tahoma"/>
              </w:rPr>
              <w:t>6.</w:t>
            </w:r>
            <w:r>
              <w:rPr>
                <w:rFonts w:cs="Tahoma"/>
              </w:rPr>
              <w:t>6</w:t>
            </w:r>
            <w:r w:rsidRPr="004B3FD7">
              <w:rPr>
                <w:rFonts w:cs="Tahoma"/>
              </w:rPr>
              <w:t>% improvement</w:t>
            </w:r>
            <w:r>
              <w:rPr>
                <w:rFonts w:cs="Tahoma"/>
              </w:rPr>
              <w:t xml:space="preserve"> (range 6.8−26.3)</w:t>
            </w:r>
          </w:p>
        </w:tc>
        <w:tc>
          <w:tcPr>
            <w:tcW w:w="1134" w:type="dxa"/>
          </w:tcPr>
          <w:p w:rsidR="0079256B" w:rsidRDefault="0079256B" w:rsidP="0079256B">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sidRPr="00E564DD">
              <w:rPr>
                <w:rFonts w:ascii="Cambria Math" w:eastAsia="Times New Roman" w:hAnsi="Cambria Math" w:cs="Cambria Math"/>
                <w:bCs/>
                <w:color w:val="00B050"/>
              </w:rPr>
              <w:t>⨁</w:t>
            </w:r>
            <w:r w:rsidRPr="00E564DD">
              <w:rPr>
                <w:rFonts w:ascii="Cambria Math" w:hAnsi="Cambria Math" w:cs="Cambria Math"/>
                <w:color w:val="C00000"/>
              </w:rPr>
              <w:t>⨀⨀</w:t>
            </w:r>
            <w:r w:rsidRPr="00E564DD">
              <w:rPr>
                <w:rFonts w:ascii="Cambria Math" w:eastAsia="Times New Roman" w:hAnsi="Cambria Math" w:cs="Cambria Math"/>
                <w:bCs/>
                <w:color w:val="FF0000"/>
              </w:rPr>
              <w:t>⨀</w:t>
            </w:r>
          </w:p>
          <w:p w:rsidR="0079256B" w:rsidRPr="005334F8" w:rsidRDefault="0079256B" w:rsidP="0079256B">
            <w:pPr>
              <w:pStyle w:val="Tabletext"/>
              <w:rPr>
                <w:rFonts w:eastAsia="Times New Roman" w:cs="Tahoma"/>
                <w:bCs/>
              </w:rPr>
            </w:pPr>
            <w:r>
              <w:rPr>
                <w:rFonts w:cs="Tahoma"/>
              </w:rPr>
              <w:t>Not i</w:t>
            </w:r>
            <w:r w:rsidRPr="00E564DD">
              <w:rPr>
                <w:rFonts w:cs="Tahoma"/>
              </w:rPr>
              <w:t>mportant</w:t>
            </w:r>
          </w:p>
        </w:tc>
      </w:tr>
      <w:tr w:rsidR="0079256B" w:rsidRPr="00E564DD" w:rsidTr="00115AB1">
        <w:trPr>
          <w:trHeight w:val="319"/>
        </w:trPr>
        <w:tc>
          <w:tcPr>
            <w:tcW w:w="1191" w:type="dxa"/>
          </w:tcPr>
          <w:p w:rsidR="0079256B" w:rsidRPr="00092BB4" w:rsidRDefault="0079256B" w:rsidP="0079256B">
            <w:pPr>
              <w:pStyle w:val="Tabletext"/>
              <w:rPr>
                <w:rFonts w:cs="Tahoma"/>
              </w:rPr>
            </w:pPr>
            <w:r w:rsidRPr="00092BB4">
              <w:rPr>
                <w:rFonts w:cs="Tahoma"/>
              </w:rPr>
              <w:t>Change in haemodynamic parameters</w:t>
            </w:r>
            <w:r>
              <w:rPr>
                <w:rFonts w:cs="Tahoma"/>
              </w:rPr>
              <w:t xml:space="preserve"> from baseline</w:t>
            </w:r>
            <w:r>
              <w:rPr>
                <w:rFonts w:cs="Tahoma"/>
              </w:rPr>
              <w:br/>
              <w:t>(16</w:t>
            </w:r>
            <w:r w:rsidRPr="00092BB4">
              <w:rPr>
                <w:rFonts w:cs="Tahoma"/>
              </w:rPr>
              <w:t xml:space="preserve"> weeks) </w:t>
            </w:r>
          </w:p>
        </w:tc>
        <w:tc>
          <w:tcPr>
            <w:tcW w:w="1356" w:type="dxa"/>
          </w:tcPr>
          <w:p w:rsidR="0079256B" w:rsidRPr="00092BB4" w:rsidRDefault="0079256B" w:rsidP="0079256B">
            <w:pPr>
              <w:pStyle w:val="Tabletext"/>
              <w:rPr>
                <w:rFonts w:cs="Tahoma"/>
              </w:rPr>
            </w:pPr>
            <w:r>
              <w:rPr>
                <w:rFonts w:cs="Tahoma"/>
              </w:rPr>
              <w:t>1 RCT</w:t>
            </w:r>
          </w:p>
        </w:tc>
        <w:tc>
          <w:tcPr>
            <w:tcW w:w="912" w:type="dxa"/>
          </w:tcPr>
          <w:p w:rsidR="0079256B" w:rsidRPr="00092BB4" w:rsidRDefault="0079256B" w:rsidP="0079256B">
            <w:pPr>
              <w:pStyle w:val="Tabletext"/>
              <w:rPr>
                <w:rFonts w:cs="Tahoma"/>
              </w:rPr>
            </w:pPr>
            <w:r w:rsidRPr="00092BB4">
              <w:rPr>
                <w:rFonts w:cs="Tahoma"/>
              </w:rPr>
              <w:t>Not serious</w:t>
            </w:r>
          </w:p>
        </w:tc>
        <w:tc>
          <w:tcPr>
            <w:tcW w:w="1134" w:type="dxa"/>
          </w:tcPr>
          <w:p w:rsidR="0079256B" w:rsidRPr="00092BB4" w:rsidRDefault="0079256B" w:rsidP="0079256B">
            <w:pPr>
              <w:pStyle w:val="Tabletext"/>
              <w:rPr>
                <w:rFonts w:cs="Tahoma"/>
              </w:rPr>
            </w:pPr>
            <w:r w:rsidRPr="00092BB4">
              <w:rPr>
                <w:rFonts w:cs="Tahoma"/>
              </w:rPr>
              <w:t>Not serious</w:t>
            </w:r>
          </w:p>
        </w:tc>
        <w:tc>
          <w:tcPr>
            <w:tcW w:w="1276" w:type="dxa"/>
          </w:tcPr>
          <w:p w:rsidR="0079256B" w:rsidRPr="00A25B65" w:rsidRDefault="0079256B" w:rsidP="0079256B">
            <w:pPr>
              <w:pStyle w:val="Tabletext"/>
              <w:ind w:right="-57"/>
              <w:rPr>
                <w:rFonts w:cs="Tahoma"/>
                <w:vertAlign w:val="superscript"/>
              </w:rPr>
            </w:pPr>
            <w:r>
              <w:rPr>
                <w:rFonts w:cs="Tahoma"/>
              </w:rPr>
              <w:t>Very</w:t>
            </w:r>
            <w:r w:rsidRPr="00092BB4">
              <w:rPr>
                <w:rFonts w:cs="Tahoma"/>
              </w:rPr>
              <w:t xml:space="preserve"> serious</w:t>
            </w:r>
            <w:r>
              <w:rPr>
                <w:rFonts w:cs="Tahoma"/>
                <w:vertAlign w:val="superscript"/>
              </w:rPr>
              <w:t>g</w:t>
            </w:r>
          </w:p>
        </w:tc>
        <w:tc>
          <w:tcPr>
            <w:tcW w:w="1276" w:type="dxa"/>
          </w:tcPr>
          <w:p w:rsidR="0079256B" w:rsidRPr="00092BB4" w:rsidRDefault="0079256B" w:rsidP="0079256B">
            <w:pPr>
              <w:pStyle w:val="Tabletext"/>
              <w:rPr>
                <w:rFonts w:cs="Tahoma"/>
              </w:rPr>
            </w:pPr>
            <w:r>
              <w:rPr>
                <w:rFonts w:cs="Tahoma"/>
              </w:rPr>
              <w:t>Very s</w:t>
            </w:r>
            <w:r w:rsidRPr="00D36FBC">
              <w:rPr>
                <w:rFonts w:cs="Tahoma"/>
              </w:rPr>
              <w:t>erious</w:t>
            </w:r>
            <w:r>
              <w:rPr>
                <w:rFonts w:cs="Tahoma"/>
                <w:vertAlign w:val="superscript"/>
              </w:rPr>
              <w:t xml:space="preserve"> c</w:t>
            </w:r>
          </w:p>
        </w:tc>
        <w:tc>
          <w:tcPr>
            <w:tcW w:w="1417" w:type="dxa"/>
          </w:tcPr>
          <w:p w:rsidR="0079256B" w:rsidRPr="00092BB4" w:rsidRDefault="0079256B" w:rsidP="0079256B">
            <w:pPr>
              <w:pStyle w:val="Tabletext"/>
              <w:rPr>
                <w:rFonts w:cs="Tahoma"/>
              </w:rPr>
            </w:pPr>
            <w:r w:rsidRPr="00092BB4">
              <w:rPr>
                <w:rFonts w:cs="Tahoma"/>
              </w:rPr>
              <w:t>Strong association</w:t>
            </w:r>
          </w:p>
        </w:tc>
        <w:tc>
          <w:tcPr>
            <w:tcW w:w="1276" w:type="dxa"/>
          </w:tcPr>
          <w:p w:rsidR="0079256B" w:rsidRPr="00092BB4" w:rsidRDefault="0079256B" w:rsidP="0079256B">
            <w:pPr>
              <w:pStyle w:val="Tabletext"/>
              <w:rPr>
                <w:rFonts w:eastAsia="Times New Roman"/>
              </w:rPr>
            </w:pPr>
            <w:r>
              <w:rPr>
                <w:rFonts w:eastAsia="Times New Roman"/>
              </w:rPr>
              <w:t>22</w:t>
            </w:r>
            <w:r w:rsidRPr="00092BB4">
              <w:rPr>
                <w:rFonts w:eastAsia="Times New Roman"/>
              </w:rPr>
              <w:t xml:space="preserve"> patients tested</w:t>
            </w:r>
          </w:p>
        </w:tc>
        <w:tc>
          <w:tcPr>
            <w:tcW w:w="1134" w:type="dxa"/>
          </w:tcPr>
          <w:p w:rsidR="0079256B" w:rsidRPr="00092BB4" w:rsidRDefault="0079256B" w:rsidP="0079256B">
            <w:pPr>
              <w:pStyle w:val="Tabletext"/>
              <w:rPr>
                <w:rFonts w:eastAsia="Times New Roman"/>
              </w:rPr>
            </w:pPr>
            <w:r>
              <w:rPr>
                <w:rFonts w:eastAsia="Times New Roman"/>
              </w:rPr>
              <w:t>11</w:t>
            </w:r>
            <w:r w:rsidRPr="00092BB4">
              <w:rPr>
                <w:rFonts w:eastAsia="Times New Roman"/>
              </w:rPr>
              <w:t xml:space="preserve"> patients tested</w:t>
            </w:r>
          </w:p>
        </w:tc>
        <w:tc>
          <w:tcPr>
            <w:tcW w:w="992" w:type="dxa"/>
          </w:tcPr>
          <w:p w:rsidR="0079256B" w:rsidRPr="00092BB4" w:rsidRDefault="0079256B" w:rsidP="0079256B">
            <w:pPr>
              <w:pStyle w:val="Tabletext"/>
              <w:rPr>
                <w:rFonts w:eastAsia="Times New Roman"/>
                <w:bCs/>
              </w:rPr>
            </w:pPr>
            <w:r w:rsidRPr="00092BB4">
              <w:rPr>
                <w:rFonts w:eastAsia="Times New Roman"/>
                <w:bCs/>
              </w:rPr>
              <w:t>-</w:t>
            </w:r>
          </w:p>
        </w:tc>
        <w:tc>
          <w:tcPr>
            <w:tcW w:w="1750" w:type="dxa"/>
          </w:tcPr>
          <w:p w:rsidR="0079256B" w:rsidRDefault="0079256B" w:rsidP="0079256B">
            <w:pPr>
              <w:pStyle w:val="Tabletext"/>
              <w:rPr>
                <w:rFonts w:cs="Tahoma"/>
              </w:rPr>
            </w:pPr>
            <w:r>
              <w:rPr>
                <w:rFonts w:cs="Tahoma"/>
              </w:rPr>
              <w:t>mRAP</w:t>
            </w:r>
            <w:r w:rsidRPr="00092BB4">
              <w:rPr>
                <w:rFonts w:cs="Tahoma"/>
              </w:rPr>
              <w:br/>
              <w:t>MD 2.</w:t>
            </w:r>
            <w:r>
              <w:rPr>
                <w:rFonts w:cs="Tahoma"/>
              </w:rPr>
              <w:t>2 mmHg</w:t>
            </w:r>
            <w:r w:rsidRPr="00092BB4">
              <w:rPr>
                <w:rFonts w:cs="Tahoma"/>
              </w:rPr>
              <w:t xml:space="preserve"> improvement</w:t>
            </w:r>
          </w:p>
          <w:p w:rsidR="0079256B" w:rsidRPr="00092BB4" w:rsidRDefault="0079256B" w:rsidP="0079256B">
            <w:pPr>
              <w:pStyle w:val="Tabletext"/>
              <w:rPr>
                <w:rFonts w:cs="Tahoma"/>
              </w:rPr>
            </w:pPr>
            <w:r>
              <w:rPr>
                <w:rFonts w:cs="Tahoma"/>
              </w:rPr>
              <w:t>TP</w:t>
            </w:r>
            <w:r w:rsidRPr="00092BB4">
              <w:rPr>
                <w:rFonts w:cs="Tahoma"/>
              </w:rPr>
              <w:t>R</w:t>
            </w:r>
            <w:r>
              <w:rPr>
                <w:rFonts w:cs="Tahoma"/>
              </w:rPr>
              <w:br/>
            </w:r>
            <w:r w:rsidRPr="00092BB4">
              <w:rPr>
                <w:rFonts w:cs="Tahoma"/>
              </w:rPr>
              <w:t xml:space="preserve">MD </w:t>
            </w:r>
            <w:r>
              <w:rPr>
                <w:rFonts w:cs="Tahoma"/>
              </w:rPr>
              <w:t>13</w:t>
            </w:r>
            <w:r w:rsidRPr="00092BB4">
              <w:rPr>
                <w:rFonts w:cs="Tahoma"/>
              </w:rPr>
              <w:t>.7% improvement</w:t>
            </w:r>
          </w:p>
        </w:tc>
        <w:tc>
          <w:tcPr>
            <w:tcW w:w="1134" w:type="dxa"/>
          </w:tcPr>
          <w:p w:rsidR="0079256B" w:rsidRDefault="0079256B" w:rsidP="0079256B">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sidRPr="00E564DD">
              <w:rPr>
                <w:rFonts w:ascii="Cambria Math" w:eastAsia="Times New Roman" w:hAnsi="Cambria Math" w:cs="Cambria Math"/>
                <w:bCs/>
                <w:color w:val="00B050"/>
              </w:rPr>
              <w:t>⨁</w:t>
            </w:r>
            <w:r w:rsidRPr="00E564DD">
              <w:rPr>
                <w:rFonts w:ascii="Cambria Math" w:hAnsi="Cambria Math" w:cs="Cambria Math"/>
                <w:color w:val="C00000"/>
              </w:rPr>
              <w:t>⨀⨀</w:t>
            </w:r>
            <w:r w:rsidRPr="00E564DD">
              <w:rPr>
                <w:rFonts w:ascii="Cambria Math" w:eastAsia="Times New Roman" w:hAnsi="Cambria Math" w:cs="Cambria Math"/>
                <w:bCs/>
                <w:color w:val="FF0000"/>
              </w:rPr>
              <w:t>⨀</w:t>
            </w:r>
          </w:p>
          <w:p w:rsidR="0079256B" w:rsidRPr="005334F8" w:rsidRDefault="0079256B" w:rsidP="0079256B">
            <w:pPr>
              <w:pStyle w:val="Tabletext"/>
              <w:rPr>
                <w:rFonts w:eastAsia="Times New Roman" w:cs="Tahoma"/>
                <w:bCs/>
              </w:rPr>
            </w:pPr>
            <w:r>
              <w:rPr>
                <w:rFonts w:cs="Tahoma"/>
              </w:rPr>
              <w:t>Not i</w:t>
            </w:r>
            <w:r w:rsidRPr="00E564DD">
              <w:rPr>
                <w:rFonts w:cs="Tahoma"/>
              </w:rPr>
              <w:t>mportant</w:t>
            </w:r>
          </w:p>
        </w:tc>
      </w:tr>
    </w:tbl>
    <w:p w:rsidR="00CC3BA4" w:rsidRPr="00AA018C" w:rsidRDefault="00CC3BA4" w:rsidP="00F13836">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F13836">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79256B" w:rsidRPr="0079256B" w:rsidRDefault="0079256B" w:rsidP="00F13836">
      <w:pPr>
        <w:pStyle w:val="Tablenote"/>
      </w:pPr>
      <w:proofErr w:type="gramStart"/>
      <w:r>
        <w:rPr>
          <w:vertAlign w:val="superscript"/>
        </w:rPr>
        <w:t>c</w:t>
      </w:r>
      <w:proofErr w:type="gramEnd"/>
      <w:r>
        <w:rPr>
          <w:vertAlign w:val="superscript"/>
        </w:rPr>
        <w:t xml:space="preserve"> </w:t>
      </w:r>
      <w:r>
        <w:t>Small study size</w:t>
      </w:r>
    </w:p>
    <w:p w:rsidR="00A25B65" w:rsidRPr="00A25B65" w:rsidRDefault="0079256B" w:rsidP="00F13836">
      <w:pPr>
        <w:pStyle w:val="Tablenote"/>
      </w:pPr>
      <w:proofErr w:type="gramStart"/>
      <w:r>
        <w:rPr>
          <w:vertAlign w:val="superscript"/>
        </w:rPr>
        <w:t>d</w:t>
      </w:r>
      <w:proofErr w:type="gramEnd"/>
      <w:r w:rsidR="00A25B65">
        <w:rPr>
          <w:vertAlign w:val="superscript"/>
        </w:rPr>
        <w:t xml:space="preserve"> </w:t>
      </w:r>
      <w:r w:rsidR="00A25B65">
        <w:t>Wide 95% CIs</w:t>
      </w:r>
    </w:p>
    <w:p w:rsidR="00CC3BA4" w:rsidRDefault="0079256B" w:rsidP="00F13836">
      <w:pPr>
        <w:pStyle w:val="Tablenote"/>
      </w:pPr>
      <w:proofErr w:type="gramStart"/>
      <w:r>
        <w:rPr>
          <w:vertAlign w:val="superscript"/>
        </w:rPr>
        <w:t>e</w:t>
      </w:r>
      <w:proofErr w:type="gramEnd"/>
      <w:r w:rsidR="00CC3BA4" w:rsidRPr="00E564DD">
        <w:t xml:space="preserve"> </w:t>
      </w:r>
      <w:r w:rsidR="00CC3BA4">
        <w:t>One RCT had a high risk of bias</w:t>
      </w:r>
    </w:p>
    <w:p w:rsidR="00CC3BA4" w:rsidRDefault="0079256B" w:rsidP="00F13836">
      <w:pPr>
        <w:pStyle w:val="Tablenote"/>
      </w:pPr>
      <w:proofErr w:type="gramStart"/>
      <w:r>
        <w:rPr>
          <w:vertAlign w:val="superscript"/>
        </w:rPr>
        <w:t>f</w:t>
      </w:r>
      <w:proofErr w:type="gramEnd"/>
      <w:r w:rsidR="00CC3BA4">
        <w:t xml:space="preserve"> T</w:t>
      </w:r>
      <w:r w:rsidR="00CC3BA4" w:rsidRPr="00CA02C0">
        <w:t>rials show results trending in opposite directions</w:t>
      </w:r>
    </w:p>
    <w:p w:rsidR="00114427" w:rsidRDefault="0079256B" w:rsidP="00F13836">
      <w:pPr>
        <w:pStyle w:val="Tablenote"/>
      </w:pPr>
      <w:proofErr w:type="gramStart"/>
      <w:r>
        <w:rPr>
          <w:vertAlign w:val="superscript"/>
        </w:rPr>
        <w:t>g</w:t>
      </w:r>
      <w:proofErr w:type="gramEnd"/>
      <w:r w:rsidR="00114427">
        <w:rPr>
          <w:vertAlign w:val="superscript"/>
        </w:rPr>
        <w:t xml:space="preserve"> </w:t>
      </w:r>
      <w:r w:rsidR="00114427">
        <w:t>Surrogate outcome</w:t>
      </w:r>
    </w:p>
    <w:p w:rsidR="00B63B1D" w:rsidRDefault="0079256B" w:rsidP="00B63B1D">
      <w:pPr>
        <w:pStyle w:val="Tablenote"/>
      </w:pPr>
      <w:proofErr w:type="gramStart"/>
      <w:r>
        <w:rPr>
          <w:vertAlign w:val="superscript"/>
        </w:rPr>
        <w:t>h</w:t>
      </w:r>
      <w:proofErr w:type="gramEnd"/>
      <w:r w:rsidR="00B63B1D">
        <w:t xml:space="preserve"> MLHF</w:t>
      </w:r>
      <w:r w:rsidR="00FB4615">
        <w:t xml:space="preserve"> questionnaire</w:t>
      </w:r>
      <w:r w:rsidR="00B63B1D">
        <w:t xml:space="preserve"> total scores range from 0 to 105. A higher score indicates </w:t>
      </w:r>
      <w:r w:rsidR="00B63B1D" w:rsidRPr="000054CF">
        <w:t>poorer QoL</w:t>
      </w:r>
      <w:r w:rsidR="00B63B1D">
        <w:t xml:space="preserve">. </w:t>
      </w:r>
    </w:p>
    <w:p w:rsidR="00CC3BA4" w:rsidRPr="00E564DD" w:rsidRDefault="00CC3BA4" w:rsidP="00F13836">
      <w:pPr>
        <w:pStyle w:val="Tablenote"/>
      </w:pPr>
      <w:r w:rsidRPr="00E564DD">
        <w:rPr>
          <w:rFonts w:ascii="Cambria Math" w:hAnsi="Cambria Math" w:cs="Cambria Math"/>
          <w:color w:val="00B050"/>
        </w:rPr>
        <w:t>⨁⨁⨁⨁</w:t>
      </w:r>
      <w:r w:rsidRPr="00E564DD">
        <w:rPr>
          <w:color w:val="00B050"/>
        </w:rPr>
        <w:t xml:space="preserve"> </w:t>
      </w:r>
      <w:r w:rsidRPr="00E564DD">
        <w:rPr>
          <w:b/>
        </w:rPr>
        <w:t>High quality:</w:t>
      </w:r>
      <w:r w:rsidRPr="00E564DD">
        <w:t xml:space="preserve"> We are very confident that the true effect lies close to that of the estimate of effect</w:t>
      </w:r>
    </w:p>
    <w:p w:rsidR="00C05257" w:rsidRPr="00E564DD" w:rsidRDefault="00C05257" w:rsidP="00C05257">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CC3BA4" w:rsidRPr="00E564DD" w:rsidRDefault="00CC3BA4" w:rsidP="00F13836">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Low quality:</w:t>
      </w:r>
      <w:r w:rsidRPr="00E564DD">
        <w:t xml:space="preserve"> Our confidence in the effect estimate is limited: The true effect may be substantially different from the estimate of the effect</w:t>
      </w:r>
    </w:p>
    <w:p w:rsidR="0084434D" w:rsidRPr="00E564DD" w:rsidRDefault="0084434D" w:rsidP="0084434D">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C871F2" w:rsidRDefault="00CC3BA4" w:rsidP="00F13836">
      <w:pPr>
        <w:pStyle w:val="Tablenote"/>
      </w:pPr>
      <w:proofErr w:type="gramStart"/>
      <w:r>
        <w:lastRenderedPageBreak/>
        <w:t xml:space="preserve">6MWD = 6-minute </w:t>
      </w:r>
      <w:r w:rsidR="0082368E">
        <w:t>walk distance</w:t>
      </w:r>
      <w:r w:rsidR="00B21201">
        <w:t>; ARD</w:t>
      </w:r>
      <w:r>
        <w:t xml:space="preserve"> = absolute risk </w:t>
      </w:r>
      <w:r w:rsidR="00B21201">
        <w:t>difference</w:t>
      </w:r>
      <w:r>
        <w:t>; CAI = cardiac index;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C871F2" w:rsidRPr="00F24B06">
        <w:t xml:space="preserve">; </w:t>
      </w:r>
      <w:r>
        <w:t xml:space="preserve">MD = mean difference; </w:t>
      </w:r>
      <w:r w:rsidR="00DF4187">
        <w:t xml:space="preserve">MLHF = Minnesota living with heart failure; </w:t>
      </w:r>
      <w:r>
        <w:t xml:space="preserve">mPAP = mean pulmonary arterial pressure; mRAP = mean right atrial pressure;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QoL = quality of life; RCT = randomised controlled trial; RR = relative risk; TPR = total pulmonary pressure; WHO = World Health Organization</w:t>
      </w:r>
      <w:proofErr w:type="gramEnd"/>
    </w:p>
    <w:p w:rsidR="00CC3BA4" w:rsidRPr="005D4CA0" w:rsidRDefault="00796F18" w:rsidP="00BC5A2B">
      <w:pPr>
        <w:pStyle w:val="Caption"/>
      </w:pPr>
      <w:bookmarkStart w:id="520" w:name="_Ref505775060"/>
      <w:bookmarkStart w:id="521" w:name="_Toc38360452"/>
      <w:r>
        <w:t>Table 4.</w:t>
      </w:r>
      <w:r w:rsidR="003951FA">
        <w:rPr>
          <w:noProof/>
        </w:rPr>
        <w:t>155</w:t>
      </w:r>
      <w:bookmarkEnd w:id="520"/>
      <w:r>
        <w:tab/>
      </w:r>
      <w:r w:rsidR="00CC3BA4" w:rsidRPr="005D4CA0">
        <w:t xml:space="preserve">Evidence profile table for </w:t>
      </w:r>
      <w:r w:rsidR="00CC3BA4">
        <w:t xml:space="preserve">comparative safety of </w:t>
      </w:r>
      <w:r w:rsidR="00CC3BA4" w:rsidRPr="005D4CA0">
        <w:t xml:space="preserve">ERA </w:t>
      </w:r>
      <w:r w:rsidR="00CC3BA4">
        <w:t xml:space="preserve">+ </w:t>
      </w:r>
      <w:r w:rsidR="0017012F">
        <w:t>prostanoid</w:t>
      </w:r>
      <w:r w:rsidR="00CC3BA4">
        <w:t xml:space="preserve"> combination therapy </w:t>
      </w:r>
      <w:r w:rsidR="00CC3BA4" w:rsidRPr="005D4CA0">
        <w:t xml:space="preserve">compared to </w:t>
      </w:r>
      <w:r w:rsidR="0017012F">
        <w:t>prostanoid</w:t>
      </w:r>
      <w:r w:rsidR="00CC3BA4" w:rsidRPr="005D4CA0">
        <w:t xml:space="preserve"> </w:t>
      </w:r>
      <w:r w:rsidR="00CC3BA4">
        <w:t xml:space="preserve">monotherapy </w:t>
      </w:r>
      <w:r w:rsidR="00CC3BA4" w:rsidRPr="005D4CA0">
        <w:t xml:space="preserve">for </w:t>
      </w:r>
      <w:r w:rsidR="00CC3BA4">
        <w:t>patients</w:t>
      </w:r>
      <w:r w:rsidR="00CC3BA4" w:rsidRPr="00CA02C0">
        <w:t xml:space="preserve"> with WHO FC III/IV PAH</w:t>
      </w:r>
      <w:bookmarkEnd w:id="521"/>
    </w:p>
    <w:tbl>
      <w:tblPr>
        <w:tblStyle w:val="TableGrid"/>
        <w:tblW w:w="14706" w:type="dxa"/>
        <w:tblLayout w:type="fixed"/>
        <w:tblLook w:val="04A0" w:firstRow="1" w:lastRow="0" w:firstColumn="1" w:lastColumn="0" w:noHBand="0" w:noVBand="1"/>
        <w:tblCaption w:val="Evidence profile table for comparative safety of ERA + prostanoid combination therapy compared to prostanoid monotherapy for patients with WHO FC III/IV PAH"/>
      </w:tblPr>
      <w:tblGrid>
        <w:gridCol w:w="1493"/>
        <w:gridCol w:w="1054"/>
        <w:gridCol w:w="771"/>
        <w:gridCol w:w="1072"/>
        <w:gridCol w:w="992"/>
        <w:gridCol w:w="1134"/>
        <w:gridCol w:w="1244"/>
        <w:gridCol w:w="1417"/>
        <w:gridCol w:w="1134"/>
        <w:gridCol w:w="993"/>
        <w:gridCol w:w="2078"/>
        <w:gridCol w:w="1324"/>
      </w:tblGrid>
      <w:tr w:rsidR="00F13836" w:rsidRPr="00F13836" w:rsidTr="00115AB1">
        <w:trPr>
          <w:cnfStyle w:val="100000000000" w:firstRow="1" w:lastRow="0" w:firstColumn="0" w:lastColumn="0" w:oddVBand="0" w:evenVBand="0" w:oddHBand="0" w:evenHBand="0" w:firstRowFirstColumn="0" w:firstRowLastColumn="0" w:lastRowFirstColumn="0" w:lastRowLastColumn="0"/>
          <w:trHeight w:val="499"/>
        </w:trPr>
        <w:tc>
          <w:tcPr>
            <w:tcW w:w="1493" w:type="dxa"/>
          </w:tcPr>
          <w:p w:rsidR="00476F09" w:rsidRPr="00F13836" w:rsidRDefault="00476F09" w:rsidP="00F13836">
            <w:pPr>
              <w:pStyle w:val="Tabletext"/>
              <w:rPr>
                <w:b/>
              </w:rPr>
            </w:pPr>
            <w:r w:rsidRPr="00F13836">
              <w:rPr>
                <w:b/>
              </w:rPr>
              <w:t>Outcome (follow-up)</w:t>
            </w:r>
          </w:p>
        </w:tc>
        <w:tc>
          <w:tcPr>
            <w:tcW w:w="1054" w:type="dxa"/>
          </w:tcPr>
          <w:p w:rsidR="00476F09" w:rsidRPr="00F13836" w:rsidRDefault="00476F09" w:rsidP="00F13836">
            <w:pPr>
              <w:pStyle w:val="Tabletext"/>
              <w:rPr>
                <w:b/>
              </w:rPr>
            </w:pPr>
            <w:r w:rsidRPr="00F13836">
              <w:rPr>
                <w:b/>
              </w:rPr>
              <w:t>No. of studies and study design</w:t>
            </w:r>
          </w:p>
        </w:tc>
        <w:tc>
          <w:tcPr>
            <w:tcW w:w="771" w:type="dxa"/>
          </w:tcPr>
          <w:p w:rsidR="00476F09" w:rsidRPr="00F13836" w:rsidRDefault="00476F09" w:rsidP="00F13836">
            <w:pPr>
              <w:pStyle w:val="Tabletext"/>
              <w:rPr>
                <w:b/>
              </w:rPr>
            </w:pPr>
            <w:r w:rsidRPr="00F13836">
              <w:rPr>
                <w:b/>
              </w:rPr>
              <w:t>Risk of bias</w:t>
            </w:r>
          </w:p>
        </w:tc>
        <w:tc>
          <w:tcPr>
            <w:tcW w:w="1072" w:type="dxa"/>
          </w:tcPr>
          <w:p w:rsidR="00476F09" w:rsidRPr="00F13836" w:rsidRDefault="00476F09" w:rsidP="00F13836">
            <w:pPr>
              <w:pStyle w:val="Tabletext"/>
              <w:rPr>
                <w:b/>
              </w:rPr>
            </w:pPr>
            <w:r w:rsidRPr="00F13836">
              <w:rPr>
                <w:b/>
              </w:rPr>
              <w:t>Inconsis</w:t>
            </w:r>
            <w:r w:rsidR="00115AB1">
              <w:rPr>
                <w:b/>
              </w:rPr>
              <w:t>-</w:t>
            </w:r>
            <w:r w:rsidRPr="00F13836">
              <w:rPr>
                <w:b/>
              </w:rPr>
              <w:t>tency</w:t>
            </w:r>
          </w:p>
        </w:tc>
        <w:tc>
          <w:tcPr>
            <w:tcW w:w="992" w:type="dxa"/>
          </w:tcPr>
          <w:p w:rsidR="00476F09" w:rsidRPr="00F13836" w:rsidRDefault="00476F09" w:rsidP="00F13836">
            <w:pPr>
              <w:pStyle w:val="Tabletext"/>
              <w:rPr>
                <w:b/>
              </w:rPr>
            </w:pPr>
            <w:r w:rsidRPr="00F13836">
              <w:rPr>
                <w:b/>
              </w:rPr>
              <w:t>Indirect</w:t>
            </w:r>
            <w:r w:rsidR="00115AB1">
              <w:rPr>
                <w:b/>
              </w:rPr>
              <w:t>-</w:t>
            </w:r>
            <w:r w:rsidRPr="00F13836">
              <w:rPr>
                <w:b/>
              </w:rPr>
              <w:t>ness</w:t>
            </w:r>
          </w:p>
        </w:tc>
        <w:tc>
          <w:tcPr>
            <w:tcW w:w="1134" w:type="dxa"/>
          </w:tcPr>
          <w:p w:rsidR="00476F09" w:rsidRPr="00F13836" w:rsidRDefault="00476F09" w:rsidP="00F13836">
            <w:pPr>
              <w:pStyle w:val="Tabletext"/>
              <w:rPr>
                <w:b/>
              </w:rPr>
            </w:pPr>
            <w:r w:rsidRPr="00F13836">
              <w:rPr>
                <w:b/>
              </w:rPr>
              <w:t>Impre</w:t>
            </w:r>
            <w:r w:rsidR="00115AB1">
              <w:rPr>
                <w:b/>
              </w:rPr>
              <w:t>-</w:t>
            </w:r>
            <w:r w:rsidRPr="00F13836">
              <w:rPr>
                <w:b/>
              </w:rPr>
              <w:t>cision</w:t>
            </w:r>
          </w:p>
        </w:tc>
        <w:tc>
          <w:tcPr>
            <w:tcW w:w="1244" w:type="dxa"/>
          </w:tcPr>
          <w:p w:rsidR="00476F09" w:rsidRPr="00F13836" w:rsidRDefault="00476F09" w:rsidP="00F13836">
            <w:pPr>
              <w:pStyle w:val="Tabletext"/>
              <w:rPr>
                <w:b/>
              </w:rPr>
            </w:pPr>
            <w:r w:rsidRPr="00F13836">
              <w:rPr>
                <w:b/>
              </w:rPr>
              <w:t>Other conside</w:t>
            </w:r>
            <w:r w:rsidR="00115AB1">
              <w:rPr>
                <w:b/>
              </w:rPr>
              <w:t>-</w:t>
            </w:r>
            <w:r w:rsidRPr="00F13836">
              <w:rPr>
                <w:b/>
              </w:rPr>
              <w:t>rations</w:t>
            </w:r>
            <w:r w:rsidRPr="00F13836">
              <w:rPr>
                <w:b/>
                <w:vertAlign w:val="superscript"/>
              </w:rPr>
              <w:t>a</w:t>
            </w:r>
          </w:p>
        </w:tc>
        <w:tc>
          <w:tcPr>
            <w:tcW w:w="1417" w:type="dxa"/>
          </w:tcPr>
          <w:p w:rsidR="00476F09" w:rsidRPr="00F13836" w:rsidRDefault="00476F09" w:rsidP="00F13836">
            <w:pPr>
              <w:pStyle w:val="Tabletext"/>
              <w:rPr>
                <w:b/>
              </w:rPr>
            </w:pPr>
            <w:r w:rsidRPr="00F13836">
              <w:rPr>
                <w:b/>
              </w:rPr>
              <w:t>Study event rates (%) with ERA + prostanoid</w:t>
            </w:r>
          </w:p>
        </w:tc>
        <w:tc>
          <w:tcPr>
            <w:tcW w:w="1134" w:type="dxa"/>
          </w:tcPr>
          <w:p w:rsidR="00476F09" w:rsidRPr="00F13836" w:rsidRDefault="00476F09" w:rsidP="00F13836">
            <w:pPr>
              <w:pStyle w:val="Tabletext"/>
              <w:rPr>
                <w:b/>
              </w:rPr>
            </w:pPr>
            <w:r w:rsidRPr="00F13836">
              <w:rPr>
                <w:b/>
              </w:rPr>
              <w:t>Study event rates (%) with prostanoid</w:t>
            </w:r>
          </w:p>
        </w:tc>
        <w:tc>
          <w:tcPr>
            <w:tcW w:w="993" w:type="dxa"/>
          </w:tcPr>
          <w:p w:rsidR="00476F09" w:rsidRPr="00F13836" w:rsidRDefault="00476F09" w:rsidP="00F13836">
            <w:pPr>
              <w:pStyle w:val="Tabletext"/>
              <w:rPr>
                <w:b/>
              </w:rPr>
            </w:pPr>
            <w:r w:rsidRPr="00F13836">
              <w:rPr>
                <w:b/>
              </w:rPr>
              <w:t>Effect measure (95%CI)</w:t>
            </w:r>
          </w:p>
        </w:tc>
        <w:tc>
          <w:tcPr>
            <w:tcW w:w="2078" w:type="dxa"/>
          </w:tcPr>
          <w:p w:rsidR="00476F09" w:rsidRPr="00F13836" w:rsidRDefault="00476F09" w:rsidP="00F13836">
            <w:pPr>
              <w:pStyle w:val="Tabletext"/>
              <w:rPr>
                <w:b/>
              </w:rPr>
            </w:pPr>
            <w:r w:rsidRPr="00F13836">
              <w:rPr>
                <w:b/>
              </w:rPr>
              <w:t>Absolute effect (95%CI)</w:t>
            </w:r>
          </w:p>
        </w:tc>
        <w:tc>
          <w:tcPr>
            <w:tcW w:w="1324" w:type="dxa"/>
          </w:tcPr>
          <w:p w:rsidR="00C871F2" w:rsidRDefault="00C871F2" w:rsidP="00F13836">
            <w:pPr>
              <w:pStyle w:val="Tabletext"/>
              <w:rPr>
                <w:b/>
              </w:rPr>
            </w:pPr>
            <w:r>
              <w:rPr>
                <w:b/>
              </w:rPr>
              <w:t>GRADE</w:t>
            </w:r>
            <w:r w:rsidRPr="00C871F2">
              <w:rPr>
                <w:b/>
                <w:vertAlign w:val="superscript"/>
              </w:rPr>
              <w:t>b</w:t>
            </w:r>
          </w:p>
          <w:p w:rsidR="00476F09" w:rsidRPr="00F13836" w:rsidRDefault="00476F09" w:rsidP="00F13836">
            <w:pPr>
              <w:pStyle w:val="Tabletext"/>
              <w:rPr>
                <w:b/>
                <w:vertAlign w:val="superscript"/>
              </w:rPr>
            </w:pPr>
            <w:r w:rsidRPr="00F13836">
              <w:rPr>
                <w:b/>
              </w:rPr>
              <w:t>Quality</w:t>
            </w:r>
          </w:p>
          <w:p w:rsidR="00476F09" w:rsidRPr="00F13836" w:rsidRDefault="00476F09" w:rsidP="00F13836">
            <w:pPr>
              <w:pStyle w:val="Tabletext"/>
              <w:rPr>
                <w:b/>
              </w:rPr>
            </w:pPr>
            <w:r w:rsidRPr="00F13836">
              <w:rPr>
                <w:b/>
              </w:rPr>
              <w:t>Importance</w:t>
            </w:r>
          </w:p>
        </w:tc>
      </w:tr>
      <w:tr w:rsidR="00CC3BA4" w:rsidRPr="00E564DD" w:rsidTr="00115AB1">
        <w:trPr>
          <w:trHeight w:val="319"/>
        </w:trPr>
        <w:tc>
          <w:tcPr>
            <w:tcW w:w="1493" w:type="dxa"/>
          </w:tcPr>
          <w:p w:rsidR="00CC3BA4" w:rsidRPr="00E564DD" w:rsidRDefault="00CC3BA4" w:rsidP="00F13836">
            <w:pPr>
              <w:pStyle w:val="Tabletext"/>
              <w:rPr>
                <w:rFonts w:cs="Tahoma"/>
              </w:rPr>
            </w:pPr>
            <w:r>
              <w:rPr>
                <w:rFonts w:cs="Tahoma"/>
              </w:rPr>
              <w:t>Any AE</w:t>
            </w:r>
            <w:r>
              <w:rPr>
                <w:rFonts w:cs="Tahoma"/>
              </w:rPr>
              <w:br/>
              <w:t>(12 weeks)</w:t>
            </w:r>
          </w:p>
        </w:tc>
        <w:tc>
          <w:tcPr>
            <w:tcW w:w="1054" w:type="dxa"/>
          </w:tcPr>
          <w:p w:rsidR="00CC3BA4" w:rsidRPr="00E564DD" w:rsidRDefault="00CC3BA4" w:rsidP="00F13836">
            <w:pPr>
              <w:pStyle w:val="Tabletext"/>
              <w:rPr>
                <w:rFonts w:cs="Tahoma"/>
              </w:rPr>
            </w:pPr>
            <w:r>
              <w:rPr>
                <w:rFonts w:cs="Tahoma"/>
              </w:rPr>
              <w:t>1</w:t>
            </w:r>
            <w:r w:rsidRPr="00E564DD">
              <w:rPr>
                <w:rFonts w:cs="Tahoma"/>
              </w:rPr>
              <w:t xml:space="preserve"> RCT</w:t>
            </w:r>
          </w:p>
        </w:tc>
        <w:tc>
          <w:tcPr>
            <w:tcW w:w="771" w:type="dxa"/>
          </w:tcPr>
          <w:p w:rsidR="00CC3BA4" w:rsidRPr="00E564DD" w:rsidRDefault="00CC3BA4" w:rsidP="00F13836">
            <w:pPr>
              <w:pStyle w:val="Tabletext"/>
              <w:rPr>
                <w:rFonts w:cs="Tahoma"/>
              </w:rPr>
            </w:pPr>
            <w:r w:rsidRPr="00E564DD">
              <w:rPr>
                <w:rFonts w:cs="Tahoma"/>
              </w:rPr>
              <w:t>Not serious</w:t>
            </w:r>
          </w:p>
        </w:tc>
        <w:tc>
          <w:tcPr>
            <w:tcW w:w="1072" w:type="dxa"/>
          </w:tcPr>
          <w:p w:rsidR="00CC3BA4" w:rsidRPr="00E564DD" w:rsidRDefault="00CC3BA4" w:rsidP="00F13836">
            <w:pPr>
              <w:pStyle w:val="Tabletext"/>
              <w:rPr>
                <w:rFonts w:cs="Tahoma"/>
              </w:rPr>
            </w:pPr>
            <w:r w:rsidRPr="00E564DD">
              <w:rPr>
                <w:rFonts w:cs="Tahoma"/>
              </w:rPr>
              <w:t>Not serious</w:t>
            </w:r>
          </w:p>
        </w:tc>
        <w:tc>
          <w:tcPr>
            <w:tcW w:w="992" w:type="dxa"/>
          </w:tcPr>
          <w:p w:rsidR="00CC3BA4" w:rsidRPr="00E564DD" w:rsidRDefault="00CC3BA4" w:rsidP="00F13836">
            <w:pPr>
              <w:pStyle w:val="Tabletext"/>
              <w:rPr>
                <w:rFonts w:cs="Tahoma"/>
              </w:rPr>
            </w:pPr>
            <w:r w:rsidRPr="00E564DD">
              <w:rPr>
                <w:rFonts w:cs="Tahoma"/>
              </w:rPr>
              <w:t>Not serious</w:t>
            </w:r>
          </w:p>
        </w:tc>
        <w:tc>
          <w:tcPr>
            <w:tcW w:w="1134" w:type="dxa"/>
          </w:tcPr>
          <w:p w:rsidR="00CC3BA4" w:rsidRPr="00872747" w:rsidRDefault="00872747" w:rsidP="00872747">
            <w:pPr>
              <w:pStyle w:val="Tabletext"/>
              <w:rPr>
                <w:rFonts w:cs="Tahoma"/>
                <w:vertAlign w:val="superscript"/>
              </w:rPr>
            </w:pPr>
            <w:r>
              <w:rPr>
                <w:rFonts w:cs="Tahoma"/>
              </w:rPr>
              <w:t>Very serious</w:t>
            </w:r>
            <w:r>
              <w:rPr>
                <w:rFonts w:cs="Tahoma"/>
                <w:vertAlign w:val="superscript"/>
              </w:rPr>
              <w:t xml:space="preserve"> c</w:t>
            </w:r>
          </w:p>
        </w:tc>
        <w:tc>
          <w:tcPr>
            <w:tcW w:w="1244" w:type="dxa"/>
          </w:tcPr>
          <w:p w:rsidR="00CC3BA4" w:rsidRPr="00E564DD" w:rsidRDefault="00CC3BA4" w:rsidP="00F13836">
            <w:pPr>
              <w:pStyle w:val="Tabletext"/>
              <w:rPr>
                <w:rFonts w:cs="Tahoma"/>
              </w:rPr>
            </w:pPr>
            <w:r w:rsidRPr="00E564DD">
              <w:rPr>
                <w:rFonts w:cs="Tahoma"/>
              </w:rPr>
              <w:t>None</w:t>
            </w:r>
          </w:p>
        </w:tc>
        <w:tc>
          <w:tcPr>
            <w:tcW w:w="1417" w:type="dxa"/>
          </w:tcPr>
          <w:p w:rsidR="00CC3BA4" w:rsidRPr="00CA608E" w:rsidRDefault="00CC3BA4" w:rsidP="00F13836">
            <w:pPr>
              <w:pStyle w:val="Tabletext"/>
              <w:rPr>
                <w:rFonts w:cs="Tahoma"/>
              </w:rPr>
            </w:pPr>
            <w:r>
              <w:rPr>
                <w:rFonts w:cs="Tahoma"/>
              </w:rPr>
              <w:t>7/8 (87.5%)</w:t>
            </w:r>
          </w:p>
        </w:tc>
        <w:tc>
          <w:tcPr>
            <w:tcW w:w="1134" w:type="dxa"/>
          </w:tcPr>
          <w:p w:rsidR="00CC3BA4" w:rsidRPr="00456F1B" w:rsidRDefault="00CC3BA4" w:rsidP="00F13836">
            <w:pPr>
              <w:pStyle w:val="Tabletext"/>
              <w:rPr>
                <w:rFonts w:cs="Tahoma"/>
                <w:highlight w:val="cyan"/>
              </w:rPr>
            </w:pPr>
            <w:r w:rsidRPr="00CA608E">
              <w:rPr>
                <w:rFonts w:cs="Tahoma"/>
              </w:rPr>
              <w:t>5/6 (83.3%)</w:t>
            </w:r>
          </w:p>
        </w:tc>
        <w:tc>
          <w:tcPr>
            <w:tcW w:w="993" w:type="dxa"/>
          </w:tcPr>
          <w:p w:rsidR="00CC3BA4" w:rsidRPr="00456F1B" w:rsidRDefault="00CC3BA4" w:rsidP="00F13836">
            <w:pPr>
              <w:pStyle w:val="Tabletext"/>
              <w:rPr>
                <w:rFonts w:cs="Tahoma"/>
                <w:highlight w:val="cyan"/>
              </w:rPr>
            </w:pPr>
            <w:r w:rsidRPr="00CA608E">
              <w:rPr>
                <w:rFonts w:cs="Tahoma"/>
              </w:rPr>
              <w:t xml:space="preserve">RR </w:t>
            </w:r>
            <w:r>
              <w:rPr>
                <w:rFonts w:cs="Tahoma"/>
              </w:rPr>
              <w:t xml:space="preserve">= </w:t>
            </w:r>
            <w:r w:rsidRPr="00CA608E">
              <w:rPr>
                <w:rFonts w:cs="Tahoma"/>
              </w:rPr>
              <w:t>1.05</w:t>
            </w:r>
            <w:r>
              <w:rPr>
                <w:rFonts w:cs="Tahoma"/>
              </w:rPr>
              <w:t xml:space="preserve"> </w:t>
            </w:r>
            <w:r w:rsidRPr="00CA608E">
              <w:rPr>
                <w:rFonts w:cs="Tahoma"/>
              </w:rPr>
              <w:t>(0.67</w:t>
            </w:r>
            <w:r>
              <w:rPr>
                <w:rFonts w:cs="Tahoma"/>
              </w:rPr>
              <w:t>,</w:t>
            </w:r>
            <w:r w:rsidRPr="00CA608E">
              <w:rPr>
                <w:rFonts w:cs="Tahoma"/>
              </w:rPr>
              <w:t xml:space="preserve"> 1.64)</w:t>
            </w:r>
          </w:p>
        </w:tc>
        <w:tc>
          <w:tcPr>
            <w:tcW w:w="2078" w:type="dxa"/>
          </w:tcPr>
          <w:p w:rsidR="00CC3BA4" w:rsidRPr="00456F1B" w:rsidRDefault="00CC3BA4" w:rsidP="00F13836">
            <w:pPr>
              <w:pStyle w:val="Tabletext"/>
              <w:rPr>
                <w:rFonts w:cs="Tahoma"/>
                <w:highlight w:val="cyan"/>
              </w:rPr>
            </w:pPr>
            <w:r w:rsidRPr="00CA608E">
              <w:rPr>
                <w:rFonts w:cs="Tahoma"/>
              </w:rPr>
              <w:t>42 more per 1,000</w:t>
            </w:r>
            <w:r>
              <w:rPr>
                <w:rFonts w:cs="Tahoma"/>
              </w:rPr>
              <w:br/>
            </w:r>
            <w:r w:rsidRPr="00CA608E">
              <w:rPr>
                <w:rFonts w:cs="Tahoma"/>
              </w:rPr>
              <w:t>(from 275 fewer to 533 more)</w:t>
            </w:r>
          </w:p>
        </w:tc>
        <w:tc>
          <w:tcPr>
            <w:tcW w:w="1324" w:type="dxa"/>
          </w:tcPr>
          <w:p w:rsidR="00872747" w:rsidRDefault="00872747" w:rsidP="00872747">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E564DD" w:rsidRDefault="00CC3BA4" w:rsidP="00F13836">
            <w:pPr>
              <w:pStyle w:val="Tabletext"/>
              <w:rPr>
                <w:rFonts w:cs="Tahoma"/>
              </w:rPr>
            </w:pPr>
            <w:r>
              <w:rPr>
                <w:rFonts w:cs="Tahoma"/>
              </w:rPr>
              <w:t>Important</w:t>
            </w:r>
          </w:p>
        </w:tc>
      </w:tr>
      <w:tr w:rsidR="00CC3BA4" w:rsidRPr="00E564DD" w:rsidTr="00115AB1">
        <w:trPr>
          <w:trHeight w:val="319"/>
        </w:trPr>
        <w:tc>
          <w:tcPr>
            <w:tcW w:w="1493" w:type="dxa"/>
          </w:tcPr>
          <w:p w:rsidR="00CC3BA4" w:rsidRPr="00E564DD" w:rsidRDefault="00CC3BA4" w:rsidP="00F13836">
            <w:pPr>
              <w:pStyle w:val="Tabletext"/>
              <w:rPr>
                <w:rFonts w:cs="Tahoma"/>
              </w:rPr>
            </w:pPr>
            <w:r>
              <w:rPr>
                <w:rFonts w:cs="Tahoma"/>
              </w:rPr>
              <w:t>Serious AEs</w:t>
            </w:r>
            <w:r>
              <w:rPr>
                <w:rFonts w:cs="Tahoma"/>
              </w:rPr>
              <w:br/>
              <w:t>(12 weeks)</w:t>
            </w:r>
          </w:p>
        </w:tc>
        <w:tc>
          <w:tcPr>
            <w:tcW w:w="1054" w:type="dxa"/>
          </w:tcPr>
          <w:p w:rsidR="00CC3BA4" w:rsidRPr="00E564DD" w:rsidRDefault="006A0576" w:rsidP="006A0576">
            <w:pPr>
              <w:pStyle w:val="Tabletext"/>
              <w:rPr>
                <w:rFonts w:cs="Tahoma"/>
              </w:rPr>
            </w:pPr>
            <w:r>
              <w:rPr>
                <w:rFonts w:cs="Tahoma"/>
              </w:rPr>
              <w:t>1</w:t>
            </w:r>
            <w:r w:rsidR="00CC3BA4" w:rsidRPr="00E564DD">
              <w:rPr>
                <w:rFonts w:cs="Tahoma"/>
              </w:rPr>
              <w:t xml:space="preserve"> RCT</w:t>
            </w:r>
          </w:p>
        </w:tc>
        <w:tc>
          <w:tcPr>
            <w:tcW w:w="771" w:type="dxa"/>
          </w:tcPr>
          <w:p w:rsidR="00CC3BA4" w:rsidRPr="00E564DD" w:rsidRDefault="00CC3BA4" w:rsidP="00F13836">
            <w:pPr>
              <w:pStyle w:val="Tabletext"/>
              <w:rPr>
                <w:rFonts w:cs="Tahoma"/>
              </w:rPr>
            </w:pPr>
            <w:r w:rsidRPr="00D36FBC">
              <w:rPr>
                <w:rFonts w:cs="Tahoma"/>
              </w:rPr>
              <w:t xml:space="preserve">Serious </w:t>
            </w:r>
            <w:r w:rsidR="00872747">
              <w:rPr>
                <w:rFonts w:cs="Tahoma"/>
                <w:vertAlign w:val="superscript"/>
              </w:rPr>
              <w:t>d</w:t>
            </w:r>
          </w:p>
        </w:tc>
        <w:tc>
          <w:tcPr>
            <w:tcW w:w="1072" w:type="dxa"/>
          </w:tcPr>
          <w:p w:rsidR="00CC3BA4" w:rsidRPr="00E564DD" w:rsidRDefault="00CC3BA4" w:rsidP="00F13836">
            <w:pPr>
              <w:pStyle w:val="Tabletext"/>
              <w:rPr>
                <w:rFonts w:cs="Tahoma"/>
              </w:rPr>
            </w:pPr>
            <w:r w:rsidRPr="00E564DD">
              <w:rPr>
                <w:rFonts w:cs="Tahoma"/>
              </w:rPr>
              <w:t>Not serious</w:t>
            </w:r>
          </w:p>
        </w:tc>
        <w:tc>
          <w:tcPr>
            <w:tcW w:w="992" w:type="dxa"/>
          </w:tcPr>
          <w:p w:rsidR="00CC3BA4" w:rsidRPr="00E564DD" w:rsidRDefault="00CC3BA4" w:rsidP="00F13836">
            <w:pPr>
              <w:pStyle w:val="Tabletext"/>
              <w:rPr>
                <w:rFonts w:cs="Tahoma"/>
              </w:rPr>
            </w:pPr>
            <w:r w:rsidRPr="00E564DD">
              <w:rPr>
                <w:rFonts w:cs="Tahoma"/>
              </w:rPr>
              <w:t>Not serious</w:t>
            </w:r>
          </w:p>
        </w:tc>
        <w:tc>
          <w:tcPr>
            <w:tcW w:w="1134" w:type="dxa"/>
          </w:tcPr>
          <w:p w:rsidR="00CC3BA4" w:rsidRPr="00C05257" w:rsidRDefault="00872747" w:rsidP="00872747">
            <w:pPr>
              <w:pStyle w:val="Tabletext"/>
              <w:rPr>
                <w:rFonts w:cs="Tahoma"/>
                <w:vertAlign w:val="superscript"/>
              </w:rPr>
            </w:pPr>
            <w:r>
              <w:rPr>
                <w:rFonts w:cs="Tahoma"/>
              </w:rPr>
              <w:t>Very s</w:t>
            </w:r>
            <w:r w:rsidR="00CC3BA4" w:rsidRPr="00E564DD">
              <w:rPr>
                <w:rFonts w:cs="Tahoma"/>
              </w:rPr>
              <w:t>erious</w:t>
            </w:r>
            <w:r>
              <w:rPr>
                <w:rFonts w:cs="Tahoma"/>
                <w:vertAlign w:val="superscript"/>
              </w:rPr>
              <w:t xml:space="preserve"> c,e</w:t>
            </w:r>
          </w:p>
        </w:tc>
        <w:tc>
          <w:tcPr>
            <w:tcW w:w="1244" w:type="dxa"/>
          </w:tcPr>
          <w:p w:rsidR="00CC3BA4" w:rsidRPr="00E564DD" w:rsidRDefault="00CC3BA4" w:rsidP="00F13836">
            <w:pPr>
              <w:pStyle w:val="Tabletext"/>
              <w:rPr>
                <w:rFonts w:cs="Tahoma"/>
              </w:rPr>
            </w:pPr>
            <w:r>
              <w:rPr>
                <w:rFonts w:cs="Tahoma"/>
              </w:rPr>
              <w:t>None</w:t>
            </w:r>
          </w:p>
        </w:tc>
        <w:tc>
          <w:tcPr>
            <w:tcW w:w="1417" w:type="dxa"/>
          </w:tcPr>
          <w:p w:rsidR="00CC3BA4" w:rsidRPr="00CA608E" w:rsidRDefault="00CC3BA4" w:rsidP="00F13836">
            <w:pPr>
              <w:pStyle w:val="Tabletext"/>
              <w:rPr>
                <w:rFonts w:cs="Tahoma"/>
              </w:rPr>
            </w:pPr>
            <w:r>
              <w:rPr>
                <w:rFonts w:cs="Tahoma"/>
              </w:rPr>
              <w:t>3/22 (13.6%)</w:t>
            </w:r>
          </w:p>
        </w:tc>
        <w:tc>
          <w:tcPr>
            <w:tcW w:w="1134" w:type="dxa"/>
          </w:tcPr>
          <w:p w:rsidR="00CC3BA4" w:rsidRPr="00456F1B" w:rsidRDefault="00CC3BA4" w:rsidP="00F13836">
            <w:pPr>
              <w:pStyle w:val="Tabletext"/>
              <w:rPr>
                <w:rFonts w:cs="Tahoma"/>
                <w:highlight w:val="cyan"/>
              </w:rPr>
            </w:pPr>
            <w:r w:rsidRPr="00CA608E">
              <w:rPr>
                <w:rFonts w:cs="Tahoma"/>
              </w:rPr>
              <w:t>2/11 (18.2%)</w:t>
            </w:r>
          </w:p>
        </w:tc>
        <w:tc>
          <w:tcPr>
            <w:tcW w:w="993" w:type="dxa"/>
          </w:tcPr>
          <w:p w:rsidR="00CC3BA4" w:rsidRPr="00456F1B" w:rsidRDefault="00CC3BA4" w:rsidP="00F13836">
            <w:pPr>
              <w:pStyle w:val="Tabletext"/>
              <w:rPr>
                <w:rFonts w:cs="Tahoma"/>
                <w:highlight w:val="cyan"/>
              </w:rPr>
            </w:pPr>
            <w:r w:rsidRPr="00CA608E">
              <w:rPr>
                <w:rFonts w:cs="Tahoma"/>
              </w:rPr>
              <w:t xml:space="preserve">RR </w:t>
            </w:r>
            <w:r>
              <w:rPr>
                <w:rFonts w:cs="Tahoma"/>
              </w:rPr>
              <w:t xml:space="preserve">= </w:t>
            </w:r>
            <w:r w:rsidRPr="00CA608E">
              <w:rPr>
                <w:rFonts w:cs="Tahoma"/>
              </w:rPr>
              <w:t>0.75</w:t>
            </w:r>
            <w:r>
              <w:rPr>
                <w:rFonts w:cs="Tahoma"/>
              </w:rPr>
              <w:t xml:space="preserve"> </w:t>
            </w:r>
            <w:r w:rsidRPr="00CA608E">
              <w:rPr>
                <w:rFonts w:cs="Tahoma"/>
              </w:rPr>
              <w:t>(0.15</w:t>
            </w:r>
            <w:r>
              <w:rPr>
                <w:rFonts w:cs="Tahoma"/>
              </w:rPr>
              <w:t>,</w:t>
            </w:r>
            <w:r w:rsidRPr="00CA608E">
              <w:rPr>
                <w:rFonts w:cs="Tahoma"/>
              </w:rPr>
              <w:t xml:space="preserve"> </w:t>
            </w:r>
            <w:r>
              <w:rPr>
                <w:rFonts w:cs="Tahoma"/>
              </w:rPr>
              <w:t>3</w:t>
            </w:r>
            <w:r w:rsidRPr="00CA608E">
              <w:rPr>
                <w:rFonts w:cs="Tahoma"/>
              </w:rPr>
              <w:t>.85)</w:t>
            </w:r>
          </w:p>
        </w:tc>
        <w:tc>
          <w:tcPr>
            <w:tcW w:w="2078" w:type="dxa"/>
          </w:tcPr>
          <w:p w:rsidR="00CC3BA4" w:rsidRPr="00456F1B" w:rsidRDefault="00CC3BA4" w:rsidP="00F13836">
            <w:pPr>
              <w:pStyle w:val="Tabletext"/>
              <w:rPr>
                <w:rFonts w:cs="Tahoma"/>
                <w:highlight w:val="cyan"/>
              </w:rPr>
            </w:pPr>
            <w:r w:rsidRPr="00CA608E">
              <w:rPr>
                <w:rFonts w:cs="Tahoma"/>
              </w:rPr>
              <w:t>45 fewer per 1,000</w:t>
            </w:r>
            <w:r>
              <w:rPr>
                <w:rFonts w:cs="Tahoma"/>
              </w:rPr>
              <w:br/>
            </w:r>
            <w:r w:rsidRPr="00CA608E">
              <w:rPr>
                <w:rFonts w:cs="Tahoma"/>
              </w:rPr>
              <w:t>(from 155 fewer to 518 more)</w:t>
            </w:r>
          </w:p>
        </w:tc>
        <w:tc>
          <w:tcPr>
            <w:tcW w:w="1324" w:type="dxa"/>
          </w:tcPr>
          <w:p w:rsidR="00872747" w:rsidRDefault="00872747" w:rsidP="00872747">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sidRPr="00E564DD">
              <w:rPr>
                <w:rFonts w:ascii="Cambria Math" w:eastAsia="Times New Roman" w:hAnsi="Cambria Math" w:cs="Cambria Math"/>
                <w:bCs/>
                <w:color w:val="00B050"/>
              </w:rPr>
              <w:t>⨁</w:t>
            </w:r>
            <w:r w:rsidRPr="00E564DD">
              <w:rPr>
                <w:rFonts w:ascii="Cambria Math" w:hAnsi="Cambria Math" w:cs="Cambria Math"/>
                <w:color w:val="C00000"/>
              </w:rPr>
              <w:t>⨀⨀</w:t>
            </w:r>
            <w:r w:rsidRPr="00E564DD">
              <w:rPr>
                <w:rFonts w:ascii="Cambria Math" w:eastAsia="Times New Roman" w:hAnsi="Cambria Math" w:cs="Cambria Math"/>
                <w:bCs/>
                <w:color w:val="FF0000"/>
              </w:rPr>
              <w:t>⨀</w:t>
            </w:r>
          </w:p>
          <w:p w:rsidR="00CC3BA4" w:rsidRPr="00E564DD" w:rsidRDefault="00CC3BA4" w:rsidP="00F13836">
            <w:pPr>
              <w:pStyle w:val="Tabletext"/>
              <w:rPr>
                <w:rFonts w:cs="Tahoma"/>
              </w:rPr>
            </w:pPr>
            <w:r>
              <w:rPr>
                <w:rFonts w:cs="Tahoma"/>
              </w:rPr>
              <w:t>I</w:t>
            </w:r>
            <w:r w:rsidRPr="00E564DD">
              <w:rPr>
                <w:rFonts w:cs="Tahoma"/>
              </w:rPr>
              <w:t>mportant</w:t>
            </w:r>
          </w:p>
        </w:tc>
      </w:tr>
      <w:tr w:rsidR="00CC3BA4" w:rsidRPr="00E564DD" w:rsidTr="00115AB1">
        <w:trPr>
          <w:trHeight w:val="747"/>
        </w:trPr>
        <w:tc>
          <w:tcPr>
            <w:tcW w:w="1493" w:type="dxa"/>
          </w:tcPr>
          <w:p w:rsidR="00CC3BA4" w:rsidRPr="00E564DD" w:rsidRDefault="00CC3BA4" w:rsidP="00F13836">
            <w:pPr>
              <w:pStyle w:val="Tabletext"/>
              <w:rPr>
                <w:rFonts w:cs="Tahoma"/>
              </w:rPr>
            </w:pPr>
            <w:r>
              <w:rPr>
                <w:rFonts w:cs="Tahoma"/>
              </w:rPr>
              <w:t>AEs leading to treatment discontinuation</w:t>
            </w:r>
            <w:r>
              <w:rPr>
                <w:rFonts w:cs="Tahoma"/>
              </w:rPr>
              <w:br/>
              <w:t>(12 weeks)</w:t>
            </w:r>
          </w:p>
        </w:tc>
        <w:tc>
          <w:tcPr>
            <w:tcW w:w="1054" w:type="dxa"/>
          </w:tcPr>
          <w:p w:rsidR="00CC3BA4" w:rsidRPr="00E564DD" w:rsidRDefault="006A0576" w:rsidP="006A0576">
            <w:pPr>
              <w:pStyle w:val="Tabletext"/>
              <w:rPr>
                <w:rFonts w:cs="Tahoma"/>
              </w:rPr>
            </w:pPr>
            <w:r>
              <w:rPr>
                <w:rFonts w:cs="Tahoma"/>
              </w:rPr>
              <w:t>1</w:t>
            </w:r>
            <w:r w:rsidR="00CC3BA4" w:rsidRPr="00E564DD">
              <w:rPr>
                <w:rFonts w:cs="Tahoma"/>
              </w:rPr>
              <w:t xml:space="preserve"> RCT</w:t>
            </w:r>
          </w:p>
        </w:tc>
        <w:tc>
          <w:tcPr>
            <w:tcW w:w="771" w:type="dxa"/>
          </w:tcPr>
          <w:p w:rsidR="00CC3BA4" w:rsidRPr="00E564DD" w:rsidRDefault="00CC3BA4" w:rsidP="00F13836">
            <w:pPr>
              <w:pStyle w:val="Tabletext"/>
              <w:rPr>
                <w:rFonts w:cs="Tahoma"/>
              </w:rPr>
            </w:pPr>
            <w:r w:rsidRPr="00D36FBC">
              <w:rPr>
                <w:rFonts w:cs="Tahoma"/>
              </w:rPr>
              <w:t xml:space="preserve">Serious </w:t>
            </w:r>
            <w:r w:rsidR="00872747">
              <w:rPr>
                <w:rFonts w:cs="Tahoma"/>
                <w:vertAlign w:val="superscript"/>
              </w:rPr>
              <w:t>d</w:t>
            </w:r>
          </w:p>
        </w:tc>
        <w:tc>
          <w:tcPr>
            <w:tcW w:w="1072" w:type="dxa"/>
          </w:tcPr>
          <w:p w:rsidR="00CC3BA4" w:rsidRPr="00E564DD" w:rsidRDefault="00CC3BA4" w:rsidP="00F13836">
            <w:pPr>
              <w:pStyle w:val="Tabletext"/>
              <w:rPr>
                <w:rFonts w:cs="Tahoma"/>
              </w:rPr>
            </w:pPr>
            <w:r w:rsidRPr="00E564DD">
              <w:rPr>
                <w:rFonts w:cs="Tahoma"/>
              </w:rPr>
              <w:t>Not serious</w:t>
            </w:r>
          </w:p>
        </w:tc>
        <w:tc>
          <w:tcPr>
            <w:tcW w:w="992" w:type="dxa"/>
          </w:tcPr>
          <w:p w:rsidR="00CC3BA4" w:rsidRPr="00E564DD" w:rsidRDefault="00CC3BA4" w:rsidP="00F13836">
            <w:pPr>
              <w:pStyle w:val="Tabletext"/>
              <w:rPr>
                <w:rFonts w:cs="Tahoma"/>
              </w:rPr>
            </w:pPr>
            <w:r w:rsidRPr="00E564DD">
              <w:rPr>
                <w:rFonts w:cs="Tahoma"/>
              </w:rPr>
              <w:t>Not serious</w:t>
            </w:r>
          </w:p>
        </w:tc>
        <w:tc>
          <w:tcPr>
            <w:tcW w:w="1134" w:type="dxa"/>
          </w:tcPr>
          <w:p w:rsidR="00CC3BA4" w:rsidRPr="00872747" w:rsidRDefault="00872747" w:rsidP="00872747">
            <w:pPr>
              <w:pStyle w:val="Tabletext"/>
              <w:rPr>
                <w:rFonts w:cs="Tahoma"/>
                <w:vertAlign w:val="superscript"/>
              </w:rPr>
            </w:pPr>
            <w:r>
              <w:rPr>
                <w:rFonts w:cs="Tahoma"/>
              </w:rPr>
              <w:t>Very serious</w:t>
            </w:r>
            <w:r>
              <w:rPr>
                <w:rFonts w:cs="Tahoma"/>
                <w:vertAlign w:val="superscript"/>
              </w:rPr>
              <w:t xml:space="preserve"> c</w:t>
            </w:r>
          </w:p>
        </w:tc>
        <w:tc>
          <w:tcPr>
            <w:tcW w:w="1244" w:type="dxa"/>
          </w:tcPr>
          <w:p w:rsidR="00CC3BA4" w:rsidRPr="00E564DD" w:rsidRDefault="00CC3BA4" w:rsidP="00F13836">
            <w:pPr>
              <w:pStyle w:val="Tabletext"/>
              <w:rPr>
                <w:rFonts w:cs="Tahoma"/>
              </w:rPr>
            </w:pPr>
            <w:r>
              <w:rPr>
                <w:rFonts w:cs="Tahoma"/>
              </w:rPr>
              <w:t>None</w:t>
            </w:r>
          </w:p>
        </w:tc>
        <w:tc>
          <w:tcPr>
            <w:tcW w:w="1417" w:type="dxa"/>
          </w:tcPr>
          <w:p w:rsidR="00CC3BA4" w:rsidRPr="00CA608E" w:rsidRDefault="00CC3BA4" w:rsidP="00F13836">
            <w:pPr>
              <w:pStyle w:val="Tabletext"/>
              <w:rPr>
                <w:rFonts w:cs="Tahoma"/>
              </w:rPr>
            </w:pPr>
            <w:r>
              <w:rPr>
                <w:rFonts w:cs="Tahoma"/>
              </w:rPr>
              <w:t>1/22 (4.5%)</w:t>
            </w:r>
          </w:p>
        </w:tc>
        <w:tc>
          <w:tcPr>
            <w:tcW w:w="1134" w:type="dxa"/>
          </w:tcPr>
          <w:p w:rsidR="00CC3BA4" w:rsidRPr="00456F1B" w:rsidRDefault="00CC3BA4" w:rsidP="00F13836">
            <w:pPr>
              <w:pStyle w:val="Tabletext"/>
              <w:rPr>
                <w:rFonts w:cs="Tahoma"/>
                <w:highlight w:val="cyan"/>
              </w:rPr>
            </w:pPr>
            <w:r w:rsidRPr="00CA608E">
              <w:rPr>
                <w:rFonts w:cs="Tahoma"/>
              </w:rPr>
              <w:t>1/11 (9.1%)</w:t>
            </w:r>
          </w:p>
        </w:tc>
        <w:tc>
          <w:tcPr>
            <w:tcW w:w="993" w:type="dxa"/>
          </w:tcPr>
          <w:p w:rsidR="00CC3BA4" w:rsidRPr="00456F1B" w:rsidRDefault="00CC3BA4" w:rsidP="00F13836">
            <w:pPr>
              <w:pStyle w:val="Tabletext"/>
              <w:rPr>
                <w:rFonts w:cs="Tahoma"/>
                <w:highlight w:val="cyan"/>
              </w:rPr>
            </w:pPr>
            <w:r w:rsidRPr="00CA608E">
              <w:rPr>
                <w:rFonts w:cs="Tahoma"/>
              </w:rPr>
              <w:t xml:space="preserve">RR </w:t>
            </w:r>
            <w:r>
              <w:rPr>
                <w:rFonts w:cs="Tahoma"/>
              </w:rPr>
              <w:t xml:space="preserve">= </w:t>
            </w:r>
            <w:r w:rsidRPr="00CA608E">
              <w:rPr>
                <w:rFonts w:cs="Tahoma"/>
              </w:rPr>
              <w:t>0.50</w:t>
            </w:r>
            <w:r>
              <w:rPr>
                <w:rFonts w:cs="Tahoma"/>
              </w:rPr>
              <w:t xml:space="preserve"> </w:t>
            </w:r>
            <w:r w:rsidRPr="00CA608E">
              <w:rPr>
                <w:rFonts w:cs="Tahoma"/>
              </w:rPr>
              <w:t>(0.03</w:t>
            </w:r>
            <w:r>
              <w:rPr>
                <w:rFonts w:cs="Tahoma"/>
              </w:rPr>
              <w:t xml:space="preserve">, </w:t>
            </w:r>
            <w:r w:rsidRPr="00CA608E">
              <w:rPr>
                <w:rFonts w:cs="Tahoma"/>
              </w:rPr>
              <w:t>7.26)</w:t>
            </w:r>
          </w:p>
        </w:tc>
        <w:tc>
          <w:tcPr>
            <w:tcW w:w="2078" w:type="dxa"/>
          </w:tcPr>
          <w:p w:rsidR="00CC3BA4" w:rsidRPr="00456F1B" w:rsidRDefault="00CC3BA4" w:rsidP="00F13836">
            <w:pPr>
              <w:pStyle w:val="Tabletext"/>
              <w:rPr>
                <w:rFonts w:cs="Tahoma"/>
                <w:highlight w:val="cyan"/>
              </w:rPr>
            </w:pPr>
            <w:r w:rsidRPr="00CA608E">
              <w:rPr>
                <w:rFonts w:cs="Tahoma"/>
              </w:rPr>
              <w:t>45 fewer per 1,000</w:t>
            </w:r>
            <w:r>
              <w:rPr>
                <w:rFonts w:cs="Tahoma"/>
              </w:rPr>
              <w:br/>
            </w:r>
            <w:r w:rsidRPr="00CA608E">
              <w:rPr>
                <w:rFonts w:cs="Tahoma"/>
              </w:rPr>
              <w:t>(from 88 fewer to 569 more)</w:t>
            </w:r>
          </w:p>
        </w:tc>
        <w:tc>
          <w:tcPr>
            <w:tcW w:w="1324" w:type="dxa"/>
          </w:tcPr>
          <w:p w:rsidR="00872747" w:rsidRDefault="00872747" w:rsidP="00872747">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sidRPr="00E564DD">
              <w:rPr>
                <w:rFonts w:ascii="Cambria Math" w:eastAsia="Times New Roman" w:hAnsi="Cambria Math" w:cs="Cambria Math"/>
                <w:bCs/>
                <w:color w:val="00B050"/>
              </w:rPr>
              <w:t>⨁</w:t>
            </w:r>
            <w:r w:rsidRPr="00E564DD">
              <w:rPr>
                <w:rFonts w:ascii="Cambria Math" w:hAnsi="Cambria Math" w:cs="Cambria Math"/>
                <w:color w:val="C00000"/>
              </w:rPr>
              <w:t>⨀⨀</w:t>
            </w:r>
            <w:r w:rsidRPr="00E564DD">
              <w:rPr>
                <w:rFonts w:ascii="Cambria Math" w:eastAsia="Times New Roman" w:hAnsi="Cambria Math" w:cs="Cambria Math"/>
                <w:bCs/>
                <w:color w:val="FF0000"/>
              </w:rPr>
              <w:t>⨀</w:t>
            </w:r>
          </w:p>
          <w:p w:rsidR="00CC3BA4" w:rsidRPr="007E63F8" w:rsidRDefault="00CC3BA4" w:rsidP="00F13836">
            <w:pPr>
              <w:pStyle w:val="Tabletext"/>
              <w:rPr>
                <w:rFonts w:ascii="Cambria Math" w:eastAsia="Times New Roman" w:hAnsi="Cambria Math" w:cs="Cambria Math"/>
                <w:bCs/>
                <w:color w:val="00B050"/>
              </w:rPr>
            </w:pPr>
            <w:r>
              <w:rPr>
                <w:rFonts w:cs="Tahoma"/>
              </w:rPr>
              <w:t>I</w:t>
            </w:r>
            <w:r w:rsidRPr="00E564DD">
              <w:rPr>
                <w:rFonts w:cs="Tahoma"/>
              </w:rPr>
              <w:t>mportant</w:t>
            </w:r>
          </w:p>
        </w:tc>
      </w:tr>
    </w:tbl>
    <w:p w:rsidR="00CC3BA4" w:rsidRPr="00AA018C" w:rsidRDefault="00CC3BA4" w:rsidP="00F13836">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F13836">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872747" w:rsidRPr="00872747" w:rsidRDefault="00872747" w:rsidP="00F13836">
      <w:pPr>
        <w:pStyle w:val="Tablenote"/>
      </w:pPr>
      <w:proofErr w:type="gramStart"/>
      <w:r>
        <w:rPr>
          <w:vertAlign w:val="superscript"/>
        </w:rPr>
        <w:t>c</w:t>
      </w:r>
      <w:proofErr w:type="gramEnd"/>
      <w:r>
        <w:rPr>
          <w:vertAlign w:val="superscript"/>
        </w:rPr>
        <w:t xml:space="preserve"> </w:t>
      </w:r>
      <w:r>
        <w:t>Small study size</w:t>
      </w:r>
    </w:p>
    <w:p w:rsidR="00CC3BA4" w:rsidRDefault="00872747" w:rsidP="00F13836">
      <w:pPr>
        <w:pStyle w:val="Tablenote"/>
      </w:pPr>
      <w:proofErr w:type="gramStart"/>
      <w:r>
        <w:rPr>
          <w:vertAlign w:val="superscript"/>
        </w:rPr>
        <w:t>d</w:t>
      </w:r>
      <w:proofErr w:type="gramEnd"/>
      <w:r w:rsidR="00CC3BA4" w:rsidRPr="00E564DD">
        <w:t xml:space="preserve"> </w:t>
      </w:r>
      <w:r w:rsidR="00CC3BA4">
        <w:t>One RCT had a high risk of bias</w:t>
      </w:r>
    </w:p>
    <w:p w:rsidR="00C05257" w:rsidRPr="00C05257" w:rsidRDefault="00872747" w:rsidP="00F13836">
      <w:pPr>
        <w:pStyle w:val="Tablenote"/>
      </w:pPr>
      <w:proofErr w:type="gramStart"/>
      <w:r>
        <w:rPr>
          <w:vertAlign w:val="superscript"/>
        </w:rPr>
        <w:t>e</w:t>
      </w:r>
      <w:proofErr w:type="gramEnd"/>
      <w:r w:rsidR="00C05257">
        <w:rPr>
          <w:vertAlign w:val="superscript"/>
        </w:rPr>
        <w:t xml:space="preserve"> </w:t>
      </w:r>
      <w:r w:rsidR="00C05257">
        <w:t>Wide 95% CIs</w:t>
      </w:r>
    </w:p>
    <w:p w:rsidR="00C05257" w:rsidRPr="00E564DD" w:rsidRDefault="00C05257" w:rsidP="00872747">
      <w:pPr>
        <w:pStyle w:val="Tablenote"/>
        <w:spacing w:after="0"/>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Low quality:</w:t>
      </w:r>
      <w:r w:rsidRPr="00E564DD">
        <w:t xml:space="preserve"> Our confidence in the effect estimate is limited: The true effect may be substantially different from the estimate of the effect</w:t>
      </w:r>
    </w:p>
    <w:p w:rsidR="00872747" w:rsidRPr="00CF5BBF" w:rsidRDefault="00872747" w:rsidP="00872747">
      <w:pPr>
        <w:spacing w:before="0" w:line="240" w:lineRule="auto"/>
        <w:contextualSpacing/>
        <w:rPr>
          <w:rFonts w:ascii="Arial Narrow" w:eastAsiaTheme="minorEastAsia" w:hAnsi="Arial Narrow" w:cs="Baskerville"/>
          <w:sz w:val="16"/>
          <w:szCs w:val="20"/>
          <w:lang w:eastAsia="en-AU"/>
        </w:rPr>
      </w:pPr>
      <w:r w:rsidRPr="00CF5BBF">
        <w:rPr>
          <w:rFonts w:ascii="Cambria Math" w:eastAsiaTheme="minorEastAsia" w:hAnsi="Cambria Math" w:cs="Cambria Math"/>
          <w:color w:val="00B050"/>
          <w:sz w:val="16"/>
          <w:szCs w:val="20"/>
          <w:lang w:eastAsia="en-AU"/>
        </w:rPr>
        <w:t>⨁</w:t>
      </w:r>
      <w:r w:rsidRPr="00CF5BBF">
        <w:rPr>
          <w:rFonts w:ascii="Cambria Math" w:eastAsiaTheme="minorEastAsia" w:hAnsi="Cambria Math" w:cs="Cambria Math"/>
          <w:color w:val="C00000"/>
          <w:sz w:val="16"/>
          <w:szCs w:val="20"/>
          <w:lang w:eastAsia="en-AU"/>
        </w:rPr>
        <w:t>⨀⨀⨀</w:t>
      </w:r>
      <w:r w:rsidRPr="00CF5BBF">
        <w:rPr>
          <w:rFonts w:ascii="Arial Narrow" w:eastAsiaTheme="minorEastAsia" w:hAnsi="Arial Narrow" w:cs="Cambria Math"/>
          <w:color w:val="C00000"/>
          <w:sz w:val="16"/>
          <w:szCs w:val="20"/>
          <w:lang w:eastAsia="en-AU"/>
        </w:rPr>
        <w:t xml:space="preserve"> </w:t>
      </w:r>
      <w:r w:rsidRPr="00CF5BBF">
        <w:rPr>
          <w:rFonts w:ascii="Arial Narrow" w:eastAsiaTheme="minorEastAsia" w:hAnsi="Arial Narrow" w:cs="Baskerville"/>
          <w:b/>
          <w:sz w:val="16"/>
          <w:szCs w:val="20"/>
          <w:lang w:eastAsia="en-AU"/>
        </w:rPr>
        <w:t>Very low quality:</w:t>
      </w:r>
      <w:r w:rsidRPr="00CF5BBF">
        <w:rPr>
          <w:rFonts w:ascii="Arial Narrow" w:eastAsiaTheme="minorEastAsia" w:hAnsi="Arial Narrow" w:cs="Baskerville"/>
          <w:sz w:val="16"/>
          <w:szCs w:val="20"/>
          <w:lang w:eastAsia="en-AU"/>
        </w:rPr>
        <w:t xml:space="preserve"> We have very little confidence in the effect estimate: The true effect is likely to be substantially different from the estimate of effect</w:t>
      </w:r>
    </w:p>
    <w:p w:rsidR="00C871F2" w:rsidRDefault="00CC3BA4" w:rsidP="00F13836">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C871F2" w:rsidRPr="00F24B06">
        <w:t xml:space="preserve">; </w:t>
      </w:r>
      <w:r w:rsidRPr="00C65B42">
        <w:t xml:space="preserve">PAH = pulmonary arterial hypertension; </w:t>
      </w:r>
      <w:r>
        <w:t>RCT = randomised controlled trial; RR = relative risk; WHO = World Health Organization</w:t>
      </w:r>
    </w:p>
    <w:p w:rsidR="00CC3BA4" w:rsidRPr="00822C52" w:rsidRDefault="00CC3BA4" w:rsidP="00BF48DF">
      <w:pPr>
        <w:pStyle w:val="Heading4"/>
      </w:pPr>
      <w:r>
        <w:lastRenderedPageBreak/>
        <w:t>PDE-5 inhibitor</w:t>
      </w:r>
      <w:r w:rsidRPr="00822C52">
        <w:t xml:space="preserve"> </w:t>
      </w:r>
      <w:r>
        <w:t xml:space="preserve">in </w:t>
      </w:r>
      <w:r w:rsidRPr="00822C52">
        <w:t>addition to ERA</w:t>
      </w:r>
    </w:p>
    <w:p w:rsidR="00CC3BA4" w:rsidRPr="005D4CA0" w:rsidRDefault="00796F18" w:rsidP="00BC5A2B">
      <w:pPr>
        <w:pStyle w:val="Caption"/>
      </w:pPr>
      <w:bookmarkStart w:id="522" w:name="_Ref505777374"/>
      <w:bookmarkStart w:id="523" w:name="_Toc38360453"/>
      <w:r>
        <w:t>Table 4.</w:t>
      </w:r>
      <w:r w:rsidR="003951FA">
        <w:rPr>
          <w:noProof/>
        </w:rPr>
        <w:t>156</w:t>
      </w:r>
      <w:bookmarkEnd w:id="522"/>
      <w:r>
        <w:tab/>
      </w:r>
      <w:r w:rsidR="00CC3BA4" w:rsidRPr="005D4CA0">
        <w:t xml:space="preserve">Evidence profile table for </w:t>
      </w:r>
      <w:r w:rsidR="00CC3BA4">
        <w:t xml:space="preserve">effectiveness of PDE-5 inhibitor </w:t>
      </w:r>
      <w:r w:rsidR="000167B4">
        <w:t>plus</w:t>
      </w:r>
      <w:r w:rsidR="00CC3BA4">
        <w:t xml:space="preserve"> </w:t>
      </w:r>
      <w:r w:rsidR="00CC3BA4" w:rsidRPr="005D4CA0">
        <w:t xml:space="preserve">ERA </w:t>
      </w:r>
      <w:r w:rsidR="00CC3BA4">
        <w:t xml:space="preserve">combination therapy </w:t>
      </w:r>
      <w:r w:rsidR="00CC3BA4" w:rsidRPr="005D4CA0">
        <w:t xml:space="preserve">compared to </w:t>
      </w:r>
      <w:r w:rsidR="00CC3BA4">
        <w:t>ERA</w:t>
      </w:r>
      <w:r w:rsidR="00CC3BA4" w:rsidRPr="005D4CA0">
        <w:t xml:space="preserve"> </w:t>
      </w:r>
      <w:r w:rsidR="00CC3BA4">
        <w:t xml:space="preserve">monotherapy </w:t>
      </w:r>
      <w:r w:rsidR="00CC3BA4" w:rsidRPr="005D4CA0">
        <w:t xml:space="preserve">for </w:t>
      </w:r>
      <w:r w:rsidR="00CC3BA4">
        <w:t>all PAH patients</w:t>
      </w:r>
      <w:bookmarkEnd w:id="523"/>
    </w:p>
    <w:tbl>
      <w:tblPr>
        <w:tblStyle w:val="TableGrid"/>
        <w:tblW w:w="14692" w:type="dxa"/>
        <w:tblLayout w:type="fixed"/>
        <w:tblLook w:val="04A0" w:firstRow="1" w:lastRow="0" w:firstColumn="1" w:lastColumn="0" w:noHBand="0" w:noVBand="1"/>
        <w:tblCaption w:val="Evidence profile table for effectiveness of PDE-5 inhibitor plus ERA combination therapy compared to ERA monotherapy for all PAH patients"/>
      </w:tblPr>
      <w:tblGrid>
        <w:gridCol w:w="1493"/>
        <w:gridCol w:w="1054"/>
        <w:gridCol w:w="771"/>
        <w:gridCol w:w="1072"/>
        <w:gridCol w:w="1051"/>
        <w:gridCol w:w="1075"/>
        <w:gridCol w:w="1230"/>
        <w:gridCol w:w="1417"/>
        <w:gridCol w:w="1134"/>
        <w:gridCol w:w="993"/>
        <w:gridCol w:w="2092"/>
        <w:gridCol w:w="1310"/>
      </w:tblGrid>
      <w:tr w:rsidR="00F13836" w:rsidRPr="00F13836" w:rsidTr="00115AB1">
        <w:trPr>
          <w:cnfStyle w:val="100000000000" w:firstRow="1" w:lastRow="0" w:firstColumn="0" w:lastColumn="0" w:oddVBand="0" w:evenVBand="0" w:oddHBand="0" w:evenHBand="0" w:firstRowFirstColumn="0" w:firstRowLastColumn="0" w:lastRowFirstColumn="0" w:lastRowLastColumn="0"/>
          <w:trHeight w:val="269"/>
        </w:trPr>
        <w:tc>
          <w:tcPr>
            <w:tcW w:w="1493" w:type="dxa"/>
          </w:tcPr>
          <w:p w:rsidR="00476F09" w:rsidRPr="00F13836" w:rsidRDefault="00476F09" w:rsidP="00F13836">
            <w:pPr>
              <w:pStyle w:val="Tabletext"/>
              <w:rPr>
                <w:b/>
              </w:rPr>
            </w:pPr>
            <w:r w:rsidRPr="00F13836">
              <w:rPr>
                <w:b/>
              </w:rPr>
              <w:t>Outcome (follow-up)</w:t>
            </w:r>
          </w:p>
        </w:tc>
        <w:tc>
          <w:tcPr>
            <w:tcW w:w="1054" w:type="dxa"/>
          </w:tcPr>
          <w:p w:rsidR="00476F09" w:rsidRPr="00F13836" w:rsidRDefault="00476F09" w:rsidP="00F13836">
            <w:pPr>
              <w:pStyle w:val="Tabletext"/>
              <w:rPr>
                <w:b/>
              </w:rPr>
            </w:pPr>
            <w:r w:rsidRPr="00F13836">
              <w:rPr>
                <w:b/>
              </w:rPr>
              <w:t>No. of studies and study design</w:t>
            </w:r>
          </w:p>
        </w:tc>
        <w:tc>
          <w:tcPr>
            <w:tcW w:w="771" w:type="dxa"/>
          </w:tcPr>
          <w:p w:rsidR="00476F09" w:rsidRPr="00F13836" w:rsidRDefault="00476F09" w:rsidP="00F13836">
            <w:pPr>
              <w:pStyle w:val="Tabletext"/>
              <w:rPr>
                <w:b/>
              </w:rPr>
            </w:pPr>
            <w:r w:rsidRPr="00F13836">
              <w:rPr>
                <w:b/>
              </w:rPr>
              <w:t>Risk of bias</w:t>
            </w:r>
          </w:p>
        </w:tc>
        <w:tc>
          <w:tcPr>
            <w:tcW w:w="1072" w:type="dxa"/>
          </w:tcPr>
          <w:p w:rsidR="00476F09" w:rsidRPr="00F13836" w:rsidRDefault="00476F09" w:rsidP="00F13836">
            <w:pPr>
              <w:pStyle w:val="Tabletext"/>
              <w:rPr>
                <w:b/>
              </w:rPr>
            </w:pPr>
            <w:r w:rsidRPr="00F13836">
              <w:rPr>
                <w:b/>
              </w:rPr>
              <w:t>Inconsis</w:t>
            </w:r>
            <w:r w:rsidR="00115AB1">
              <w:rPr>
                <w:b/>
              </w:rPr>
              <w:t>-</w:t>
            </w:r>
            <w:r w:rsidRPr="00F13836">
              <w:rPr>
                <w:b/>
              </w:rPr>
              <w:t>tency</w:t>
            </w:r>
          </w:p>
        </w:tc>
        <w:tc>
          <w:tcPr>
            <w:tcW w:w="1051" w:type="dxa"/>
          </w:tcPr>
          <w:p w:rsidR="00476F09" w:rsidRPr="00F13836" w:rsidRDefault="00476F09" w:rsidP="00F13836">
            <w:pPr>
              <w:pStyle w:val="Tabletext"/>
              <w:rPr>
                <w:b/>
              </w:rPr>
            </w:pPr>
            <w:r w:rsidRPr="00F13836">
              <w:rPr>
                <w:b/>
              </w:rPr>
              <w:t>Indirect</w:t>
            </w:r>
            <w:r w:rsidR="00115AB1">
              <w:rPr>
                <w:b/>
              </w:rPr>
              <w:t>-</w:t>
            </w:r>
            <w:r w:rsidRPr="00F13836">
              <w:rPr>
                <w:b/>
              </w:rPr>
              <w:t>ness</w:t>
            </w:r>
          </w:p>
        </w:tc>
        <w:tc>
          <w:tcPr>
            <w:tcW w:w="1075" w:type="dxa"/>
          </w:tcPr>
          <w:p w:rsidR="00476F09" w:rsidRPr="00F13836" w:rsidRDefault="00476F09" w:rsidP="00F13836">
            <w:pPr>
              <w:pStyle w:val="Tabletext"/>
              <w:rPr>
                <w:b/>
              </w:rPr>
            </w:pPr>
            <w:r w:rsidRPr="00F13836">
              <w:rPr>
                <w:b/>
              </w:rPr>
              <w:t>Impre</w:t>
            </w:r>
            <w:r w:rsidR="00115AB1">
              <w:rPr>
                <w:b/>
              </w:rPr>
              <w:t>-</w:t>
            </w:r>
            <w:r w:rsidRPr="00F13836">
              <w:rPr>
                <w:b/>
              </w:rPr>
              <w:t>cision</w:t>
            </w:r>
          </w:p>
        </w:tc>
        <w:tc>
          <w:tcPr>
            <w:tcW w:w="1230" w:type="dxa"/>
          </w:tcPr>
          <w:p w:rsidR="00476F09" w:rsidRPr="00F13836" w:rsidRDefault="00476F09" w:rsidP="00F13836">
            <w:pPr>
              <w:pStyle w:val="Tabletext"/>
              <w:rPr>
                <w:b/>
              </w:rPr>
            </w:pPr>
            <w:r w:rsidRPr="00F13836">
              <w:rPr>
                <w:b/>
              </w:rPr>
              <w:t>Other conside</w:t>
            </w:r>
            <w:r w:rsidR="00115AB1">
              <w:rPr>
                <w:b/>
              </w:rPr>
              <w:t>-</w:t>
            </w:r>
            <w:r w:rsidRPr="00F13836">
              <w:rPr>
                <w:b/>
              </w:rPr>
              <w:t>rations</w:t>
            </w:r>
            <w:r w:rsidRPr="00F13836">
              <w:rPr>
                <w:b/>
                <w:vertAlign w:val="superscript"/>
              </w:rPr>
              <w:t>a</w:t>
            </w:r>
          </w:p>
        </w:tc>
        <w:tc>
          <w:tcPr>
            <w:tcW w:w="1417" w:type="dxa"/>
          </w:tcPr>
          <w:p w:rsidR="00476F09" w:rsidRPr="00F13836" w:rsidRDefault="00476F09" w:rsidP="00F13836">
            <w:pPr>
              <w:pStyle w:val="Tabletext"/>
              <w:rPr>
                <w:b/>
              </w:rPr>
            </w:pPr>
            <w:r w:rsidRPr="00F13836">
              <w:rPr>
                <w:b/>
              </w:rPr>
              <w:t>Study event rates (%) with PDE-5i + ERA</w:t>
            </w:r>
          </w:p>
        </w:tc>
        <w:tc>
          <w:tcPr>
            <w:tcW w:w="1134" w:type="dxa"/>
          </w:tcPr>
          <w:p w:rsidR="00476F09" w:rsidRPr="00F13836" w:rsidRDefault="00476F09" w:rsidP="00F13836">
            <w:pPr>
              <w:pStyle w:val="Tabletext"/>
              <w:rPr>
                <w:b/>
              </w:rPr>
            </w:pPr>
            <w:r w:rsidRPr="00F13836">
              <w:rPr>
                <w:b/>
              </w:rPr>
              <w:t>Study event rates (%) with ERA</w:t>
            </w:r>
          </w:p>
        </w:tc>
        <w:tc>
          <w:tcPr>
            <w:tcW w:w="993" w:type="dxa"/>
          </w:tcPr>
          <w:p w:rsidR="00476F09" w:rsidRPr="00F13836" w:rsidRDefault="00476F09" w:rsidP="00F13836">
            <w:pPr>
              <w:pStyle w:val="Tabletext"/>
              <w:rPr>
                <w:b/>
              </w:rPr>
            </w:pPr>
            <w:r w:rsidRPr="00F13836">
              <w:rPr>
                <w:b/>
              </w:rPr>
              <w:t>Effect measure (95%CI)</w:t>
            </w:r>
          </w:p>
        </w:tc>
        <w:tc>
          <w:tcPr>
            <w:tcW w:w="2092" w:type="dxa"/>
          </w:tcPr>
          <w:p w:rsidR="00476F09" w:rsidRPr="00F13836" w:rsidRDefault="00476F09" w:rsidP="00F13836">
            <w:pPr>
              <w:pStyle w:val="Tabletext"/>
              <w:rPr>
                <w:b/>
              </w:rPr>
            </w:pPr>
            <w:r w:rsidRPr="00F13836">
              <w:rPr>
                <w:b/>
              </w:rPr>
              <w:t>Absolute effect (95%CI)</w:t>
            </w:r>
          </w:p>
        </w:tc>
        <w:tc>
          <w:tcPr>
            <w:tcW w:w="1310" w:type="dxa"/>
          </w:tcPr>
          <w:p w:rsidR="00C871F2" w:rsidRDefault="00C871F2" w:rsidP="00F13836">
            <w:pPr>
              <w:pStyle w:val="Tabletext"/>
              <w:rPr>
                <w:b/>
              </w:rPr>
            </w:pPr>
            <w:r>
              <w:rPr>
                <w:b/>
              </w:rPr>
              <w:t>GRADE</w:t>
            </w:r>
            <w:r w:rsidRPr="00C871F2">
              <w:rPr>
                <w:b/>
                <w:vertAlign w:val="superscript"/>
              </w:rPr>
              <w:t>b</w:t>
            </w:r>
          </w:p>
          <w:p w:rsidR="00476F09" w:rsidRPr="00F13836" w:rsidRDefault="00476F09" w:rsidP="00F13836">
            <w:pPr>
              <w:pStyle w:val="Tabletext"/>
              <w:rPr>
                <w:b/>
                <w:vertAlign w:val="superscript"/>
              </w:rPr>
            </w:pPr>
            <w:r w:rsidRPr="00F13836">
              <w:rPr>
                <w:b/>
              </w:rPr>
              <w:t>Quality</w:t>
            </w:r>
          </w:p>
          <w:p w:rsidR="00476F09" w:rsidRPr="00F13836" w:rsidRDefault="00476F09" w:rsidP="00F13836">
            <w:pPr>
              <w:pStyle w:val="Tabletext"/>
              <w:rPr>
                <w:b/>
              </w:rPr>
            </w:pPr>
            <w:r w:rsidRPr="00F13836">
              <w:rPr>
                <w:b/>
              </w:rPr>
              <w:t>Importance</w:t>
            </w:r>
          </w:p>
        </w:tc>
      </w:tr>
      <w:tr w:rsidR="00CC3BA4" w:rsidRPr="00D36FBC" w:rsidTr="00115AB1">
        <w:trPr>
          <w:trHeight w:val="319"/>
        </w:trPr>
        <w:tc>
          <w:tcPr>
            <w:tcW w:w="1493" w:type="dxa"/>
          </w:tcPr>
          <w:p w:rsidR="00CC3BA4" w:rsidRPr="00D36FBC" w:rsidRDefault="00CC3BA4" w:rsidP="00F13836">
            <w:pPr>
              <w:pStyle w:val="Tabletext"/>
              <w:rPr>
                <w:rFonts w:cs="Tahoma"/>
              </w:rPr>
            </w:pPr>
            <w:r w:rsidRPr="00D36FBC">
              <w:rPr>
                <w:rFonts w:cs="Tahoma"/>
              </w:rPr>
              <w:t>Clinical worsening</w:t>
            </w:r>
            <w:r>
              <w:rPr>
                <w:rFonts w:cs="Tahoma"/>
              </w:rPr>
              <w:br/>
            </w:r>
            <w:r w:rsidRPr="00D36FBC">
              <w:rPr>
                <w:rFonts w:cs="Tahoma"/>
              </w:rPr>
              <w:t>(</w:t>
            </w:r>
            <w:r>
              <w:rPr>
                <w:rFonts w:cs="Tahoma"/>
              </w:rPr>
              <w:t>1</w:t>
            </w:r>
            <w:r w:rsidRPr="00D36FBC">
              <w:rPr>
                <w:rFonts w:cs="Tahoma"/>
              </w:rPr>
              <w:t>2–</w:t>
            </w:r>
            <w:r>
              <w:rPr>
                <w:rFonts w:cs="Tahoma"/>
              </w:rPr>
              <w:t>74</w:t>
            </w:r>
            <w:r w:rsidRPr="00D36FBC">
              <w:rPr>
                <w:rFonts w:cs="Tahoma"/>
              </w:rPr>
              <w:t xml:space="preserve"> weeks)</w:t>
            </w:r>
          </w:p>
        </w:tc>
        <w:tc>
          <w:tcPr>
            <w:tcW w:w="1054" w:type="dxa"/>
          </w:tcPr>
          <w:p w:rsidR="00CC3BA4" w:rsidRPr="00D36FBC" w:rsidRDefault="00CC3BA4" w:rsidP="00F13836">
            <w:pPr>
              <w:pStyle w:val="Tabletext"/>
              <w:rPr>
                <w:rFonts w:cs="Tahoma"/>
              </w:rPr>
            </w:pPr>
            <w:r w:rsidRPr="00D36FBC">
              <w:rPr>
                <w:rFonts w:cs="Tahoma"/>
              </w:rPr>
              <w:t>4 RCTs</w:t>
            </w:r>
          </w:p>
        </w:tc>
        <w:tc>
          <w:tcPr>
            <w:tcW w:w="771" w:type="dxa"/>
          </w:tcPr>
          <w:p w:rsidR="00CC3BA4" w:rsidRPr="00D36FBC" w:rsidRDefault="00CC3BA4" w:rsidP="00F13836">
            <w:pPr>
              <w:pStyle w:val="Tabletext"/>
              <w:rPr>
                <w:rFonts w:cs="Tahoma"/>
              </w:rPr>
            </w:pPr>
            <w:r w:rsidRPr="00D36FBC">
              <w:rPr>
                <w:rFonts w:cs="Tahoma"/>
              </w:rPr>
              <w:t>Not serious</w:t>
            </w:r>
          </w:p>
        </w:tc>
        <w:tc>
          <w:tcPr>
            <w:tcW w:w="1072" w:type="dxa"/>
          </w:tcPr>
          <w:p w:rsidR="00CC3BA4" w:rsidRPr="00D36FBC" w:rsidRDefault="00CC3BA4" w:rsidP="00F13836">
            <w:pPr>
              <w:pStyle w:val="Tabletext"/>
              <w:rPr>
                <w:rFonts w:cs="Tahoma"/>
              </w:rPr>
            </w:pPr>
            <w:r w:rsidRPr="00D36FBC">
              <w:rPr>
                <w:rFonts w:cs="Tahoma"/>
              </w:rPr>
              <w:t>Not serious</w:t>
            </w:r>
          </w:p>
        </w:tc>
        <w:tc>
          <w:tcPr>
            <w:tcW w:w="1051" w:type="dxa"/>
          </w:tcPr>
          <w:p w:rsidR="00CC3BA4" w:rsidRPr="00D36FBC" w:rsidRDefault="00CC3BA4" w:rsidP="00F13836">
            <w:pPr>
              <w:pStyle w:val="Tabletext"/>
              <w:rPr>
                <w:rFonts w:cs="Tahoma"/>
              </w:rPr>
            </w:pPr>
            <w:r w:rsidRPr="00D36FBC">
              <w:rPr>
                <w:rFonts w:cs="Tahoma"/>
              </w:rPr>
              <w:t>Not serious</w:t>
            </w:r>
          </w:p>
        </w:tc>
        <w:tc>
          <w:tcPr>
            <w:tcW w:w="1075" w:type="dxa"/>
          </w:tcPr>
          <w:p w:rsidR="00CC3BA4" w:rsidRPr="00D36FBC" w:rsidRDefault="00CC3BA4" w:rsidP="00F13836">
            <w:pPr>
              <w:pStyle w:val="Tabletext"/>
              <w:rPr>
                <w:rFonts w:cs="Tahoma"/>
              </w:rPr>
            </w:pPr>
            <w:r w:rsidRPr="00D36FBC">
              <w:rPr>
                <w:rFonts w:cs="Tahoma"/>
              </w:rPr>
              <w:t>Not serious</w:t>
            </w:r>
          </w:p>
        </w:tc>
        <w:tc>
          <w:tcPr>
            <w:tcW w:w="1230" w:type="dxa"/>
          </w:tcPr>
          <w:p w:rsidR="00CC3BA4" w:rsidRPr="00D36FBC" w:rsidRDefault="00CC3BA4" w:rsidP="00F13836">
            <w:pPr>
              <w:pStyle w:val="Tabletext"/>
              <w:rPr>
                <w:rFonts w:cs="Tahoma"/>
              </w:rPr>
            </w:pPr>
            <w:r w:rsidRPr="00D36FBC">
              <w:rPr>
                <w:rFonts w:cs="Tahoma"/>
              </w:rPr>
              <w:t>Strong association</w:t>
            </w:r>
          </w:p>
        </w:tc>
        <w:tc>
          <w:tcPr>
            <w:tcW w:w="1417" w:type="dxa"/>
          </w:tcPr>
          <w:p w:rsidR="00CC3BA4" w:rsidRPr="0077309F" w:rsidRDefault="00CC3BA4" w:rsidP="00F13836">
            <w:pPr>
              <w:pStyle w:val="Tabletext"/>
              <w:rPr>
                <w:rFonts w:cs="Tahoma"/>
              </w:rPr>
            </w:pPr>
            <w:r>
              <w:rPr>
                <w:rFonts w:cs="Tahoma"/>
              </w:rPr>
              <w:t>56/406 (13.8%)</w:t>
            </w:r>
          </w:p>
        </w:tc>
        <w:tc>
          <w:tcPr>
            <w:tcW w:w="1134" w:type="dxa"/>
          </w:tcPr>
          <w:p w:rsidR="00CC3BA4" w:rsidRPr="00D36FBC" w:rsidRDefault="00CC3BA4" w:rsidP="00F13836">
            <w:pPr>
              <w:pStyle w:val="Tabletext"/>
              <w:rPr>
                <w:rFonts w:cs="Tahoma"/>
                <w:highlight w:val="cyan"/>
              </w:rPr>
            </w:pPr>
            <w:r w:rsidRPr="0077309F">
              <w:rPr>
                <w:rFonts w:cs="Tahoma"/>
              </w:rPr>
              <w:t>64/288 (22.2%)</w:t>
            </w:r>
          </w:p>
        </w:tc>
        <w:tc>
          <w:tcPr>
            <w:tcW w:w="993" w:type="dxa"/>
          </w:tcPr>
          <w:p w:rsidR="00CC3BA4" w:rsidRPr="00D36FBC" w:rsidRDefault="00CC3BA4" w:rsidP="00F13836">
            <w:pPr>
              <w:pStyle w:val="Tabletext"/>
              <w:rPr>
                <w:rFonts w:cs="Tahoma"/>
                <w:highlight w:val="cyan"/>
              </w:rPr>
            </w:pPr>
            <w:r w:rsidRPr="0077309F">
              <w:rPr>
                <w:rFonts w:cs="Tahoma"/>
              </w:rPr>
              <w:t xml:space="preserve">RR </w:t>
            </w:r>
            <w:r>
              <w:rPr>
                <w:rFonts w:cs="Tahoma"/>
              </w:rPr>
              <w:t xml:space="preserve">= </w:t>
            </w:r>
            <w:r w:rsidRPr="0077309F">
              <w:rPr>
                <w:rFonts w:cs="Tahoma"/>
              </w:rPr>
              <w:t>0.53</w:t>
            </w:r>
            <w:r>
              <w:rPr>
                <w:rFonts w:cs="Tahoma"/>
              </w:rPr>
              <w:t xml:space="preserve"> </w:t>
            </w:r>
            <w:r w:rsidRPr="0077309F">
              <w:rPr>
                <w:rFonts w:cs="Tahoma"/>
              </w:rPr>
              <w:t>(0.38</w:t>
            </w:r>
            <w:r>
              <w:rPr>
                <w:rFonts w:cs="Tahoma"/>
              </w:rPr>
              <w:t>,</w:t>
            </w:r>
            <w:r w:rsidRPr="0077309F">
              <w:rPr>
                <w:rFonts w:cs="Tahoma"/>
              </w:rPr>
              <w:t xml:space="preserve"> 0.73)</w:t>
            </w:r>
          </w:p>
        </w:tc>
        <w:tc>
          <w:tcPr>
            <w:tcW w:w="2092" w:type="dxa"/>
          </w:tcPr>
          <w:p w:rsidR="00CC3BA4" w:rsidRPr="00D36FBC" w:rsidRDefault="00CC3BA4" w:rsidP="00F13836">
            <w:pPr>
              <w:pStyle w:val="Tabletext"/>
              <w:rPr>
                <w:rFonts w:cs="Tahoma"/>
                <w:highlight w:val="cyan"/>
              </w:rPr>
            </w:pPr>
            <w:r w:rsidRPr="0077309F">
              <w:rPr>
                <w:rFonts w:cs="Tahoma"/>
              </w:rPr>
              <w:t>104 fewer per 1,000</w:t>
            </w:r>
            <w:r>
              <w:rPr>
                <w:rFonts w:cs="Tahoma"/>
              </w:rPr>
              <w:br/>
            </w:r>
            <w:r w:rsidRPr="0077309F">
              <w:rPr>
                <w:rFonts w:cs="Tahoma"/>
              </w:rPr>
              <w:t>(from 60 fewer to 138 fewer)</w:t>
            </w:r>
          </w:p>
        </w:tc>
        <w:tc>
          <w:tcPr>
            <w:tcW w:w="1310" w:type="dxa"/>
          </w:tcPr>
          <w:p w:rsidR="00CC3BA4" w:rsidRDefault="00CC3BA4" w:rsidP="00F13836">
            <w:pPr>
              <w:pStyle w:val="Tabletext"/>
              <w:rPr>
                <w:rFonts w:ascii="Cambria Math" w:eastAsia="Times New Roman" w:hAnsi="Cambria Math" w:cs="Cambria Math"/>
                <w:bCs/>
              </w:rPr>
            </w:pPr>
            <w:r w:rsidRPr="00E564DD">
              <w:rPr>
                <w:rFonts w:eastAsia="Times New Roman" w:cs="Tahoma"/>
                <w:bCs/>
              </w:rPr>
              <w:t>High</w:t>
            </w:r>
            <w:r>
              <w:rPr>
                <w:rFonts w:eastAsia="Times New Roman" w:cs="Tahoma"/>
                <w:bCs/>
              </w:rPr>
              <w:br/>
            </w:r>
            <w:r>
              <w:rPr>
                <w:rFonts w:ascii="Cambria Math" w:eastAsia="Times New Roman" w:hAnsi="Cambria Math" w:cs="Cambria Math"/>
                <w:bCs/>
                <w:color w:val="00B050"/>
              </w:rPr>
              <w:t>⨁⨁⨁⨁</w:t>
            </w:r>
          </w:p>
          <w:p w:rsidR="00CC3BA4" w:rsidRPr="00D36FBC" w:rsidRDefault="00CC3BA4" w:rsidP="00F13836">
            <w:pPr>
              <w:pStyle w:val="Tabletext"/>
              <w:rPr>
                <w:rFonts w:cs="Tahoma"/>
              </w:rPr>
            </w:pPr>
            <w:r w:rsidRPr="00E564DD">
              <w:rPr>
                <w:rFonts w:cs="Tahoma"/>
              </w:rPr>
              <w:t>Critical</w:t>
            </w:r>
          </w:p>
        </w:tc>
      </w:tr>
      <w:tr w:rsidR="00CC3BA4" w:rsidRPr="00D36FBC" w:rsidTr="00115AB1">
        <w:trPr>
          <w:trHeight w:val="319"/>
        </w:trPr>
        <w:tc>
          <w:tcPr>
            <w:tcW w:w="1493" w:type="dxa"/>
          </w:tcPr>
          <w:p w:rsidR="00CC3BA4" w:rsidRPr="00D36FBC" w:rsidRDefault="00CC3BA4" w:rsidP="00F13836">
            <w:pPr>
              <w:pStyle w:val="Tabletext"/>
              <w:rPr>
                <w:rFonts w:cs="Tahoma"/>
              </w:rPr>
            </w:pPr>
            <w:r w:rsidRPr="00D36FBC">
              <w:rPr>
                <w:rFonts w:cs="Tahoma"/>
              </w:rPr>
              <w:t>Mortality</w:t>
            </w:r>
            <w:r>
              <w:rPr>
                <w:rFonts w:cs="Tahoma"/>
              </w:rPr>
              <w:br/>
            </w:r>
            <w:r w:rsidRPr="00D36FBC">
              <w:rPr>
                <w:rFonts w:cs="Tahoma"/>
              </w:rPr>
              <w:t>(</w:t>
            </w:r>
            <w:r>
              <w:rPr>
                <w:rFonts w:cs="Tahoma"/>
              </w:rPr>
              <w:t>1</w:t>
            </w:r>
            <w:r w:rsidRPr="00D36FBC">
              <w:rPr>
                <w:rFonts w:cs="Tahoma"/>
              </w:rPr>
              <w:t>2–</w:t>
            </w:r>
            <w:r>
              <w:rPr>
                <w:rFonts w:cs="Tahoma"/>
              </w:rPr>
              <w:t>74</w:t>
            </w:r>
            <w:r w:rsidRPr="00D36FBC">
              <w:rPr>
                <w:rFonts w:cs="Tahoma"/>
              </w:rPr>
              <w:t xml:space="preserve"> weeks)</w:t>
            </w:r>
          </w:p>
        </w:tc>
        <w:tc>
          <w:tcPr>
            <w:tcW w:w="1054" w:type="dxa"/>
          </w:tcPr>
          <w:p w:rsidR="00CC3BA4" w:rsidRPr="00D36FBC" w:rsidRDefault="00CC3BA4" w:rsidP="00F13836">
            <w:pPr>
              <w:pStyle w:val="Tabletext"/>
              <w:rPr>
                <w:rFonts w:cs="Tahoma"/>
              </w:rPr>
            </w:pPr>
            <w:r>
              <w:rPr>
                <w:rFonts w:cs="Tahoma"/>
              </w:rPr>
              <w:t>3</w:t>
            </w:r>
            <w:r w:rsidRPr="00D36FBC">
              <w:rPr>
                <w:rFonts w:cs="Tahoma"/>
              </w:rPr>
              <w:t xml:space="preserve"> RCTs</w:t>
            </w:r>
          </w:p>
        </w:tc>
        <w:tc>
          <w:tcPr>
            <w:tcW w:w="771" w:type="dxa"/>
          </w:tcPr>
          <w:p w:rsidR="00CC3BA4" w:rsidRPr="00D36FBC" w:rsidRDefault="00CC3BA4" w:rsidP="00F13836">
            <w:pPr>
              <w:pStyle w:val="Tabletext"/>
              <w:rPr>
                <w:rFonts w:cs="Tahoma"/>
              </w:rPr>
            </w:pPr>
            <w:r w:rsidRPr="00D36FBC">
              <w:rPr>
                <w:rFonts w:cs="Tahoma"/>
              </w:rPr>
              <w:t>Not serious</w:t>
            </w:r>
          </w:p>
        </w:tc>
        <w:tc>
          <w:tcPr>
            <w:tcW w:w="1072" w:type="dxa"/>
          </w:tcPr>
          <w:p w:rsidR="00CC3BA4" w:rsidRPr="00D36FBC" w:rsidRDefault="00F42EBF" w:rsidP="00F13836">
            <w:pPr>
              <w:pStyle w:val="Tabletext"/>
              <w:rPr>
                <w:rFonts w:cs="Tahoma"/>
              </w:rPr>
            </w:pPr>
            <w:r>
              <w:rPr>
                <w:rFonts w:cs="Tahoma"/>
              </w:rPr>
              <w:t>Not serious</w:t>
            </w:r>
          </w:p>
        </w:tc>
        <w:tc>
          <w:tcPr>
            <w:tcW w:w="1051" w:type="dxa"/>
          </w:tcPr>
          <w:p w:rsidR="00CC3BA4" w:rsidRPr="00D36FBC" w:rsidRDefault="00CC3BA4" w:rsidP="00F13836">
            <w:pPr>
              <w:pStyle w:val="Tabletext"/>
              <w:rPr>
                <w:rFonts w:cs="Tahoma"/>
              </w:rPr>
            </w:pPr>
            <w:r w:rsidRPr="00D36FBC">
              <w:rPr>
                <w:rFonts w:cs="Tahoma"/>
              </w:rPr>
              <w:t>Not serious</w:t>
            </w:r>
          </w:p>
        </w:tc>
        <w:tc>
          <w:tcPr>
            <w:tcW w:w="1075" w:type="dxa"/>
          </w:tcPr>
          <w:p w:rsidR="00CC3BA4" w:rsidRPr="00D36FBC" w:rsidRDefault="00872747" w:rsidP="00872747">
            <w:pPr>
              <w:pStyle w:val="Tabletext"/>
              <w:rPr>
                <w:rFonts w:cs="Tahoma"/>
              </w:rPr>
            </w:pPr>
            <w:r>
              <w:rPr>
                <w:rFonts w:cs="Tahoma"/>
              </w:rPr>
              <w:t>Very s</w:t>
            </w:r>
            <w:r w:rsidR="00CC3BA4" w:rsidRPr="00D36FBC">
              <w:rPr>
                <w:rFonts w:cs="Tahoma"/>
              </w:rPr>
              <w:t xml:space="preserve">erious </w:t>
            </w:r>
            <w:r w:rsidR="00CC3BA4" w:rsidRPr="00D36FBC">
              <w:rPr>
                <w:rFonts w:cs="Tahoma"/>
                <w:vertAlign w:val="superscript"/>
              </w:rPr>
              <w:t>d</w:t>
            </w:r>
          </w:p>
        </w:tc>
        <w:tc>
          <w:tcPr>
            <w:tcW w:w="1230" w:type="dxa"/>
          </w:tcPr>
          <w:p w:rsidR="00CC3BA4" w:rsidRPr="00D36FBC" w:rsidRDefault="00CC3BA4" w:rsidP="00F13836">
            <w:pPr>
              <w:pStyle w:val="Tabletext"/>
              <w:rPr>
                <w:rFonts w:cs="Tahoma"/>
              </w:rPr>
            </w:pPr>
            <w:r w:rsidRPr="00D36FBC">
              <w:rPr>
                <w:rFonts w:cs="Tahoma"/>
              </w:rPr>
              <w:t>Strong association</w:t>
            </w:r>
          </w:p>
        </w:tc>
        <w:tc>
          <w:tcPr>
            <w:tcW w:w="1417" w:type="dxa"/>
          </w:tcPr>
          <w:p w:rsidR="00CC3BA4" w:rsidRPr="0077309F" w:rsidRDefault="00CC3BA4" w:rsidP="00F13836">
            <w:pPr>
              <w:pStyle w:val="Tabletext"/>
              <w:rPr>
                <w:rFonts w:cs="Tahoma"/>
              </w:rPr>
            </w:pPr>
            <w:r>
              <w:rPr>
                <w:rFonts w:cs="Tahoma"/>
              </w:rPr>
              <w:t>4/413 (1.0%)</w:t>
            </w:r>
          </w:p>
        </w:tc>
        <w:tc>
          <w:tcPr>
            <w:tcW w:w="1134" w:type="dxa"/>
          </w:tcPr>
          <w:p w:rsidR="00CC3BA4" w:rsidRPr="001D2AD7" w:rsidRDefault="00CC3BA4" w:rsidP="00F13836">
            <w:pPr>
              <w:pStyle w:val="Tabletext"/>
              <w:rPr>
                <w:rFonts w:cs="Tahoma"/>
                <w:highlight w:val="cyan"/>
              </w:rPr>
            </w:pPr>
            <w:r w:rsidRPr="0077309F">
              <w:rPr>
                <w:rFonts w:cs="Tahoma"/>
              </w:rPr>
              <w:t>4/269 (1.5%)</w:t>
            </w:r>
          </w:p>
        </w:tc>
        <w:tc>
          <w:tcPr>
            <w:tcW w:w="993" w:type="dxa"/>
          </w:tcPr>
          <w:p w:rsidR="00CC3BA4" w:rsidRPr="001D2AD7" w:rsidRDefault="00CC3BA4" w:rsidP="00F13836">
            <w:pPr>
              <w:pStyle w:val="Tabletext"/>
              <w:rPr>
                <w:rFonts w:cs="Tahoma"/>
                <w:highlight w:val="cyan"/>
              </w:rPr>
            </w:pPr>
            <w:r w:rsidRPr="0077309F">
              <w:rPr>
                <w:rFonts w:cs="Tahoma"/>
              </w:rPr>
              <w:t xml:space="preserve">RR </w:t>
            </w:r>
            <w:r>
              <w:rPr>
                <w:rFonts w:cs="Tahoma"/>
              </w:rPr>
              <w:t xml:space="preserve">= </w:t>
            </w:r>
            <w:r w:rsidRPr="0077309F">
              <w:rPr>
                <w:rFonts w:cs="Tahoma"/>
              </w:rPr>
              <w:t>0.64</w:t>
            </w:r>
            <w:r>
              <w:rPr>
                <w:rFonts w:cs="Tahoma"/>
              </w:rPr>
              <w:t xml:space="preserve"> </w:t>
            </w:r>
            <w:r w:rsidRPr="0077309F">
              <w:rPr>
                <w:rFonts w:cs="Tahoma"/>
              </w:rPr>
              <w:t>(0.18</w:t>
            </w:r>
            <w:r>
              <w:rPr>
                <w:rFonts w:cs="Tahoma"/>
              </w:rPr>
              <w:t>,</w:t>
            </w:r>
            <w:r w:rsidRPr="0077309F">
              <w:rPr>
                <w:rFonts w:cs="Tahoma"/>
              </w:rPr>
              <w:t xml:space="preserve"> 2.36)</w:t>
            </w:r>
          </w:p>
        </w:tc>
        <w:tc>
          <w:tcPr>
            <w:tcW w:w="2092" w:type="dxa"/>
          </w:tcPr>
          <w:p w:rsidR="00CC3BA4" w:rsidRPr="00D36FBC" w:rsidRDefault="00CC3BA4" w:rsidP="00F13836">
            <w:pPr>
              <w:pStyle w:val="Tabletext"/>
              <w:rPr>
                <w:rFonts w:cs="Tahoma"/>
                <w:highlight w:val="cyan"/>
              </w:rPr>
            </w:pPr>
            <w:r w:rsidRPr="0077309F">
              <w:rPr>
                <w:rFonts w:cs="Tahoma"/>
              </w:rPr>
              <w:t>5 fewer per 1,000</w:t>
            </w:r>
            <w:r>
              <w:rPr>
                <w:rFonts w:cs="Tahoma"/>
              </w:rPr>
              <w:br/>
            </w:r>
            <w:r w:rsidRPr="0077309F">
              <w:rPr>
                <w:rFonts w:cs="Tahoma"/>
              </w:rPr>
              <w:t>(from 12 fewer to 20 more)</w:t>
            </w:r>
          </w:p>
        </w:tc>
        <w:tc>
          <w:tcPr>
            <w:tcW w:w="1310" w:type="dxa"/>
          </w:tcPr>
          <w:p w:rsidR="00872747" w:rsidRDefault="00872747" w:rsidP="00872747">
            <w:pPr>
              <w:pStyle w:val="Tabletext"/>
              <w:rPr>
                <w:rFonts w:ascii="Cambria Math" w:eastAsia="Times New Roman" w:hAnsi="Cambria Math" w:cs="Cambria Math"/>
                <w:bCs/>
              </w:rPr>
            </w:pPr>
            <w:r>
              <w:rPr>
                <w:rFonts w:eastAsia="Times New Roman" w:cs="Tahoma"/>
                <w:bCs/>
              </w:rPr>
              <w:t>Moderate</w:t>
            </w:r>
            <w:r>
              <w:rPr>
                <w:rFonts w:eastAsia="Times New Roman" w:cs="Tahoma"/>
                <w:bCs/>
              </w:rPr>
              <w:br/>
            </w: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D36FBC" w:rsidRDefault="00CC3BA4" w:rsidP="00F13836">
            <w:pPr>
              <w:pStyle w:val="Tabletext"/>
              <w:rPr>
                <w:rFonts w:cs="Tahoma"/>
              </w:rPr>
            </w:pPr>
            <w:r w:rsidRPr="00E564DD">
              <w:rPr>
                <w:rFonts w:cs="Tahoma"/>
              </w:rPr>
              <w:t>Critical</w:t>
            </w:r>
          </w:p>
        </w:tc>
      </w:tr>
      <w:tr w:rsidR="00CC3BA4" w:rsidRPr="00D36FBC" w:rsidTr="00115AB1">
        <w:trPr>
          <w:trHeight w:val="319"/>
        </w:trPr>
        <w:tc>
          <w:tcPr>
            <w:tcW w:w="1493" w:type="dxa"/>
          </w:tcPr>
          <w:p w:rsidR="00CC3BA4" w:rsidRPr="00D36FBC" w:rsidRDefault="00CC3BA4" w:rsidP="00F13836">
            <w:pPr>
              <w:pStyle w:val="Tabletext"/>
              <w:rPr>
                <w:rFonts w:cs="Tahoma"/>
              </w:rPr>
            </w:pPr>
            <w:r w:rsidRPr="00D36FBC">
              <w:rPr>
                <w:rFonts w:cs="Tahoma"/>
              </w:rPr>
              <w:t>Hospitalisation</w:t>
            </w:r>
            <w:r w:rsidR="00394D5B">
              <w:rPr>
                <w:rFonts w:cs="Tahoma"/>
              </w:rPr>
              <w:t xml:space="preserve"> due to PAH</w:t>
            </w:r>
            <w:r>
              <w:rPr>
                <w:rFonts w:cs="Tahoma"/>
              </w:rPr>
              <w:br/>
            </w:r>
            <w:r w:rsidRPr="00D36FBC">
              <w:rPr>
                <w:rFonts w:cs="Tahoma"/>
              </w:rPr>
              <w:t>(</w:t>
            </w:r>
            <w:r>
              <w:rPr>
                <w:rFonts w:cs="Tahoma"/>
              </w:rPr>
              <w:t>12</w:t>
            </w:r>
            <w:r w:rsidRPr="00D36FBC">
              <w:rPr>
                <w:rFonts w:cs="Tahoma"/>
              </w:rPr>
              <w:t>–74 weeks)</w:t>
            </w:r>
          </w:p>
        </w:tc>
        <w:tc>
          <w:tcPr>
            <w:tcW w:w="1054" w:type="dxa"/>
          </w:tcPr>
          <w:p w:rsidR="00CC3BA4" w:rsidRPr="00D36FBC" w:rsidRDefault="00CC3BA4" w:rsidP="00F13836">
            <w:pPr>
              <w:pStyle w:val="Tabletext"/>
              <w:rPr>
                <w:rFonts w:cs="Tahoma"/>
              </w:rPr>
            </w:pPr>
            <w:r>
              <w:rPr>
                <w:rFonts w:cs="Tahoma"/>
              </w:rPr>
              <w:t xml:space="preserve">3 </w:t>
            </w:r>
            <w:r w:rsidRPr="00D36FBC">
              <w:rPr>
                <w:rFonts w:cs="Tahoma"/>
              </w:rPr>
              <w:t>RCTs</w:t>
            </w:r>
          </w:p>
        </w:tc>
        <w:tc>
          <w:tcPr>
            <w:tcW w:w="771" w:type="dxa"/>
          </w:tcPr>
          <w:p w:rsidR="00CC3BA4" w:rsidRPr="00D36FBC" w:rsidRDefault="00CC3BA4" w:rsidP="00F13836">
            <w:pPr>
              <w:pStyle w:val="Tabletext"/>
              <w:rPr>
                <w:rFonts w:cs="Tahoma"/>
              </w:rPr>
            </w:pPr>
            <w:r w:rsidRPr="00D36FBC">
              <w:rPr>
                <w:rFonts w:cs="Tahoma"/>
              </w:rPr>
              <w:t>Not serious</w:t>
            </w:r>
          </w:p>
        </w:tc>
        <w:tc>
          <w:tcPr>
            <w:tcW w:w="1072" w:type="dxa"/>
          </w:tcPr>
          <w:p w:rsidR="00CC3BA4" w:rsidRPr="00D36FBC" w:rsidRDefault="00CC3BA4" w:rsidP="00F13836">
            <w:pPr>
              <w:pStyle w:val="Tabletext"/>
              <w:rPr>
                <w:rFonts w:cs="Tahoma"/>
              </w:rPr>
            </w:pPr>
            <w:r>
              <w:rPr>
                <w:rFonts w:cs="Tahoma"/>
              </w:rPr>
              <w:t>Not serious</w:t>
            </w:r>
          </w:p>
        </w:tc>
        <w:tc>
          <w:tcPr>
            <w:tcW w:w="1051" w:type="dxa"/>
          </w:tcPr>
          <w:p w:rsidR="00CC3BA4" w:rsidRPr="00D36FBC" w:rsidRDefault="00CC3BA4" w:rsidP="00F13836">
            <w:pPr>
              <w:pStyle w:val="Tabletext"/>
              <w:rPr>
                <w:rFonts w:cs="Tahoma"/>
              </w:rPr>
            </w:pPr>
            <w:r w:rsidRPr="00D36FBC">
              <w:rPr>
                <w:rFonts w:cs="Tahoma"/>
              </w:rPr>
              <w:t>Not serious</w:t>
            </w:r>
          </w:p>
        </w:tc>
        <w:tc>
          <w:tcPr>
            <w:tcW w:w="1075" w:type="dxa"/>
          </w:tcPr>
          <w:p w:rsidR="00CC3BA4" w:rsidRPr="00D36FBC" w:rsidRDefault="00CC3BA4" w:rsidP="00F13836">
            <w:pPr>
              <w:pStyle w:val="Tabletext"/>
              <w:rPr>
                <w:rFonts w:cs="Tahoma"/>
              </w:rPr>
            </w:pPr>
            <w:r w:rsidRPr="00D36FBC">
              <w:rPr>
                <w:rFonts w:cs="Tahoma"/>
              </w:rPr>
              <w:t>Not serious</w:t>
            </w:r>
          </w:p>
        </w:tc>
        <w:tc>
          <w:tcPr>
            <w:tcW w:w="1230" w:type="dxa"/>
          </w:tcPr>
          <w:p w:rsidR="00CC3BA4" w:rsidRPr="00D36FBC" w:rsidRDefault="00F42EBF" w:rsidP="00F13836">
            <w:pPr>
              <w:pStyle w:val="Tabletext"/>
              <w:rPr>
                <w:rFonts w:cs="Tahoma"/>
              </w:rPr>
            </w:pPr>
            <w:r>
              <w:rPr>
                <w:rFonts w:cs="Tahoma"/>
              </w:rPr>
              <w:t>Strong association</w:t>
            </w:r>
          </w:p>
        </w:tc>
        <w:tc>
          <w:tcPr>
            <w:tcW w:w="1417" w:type="dxa"/>
          </w:tcPr>
          <w:p w:rsidR="00CC3BA4" w:rsidRPr="0077309F" w:rsidRDefault="00CC3BA4" w:rsidP="00F13836">
            <w:pPr>
              <w:pStyle w:val="Tabletext"/>
              <w:rPr>
                <w:rFonts w:cs="Tahoma"/>
              </w:rPr>
            </w:pPr>
            <w:r>
              <w:rPr>
                <w:rFonts w:cs="Tahoma"/>
              </w:rPr>
              <w:t>96/364 (26.4%)</w:t>
            </w:r>
          </w:p>
        </w:tc>
        <w:tc>
          <w:tcPr>
            <w:tcW w:w="1134" w:type="dxa"/>
          </w:tcPr>
          <w:p w:rsidR="00CC3BA4" w:rsidRPr="001D2AD7" w:rsidRDefault="00CC3BA4" w:rsidP="00F13836">
            <w:pPr>
              <w:pStyle w:val="Tabletext"/>
              <w:rPr>
                <w:rFonts w:cs="Tahoma"/>
                <w:highlight w:val="cyan"/>
              </w:rPr>
            </w:pPr>
            <w:r w:rsidRPr="0077309F">
              <w:rPr>
                <w:rFonts w:cs="Tahoma"/>
              </w:rPr>
              <w:t>60/243 (24.7%)</w:t>
            </w:r>
          </w:p>
        </w:tc>
        <w:tc>
          <w:tcPr>
            <w:tcW w:w="993" w:type="dxa"/>
          </w:tcPr>
          <w:p w:rsidR="00CC3BA4" w:rsidRPr="001D2AD7" w:rsidRDefault="00CC3BA4" w:rsidP="00394D5B">
            <w:pPr>
              <w:pStyle w:val="Tabletext"/>
              <w:rPr>
                <w:rFonts w:cs="Tahoma"/>
                <w:highlight w:val="cyan"/>
              </w:rPr>
            </w:pPr>
            <w:r w:rsidRPr="0077309F">
              <w:rPr>
                <w:rFonts w:cs="Tahoma"/>
              </w:rPr>
              <w:t xml:space="preserve">RR </w:t>
            </w:r>
            <w:r>
              <w:rPr>
                <w:rFonts w:cs="Tahoma"/>
              </w:rPr>
              <w:t xml:space="preserve">= </w:t>
            </w:r>
            <w:r w:rsidRPr="0077309F">
              <w:rPr>
                <w:rFonts w:cs="Tahoma"/>
              </w:rPr>
              <w:t>0.</w:t>
            </w:r>
            <w:r w:rsidR="00394D5B">
              <w:rPr>
                <w:rFonts w:cs="Tahoma"/>
              </w:rPr>
              <w:t>42</w:t>
            </w:r>
            <w:r>
              <w:rPr>
                <w:rFonts w:cs="Tahoma"/>
              </w:rPr>
              <w:t xml:space="preserve"> </w:t>
            </w:r>
            <w:r w:rsidRPr="0077309F">
              <w:rPr>
                <w:rFonts w:cs="Tahoma"/>
              </w:rPr>
              <w:t>(0.</w:t>
            </w:r>
            <w:r w:rsidR="00394D5B">
              <w:rPr>
                <w:rFonts w:cs="Tahoma"/>
              </w:rPr>
              <w:t>2</w:t>
            </w:r>
            <w:r w:rsidRPr="0077309F">
              <w:rPr>
                <w:rFonts w:cs="Tahoma"/>
              </w:rPr>
              <w:t>5</w:t>
            </w:r>
            <w:r>
              <w:rPr>
                <w:rFonts w:cs="Tahoma"/>
              </w:rPr>
              <w:t>,</w:t>
            </w:r>
            <w:r w:rsidRPr="0077309F">
              <w:rPr>
                <w:rFonts w:cs="Tahoma"/>
              </w:rPr>
              <w:t xml:space="preserve"> 0</w:t>
            </w:r>
            <w:r w:rsidR="00394D5B">
              <w:rPr>
                <w:rFonts w:cs="Tahoma"/>
              </w:rPr>
              <w:t>.</w:t>
            </w:r>
            <w:r w:rsidRPr="0077309F">
              <w:rPr>
                <w:rFonts w:cs="Tahoma"/>
              </w:rPr>
              <w:t>7</w:t>
            </w:r>
            <w:r w:rsidR="00394D5B">
              <w:rPr>
                <w:rFonts w:cs="Tahoma"/>
              </w:rPr>
              <w:t>0</w:t>
            </w:r>
            <w:r w:rsidRPr="0077309F">
              <w:rPr>
                <w:rFonts w:cs="Tahoma"/>
              </w:rPr>
              <w:t>)</w:t>
            </w:r>
          </w:p>
        </w:tc>
        <w:tc>
          <w:tcPr>
            <w:tcW w:w="2092" w:type="dxa"/>
          </w:tcPr>
          <w:p w:rsidR="00CC3BA4" w:rsidRDefault="00394D5B" w:rsidP="00F13836">
            <w:pPr>
              <w:pStyle w:val="Tabletext"/>
              <w:rPr>
                <w:rFonts w:cs="Tahoma"/>
              </w:rPr>
            </w:pPr>
            <w:r>
              <w:rPr>
                <w:rFonts w:cs="Tahoma"/>
              </w:rPr>
              <w:t>7</w:t>
            </w:r>
            <w:r w:rsidR="00CC3BA4" w:rsidRPr="0077309F">
              <w:rPr>
                <w:rFonts w:cs="Tahoma"/>
              </w:rPr>
              <w:t>4 fewer per 1,000</w:t>
            </w:r>
          </w:p>
          <w:p w:rsidR="00CC3BA4" w:rsidRPr="00D36FBC" w:rsidRDefault="00CC3BA4" w:rsidP="00394D5B">
            <w:pPr>
              <w:pStyle w:val="Tabletext"/>
              <w:rPr>
                <w:rFonts w:cs="Tahoma"/>
                <w:highlight w:val="cyan"/>
              </w:rPr>
            </w:pPr>
            <w:r w:rsidRPr="0077309F">
              <w:rPr>
                <w:rFonts w:cs="Tahoma"/>
              </w:rPr>
              <w:t xml:space="preserve">(from </w:t>
            </w:r>
            <w:r w:rsidR="00394D5B">
              <w:rPr>
                <w:rFonts w:cs="Tahoma"/>
              </w:rPr>
              <w:t>38</w:t>
            </w:r>
            <w:r w:rsidRPr="0077309F">
              <w:rPr>
                <w:rFonts w:cs="Tahoma"/>
              </w:rPr>
              <w:t xml:space="preserve"> </w:t>
            </w:r>
            <w:r w:rsidR="00394D5B">
              <w:rPr>
                <w:rFonts w:cs="Tahoma"/>
              </w:rPr>
              <w:t>fewer</w:t>
            </w:r>
            <w:r w:rsidRPr="0077309F">
              <w:rPr>
                <w:rFonts w:cs="Tahoma"/>
              </w:rPr>
              <w:t xml:space="preserve"> to </w:t>
            </w:r>
            <w:r w:rsidR="00394D5B">
              <w:rPr>
                <w:rFonts w:cs="Tahoma"/>
              </w:rPr>
              <w:t>9</w:t>
            </w:r>
            <w:r w:rsidRPr="0077309F">
              <w:rPr>
                <w:rFonts w:cs="Tahoma"/>
              </w:rPr>
              <w:t>6 fewer)</w:t>
            </w:r>
          </w:p>
        </w:tc>
        <w:tc>
          <w:tcPr>
            <w:tcW w:w="1310" w:type="dxa"/>
          </w:tcPr>
          <w:p w:rsidR="00CC3BA4" w:rsidRDefault="00CC3BA4" w:rsidP="00F13836">
            <w:pPr>
              <w:pStyle w:val="Tabletext"/>
              <w:rPr>
                <w:rFonts w:ascii="Cambria Math" w:eastAsia="Times New Roman" w:hAnsi="Cambria Math" w:cs="Cambria Math"/>
                <w:bCs/>
              </w:rPr>
            </w:pPr>
            <w:r w:rsidRPr="00E564DD">
              <w:rPr>
                <w:rFonts w:eastAsia="Times New Roman" w:cs="Tahoma"/>
                <w:bCs/>
              </w:rPr>
              <w:t>High</w:t>
            </w:r>
            <w:r>
              <w:rPr>
                <w:rFonts w:eastAsia="Times New Roman" w:cs="Tahoma"/>
                <w:bCs/>
              </w:rPr>
              <w:br/>
            </w:r>
            <w:r>
              <w:rPr>
                <w:rFonts w:ascii="Cambria Math" w:eastAsia="Times New Roman" w:hAnsi="Cambria Math" w:cs="Cambria Math"/>
                <w:bCs/>
                <w:color w:val="00B050"/>
              </w:rPr>
              <w:t>⨁⨁⨁⨁</w:t>
            </w:r>
          </w:p>
          <w:p w:rsidR="00CC3BA4" w:rsidRPr="00D36FBC" w:rsidRDefault="00CC3BA4" w:rsidP="00F13836">
            <w:pPr>
              <w:pStyle w:val="Tabletext"/>
              <w:rPr>
                <w:rFonts w:eastAsia="Times New Roman" w:cs="Cambria Math"/>
                <w:bCs/>
                <w:color w:val="00B050"/>
              </w:rPr>
            </w:pPr>
            <w:r w:rsidRPr="00E564DD">
              <w:rPr>
                <w:rFonts w:cs="Tahoma"/>
              </w:rPr>
              <w:t>Important</w:t>
            </w:r>
          </w:p>
        </w:tc>
      </w:tr>
      <w:tr w:rsidR="00CC3BA4" w:rsidRPr="00D36FBC" w:rsidTr="00115AB1">
        <w:trPr>
          <w:trHeight w:val="319"/>
        </w:trPr>
        <w:tc>
          <w:tcPr>
            <w:tcW w:w="1493" w:type="dxa"/>
          </w:tcPr>
          <w:p w:rsidR="00CC3BA4" w:rsidRPr="00D36FBC" w:rsidRDefault="00CC3BA4" w:rsidP="00F13836">
            <w:pPr>
              <w:pStyle w:val="Tabletext"/>
              <w:rPr>
                <w:rFonts w:cs="Tahoma"/>
              </w:rPr>
            </w:pPr>
            <w:r w:rsidRPr="00D36FBC">
              <w:rPr>
                <w:rFonts w:cs="Tahoma"/>
              </w:rPr>
              <w:t>Improved WHO FC</w:t>
            </w:r>
            <w:r>
              <w:rPr>
                <w:rFonts w:cs="Tahoma"/>
              </w:rPr>
              <w:br/>
            </w:r>
            <w:r w:rsidRPr="00CA608E">
              <w:rPr>
                <w:rFonts w:cs="Tahoma"/>
              </w:rPr>
              <w:t>(12–74 weeks)</w:t>
            </w:r>
          </w:p>
        </w:tc>
        <w:tc>
          <w:tcPr>
            <w:tcW w:w="1054" w:type="dxa"/>
          </w:tcPr>
          <w:p w:rsidR="00CC3BA4" w:rsidRPr="00D36FBC" w:rsidRDefault="00CC3BA4" w:rsidP="00F13836">
            <w:pPr>
              <w:pStyle w:val="Tabletext"/>
              <w:rPr>
                <w:rFonts w:cs="Tahoma"/>
              </w:rPr>
            </w:pPr>
            <w:r>
              <w:rPr>
                <w:rFonts w:cs="Tahoma"/>
              </w:rPr>
              <w:t>4</w:t>
            </w:r>
            <w:r w:rsidRPr="00D36FBC">
              <w:rPr>
                <w:rFonts w:cs="Tahoma"/>
              </w:rPr>
              <w:t xml:space="preserve"> RCTs</w:t>
            </w:r>
          </w:p>
        </w:tc>
        <w:tc>
          <w:tcPr>
            <w:tcW w:w="771" w:type="dxa"/>
          </w:tcPr>
          <w:p w:rsidR="00CC3BA4" w:rsidRPr="00D36FBC" w:rsidRDefault="00CC3BA4" w:rsidP="00F13836">
            <w:pPr>
              <w:pStyle w:val="Tabletext"/>
              <w:rPr>
                <w:rFonts w:cs="Tahoma"/>
              </w:rPr>
            </w:pPr>
            <w:r w:rsidRPr="00D36FBC">
              <w:rPr>
                <w:rFonts w:cs="Tahoma"/>
              </w:rPr>
              <w:t>Not serious</w:t>
            </w:r>
          </w:p>
        </w:tc>
        <w:tc>
          <w:tcPr>
            <w:tcW w:w="1072" w:type="dxa"/>
          </w:tcPr>
          <w:p w:rsidR="00CC3BA4" w:rsidRPr="00D36FBC" w:rsidRDefault="00CC3BA4" w:rsidP="00F13836">
            <w:pPr>
              <w:pStyle w:val="Tabletext"/>
              <w:rPr>
                <w:rFonts w:cs="Tahoma"/>
              </w:rPr>
            </w:pPr>
            <w:r w:rsidRPr="00D36FBC">
              <w:rPr>
                <w:rFonts w:cs="Tahoma"/>
              </w:rPr>
              <w:t>Not serious</w:t>
            </w:r>
          </w:p>
        </w:tc>
        <w:tc>
          <w:tcPr>
            <w:tcW w:w="1051" w:type="dxa"/>
          </w:tcPr>
          <w:p w:rsidR="00CC3BA4" w:rsidRPr="00D36FBC" w:rsidRDefault="00CC3BA4" w:rsidP="00F13836">
            <w:pPr>
              <w:pStyle w:val="Tabletext"/>
              <w:rPr>
                <w:rFonts w:cs="Tahoma"/>
              </w:rPr>
            </w:pPr>
            <w:r w:rsidRPr="00D36FBC">
              <w:rPr>
                <w:rFonts w:cs="Tahoma"/>
              </w:rPr>
              <w:t>Not serious</w:t>
            </w:r>
          </w:p>
        </w:tc>
        <w:tc>
          <w:tcPr>
            <w:tcW w:w="1075" w:type="dxa"/>
          </w:tcPr>
          <w:p w:rsidR="00CC3BA4" w:rsidRPr="00D36FBC" w:rsidRDefault="00CC3BA4" w:rsidP="00F13836">
            <w:pPr>
              <w:pStyle w:val="Tabletext"/>
              <w:rPr>
                <w:rFonts w:cs="Tahoma"/>
              </w:rPr>
            </w:pPr>
            <w:r w:rsidRPr="00D36FBC">
              <w:rPr>
                <w:rFonts w:cs="Tahoma"/>
              </w:rPr>
              <w:t>Not serious</w:t>
            </w:r>
          </w:p>
        </w:tc>
        <w:tc>
          <w:tcPr>
            <w:tcW w:w="1230" w:type="dxa"/>
          </w:tcPr>
          <w:p w:rsidR="00CC3BA4" w:rsidRPr="00D36FBC" w:rsidRDefault="00CC3BA4" w:rsidP="00F13836">
            <w:pPr>
              <w:pStyle w:val="Tabletext"/>
              <w:rPr>
                <w:rFonts w:cs="Tahoma"/>
              </w:rPr>
            </w:pPr>
            <w:r w:rsidRPr="00D36FBC">
              <w:rPr>
                <w:rFonts w:cs="Tahoma"/>
              </w:rPr>
              <w:t>None</w:t>
            </w:r>
          </w:p>
        </w:tc>
        <w:tc>
          <w:tcPr>
            <w:tcW w:w="1417" w:type="dxa"/>
          </w:tcPr>
          <w:p w:rsidR="00CC3BA4" w:rsidRPr="00456F1B" w:rsidRDefault="00CC3BA4" w:rsidP="00F13836">
            <w:pPr>
              <w:pStyle w:val="Tabletext"/>
              <w:rPr>
                <w:rFonts w:cs="Tahoma"/>
              </w:rPr>
            </w:pPr>
            <w:r>
              <w:rPr>
                <w:rFonts w:cs="Tahoma"/>
              </w:rPr>
              <w:t>134/405 (33.1%)</w:t>
            </w:r>
          </w:p>
        </w:tc>
        <w:tc>
          <w:tcPr>
            <w:tcW w:w="1134" w:type="dxa"/>
          </w:tcPr>
          <w:p w:rsidR="00CC3BA4" w:rsidRPr="00456F1B" w:rsidRDefault="00CC3BA4" w:rsidP="00F13836">
            <w:pPr>
              <w:pStyle w:val="Tabletext"/>
              <w:rPr>
                <w:rFonts w:cs="Tahoma"/>
              </w:rPr>
            </w:pPr>
            <w:r w:rsidRPr="0077309F">
              <w:rPr>
                <w:rFonts w:cs="Tahoma"/>
              </w:rPr>
              <w:t>80/276 (29.0%)</w:t>
            </w:r>
          </w:p>
        </w:tc>
        <w:tc>
          <w:tcPr>
            <w:tcW w:w="993" w:type="dxa"/>
          </w:tcPr>
          <w:p w:rsidR="00CC3BA4" w:rsidRPr="00456F1B" w:rsidRDefault="00CC3BA4" w:rsidP="00F13836">
            <w:pPr>
              <w:pStyle w:val="Tabletext"/>
              <w:rPr>
                <w:rFonts w:cs="Tahoma"/>
              </w:rPr>
            </w:pPr>
            <w:r w:rsidRPr="0077309F">
              <w:rPr>
                <w:rFonts w:cs="Tahoma"/>
              </w:rPr>
              <w:t xml:space="preserve">RR </w:t>
            </w:r>
            <w:r>
              <w:rPr>
                <w:rFonts w:cs="Tahoma"/>
              </w:rPr>
              <w:t xml:space="preserve">= </w:t>
            </w:r>
            <w:r w:rsidRPr="0077309F">
              <w:rPr>
                <w:rFonts w:cs="Tahoma"/>
              </w:rPr>
              <w:t>1.11</w:t>
            </w:r>
            <w:r>
              <w:rPr>
                <w:rFonts w:cs="Tahoma"/>
              </w:rPr>
              <w:t xml:space="preserve"> </w:t>
            </w:r>
            <w:r w:rsidRPr="0077309F">
              <w:rPr>
                <w:rFonts w:cs="Tahoma"/>
              </w:rPr>
              <w:t>(0.77</w:t>
            </w:r>
            <w:r>
              <w:rPr>
                <w:rFonts w:cs="Tahoma"/>
              </w:rPr>
              <w:t>,</w:t>
            </w:r>
            <w:r w:rsidR="009F4016">
              <w:rPr>
                <w:rFonts w:cs="Tahoma"/>
              </w:rPr>
              <w:t xml:space="preserve"> 1.60)</w:t>
            </w:r>
          </w:p>
        </w:tc>
        <w:tc>
          <w:tcPr>
            <w:tcW w:w="2092" w:type="dxa"/>
          </w:tcPr>
          <w:p w:rsidR="00CC3BA4" w:rsidRPr="00D36FBC" w:rsidRDefault="00CC3BA4" w:rsidP="00F13836">
            <w:pPr>
              <w:pStyle w:val="Tabletext"/>
              <w:rPr>
                <w:rFonts w:cs="Tahoma"/>
              </w:rPr>
            </w:pPr>
            <w:r w:rsidRPr="0077309F">
              <w:rPr>
                <w:rFonts w:cs="Tahoma"/>
              </w:rPr>
              <w:t>32 more per 1,000</w:t>
            </w:r>
            <w:r>
              <w:rPr>
                <w:rFonts w:cs="Tahoma"/>
              </w:rPr>
              <w:br/>
            </w:r>
            <w:r w:rsidRPr="0077309F">
              <w:rPr>
                <w:rFonts w:cs="Tahoma"/>
              </w:rPr>
              <w:t>(from 67 fewer to 174 more)</w:t>
            </w:r>
          </w:p>
        </w:tc>
        <w:tc>
          <w:tcPr>
            <w:tcW w:w="1310" w:type="dxa"/>
          </w:tcPr>
          <w:p w:rsidR="00CC3BA4" w:rsidRDefault="00CC3BA4" w:rsidP="00F13836">
            <w:pPr>
              <w:pStyle w:val="Tabletext"/>
              <w:rPr>
                <w:rFonts w:ascii="Cambria Math" w:eastAsia="Times New Roman" w:hAnsi="Cambria Math" w:cs="Cambria Math"/>
                <w:bCs/>
              </w:rPr>
            </w:pPr>
            <w:r w:rsidRPr="00E564DD">
              <w:rPr>
                <w:rFonts w:eastAsia="Times New Roman" w:cs="Tahoma"/>
                <w:bCs/>
              </w:rPr>
              <w:t>High</w:t>
            </w:r>
            <w:r>
              <w:rPr>
                <w:rFonts w:eastAsia="Times New Roman" w:cs="Tahoma"/>
                <w:bCs/>
              </w:rPr>
              <w:br/>
            </w:r>
            <w:r>
              <w:rPr>
                <w:rFonts w:ascii="Cambria Math" w:eastAsia="Times New Roman" w:hAnsi="Cambria Math" w:cs="Cambria Math"/>
                <w:bCs/>
                <w:color w:val="00B050"/>
              </w:rPr>
              <w:t>⨁⨁⨁⨁</w:t>
            </w:r>
          </w:p>
          <w:p w:rsidR="00CC3BA4" w:rsidRPr="00D36FBC" w:rsidRDefault="00CC3BA4" w:rsidP="00F13836">
            <w:pPr>
              <w:pStyle w:val="Tabletext"/>
              <w:rPr>
                <w:rFonts w:eastAsia="Times New Roman" w:cs="Cambria Math"/>
                <w:bCs/>
                <w:color w:val="00B050"/>
              </w:rPr>
            </w:pPr>
            <w:r w:rsidRPr="00E564DD">
              <w:rPr>
                <w:rFonts w:cs="Tahoma"/>
              </w:rPr>
              <w:t>Important</w:t>
            </w:r>
          </w:p>
        </w:tc>
      </w:tr>
      <w:tr w:rsidR="00CC3BA4" w:rsidRPr="00D36FBC" w:rsidTr="00115AB1">
        <w:trPr>
          <w:trHeight w:val="319"/>
        </w:trPr>
        <w:tc>
          <w:tcPr>
            <w:tcW w:w="1493" w:type="dxa"/>
          </w:tcPr>
          <w:p w:rsidR="00CC3BA4" w:rsidRPr="00D36FBC" w:rsidRDefault="00CC3BA4" w:rsidP="00F13836">
            <w:pPr>
              <w:pStyle w:val="Tabletext"/>
              <w:rPr>
                <w:rFonts w:cs="Tahoma"/>
              </w:rPr>
            </w:pPr>
            <w:r w:rsidRPr="00D36FBC">
              <w:rPr>
                <w:rFonts w:cs="Tahoma"/>
              </w:rPr>
              <w:t>Worsened WHO FC</w:t>
            </w:r>
            <w:r>
              <w:rPr>
                <w:rFonts w:cs="Tahoma"/>
              </w:rPr>
              <w:br/>
            </w:r>
            <w:r w:rsidRPr="0077309F">
              <w:rPr>
                <w:rFonts w:cs="Tahoma"/>
              </w:rPr>
              <w:t>(12–74 weeks)</w:t>
            </w:r>
          </w:p>
        </w:tc>
        <w:tc>
          <w:tcPr>
            <w:tcW w:w="1054" w:type="dxa"/>
          </w:tcPr>
          <w:p w:rsidR="00CC3BA4" w:rsidRPr="00D36FBC" w:rsidRDefault="00CC3BA4" w:rsidP="00F13836">
            <w:pPr>
              <w:pStyle w:val="Tabletext"/>
              <w:rPr>
                <w:rFonts w:cs="Tahoma"/>
              </w:rPr>
            </w:pPr>
            <w:r>
              <w:rPr>
                <w:rFonts w:cs="Tahoma"/>
              </w:rPr>
              <w:t>4</w:t>
            </w:r>
            <w:r w:rsidRPr="00D36FBC">
              <w:rPr>
                <w:rFonts w:cs="Tahoma"/>
              </w:rPr>
              <w:t xml:space="preserve"> RCTs</w:t>
            </w:r>
          </w:p>
        </w:tc>
        <w:tc>
          <w:tcPr>
            <w:tcW w:w="771" w:type="dxa"/>
          </w:tcPr>
          <w:p w:rsidR="00CC3BA4" w:rsidRPr="00D36FBC" w:rsidRDefault="00CC3BA4" w:rsidP="00F13836">
            <w:pPr>
              <w:pStyle w:val="Tabletext"/>
              <w:rPr>
                <w:rFonts w:cs="Tahoma"/>
              </w:rPr>
            </w:pPr>
            <w:r w:rsidRPr="00D36FBC">
              <w:rPr>
                <w:rFonts w:cs="Tahoma"/>
              </w:rPr>
              <w:t>Not serious</w:t>
            </w:r>
          </w:p>
        </w:tc>
        <w:tc>
          <w:tcPr>
            <w:tcW w:w="1072" w:type="dxa"/>
          </w:tcPr>
          <w:p w:rsidR="00CC3BA4" w:rsidRPr="00D36FBC" w:rsidRDefault="00CC3BA4" w:rsidP="00F13836">
            <w:pPr>
              <w:pStyle w:val="Tabletext"/>
              <w:rPr>
                <w:rFonts w:cs="Tahoma"/>
              </w:rPr>
            </w:pPr>
            <w:r w:rsidRPr="00D36FBC">
              <w:rPr>
                <w:rFonts w:cs="Tahoma"/>
              </w:rPr>
              <w:t>Not serious</w:t>
            </w:r>
          </w:p>
        </w:tc>
        <w:tc>
          <w:tcPr>
            <w:tcW w:w="1051" w:type="dxa"/>
          </w:tcPr>
          <w:p w:rsidR="00CC3BA4" w:rsidRPr="00D36FBC" w:rsidRDefault="00CC3BA4" w:rsidP="00F13836">
            <w:pPr>
              <w:pStyle w:val="Tabletext"/>
              <w:rPr>
                <w:rFonts w:cs="Tahoma"/>
              </w:rPr>
            </w:pPr>
            <w:r w:rsidRPr="00D36FBC">
              <w:rPr>
                <w:rFonts w:cs="Tahoma"/>
              </w:rPr>
              <w:t>Not serious</w:t>
            </w:r>
          </w:p>
        </w:tc>
        <w:tc>
          <w:tcPr>
            <w:tcW w:w="1075" w:type="dxa"/>
          </w:tcPr>
          <w:p w:rsidR="00CC3BA4" w:rsidRPr="00D36FBC" w:rsidRDefault="00CC3BA4" w:rsidP="00F13836">
            <w:pPr>
              <w:pStyle w:val="Tabletext"/>
              <w:rPr>
                <w:rFonts w:cs="Tahoma"/>
              </w:rPr>
            </w:pPr>
            <w:r>
              <w:rPr>
                <w:rFonts w:cs="Tahoma"/>
              </w:rPr>
              <w:t>S</w:t>
            </w:r>
            <w:r w:rsidRPr="00D36FBC">
              <w:rPr>
                <w:rFonts w:cs="Tahoma"/>
              </w:rPr>
              <w:t>erious</w:t>
            </w:r>
            <w:r>
              <w:rPr>
                <w:rFonts w:cs="Tahoma"/>
              </w:rPr>
              <w:t xml:space="preserve"> </w:t>
            </w:r>
            <w:r>
              <w:rPr>
                <w:rFonts w:cs="Tahoma"/>
                <w:vertAlign w:val="superscript"/>
              </w:rPr>
              <w:t>d</w:t>
            </w:r>
          </w:p>
        </w:tc>
        <w:tc>
          <w:tcPr>
            <w:tcW w:w="1230" w:type="dxa"/>
          </w:tcPr>
          <w:p w:rsidR="00CC3BA4" w:rsidRPr="00D36FBC" w:rsidRDefault="00CC3BA4" w:rsidP="00F13836">
            <w:pPr>
              <w:pStyle w:val="Tabletext"/>
              <w:rPr>
                <w:rFonts w:cs="Tahoma"/>
              </w:rPr>
            </w:pPr>
            <w:r>
              <w:rPr>
                <w:rFonts w:cs="Tahoma"/>
              </w:rPr>
              <w:t>Strong association</w:t>
            </w:r>
          </w:p>
        </w:tc>
        <w:tc>
          <w:tcPr>
            <w:tcW w:w="1417" w:type="dxa"/>
          </w:tcPr>
          <w:p w:rsidR="00CC3BA4" w:rsidRPr="00456F1B" w:rsidRDefault="00CC3BA4" w:rsidP="00F13836">
            <w:pPr>
              <w:pStyle w:val="Tabletext"/>
              <w:rPr>
                <w:rFonts w:cs="Tahoma"/>
              </w:rPr>
            </w:pPr>
            <w:r>
              <w:rPr>
                <w:rFonts w:cs="Tahoma"/>
              </w:rPr>
              <w:t>21/405 (5.2%)</w:t>
            </w:r>
          </w:p>
        </w:tc>
        <w:tc>
          <w:tcPr>
            <w:tcW w:w="1134" w:type="dxa"/>
          </w:tcPr>
          <w:p w:rsidR="00CC3BA4" w:rsidRPr="00456F1B" w:rsidRDefault="00CC3BA4" w:rsidP="00F13836">
            <w:pPr>
              <w:pStyle w:val="Tabletext"/>
              <w:rPr>
                <w:rFonts w:cs="Tahoma"/>
              </w:rPr>
            </w:pPr>
            <w:r w:rsidRPr="0077309F">
              <w:rPr>
                <w:rFonts w:cs="Tahoma"/>
              </w:rPr>
              <w:t>27/276 (9.8%)</w:t>
            </w:r>
          </w:p>
        </w:tc>
        <w:tc>
          <w:tcPr>
            <w:tcW w:w="993" w:type="dxa"/>
          </w:tcPr>
          <w:p w:rsidR="00CC3BA4" w:rsidRPr="00456F1B" w:rsidRDefault="00CC3BA4" w:rsidP="00F13836">
            <w:pPr>
              <w:pStyle w:val="Tabletext"/>
              <w:rPr>
                <w:rFonts w:cs="Tahoma"/>
              </w:rPr>
            </w:pPr>
            <w:r w:rsidRPr="0077309F">
              <w:rPr>
                <w:rFonts w:cs="Tahoma"/>
              </w:rPr>
              <w:t xml:space="preserve">RR </w:t>
            </w:r>
            <w:r>
              <w:rPr>
                <w:rFonts w:cs="Tahoma"/>
              </w:rPr>
              <w:t xml:space="preserve">= </w:t>
            </w:r>
            <w:r w:rsidRPr="0077309F">
              <w:rPr>
                <w:rFonts w:cs="Tahoma"/>
              </w:rPr>
              <w:t>0.60</w:t>
            </w:r>
            <w:r>
              <w:rPr>
                <w:rFonts w:cs="Tahoma"/>
              </w:rPr>
              <w:t xml:space="preserve"> </w:t>
            </w:r>
            <w:r w:rsidRPr="0077309F">
              <w:rPr>
                <w:rFonts w:cs="Tahoma"/>
              </w:rPr>
              <w:t>(0.34</w:t>
            </w:r>
            <w:r>
              <w:rPr>
                <w:rFonts w:cs="Tahoma"/>
              </w:rPr>
              <w:t>,</w:t>
            </w:r>
            <w:r w:rsidR="009F4016">
              <w:rPr>
                <w:rFonts w:cs="Tahoma"/>
              </w:rPr>
              <w:t xml:space="preserve"> 1.05)</w:t>
            </w:r>
          </w:p>
        </w:tc>
        <w:tc>
          <w:tcPr>
            <w:tcW w:w="2092" w:type="dxa"/>
          </w:tcPr>
          <w:p w:rsidR="00CC3BA4" w:rsidRPr="00D36FBC" w:rsidRDefault="00CC3BA4" w:rsidP="00F13836">
            <w:pPr>
              <w:pStyle w:val="Tabletext"/>
              <w:rPr>
                <w:rFonts w:cs="Tahoma"/>
              </w:rPr>
            </w:pPr>
            <w:r w:rsidRPr="0077309F">
              <w:rPr>
                <w:rFonts w:cs="Tahoma"/>
              </w:rPr>
              <w:t>39 fewer per 1,000</w:t>
            </w:r>
            <w:r>
              <w:rPr>
                <w:rFonts w:cs="Tahoma"/>
              </w:rPr>
              <w:br/>
            </w:r>
            <w:r w:rsidRPr="0077309F">
              <w:rPr>
                <w:rFonts w:cs="Tahoma"/>
              </w:rPr>
              <w:t>(from 5 more to 65 fewer)</w:t>
            </w:r>
          </w:p>
        </w:tc>
        <w:tc>
          <w:tcPr>
            <w:tcW w:w="1310" w:type="dxa"/>
          </w:tcPr>
          <w:p w:rsidR="00CC3BA4" w:rsidRDefault="00CC3BA4" w:rsidP="00F13836">
            <w:pPr>
              <w:pStyle w:val="Tabletext"/>
              <w:rPr>
                <w:rFonts w:ascii="Cambria Math" w:eastAsia="Times New Roman" w:hAnsi="Cambria Math" w:cs="Cambria Math"/>
                <w:bCs/>
              </w:rPr>
            </w:pPr>
            <w:r>
              <w:rPr>
                <w:rFonts w:eastAsia="Times New Roman" w:cs="Tahoma"/>
                <w:bCs/>
              </w:rPr>
              <w:t>High</w:t>
            </w:r>
            <w:r>
              <w:rPr>
                <w:rFonts w:eastAsia="Times New Roman" w:cs="Tahoma"/>
                <w:bCs/>
              </w:rPr>
              <w:br/>
            </w:r>
            <w:r w:rsidRPr="00E564DD">
              <w:rPr>
                <w:rFonts w:ascii="Cambria Math" w:eastAsia="Times New Roman" w:hAnsi="Cambria Math" w:cs="Cambria Math"/>
                <w:bCs/>
                <w:color w:val="00B050"/>
              </w:rPr>
              <w:t>⨁⨁⨁</w:t>
            </w:r>
            <w:r w:rsidRPr="00D36FBC">
              <w:rPr>
                <w:rFonts w:ascii="Cambria Math" w:eastAsia="Times New Roman" w:hAnsi="Cambria Math" w:cs="Cambria Math"/>
                <w:bCs/>
                <w:color w:val="00B050"/>
              </w:rPr>
              <w:t>⨁</w:t>
            </w:r>
          </w:p>
          <w:p w:rsidR="00CC3BA4" w:rsidRPr="00D36FBC" w:rsidRDefault="00CC3BA4" w:rsidP="00F13836">
            <w:pPr>
              <w:pStyle w:val="Tabletext"/>
              <w:rPr>
                <w:rFonts w:eastAsia="Times New Roman" w:cs="Cambria Math"/>
                <w:bCs/>
                <w:color w:val="00B050"/>
              </w:rPr>
            </w:pPr>
            <w:r>
              <w:rPr>
                <w:rFonts w:cs="Tahoma"/>
              </w:rPr>
              <w:t>I</w:t>
            </w:r>
            <w:r w:rsidRPr="00E564DD">
              <w:rPr>
                <w:rFonts w:cs="Tahoma"/>
              </w:rPr>
              <w:t>mportant</w:t>
            </w:r>
          </w:p>
        </w:tc>
      </w:tr>
      <w:tr w:rsidR="00B14FF5" w:rsidRPr="00D36FBC" w:rsidTr="00115AB1">
        <w:trPr>
          <w:trHeight w:val="319"/>
        </w:trPr>
        <w:tc>
          <w:tcPr>
            <w:tcW w:w="1493" w:type="dxa"/>
          </w:tcPr>
          <w:p w:rsidR="00B14FF5" w:rsidRPr="00D36FBC" w:rsidRDefault="00B14FF5" w:rsidP="00F13836">
            <w:pPr>
              <w:pStyle w:val="Tabletext"/>
              <w:rPr>
                <w:rFonts w:cs="Tahoma"/>
              </w:rPr>
            </w:pPr>
            <w:r w:rsidRPr="00D36FBC">
              <w:rPr>
                <w:rFonts w:cs="Tahoma"/>
              </w:rPr>
              <w:t>Change in 6MWD from baseline</w:t>
            </w:r>
            <w:r>
              <w:rPr>
                <w:rFonts w:cs="Tahoma"/>
              </w:rPr>
              <w:br/>
            </w:r>
            <w:r w:rsidRPr="00D36FBC">
              <w:rPr>
                <w:rFonts w:cs="Tahoma"/>
              </w:rPr>
              <w:t xml:space="preserve">(26 weeks) </w:t>
            </w:r>
          </w:p>
        </w:tc>
        <w:tc>
          <w:tcPr>
            <w:tcW w:w="1054" w:type="dxa"/>
          </w:tcPr>
          <w:p w:rsidR="00B14FF5" w:rsidRPr="00D36FBC" w:rsidRDefault="00B14FF5" w:rsidP="00F13836">
            <w:pPr>
              <w:pStyle w:val="Tabletext"/>
              <w:rPr>
                <w:rFonts w:cs="Tahoma"/>
              </w:rPr>
            </w:pPr>
            <w:r>
              <w:rPr>
                <w:rFonts w:cs="Tahoma"/>
              </w:rPr>
              <w:t>5</w:t>
            </w:r>
            <w:r w:rsidRPr="00D36FBC">
              <w:rPr>
                <w:rFonts w:cs="Tahoma"/>
              </w:rPr>
              <w:t xml:space="preserve"> RCT</w:t>
            </w:r>
            <w:r>
              <w:rPr>
                <w:rFonts w:cs="Tahoma"/>
              </w:rPr>
              <w:t>s</w:t>
            </w:r>
          </w:p>
        </w:tc>
        <w:tc>
          <w:tcPr>
            <w:tcW w:w="771" w:type="dxa"/>
          </w:tcPr>
          <w:p w:rsidR="00B14FF5" w:rsidRPr="00D36FBC" w:rsidRDefault="00B14FF5" w:rsidP="00F13836">
            <w:pPr>
              <w:pStyle w:val="Tabletext"/>
              <w:rPr>
                <w:rFonts w:cs="Tahoma"/>
              </w:rPr>
            </w:pPr>
            <w:r w:rsidRPr="00D36FBC">
              <w:rPr>
                <w:rFonts w:cs="Tahoma"/>
              </w:rPr>
              <w:t>Not serious</w:t>
            </w:r>
          </w:p>
        </w:tc>
        <w:tc>
          <w:tcPr>
            <w:tcW w:w="1072" w:type="dxa"/>
          </w:tcPr>
          <w:p w:rsidR="00B14FF5" w:rsidRPr="00D36FBC" w:rsidRDefault="00B14FF5" w:rsidP="00F13836">
            <w:pPr>
              <w:pStyle w:val="Tabletext"/>
              <w:rPr>
                <w:rFonts w:cs="Tahoma"/>
              </w:rPr>
            </w:pPr>
            <w:r w:rsidRPr="00D36FBC">
              <w:rPr>
                <w:rFonts w:cs="Tahoma"/>
              </w:rPr>
              <w:t>Not serious</w:t>
            </w:r>
          </w:p>
        </w:tc>
        <w:tc>
          <w:tcPr>
            <w:tcW w:w="1051" w:type="dxa"/>
          </w:tcPr>
          <w:p w:rsidR="00B14FF5" w:rsidRPr="00D36FBC" w:rsidRDefault="0084434D" w:rsidP="00F13836">
            <w:pPr>
              <w:pStyle w:val="Tabletext"/>
              <w:rPr>
                <w:rFonts w:cs="Tahoma"/>
              </w:rPr>
            </w:pPr>
            <w:r>
              <w:rPr>
                <w:rFonts w:cs="Tahoma"/>
              </w:rPr>
              <w:t>S</w:t>
            </w:r>
            <w:r w:rsidR="00B14FF5" w:rsidRPr="00D36FBC">
              <w:rPr>
                <w:rFonts w:cs="Tahoma"/>
              </w:rPr>
              <w:t>erious</w:t>
            </w:r>
            <w:r>
              <w:rPr>
                <w:rFonts w:cs="Tahoma"/>
              </w:rPr>
              <w:t xml:space="preserve"> </w:t>
            </w:r>
            <w:r w:rsidRPr="00C05257">
              <w:rPr>
                <w:rFonts w:cs="Tahoma"/>
                <w:vertAlign w:val="superscript"/>
              </w:rPr>
              <w:t>e</w:t>
            </w:r>
          </w:p>
        </w:tc>
        <w:tc>
          <w:tcPr>
            <w:tcW w:w="1075" w:type="dxa"/>
          </w:tcPr>
          <w:p w:rsidR="00B14FF5" w:rsidRPr="00D36FBC" w:rsidRDefault="00B14FF5" w:rsidP="00F13836">
            <w:pPr>
              <w:pStyle w:val="Tabletext"/>
              <w:rPr>
                <w:rFonts w:cs="Tahoma"/>
              </w:rPr>
            </w:pPr>
            <w:r w:rsidRPr="00D36FBC">
              <w:rPr>
                <w:rFonts w:cs="Tahoma"/>
              </w:rPr>
              <w:t>Not serious</w:t>
            </w:r>
          </w:p>
        </w:tc>
        <w:tc>
          <w:tcPr>
            <w:tcW w:w="1230" w:type="dxa"/>
          </w:tcPr>
          <w:p w:rsidR="00B14FF5" w:rsidRPr="00D36FBC" w:rsidRDefault="00B14FF5" w:rsidP="00F13836">
            <w:pPr>
              <w:pStyle w:val="Tabletext"/>
              <w:rPr>
                <w:rFonts w:cs="Tahoma"/>
              </w:rPr>
            </w:pPr>
            <w:r w:rsidRPr="00D36FBC">
              <w:rPr>
                <w:rFonts w:cs="Tahoma"/>
              </w:rPr>
              <w:t>None</w:t>
            </w:r>
          </w:p>
        </w:tc>
        <w:tc>
          <w:tcPr>
            <w:tcW w:w="1417" w:type="dxa"/>
          </w:tcPr>
          <w:p w:rsidR="00B14FF5" w:rsidRPr="00456F1B" w:rsidRDefault="00B14FF5" w:rsidP="00F13836">
            <w:pPr>
              <w:pStyle w:val="Tabletext"/>
              <w:rPr>
                <w:rFonts w:cs="Tahoma"/>
              </w:rPr>
            </w:pPr>
            <w:r w:rsidRPr="00B14FF5">
              <w:rPr>
                <w:rFonts w:cs="Tahoma"/>
              </w:rPr>
              <w:t>425 patients tested</w:t>
            </w:r>
          </w:p>
        </w:tc>
        <w:tc>
          <w:tcPr>
            <w:tcW w:w="1134" w:type="dxa"/>
          </w:tcPr>
          <w:p w:rsidR="00B14FF5" w:rsidRPr="00456F1B" w:rsidRDefault="00B14FF5" w:rsidP="00F13836">
            <w:pPr>
              <w:pStyle w:val="Tabletext"/>
              <w:rPr>
                <w:rFonts w:cs="Tahoma"/>
              </w:rPr>
            </w:pPr>
            <w:r w:rsidRPr="00B14FF5">
              <w:rPr>
                <w:rStyle w:val="cell-value"/>
                <w:rFonts w:asciiTheme="minorHAnsi" w:hAnsiTheme="minorHAnsi" w:cs="Tahoma"/>
              </w:rPr>
              <w:t>301</w:t>
            </w:r>
            <w:r w:rsidRPr="00B14FF5">
              <w:rPr>
                <w:rFonts w:cs="Tahoma"/>
              </w:rPr>
              <w:t xml:space="preserve"> patients tested</w:t>
            </w:r>
          </w:p>
        </w:tc>
        <w:tc>
          <w:tcPr>
            <w:tcW w:w="993" w:type="dxa"/>
          </w:tcPr>
          <w:p w:rsidR="00B14FF5" w:rsidRPr="001D2AD7" w:rsidRDefault="00B14FF5" w:rsidP="00F13836">
            <w:pPr>
              <w:pStyle w:val="Tabletext"/>
              <w:rPr>
                <w:rFonts w:cs="Tahoma"/>
              </w:rPr>
            </w:pPr>
            <w:r>
              <w:rPr>
                <w:rFonts w:cs="Tahoma"/>
              </w:rPr>
              <w:t>-</w:t>
            </w:r>
          </w:p>
        </w:tc>
        <w:tc>
          <w:tcPr>
            <w:tcW w:w="2092" w:type="dxa"/>
          </w:tcPr>
          <w:p w:rsidR="00B14FF5" w:rsidRPr="00B14FF5" w:rsidRDefault="00B14FF5" w:rsidP="001F1FDD">
            <w:pPr>
              <w:pStyle w:val="Tabletext"/>
              <w:rPr>
                <w:rFonts w:cs="Tahoma"/>
              </w:rPr>
            </w:pPr>
            <w:r w:rsidRPr="00B14FF5">
              <w:rPr>
                <w:rFonts w:cs="Tahoma"/>
              </w:rPr>
              <w:t>Me</w:t>
            </w:r>
            <w:r w:rsidR="00E85CDD">
              <w:rPr>
                <w:rFonts w:cs="Tahoma"/>
              </w:rPr>
              <w:t>di</w:t>
            </w:r>
            <w:r w:rsidRPr="00B14FF5">
              <w:rPr>
                <w:rFonts w:cs="Tahoma"/>
              </w:rPr>
              <w:t>an</w:t>
            </w:r>
            <w:r w:rsidR="00E85CDD">
              <w:rPr>
                <w:rFonts w:cs="Tahoma"/>
              </w:rPr>
              <w:t xml:space="preserve"> </w:t>
            </w:r>
            <w:r w:rsidR="001F1FDD">
              <w:rPr>
                <w:rFonts w:cs="Tahoma"/>
              </w:rPr>
              <w:t>MD</w:t>
            </w:r>
            <w:r w:rsidRPr="00B14FF5">
              <w:rPr>
                <w:rFonts w:cs="Tahoma"/>
              </w:rPr>
              <w:t xml:space="preserve"> 22.0 m further</w:t>
            </w:r>
            <w:r w:rsidRPr="00B14FF5">
              <w:rPr>
                <w:rFonts w:cs="Tahoma"/>
              </w:rPr>
              <w:br/>
              <w:t>(range 2.4 m less to 36.1 m further)</w:t>
            </w:r>
          </w:p>
        </w:tc>
        <w:tc>
          <w:tcPr>
            <w:tcW w:w="1310" w:type="dxa"/>
          </w:tcPr>
          <w:p w:rsidR="00B14FF5" w:rsidRDefault="0084434D" w:rsidP="00F13836">
            <w:pPr>
              <w:pStyle w:val="Tabletext"/>
              <w:rPr>
                <w:rFonts w:ascii="Cambria Math" w:eastAsia="Times New Roman" w:hAnsi="Cambria Math" w:cs="Cambria Math"/>
                <w:bCs/>
              </w:rPr>
            </w:pPr>
            <w:r>
              <w:rPr>
                <w:rFonts w:eastAsia="Times New Roman" w:cs="Tahoma"/>
                <w:bCs/>
              </w:rPr>
              <w:t>Moderate</w:t>
            </w:r>
            <w:r w:rsidR="00B14FF5">
              <w:rPr>
                <w:rFonts w:eastAsia="Times New Roman" w:cs="Tahoma"/>
                <w:bCs/>
              </w:rPr>
              <w:br/>
            </w:r>
            <w:r w:rsidR="00B14FF5"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B14FF5" w:rsidRPr="00B14FF5" w:rsidRDefault="00B14FF5" w:rsidP="00F13836">
            <w:pPr>
              <w:pStyle w:val="Tabletext"/>
              <w:rPr>
                <w:rFonts w:eastAsia="Times New Roman" w:cs="Tahoma"/>
                <w:bCs/>
              </w:rPr>
            </w:pPr>
            <w:r>
              <w:rPr>
                <w:rFonts w:cs="Tahoma"/>
              </w:rPr>
              <w:t>I</w:t>
            </w:r>
            <w:r w:rsidRPr="00E564DD">
              <w:rPr>
                <w:rFonts w:cs="Tahoma"/>
              </w:rPr>
              <w:t>mportant</w:t>
            </w:r>
          </w:p>
        </w:tc>
      </w:tr>
      <w:tr w:rsidR="00CC3BA4" w:rsidRPr="00D36FBC" w:rsidTr="00115AB1">
        <w:trPr>
          <w:trHeight w:val="990"/>
        </w:trPr>
        <w:tc>
          <w:tcPr>
            <w:tcW w:w="1493" w:type="dxa"/>
          </w:tcPr>
          <w:p w:rsidR="00CC3BA4" w:rsidRPr="00D36FBC" w:rsidRDefault="00CC3BA4" w:rsidP="00F13836">
            <w:pPr>
              <w:pStyle w:val="Tabletext"/>
              <w:rPr>
                <w:rFonts w:cs="Tahoma"/>
              </w:rPr>
            </w:pPr>
            <w:r w:rsidRPr="00D36FBC">
              <w:rPr>
                <w:rFonts w:cs="Tahoma"/>
              </w:rPr>
              <w:lastRenderedPageBreak/>
              <w:t xml:space="preserve">Change in </w:t>
            </w:r>
            <w:r>
              <w:rPr>
                <w:rFonts w:cs="Tahoma"/>
              </w:rPr>
              <w:t xml:space="preserve">haemodynamic parameters </w:t>
            </w:r>
            <w:r w:rsidRPr="00D36FBC">
              <w:rPr>
                <w:rFonts w:cs="Tahoma"/>
              </w:rPr>
              <w:t>from baseline</w:t>
            </w:r>
            <w:r>
              <w:rPr>
                <w:rFonts w:cs="Tahoma"/>
              </w:rPr>
              <w:br/>
            </w:r>
            <w:r w:rsidRPr="00D36FBC">
              <w:rPr>
                <w:rFonts w:cs="Tahoma"/>
              </w:rPr>
              <w:t>(</w:t>
            </w:r>
            <w:r>
              <w:rPr>
                <w:rFonts w:cs="Tahoma"/>
              </w:rPr>
              <w:t>1</w:t>
            </w:r>
            <w:r w:rsidRPr="00D36FBC">
              <w:rPr>
                <w:rFonts w:cs="Tahoma"/>
              </w:rPr>
              <w:t xml:space="preserve">6 weeks) </w:t>
            </w:r>
          </w:p>
        </w:tc>
        <w:tc>
          <w:tcPr>
            <w:tcW w:w="1054" w:type="dxa"/>
          </w:tcPr>
          <w:p w:rsidR="00CC3BA4" w:rsidRPr="00D36FBC" w:rsidRDefault="00CC3BA4" w:rsidP="00F13836">
            <w:pPr>
              <w:pStyle w:val="Tabletext"/>
              <w:rPr>
                <w:rFonts w:cs="Tahoma"/>
              </w:rPr>
            </w:pPr>
            <w:r w:rsidRPr="00D36FBC">
              <w:rPr>
                <w:rFonts w:cs="Tahoma"/>
              </w:rPr>
              <w:t>1 RCT</w:t>
            </w:r>
          </w:p>
        </w:tc>
        <w:tc>
          <w:tcPr>
            <w:tcW w:w="771" w:type="dxa"/>
          </w:tcPr>
          <w:p w:rsidR="00CC3BA4" w:rsidRPr="00D36FBC" w:rsidRDefault="00CC3BA4" w:rsidP="00F13836">
            <w:pPr>
              <w:pStyle w:val="Tabletext"/>
              <w:rPr>
                <w:rFonts w:cs="Tahoma"/>
              </w:rPr>
            </w:pPr>
            <w:r w:rsidRPr="00D36FBC">
              <w:rPr>
                <w:rFonts w:cs="Tahoma"/>
              </w:rPr>
              <w:t>Not serious</w:t>
            </w:r>
          </w:p>
        </w:tc>
        <w:tc>
          <w:tcPr>
            <w:tcW w:w="1072" w:type="dxa"/>
          </w:tcPr>
          <w:p w:rsidR="00CC3BA4" w:rsidRPr="00D36FBC" w:rsidRDefault="00CC3BA4" w:rsidP="00F13836">
            <w:pPr>
              <w:pStyle w:val="Tabletext"/>
              <w:rPr>
                <w:rFonts w:cs="Tahoma"/>
              </w:rPr>
            </w:pPr>
            <w:r w:rsidRPr="00D36FBC">
              <w:rPr>
                <w:rFonts w:cs="Tahoma"/>
              </w:rPr>
              <w:t>Not serious</w:t>
            </w:r>
          </w:p>
        </w:tc>
        <w:tc>
          <w:tcPr>
            <w:tcW w:w="1051" w:type="dxa"/>
          </w:tcPr>
          <w:p w:rsidR="00CC3BA4" w:rsidRPr="00C05257" w:rsidRDefault="0084434D" w:rsidP="00A76779">
            <w:pPr>
              <w:pStyle w:val="Tabletext"/>
              <w:rPr>
                <w:rFonts w:cs="Tahoma"/>
                <w:vertAlign w:val="superscript"/>
              </w:rPr>
            </w:pPr>
            <w:r>
              <w:rPr>
                <w:rFonts w:cs="Tahoma"/>
              </w:rPr>
              <w:t>Very</w:t>
            </w:r>
            <w:r w:rsidRPr="00D36FBC">
              <w:rPr>
                <w:rFonts w:cs="Tahoma"/>
              </w:rPr>
              <w:t xml:space="preserve"> </w:t>
            </w:r>
            <w:r w:rsidR="00CC3BA4" w:rsidRPr="00D36FBC">
              <w:rPr>
                <w:rFonts w:cs="Tahoma"/>
              </w:rPr>
              <w:t>serious</w:t>
            </w:r>
            <w:r w:rsidR="00872747">
              <w:rPr>
                <w:rFonts w:cs="Tahoma"/>
              </w:rPr>
              <w:t xml:space="preserve"> </w:t>
            </w:r>
            <w:r>
              <w:rPr>
                <w:rFonts w:cs="Tahoma"/>
                <w:vertAlign w:val="superscript"/>
              </w:rPr>
              <w:t>e</w:t>
            </w:r>
          </w:p>
        </w:tc>
        <w:tc>
          <w:tcPr>
            <w:tcW w:w="1075" w:type="dxa"/>
          </w:tcPr>
          <w:p w:rsidR="00CC3BA4" w:rsidRPr="00D36FBC" w:rsidRDefault="00872747" w:rsidP="00872747">
            <w:pPr>
              <w:pStyle w:val="Tabletext"/>
              <w:rPr>
                <w:rFonts w:cs="Tahoma"/>
              </w:rPr>
            </w:pPr>
            <w:r>
              <w:rPr>
                <w:rFonts w:cs="Tahoma"/>
              </w:rPr>
              <w:t>Not s</w:t>
            </w:r>
            <w:r w:rsidR="00CC3BA4" w:rsidRPr="00D36FBC">
              <w:rPr>
                <w:rFonts w:cs="Tahoma"/>
              </w:rPr>
              <w:t>erious</w:t>
            </w:r>
          </w:p>
        </w:tc>
        <w:tc>
          <w:tcPr>
            <w:tcW w:w="1230" w:type="dxa"/>
          </w:tcPr>
          <w:p w:rsidR="00CC3BA4" w:rsidRPr="00D36FBC" w:rsidRDefault="00CC3BA4" w:rsidP="00F13836">
            <w:pPr>
              <w:pStyle w:val="Tabletext"/>
              <w:rPr>
                <w:rFonts w:cs="Tahoma"/>
              </w:rPr>
            </w:pPr>
            <w:r w:rsidRPr="00D36FBC">
              <w:rPr>
                <w:rFonts w:cs="Tahoma"/>
              </w:rPr>
              <w:t>None</w:t>
            </w:r>
          </w:p>
        </w:tc>
        <w:tc>
          <w:tcPr>
            <w:tcW w:w="1417" w:type="dxa"/>
          </w:tcPr>
          <w:p w:rsidR="00CC3BA4" w:rsidRPr="0077309F" w:rsidRDefault="00CC3BA4" w:rsidP="00F13836">
            <w:pPr>
              <w:pStyle w:val="Tabletext"/>
              <w:rPr>
                <w:rFonts w:eastAsia="Times New Roman"/>
              </w:rPr>
            </w:pPr>
            <w:r>
              <w:rPr>
                <w:rFonts w:eastAsia="Times New Roman"/>
              </w:rPr>
              <w:t>60</w:t>
            </w:r>
            <w:r w:rsidRPr="00456F1B">
              <w:rPr>
                <w:rFonts w:eastAsia="Times New Roman"/>
              </w:rPr>
              <w:t xml:space="preserve"> patients tested</w:t>
            </w:r>
          </w:p>
        </w:tc>
        <w:tc>
          <w:tcPr>
            <w:tcW w:w="1134" w:type="dxa"/>
          </w:tcPr>
          <w:p w:rsidR="00CC3BA4" w:rsidRPr="0077309F" w:rsidRDefault="00CC3BA4" w:rsidP="00F13836">
            <w:pPr>
              <w:pStyle w:val="Tabletext"/>
              <w:rPr>
                <w:rFonts w:eastAsia="Times New Roman"/>
              </w:rPr>
            </w:pPr>
            <w:r w:rsidRPr="00456F1B">
              <w:rPr>
                <w:rStyle w:val="cell-value"/>
                <w:rFonts w:asciiTheme="minorHAnsi" w:eastAsia="Times New Roman" w:hAnsiTheme="minorHAnsi"/>
              </w:rPr>
              <w:t>6</w:t>
            </w:r>
            <w:r>
              <w:rPr>
                <w:rStyle w:val="cell-value"/>
                <w:rFonts w:asciiTheme="minorHAnsi" w:eastAsia="Times New Roman" w:hAnsiTheme="minorHAnsi"/>
              </w:rPr>
              <w:t>4</w:t>
            </w:r>
            <w:r w:rsidRPr="00456F1B">
              <w:rPr>
                <w:rFonts w:eastAsia="Times New Roman"/>
              </w:rPr>
              <w:t xml:space="preserve"> patients tested</w:t>
            </w:r>
          </w:p>
        </w:tc>
        <w:tc>
          <w:tcPr>
            <w:tcW w:w="993" w:type="dxa"/>
          </w:tcPr>
          <w:p w:rsidR="00CC3BA4" w:rsidRPr="0077309F" w:rsidRDefault="00CC3BA4" w:rsidP="00F13836">
            <w:pPr>
              <w:pStyle w:val="Tabletext"/>
              <w:rPr>
                <w:rFonts w:eastAsia="Times New Roman"/>
                <w:bCs/>
              </w:rPr>
            </w:pPr>
            <w:r w:rsidRPr="0077309F">
              <w:rPr>
                <w:rFonts w:eastAsia="Times New Roman"/>
                <w:bCs/>
              </w:rPr>
              <w:t>-</w:t>
            </w:r>
          </w:p>
        </w:tc>
        <w:tc>
          <w:tcPr>
            <w:tcW w:w="2092" w:type="dxa"/>
          </w:tcPr>
          <w:p w:rsidR="00CC3BA4" w:rsidRDefault="00E25FAA" w:rsidP="00F13836">
            <w:pPr>
              <w:pStyle w:val="Tabletext"/>
              <w:rPr>
                <w:rFonts w:cs="Tahoma"/>
              </w:rPr>
            </w:pPr>
            <w:r>
              <w:rPr>
                <w:rFonts w:cs="Tahoma"/>
              </w:rPr>
              <w:t>PVR</w:t>
            </w:r>
            <w:r>
              <w:rPr>
                <w:rFonts w:cs="Tahoma"/>
              </w:rPr>
              <w:br/>
              <w:t>MD</w:t>
            </w:r>
            <w:r w:rsidR="00CC3BA4">
              <w:rPr>
                <w:rFonts w:cs="Tahoma"/>
              </w:rPr>
              <w:t xml:space="preserve"> 13.9% improvement</w:t>
            </w:r>
          </w:p>
          <w:p w:rsidR="00CC3BA4" w:rsidRPr="0077309F" w:rsidRDefault="00E25FAA" w:rsidP="00F13836">
            <w:pPr>
              <w:pStyle w:val="Tabletext"/>
              <w:rPr>
                <w:rFonts w:cs="Tahoma"/>
              </w:rPr>
            </w:pPr>
            <w:r>
              <w:rPr>
                <w:rFonts w:cs="Tahoma"/>
              </w:rPr>
              <w:t>mPAP</w:t>
            </w:r>
            <w:r>
              <w:rPr>
                <w:rFonts w:cs="Tahoma"/>
              </w:rPr>
              <w:br/>
              <w:t>MD</w:t>
            </w:r>
            <w:r w:rsidR="00CC3BA4">
              <w:rPr>
                <w:rFonts w:cs="Tahoma"/>
              </w:rPr>
              <w:t xml:space="preserve"> 8.5% improvement</w:t>
            </w:r>
          </w:p>
        </w:tc>
        <w:tc>
          <w:tcPr>
            <w:tcW w:w="1310" w:type="dxa"/>
          </w:tcPr>
          <w:p w:rsidR="00CC3BA4" w:rsidRDefault="0084434D" w:rsidP="00F13836">
            <w:pPr>
              <w:pStyle w:val="Tabletext"/>
              <w:rPr>
                <w:rFonts w:ascii="Cambria Math" w:eastAsia="Times New Roman" w:hAnsi="Cambria Math" w:cs="Cambria Math"/>
                <w:bCs/>
              </w:rPr>
            </w:pPr>
            <w:r>
              <w:rPr>
                <w:rFonts w:eastAsia="Times New Roman" w:cs="Tahoma"/>
                <w:bCs/>
              </w:rPr>
              <w:t>Low</w:t>
            </w:r>
            <w:r w:rsidR="00CC3BA4">
              <w:rPr>
                <w:rFonts w:eastAsia="Times New Roman" w:cs="Tahoma"/>
                <w:bCs/>
              </w:rPr>
              <w:br/>
            </w:r>
            <w:r w:rsidR="00CC3BA4">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77309F" w:rsidRDefault="00CC3BA4" w:rsidP="00F13836">
            <w:pPr>
              <w:pStyle w:val="Tabletext"/>
              <w:rPr>
                <w:rFonts w:eastAsia="Times New Roman" w:cs="Tahoma"/>
                <w:bCs/>
              </w:rPr>
            </w:pPr>
            <w:r>
              <w:rPr>
                <w:rFonts w:cs="Tahoma"/>
              </w:rPr>
              <w:t>Not i</w:t>
            </w:r>
            <w:r w:rsidRPr="00E564DD">
              <w:rPr>
                <w:rFonts w:cs="Tahoma"/>
              </w:rPr>
              <w:t>mportant</w:t>
            </w:r>
          </w:p>
        </w:tc>
      </w:tr>
    </w:tbl>
    <w:p w:rsidR="00CC3BA4" w:rsidRPr="00AA018C" w:rsidRDefault="00CC3BA4" w:rsidP="00F13836">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F13836">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CC3BA4" w:rsidRDefault="00CC3BA4" w:rsidP="00F13836">
      <w:pPr>
        <w:pStyle w:val="Tablenote"/>
      </w:pPr>
      <w:proofErr w:type="gramStart"/>
      <w:r>
        <w:rPr>
          <w:vertAlign w:val="superscript"/>
        </w:rPr>
        <w:t>c</w:t>
      </w:r>
      <w:proofErr w:type="gramEnd"/>
      <w:r>
        <w:rPr>
          <w:vertAlign w:val="superscript"/>
        </w:rPr>
        <w:t xml:space="preserve"> </w:t>
      </w:r>
      <w:r>
        <w:t>T</w:t>
      </w:r>
      <w:r w:rsidRPr="00CA02C0">
        <w:t>rials show results trending in opposite directions</w:t>
      </w:r>
    </w:p>
    <w:p w:rsidR="00CC3BA4" w:rsidRDefault="00CC3BA4" w:rsidP="00F13836">
      <w:pPr>
        <w:pStyle w:val="Tablenote"/>
      </w:pPr>
      <w:proofErr w:type="gramStart"/>
      <w:r>
        <w:rPr>
          <w:vertAlign w:val="superscript"/>
        </w:rPr>
        <w:t>d</w:t>
      </w:r>
      <w:proofErr w:type="gramEnd"/>
      <w:r w:rsidRPr="00E564DD">
        <w:t xml:space="preserve"> </w:t>
      </w:r>
      <w:r>
        <w:t>Wide 95% CIs span 1</w:t>
      </w:r>
    </w:p>
    <w:p w:rsidR="0084434D" w:rsidRPr="0084434D" w:rsidRDefault="0084434D" w:rsidP="00F13836">
      <w:pPr>
        <w:pStyle w:val="Tablenote"/>
      </w:pPr>
      <w:proofErr w:type="gramStart"/>
      <w:r>
        <w:rPr>
          <w:vertAlign w:val="superscript"/>
        </w:rPr>
        <w:t>e</w:t>
      </w:r>
      <w:proofErr w:type="gramEnd"/>
      <w:r>
        <w:rPr>
          <w:vertAlign w:val="superscript"/>
        </w:rPr>
        <w:t xml:space="preserve"> </w:t>
      </w:r>
      <w:r>
        <w:t>Surrogate outcome</w:t>
      </w:r>
    </w:p>
    <w:p w:rsidR="00CC3BA4" w:rsidRPr="00E564DD" w:rsidRDefault="00CC3BA4" w:rsidP="00F13836">
      <w:pPr>
        <w:pStyle w:val="Tablenote"/>
      </w:pPr>
      <w:r w:rsidRPr="00E564DD">
        <w:rPr>
          <w:rFonts w:ascii="Cambria Math" w:hAnsi="Cambria Math" w:cs="Cambria Math"/>
          <w:color w:val="00B050"/>
        </w:rPr>
        <w:t>⨁⨁⨁⨁</w:t>
      </w:r>
      <w:r w:rsidRPr="00E564DD">
        <w:rPr>
          <w:color w:val="00B050"/>
        </w:rPr>
        <w:t xml:space="preserve"> </w:t>
      </w:r>
      <w:r w:rsidRPr="00E564DD">
        <w:rPr>
          <w:b/>
        </w:rPr>
        <w:t>High quality:</w:t>
      </w:r>
      <w:r w:rsidRPr="00E564DD">
        <w:t xml:space="preserve"> We are very confident that the true effect lies close to that of the estimate of effect</w:t>
      </w:r>
    </w:p>
    <w:p w:rsidR="00CC3BA4" w:rsidRPr="00E564DD" w:rsidRDefault="00CC3BA4" w:rsidP="00F13836">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84434D" w:rsidRPr="00E564DD" w:rsidRDefault="0084434D" w:rsidP="0084434D">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Low quality:</w:t>
      </w:r>
      <w:r w:rsidRPr="00E564DD">
        <w:t xml:space="preserve"> Our confidence in the effect estimate is limited: The true effect may be substantially different from the estimate of the effect</w:t>
      </w:r>
    </w:p>
    <w:p w:rsidR="00C871F2" w:rsidRDefault="00CC3BA4" w:rsidP="00F13836">
      <w:pPr>
        <w:pStyle w:val="Tablenote"/>
      </w:pPr>
      <w:r>
        <w:t xml:space="preserve">6MWD = 6-minute </w:t>
      </w:r>
      <w:r w:rsidR="0082368E">
        <w:t>walk distance</w:t>
      </w:r>
      <w:r>
        <w: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7C6567" w:rsidRPr="00F24B06">
        <w:t xml:space="preserve">; </w:t>
      </w:r>
      <w:r>
        <w:t xml:space="preserve">MD = mean difference; </w:t>
      </w:r>
      <w:r w:rsidR="004510DE">
        <w:t>mPAP = mean pulmonary artery</w:t>
      </w:r>
      <w:r w:rsidR="007C6567" w:rsidRPr="00DC16A3">
        <w:t xml:space="preserve"> pressure; </w:t>
      </w:r>
      <w:r w:rsidRPr="00C65B42">
        <w:t xml:space="preserve">PAH = pulmonary arterial hypertension; </w:t>
      </w:r>
      <w:r w:rsidRPr="009B5AB3">
        <w:t>PDE-5</w:t>
      </w:r>
      <w:r w:rsidR="007C6567">
        <w:t>i</w:t>
      </w:r>
      <w:r w:rsidRPr="009B5AB3">
        <w:t xml:space="preserve"> = phosphodiesterase type-5</w:t>
      </w:r>
      <w:r w:rsidR="007C6567">
        <w:t xml:space="preserve"> inhibitor</w:t>
      </w:r>
      <w:r>
        <w:t>;</w:t>
      </w:r>
      <w:r w:rsidRPr="009B5AB3">
        <w:t xml:space="preserve"> </w:t>
      </w:r>
      <w:r w:rsidRPr="009123E2">
        <w:t>PVR</w:t>
      </w:r>
      <w:r>
        <w:t xml:space="preserve"> = p</w:t>
      </w:r>
      <w:r w:rsidRPr="009123E2">
        <w:t xml:space="preserve">ulmonary </w:t>
      </w:r>
      <w:r>
        <w:t>v</w:t>
      </w:r>
      <w:r w:rsidRPr="009123E2">
        <w:t xml:space="preserve">ascular </w:t>
      </w:r>
      <w:r>
        <w:t>r</w:t>
      </w:r>
      <w:r w:rsidRPr="009123E2">
        <w:t>esistance</w:t>
      </w:r>
      <w:r>
        <w:t>; RCT = randomised controlled trial; RR = relative risk; WHO = World Health Organization</w:t>
      </w:r>
    </w:p>
    <w:p w:rsidR="009F1E35" w:rsidRDefault="009F1E35">
      <w:pPr>
        <w:spacing w:before="0" w:line="240" w:lineRule="auto"/>
        <w:rPr>
          <w:b/>
          <w:iCs/>
          <w:szCs w:val="18"/>
        </w:rPr>
      </w:pPr>
      <w:bookmarkStart w:id="524" w:name="_Toc38360454"/>
      <w:r>
        <w:br w:type="page"/>
      </w:r>
    </w:p>
    <w:p w:rsidR="00CC3BA4" w:rsidRPr="005D4CA0" w:rsidRDefault="00796F18" w:rsidP="00BC5A2B">
      <w:pPr>
        <w:pStyle w:val="Caption"/>
      </w:pPr>
      <w:r>
        <w:lastRenderedPageBreak/>
        <w:t>Table 4.</w:t>
      </w:r>
      <w:r w:rsidR="003951FA">
        <w:rPr>
          <w:noProof/>
        </w:rPr>
        <w:t>157</w:t>
      </w:r>
      <w:r>
        <w:tab/>
      </w:r>
      <w:r w:rsidR="00CC3BA4" w:rsidRPr="005D4CA0">
        <w:t xml:space="preserve">Evidence profile table for </w:t>
      </w:r>
      <w:r w:rsidR="00CC3BA4">
        <w:t xml:space="preserve">effectiveness of PDE-5 inhibitor </w:t>
      </w:r>
      <w:r w:rsidR="006A0576">
        <w:t>plus</w:t>
      </w:r>
      <w:r w:rsidR="00CC3BA4">
        <w:t xml:space="preserve"> </w:t>
      </w:r>
      <w:r w:rsidR="00CC3BA4" w:rsidRPr="005D4CA0">
        <w:t xml:space="preserve">ERA </w:t>
      </w:r>
      <w:r w:rsidR="00CC3BA4">
        <w:t xml:space="preserve">combination therapy </w:t>
      </w:r>
      <w:r w:rsidR="00CC3BA4" w:rsidRPr="005D4CA0">
        <w:t xml:space="preserve">compared to </w:t>
      </w:r>
      <w:r w:rsidR="00CC3BA4">
        <w:t>ERA</w:t>
      </w:r>
      <w:r w:rsidR="00CC3BA4" w:rsidRPr="005D4CA0">
        <w:t xml:space="preserve"> </w:t>
      </w:r>
      <w:r w:rsidR="00CC3BA4">
        <w:t xml:space="preserve">monotherapy </w:t>
      </w:r>
      <w:r w:rsidR="00CC3BA4" w:rsidRPr="005D4CA0">
        <w:t xml:space="preserve">for </w:t>
      </w:r>
      <w:r w:rsidR="00CC3BA4">
        <w:t>patients with WHO FC III/IV PAH</w:t>
      </w:r>
      <w:bookmarkEnd w:id="524"/>
    </w:p>
    <w:tbl>
      <w:tblPr>
        <w:tblStyle w:val="TableGrid"/>
        <w:tblW w:w="14596" w:type="dxa"/>
        <w:tblLayout w:type="fixed"/>
        <w:tblLook w:val="04A0" w:firstRow="1" w:lastRow="0" w:firstColumn="1" w:lastColumn="0" w:noHBand="0" w:noVBand="1"/>
        <w:tblCaption w:val="Evidence profile table for effectiveness of PDE-5 inhibitor plus ERA combination therapy compared to ERA monotherapy for patients with WHO FC III/IV PAH"/>
      </w:tblPr>
      <w:tblGrid>
        <w:gridCol w:w="1493"/>
        <w:gridCol w:w="1054"/>
        <w:gridCol w:w="912"/>
        <w:gridCol w:w="931"/>
        <w:gridCol w:w="992"/>
        <w:gridCol w:w="992"/>
        <w:gridCol w:w="1276"/>
        <w:gridCol w:w="1417"/>
        <w:gridCol w:w="1134"/>
        <w:gridCol w:w="993"/>
        <w:gridCol w:w="2188"/>
        <w:gridCol w:w="1214"/>
      </w:tblGrid>
      <w:tr w:rsidR="00F13836" w:rsidRPr="00F13836" w:rsidTr="00115AB1">
        <w:trPr>
          <w:cnfStyle w:val="100000000000" w:firstRow="1" w:lastRow="0" w:firstColumn="0" w:lastColumn="0" w:oddVBand="0" w:evenVBand="0" w:oddHBand="0" w:evenHBand="0" w:firstRowFirstColumn="0" w:firstRowLastColumn="0" w:lastRowFirstColumn="0" w:lastRowLastColumn="0"/>
          <w:trHeight w:val="511"/>
        </w:trPr>
        <w:tc>
          <w:tcPr>
            <w:tcW w:w="1493" w:type="dxa"/>
          </w:tcPr>
          <w:p w:rsidR="00476F09" w:rsidRPr="00F13836" w:rsidRDefault="00476F09" w:rsidP="00F13836">
            <w:pPr>
              <w:pStyle w:val="Tabletext"/>
              <w:rPr>
                <w:b/>
              </w:rPr>
            </w:pPr>
            <w:r w:rsidRPr="00F13836">
              <w:rPr>
                <w:b/>
              </w:rPr>
              <w:t>Outcome (follow-up)</w:t>
            </w:r>
          </w:p>
        </w:tc>
        <w:tc>
          <w:tcPr>
            <w:tcW w:w="1054" w:type="dxa"/>
          </w:tcPr>
          <w:p w:rsidR="00476F09" w:rsidRPr="00F13836" w:rsidRDefault="00476F09" w:rsidP="00F13836">
            <w:pPr>
              <w:pStyle w:val="Tabletext"/>
              <w:rPr>
                <w:b/>
              </w:rPr>
            </w:pPr>
            <w:r w:rsidRPr="00F13836">
              <w:rPr>
                <w:b/>
              </w:rPr>
              <w:t>No. of studies and study design</w:t>
            </w:r>
          </w:p>
        </w:tc>
        <w:tc>
          <w:tcPr>
            <w:tcW w:w="912" w:type="dxa"/>
          </w:tcPr>
          <w:p w:rsidR="00476F09" w:rsidRPr="00F13836" w:rsidRDefault="00476F09" w:rsidP="00F13836">
            <w:pPr>
              <w:pStyle w:val="Tabletext"/>
              <w:rPr>
                <w:b/>
              </w:rPr>
            </w:pPr>
            <w:r w:rsidRPr="00F13836">
              <w:rPr>
                <w:b/>
              </w:rPr>
              <w:t>Risk of bias</w:t>
            </w:r>
          </w:p>
        </w:tc>
        <w:tc>
          <w:tcPr>
            <w:tcW w:w="931" w:type="dxa"/>
          </w:tcPr>
          <w:p w:rsidR="00476F09" w:rsidRPr="00F13836" w:rsidRDefault="00476F09" w:rsidP="00F13836">
            <w:pPr>
              <w:pStyle w:val="Tabletext"/>
              <w:rPr>
                <w:b/>
              </w:rPr>
            </w:pPr>
            <w:r w:rsidRPr="00F13836">
              <w:rPr>
                <w:b/>
              </w:rPr>
              <w:t>Incon</w:t>
            </w:r>
            <w:r w:rsidR="00115AB1">
              <w:rPr>
                <w:b/>
              </w:rPr>
              <w:t>-</w:t>
            </w:r>
            <w:r w:rsidRPr="00F13836">
              <w:rPr>
                <w:b/>
              </w:rPr>
              <w:t>sistency</w:t>
            </w:r>
          </w:p>
        </w:tc>
        <w:tc>
          <w:tcPr>
            <w:tcW w:w="992" w:type="dxa"/>
          </w:tcPr>
          <w:p w:rsidR="00476F09" w:rsidRPr="00F13836" w:rsidRDefault="00476F09" w:rsidP="00F13836">
            <w:pPr>
              <w:pStyle w:val="Tabletext"/>
              <w:rPr>
                <w:b/>
              </w:rPr>
            </w:pPr>
            <w:r w:rsidRPr="00F13836">
              <w:rPr>
                <w:b/>
              </w:rPr>
              <w:t>Indirect</w:t>
            </w:r>
            <w:r w:rsidR="00115AB1">
              <w:rPr>
                <w:b/>
              </w:rPr>
              <w:t>-</w:t>
            </w:r>
            <w:r w:rsidRPr="00F13836">
              <w:rPr>
                <w:b/>
              </w:rPr>
              <w:t>ness</w:t>
            </w:r>
          </w:p>
        </w:tc>
        <w:tc>
          <w:tcPr>
            <w:tcW w:w="992" w:type="dxa"/>
          </w:tcPr>
          <w:p w:rsidR="00476F09" w:rsidRPr="00F13836" w:rsidRDefault="00476F09" w:rsidP="00F13836">
            <w:pPr>
              <w:pStyle w:val="Tabletext"/>
              <w:rPr>
                <w:b/>
              </w:rPr>
            </w:pPr>
            <w:r w:rsidRPr="00F13836">
              <w:rPr>
                <w:b/>
              </w:rPr>
              <w:t>Impre</w:t>
            </w:r>
            <w:r w:rsidR="00115AB1">
              <w:rPr>
                <w:b/>
              </w:rPr>
              <w:t>-</w:t>
            </w:r>
            <w:r w:rsidRPr="00F13836">
              <w:rPr>
                <w:b/>
              </w:rPr>
              <w:t>cision</w:t>
            </w:r>
          </w:p>
        </w:tc>
        <w:tc>
          <w:tcPr>
            <w:tcW w:w="1276" w:type="dxa"/>
          </w:tcPr>
          <w:p w:rsidR="00476F09" w:rsidRPr="00F13836" w:rsidRDefault="00476F09" w:rsidP="00F13836">
            <w:pPr>
              <w:pStyle w:val="Tabletext"/>
              <w:rPr>
                <w:b/>
              </w:rPr>
            </w:pPr>
            <w:r w:rsidRPr="00F13836">
              <w:rPr>
                <w:b/>
              </w:rPr>
              <w:t>Other conside</w:t>
            </w:r>
            <w:r w:rsidR="00115AB1">
              <w:rPr>
                <w:b/>
              </w:rPr>
              <w:t>-</w:t>
            </w:r>
            <w:r w:rsidRPr="00F13836">
              <w:rPr>
                <w:b/>
              </w:rPr>
              <w:t>rations</w:t>
            </w:r>
            <w:r w:rsidRPr="00F13836">
              <w:rPr>
                <w:b/>
                <w:vertAlign w:val="superscript"/>
              </w:rPr>
              <w:t>a</w:t>
            </w:r>
          </w:p>
        </w:tc>
        <w:tc>
          <w:tcPr>
            <w:tcW w:w="1417" w:type="dxa"/>
          </w:tcPr>
          <w:p w:rsidR="00476F09" w:rsidRPr="00F13836" w:rsidRDefault="00476F09" w:rsidP="00F13836">
            <w:pPr>
              <w:pStyle w:val="Tabletext"/>
              <w:rPr>
                <w:b/>
              </w:rPr>
            </w:pPr>
            <w:r w:rsidRPr="00F13836">
              <w:rPr>
                <w:b/>
              </w:rPr>
              <w:t>Study event rates (%) with PDE-5i + ERA</w:t>
            </w:r>
          </w:p>
        </w:tc>
        <w:tc>
          <w:tcPr>
            <w:tcW w:w="1134" w:type="dxa"/>
          </w:tcPr>
          <w:p w:rsidR="00476F09" w:rsidRPr="00F13836" w:rsidRDefault="00476F09" w:rsidP="00F13836">
            <w:pPr>
              <w:pStyle w:val="Tabletext"/>
              <w:rPr>
                <w:b/>
              </w:rPr>
            </w:pPr>
            <w:r w:rsidRPr="00F13836">
              <w:rPr>
                <w:b/>
              </w:rPr>
              <w:t>Study event rates (%) with ERA</w:t>
            </w:r>
          </w:p>
        </w:tc>
        <w:tc>
          <w:tcPr>
            <w:tcW w:w="993" w:type="dxa"/>
          </w:tcPr>
          <w:p w:rsidR="00476F09" w:rsidRPr="00F13836" w:rsidRDefault="00476F09" w:rsidP="00F13836">
            <w:pPr>
              <w:pStyle w:val="Tabletext"/>
              <w:rPr>
                <w:b/>
              </w:rPr>
            </w:pPr>
            <w:r w:rsidRPr="00F13836">
              <w:rPr>
                <w:b/>
              </w:rPr>
              <w:t>Effect measure (95%CI)</w:t>
            </w:r>
          </w:p>
        </w:tc>
        <w:tc>
          <w:tcPr>
            <w:tcW w:w="2188" w:type="dxa"/>
          </w:tcPr>
          <w:p w:rsidR="00476F09" w:rsidRPr="00F13836" w:rsidRDefault="00476F09" w:rsidP="00F13836">
            <w:pPr>
              <w:pStyle w:val="Tabletext"/>
              <w:rPr>
                <w:b/>
              </w:rPr>
            </w:pPr>
            <w:r w:rsidRPr="00F13836">
              <w:rPr>
                <w:b/>
              </w:rPr>
              <w:t>Absolute effect (95%CI)</w:t>
            </w:r>
          </w:p>
        </w:tc>
        <w:tc>
          <w:tcPr>
            <w:tcW w:w="1214" w:type="dxa"/>
          </w:tcPr>
          <w:p w:rsidR="007C6567" w:rsidRDefault="007C6567" w:rsidP="00F13836">
            <w:pPr>
              <w:pStyle w:val="Tabletext"/>
              <w:rPr>
                <w:b/>
              </w:rPr>
            </w:pPr>
            <w:r>
              <w:rPr>
                <w:b/>
              </w:rPr>
              <w:t>GRADE</w:t>
            </w:r>
            <w:r w:rsidRPr="007C6567">
              <w:rPr>
                <w:b/>
                <w:vertAlign w:val="superscript"/>
              </w:rPr>
              <w:t>b</w:t>
            </w:r>
          </w:p>
          <w:p w:rsidR="00476F09" w:rsidRPr="00F13836" w:rsidRDefault="00476F09" w:rsidP="00F13836">
            <w:pPr>
              <w:pStyle w:val="Tabletext"/>
              <w:rPr>
                <w:b/>
                <w:vertAlign w:val="superscript"/>
              </w:rPr>
            </w:pPr>
            <w:r w:rsidRPr="00F13836">
              <w:rPr>
                <w:b/>
              </w:rPr>
              <w:t>Quality</w:t>
            </w:r>
          </w:p>
          <w:p w:rsidR="00476F09" w:rsidRPr="00F13836" w:rsidRDefault="00476F09" w:rsidP="00F13836">
            <w:pPr>
              <w:pStyle w:val="Tabletext"/>
              <w:rPr>
                <w:b/>
              </w:rPr>
            </w:pPr>
            <w:r w:rsidRPr="00F13836">
              <w:rPr>
                <w:b/>
              </w:rPr>
              <w:t>Importance</w:t>
            </w:r>
          </w:p>
        </w:tc>
      </w:tr>
      <w:tr w:rsidR="00CC3BA4" w:rsidRPr="00D36FBC" w:rsidTr="00115AB1">
        <w:trPr>
          <w:trHeight w:val="319"/>
        </w:trPr>
        <w:tc>
          <w:tcPr>
            <w:tcW w:w="1493" w:type="dxa"/>
          </w:tcPr>
          <w:p w:rsidR="00CC3BA4" w:rsidRPr="00D36FBC" w:rsidRDefault="00CC3BA4" w:rsidP="00F13836">
            <w:pPr>
              <w:pStyle w:val="Tabletext"/>
              <w:rPr>
                <w:rFonts w:cs="Tahoma"/>
              </w:rPr>
            </w:pPr>
            <w:r w:rsidRPr="00D36FBC">
              <w:rPr>
                <w:rFonts w:cs="Tahoma"/>
              </w:rPr>
              <w:t>Change in 6MWD from baseline</w:t>
            </w:r>
            <w:r>
              <w:rPr>
                <w:rFonts w:cs="Tahoma"/>
              </w:rPr>
              <w:br/>
            </w:r>
            <w:r w:rsidRPr="00D36FBC">
              <w:rPr>
                <w:rFonts w:cs="Tahoma"/>
              </w:rPr>
              <w:t xml:space="preserve">(26 weeks) </w:t>
            </w:r>
          </w:p>
        </w:tc>
        <w:tc>
          <w:tcPr>
            <w:tcW w:w="1054" w:type="dxa"/>
          </w:tcPr>
          <w:p w:rsidR="00CC3BA4" w:rsidRPr="00D36FBC" w:rsidRDefault="00CC3BA4" w:rsidP="00F13836">
            <w:pPr>
              <w:pStyle w:val="Tabletext"/>
              <w:rPr>
                <w:rFonts w:cs="Tahoma"/>
              </w:rPr>
            </w:pPr>
            <w:r>
              <w:rPr>
                <w:rFonts w:cs="Tahoma"/>
              </w:rPr>
              <w:t>2</w:t>
            </w:r>
            <w:r w:rsidRPr="00D36FBC">
              <w:rPr>
                <w:rFonts w:cs="Tahoma"/>
              </w:rPr>
              <w:t xml:space="preserve"> RCT</w:t>
            </w:r>
            <w:r>
              <w:rPr>
                <w:rFonts w:cs="Tahoma"/>
              </w:rPr>
              <w:t>s</w:t>
            </w:r>
          </w:p>
        </w:tc>
        <w:tc>
          <w:tcPr>
            <w:tcW w:w="912" w:type="dxa"/>
          </w:tcPr>
          <w:p w:rsidR="00CC3BA4" w:rsidRPr="00D36FBC" w:rsidRDefault="00CC3BA4" w:rsidP="00F13836">
            <w:pPr>
              <w:pStyle w:val="Tabletext"/>
              <w:rPr>
                <w:rFonts w:cs="Tahoma"/>
              </w:rPr>
            </w:pPr>
            <w:r w:rsidRPr="00D36FBC">
              <w:rPr>
                <w:rFonts w:cs="Tahoma"/>
              </w:rPr>
              <w:t>Not serious</w:t>
            </w:r>
          </w:p>
        </w:tc>
        <w:tc>
          <w:tcPr>
            <w:tcW w:w="931" w:type="dxa"/>
          </w:tcPr>
          <w:p w:rsidR="00CC3BA4" w:rsidRPr="00D36FBC" w:rsidRDefault="00CC3BA4" w:rsidP="00F13836">
            <w:pPr>
              <w:pStyle w:val="Tabletext"/>
              <w:rPr>
                <w:rFonts w:cs="Tahoma"/>
              </w:rPr>
            </w:pPr>
            <w:r w:rsidRPr="00D36FBC">
              <w:rPr>
                <w:rFonts w:cs="Tahoma"/>
              </w:rPr>
              <w:t>Not serious</w:t>
            </w:r>
          </w:p>
        </w:tc>
        <w:tc>
          <w:tcPr>
            <w:tcW w:w="992" w:type="dxa"/>
          </w:tcPr>
          <w:p w:rsidR="00CC3BA4" w:rsidRPr="00C05257" w:rsidRDefault="0084434D" w:rsidP="00F13836">
            <w:pPr>
              <w:pStyle w:val="Tabletext"/>
              <w:rPr>
                <w:rFonts w:cs="Tahoma"/>
                <w:vertAlign w:val="superscript"/>
              </w:rPr>
            </w:pPr>
            <w:r>
              <w:rPr>
                <w:rFonts w:cs="Tahoma"/>
              </w:rPr>
              <w:t>S</w:t>
            </w:r>
            <w:r w:rsidR="00CC3BA4" w:rsidRPr="00D36FBC">
              <w:rPr>
                <w:rFonts w:cs="Tahoma"/>
              </w:rPr>
              <w:t>erious</w:t>
            </w:r>
            <w:r>
              <w:rPr>
                <w:rFonts w:cs="Tahoma"/>
              </w:rPr>
              <w:t xml:space="preserve"> </w:t>
            </w:r>
            <w:r>
              <w:rPr>
                <w:rFonts w:cs="Tahoma"/>
                <w:vertAlign w:val="superscript"/>
              </w:rPr>
              <w:t>c</w:t>
            </w:r>
          </w:p>
        </w:tc>
        <w:tc>
          <w:tcPr>
            <w:tcW w:w="992" w:type="dxa"/>
          </w:tcPr>
          <w:p w:rsidR="00CC3BA4" w:rsidRPr="00D36FBC" w:rsidRDefault="00CC3BA4" w:rsidP="00F13836">
            <w:pPr>
              <w:pStyle w:val="Tabletext"/>
              <w:rPr>
                <w:rFonts w:cs="Tahoma"/>
              </w:rPr>
            </w:pPr>
            <w:r w:rsidRPr="00D36FBC">
              <w:rPr>
                <w:rFonts w:cs="Tahoma"/>
              </w:rPr>
              <w:t>Not serious</w:t>
            </w:r>
          </w:p>
        </w:tc>
        <w:tc>
          <w:tcPr>
            <w:tcW w:w="1276" w:type="dxa"/>
          </w:tcPr>
          <w:p w:rsidR="00CC3BA4" w:rsidRPr="00D36FBC" w:rsidRDefault="00CC3BA4" w:rsidP="00F13836">
            <w:pPr>
              <w:pStyle w:val="Tabletext"/>
              <w:rPr>
                <w:rFonts w:cs="Tahoma"/>
              </w:rPr>
            </w:pPr>
            <w:r w:rsidRPr="00D36FBC">
              <w:rPr>
                <w:rFonts w:cs="Tahoma"/>
              </w:rPr>
              <w:t>None</w:t>
            </w:r>
          </w:p>
        </w:tc>
        <w:tc>
          <w:tcPr>
            <w:tcW w:w="1417" w:type="dxa"/>
          </w:tcPr>
          <w:p w:rsidR="00CC3BA4" w:rsidRPr="00386993" w:rsidRDefault="00CC3BA4" w:rsidP="00386993">
            <w:pPr>
              <w:pStyle w:val="Tabletext"/>
              <w:rPr>
                <w:highlight w:val="cyan"/>
              </w:rPr>
            </w:pPr>
            <w:r w:rsidRPr="00386993">
              <w:t>48 patients tested</w:t>
            </w:r>
          </w:p>
        </w:tc>
        <w:tc>
          <w:tcPr>
            <w:tcW w:w="1134" w:type="dxa"/>
          </w:tcPr>
          <w:p w:rsidR="00CC3BA4" w:rsidRPr="00386993" w:rsidRDefault="00CC3BA4" w:rsidP="00386993">
            <w:pPr>
              <w:pStyle w:val="Tabletext"/>
              <w:rPr>
                <w:highlight w:val="cyan"/>
              </w:rPr>
            </w:pPr>
            <w:r w:rsidRPr="00386993">
              <w:rPr>
                <w:rStyle w:val="cell-value"/>
              </w:rPr>
              <w:t>61</w:t>
            </w:r>
            <w:r w:rsidRPr="00386993">
              <w:t xml:space="preserve"> patients tested</w:t>
            </w:r>
          </w:p>
        </w:tc>
        <w:tc>
          <w:tcPr>
            <w:tcW w:w="993" w:type="dxa"/>
          </w:tcPr>
          <w:p w:rsidR="00CC3BA4" w:rsidRPr="00D36FBC" w:rsidRDefault="00CC3BA4" w:rsidP="00F13836">
            <w:pPr>
              <w:pStyle w:val="Tabletext"/>
              <w:rPr>
                <w:rFonts w:cs="Tahoma"/>
                <w:highlight w:val="cyan"/>
              </w:rPr>
            </w:pPr>
            <w:r>
              <w:rPr>
                <w:rFonts w:cs="Tahoma"/>
              </w:rPr>
              <w:t>-</w:t>
            </w:r>
          </w:p>
        </w:tc>
        <w:tc>
          <w:tcPr>
            <w:tcW w:w="2188" w:type="dxa"/>
          </w:tcPr>
          <w:p w:rsidR="00CC3BA4" w:rsidRPr="00D36FBC" w:rsidRDefault="00CC3BA4" w:rsidP="001F1FDD">
            <w:pPr>
              <w:pStyle w:val="Tabletext"/>
              <w:rPr>
                <w:rFonts w:cs="Tahoma"/>
                <w:highlight w:val="cyan"/>
              </w:rPr>
            </w:pPr>
            <w:r>
              <w:rPr>
                <w:rFonts w:cs="Tahoma"/>
              </w:rPr>
              <w:t>Median</w:t>
            </w:r>
            <w:r w:rsidR="00386993">
              <w:rPr>
                <w:rFonts w:cs="Tahoma"/>
              </w:rPr>
              <w:t xml:space="preserve"> </w:t>
            </w:r>
            <w:r w:rsidR="00E25FAA">
              <w:rPr>
                <w:rFonts w:cs="Tahoma"/>
              </w:rPr>
              <w:t>MD</w:t>
            </w:r>
            <w:r>
              <w:rPr>
                <w:rFonts w:cs="Tahoma"/>
              </w:rPr>
              <w:t xml:space="preserve"> 16.8 m further</w:t>
            </w:r>
            <w:r w:rsidR="00386993">
              <w:rPr>
                <w:rFonts w:cs="Tahoma"/>
              </w:rPr>
              <w:t xml:space="preserve"> </w:t>
            </w:r>
            <w:r>
              <w:rPr>
                <w:rFonts w:cs="Tahoma"/>
              </w:rPr>
              <w:t>(range</w:t>
            </w:r>
            <w:r w:rsidRPr="00944F0A">
              <w:rPr>
                <w:rFonts w:cs="Tahoma"/>
              </w:rPr>
              <w:t xml:space="preserve"> </w:t>
            </w:r>
            <w:r>
              <w:rPr>
                <w:rFonts w:cs="Tahoma"/>
              </w:rPr>
              <w:t>13.5</w:t>
            </w:r>
            <w:r w:rsidRPr="00944F0A">
              <w:rPr>
                <w:rFonts w:cs="Tahoma"/>
              </w:rPr>
              <w:t xml:space="preserve"> </w:t>
            </w:r>
            <w:r>
              <w:rPr>
                <w:rFonts w:cs="Tahoma"/>
              </w:rPr>
              <w:t>m further</w:t>
            </w:r>
            <w:r w:rsidRPr="00944F0A">
              <w:rPr>
                <w:rFonts w:cs="Tahoma"/>
              </w:rPr>
              <w:t xml:space="preserve"> to </w:t>
            </w:r>
            <w:r>
              <w:rPr>
                <w:rFonts w:cs="Tahoma"/>
              </w:rPr>
              <w:t>20.1 m further)</w:t>
            </w:r>
          </w:p>
        </w:tc>
        <w:tc>
          <w:tcPr>
            <w:tcW w:w="1214" w:type="dxa"/>
          </w:tcPr>
          <w:p w:rsidR="00CC3BA4" w:rsidRDefault="0084434D" w:rsidP="00F13836">
            <w:pPr>
              <w:pStyle w:val="Tabletext"/>
              <w:rPr>
                <w:rFonts w:ascii="Cambria Math" w:eastAsia="Times New Roman" w:hAnsi="Cambria Math" w:cs="Cambria Math"/>
                <w:bCs/>
              </w:rPr>
            </w:pPr>
            <w:r>
              <w:rPr>
                <w:rFonts w:eastAsia="Times New Roman" w:cs="Tahoma"/>
                <w:bCs/>
              </w:rPr>
              <w:t>Moderate</w:t>
            </w:r>
            <w:r w:rsidR="00CC3BA4">
              <w:rPr>
                <w:rFonts w:eastAsia="Times New Roman" w:cs="Tahoma"/>
                <w:bCs/>
              </w:rPr>
              <w:br/>
            </w:r>
            <w:r w:rsidR="00CC3BA4">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D36FBC" w:rsidRDefault="00B14FF5" w:rsidP="00F13836">
            <w:pPr>
              <w:pStyle w:val="Tabletext"/>
              <w:rPr>
                <w:rFonts w:cs="Tahoma"/>
              </w:rPr>
            </w:pPr>
            <w:r>
              <w:rPr>
                <w:rFonts w:cs="Tahoma"/>
              </w:rPr>
              <w:t>I</w:t>
            </w:r>
            <w:r w:rsidR="00CC3BA4" w:rsidRPr="00E564DD">
              <w:rPr>
                <w:rFonts w:cs="Tahoma"/>
              </w:rPr>
              <w:t>mportant</w:t>
            </w:r>
          </w:p>
        </w:tc>
      </w:tr>
    </w:tbl>
    <w:p w:rsidR="00CC3BA4" w:rsidRPr="00AA018C" w:rsidRDefault="00CC3BA4" w:rsidP="00F13836">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F13836">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84434D" w:rsidRPr="0084434D" w:rsidRDefault="0084434D" w:rsidP="00F13836">
      <w:pPr>
        <w:pStyle w:val="Tablenote"/>
      </w:pPr>
      <w:proofErr w:type="gramStart"/>
      <w:r>
        <w:rPr>
          <w:vertAlign w:val="superscript"/>
        </w:rPr>
        <w:t>c</w:t>
      </w:r>
      <w:proofErr w:type="gramEnd"/>
      <w:r>
        <w:rPr>
          <w:vertAlign w:val="superscript"/>
        </w:rPr>
        <w:t xml:space="preserve"> </w:t>
      </w:r>
      <w:r>
        <w:t>Surrogate outcome</w:t>
      </w:r>
    </w:p>
    <w:p w:rsidR="00312FDE" w:rsidRPr="00E564DD" w:rsidRDefault="00312FDE" w:rsidP="00312FDE">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7C6567" w:rsidRDefault="00CC3BA4" w:rsidP="00F13836">
      <w:pPr>
        <w:pStyle w:val="Tablenote"/>
      </w:pPr>
      <w:r>
        <w:t xml:space="preserve">6MWD = 6-minute </w:t>
      </w:r>
      <w:r w:rsidR="0082368E">
        <w:t>walk distance</w:t>
      </w:r>
      <w:r>
        <w: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7C6567" w:rsidRPr="00F24B06">
        <w:t xml:space="preserve">; </w:t>
      </w:r>
      <w:r w:rsidRPr="00C65B42">
        <w:t xml:space="preserve">PAH = pulmonary arterial hypertension; </w:t>
      </w:r>
      <w:r w:rsidRPr="009B5AB3">
        <w:t>PDE-5</w:t>
      </w:r>
      <w:r w:rsidR="007C6567">
        <w:t>i</w:t>
      </w:r>
      <w:r w:rsidRPr="009B5AB3">
        <w:t xml:space="preserve"> = phosphodiesterase type-5</w:t>
      </w:r>
      <w:r w:rsidR="007C6567">
        <w:t xml:space="preserve"> inhibitor</w:t>
      </w:r>
      <w:r>
        <w:t>;</w:t>
      </w:r>
      <w:r w:rsidRPr="009B5AB3">
        <w:t xml:space="preserve"> </w:t>
      </w:r>
      <w:r>
        <w:t>RCT = randomised controlled trial; WHO = World Health Organization</w:t>
      </w:r>
    </w:p>
    <w:p w:rsidR="009F1E35" w:rsidRDefault="009F1E35">
      <w:pPr>
        <w:spacing w:before="0" w:line="240" w:lineRule="auto"/>
        <w:rPr>
          <w:b/>
          <w:iCs/>
          <w:szCs w:val="18"/>
        </w:rPr>
      </w:pPr>
      <w:bookmarkStart w:id="525" w:name="_Ref505777379"/>
      <w:bookmarkStart w:id="526" w:name="_Toc38360455"/>
      <w:r>
        <w:br w:type="page"/>
      </w:r>
    </w:p>
    <w:p w:rsidR="00CC3BA4" w:rsidRPr="005D4CA0" w:rsidRDefault="00796F18" w:rsidP="00BC5A2B">
      <w:pPr>
        <w:pStyle w:val="Caption"/>
      </w:pPr>
      <w:r>
        <w:lastRenderedPageBreak/>
        <w:t>Table 4.</w:t>
      </w:r>
      <w:r w:rsidR="003951FA">
        <w:rPr>
          <w:noProof/>
        </w:rPr>
        <w:t>158</w:t>
      </w:r>
      <w:bookmarkEnd w:id="525"/>
      <w:r>
        <w:tab/>
      </w:r>
      <w:r w:rsidR="00CC3BA4" w:rsidRPr="005D4CA0">
        <w:t xml:space="preserve">Evidence profile table for </w:t>
      </w:r>
      <w:r w:rsidR="00CC3BA4">
        <w:t xml:space="preserve">effectiveness of PDE-5 inhibitor </w:t>
      </w:r>
      <w:r w:rsidR="006A0576">
        <w:t>plus</w:t>
      </w:r>
      <w:r w:rsidR="00CC3BA4">
        <w:t xml:space="preserve"> </w:t>
      </w:r>
      <w:r w:rsidR="00CC3BA4" w:rsidRPr="005D4CA0">
        <w:t xml:space="preserve">ERA </w:t>
      </w:r>
      <w:r w:rsidR="00CC3BA4">
        <w:t xml:space="preserve">combination therapy </w:t>
      </w:r>
      <w:r w:rsidR="00CC3BA4" w:rsidRPr="005D4CA0">
        <w:t xml:space="preserve">compared to </w:t>
      </w:r>
      <w:r w:rsidR="00CC3BA4">
        <w:t>ERA</w:t>
      </w:r>
      <w:r w:rsidR="00CC3BA4" w:rsidRPr="005D4CA0">
        <w:t xml:space="preserve"> </w:t>
      </w:r>
      <w:r w:rsidR="00CC3BA4">
        <w:t xml:space="preserve">monotherapy </w:t>
      </w:r>
      <w:r w:rsidR="00CC3BA4" w:rsidRPr="005D4CA0">
        <w:t xml:space="preserve">for </w:t>
      </w:r>
      <w:r w:rsidR="00CC3BA4">
        <w:t>patients</w:t>
      </w:r>
      <w:r w:rsidR="00CC3BA4" w:rsidRPr="00272494">
        <w:t xml:space="preserve"> with different PAH aetiologies</w:t>
      </w:r>
      <w:bookmarkEnd w:id="526"/>
    </w:p>
    <w:tbl>
      <w:tblPr>
        <w:tblStyle w:val="TableGrid"/>
        <w:tblW w:w="14596" w:type="dxa"/>
        <w:tblLayout w:type="fixed"/>
        <w:tblLook w:val="04A0" w:firstRow="1" w:lastRow="0" w:firstColumn="1" w:lastColumn="0" w:noHBand="0" w:noVBand="1"/>
        <w:tblCaption w:val="Evidence profile table for effectiveness of PDE-5 inhibitor plus ERA combination therapy compared to ERA monotherapy for patients with different PAH aetiologies"/>
      </w:tblPr>
      <w:tblGrid>
        <w:gridCol w:w="1493"/>
        <w:gridCol w:w="1054"/>
        <w:gridCol w:w="912"/>
        <w:gridCol w:w="931"/>
        <w:gridCol w:w="992"/>
        <w:gridCol w:w="992"/>
        <w:gridCol w:w="1276"/>
        <w:gridCol w:w="1417"/>
        <w:gridCol w:w="1134"/>
        <w:gridCol w:w="993"/>
        <w:gridCol w:w="2188"/>
        <w:gridCol w:w="1214"/>
      </w:tblGrid>
      <w:tr w:rsidR="0037584C" w:rsidRPr="0037584C" w:rsidTr="00115AB1">
        <w:trPr>
          <w:cnfStyle w:val="100000000000" w:firstRow="1" w:lastRow="0" w:firstColumn="0" w:lastColumn="0" w:oddVBand="0" w:evenVBand="0" w:oddHBand="0" w:evenHBand="0" w:firstRowFirstColumn="0" w:firstRowLastColumn="0" w:lastRowFirstColumn="0" w:lastRowLastColumn="0"/>
          <w:trHeight w:val="788"/>
        </w:trPr>
        <w:tc>
          <w:tcPr>
            <w:tcW w:w="1493" w:type="dxa"/>
          </w:tcPr>
          <w:p w:rsidR="00CC3BA4" w:rsidRPr="0037584C" w:rsidRDefault="00CC3BA4" w:rsidP="0037584C">
            <w:pPr>
              <w:pStyle w:val="Tabletext"/>
              <w:rPr>
                <w:b/>
              </w:rPr>
            </w:pPr>
            <w:r w:rsidRPr="0037584C">
              <w:rPr>
                <w:b/>
              </w:rPr>
              <w:t>Outcome (follow-up)</w:t>
            </w:r>
          </w:p>
        </w:tc>
        <w:tc>
          <w:tcPr>
            <w:tcW w:w="1054" w:type="dxa"/>
          </w:tcPr>
          <w:p w:rsidR="00CC3BA4" w:rsidRPr="0037584C" w:rsidRDefault="00CC3BA4" w:rsidP="0037584C">
            <w:pPr>
              <w:pStyle w:val="Tabletext"/>
              <w:rPr>
                <w:b/>
              </w:rPr>
            </w:pPr>
            <w:r w:rsidRPr="0037584C">
              <w:rPr>
                <w:b/>
              </w:rPr>
              <w:t>No. of studies and study design</w:t>
            </w:r>
          </w:p>
        </w:tc>
        <w:tc>
          <w:tcPr>
            <w:tcW w:w="912" w:type="dxa"/>
          </w:tcPr>
          <w:p w:rsidR="00CC3BA4" w:rsidRPr="0037584C" w:rsidRDefault="00CC3BA4" w:rsidP="0037584C">
            <w:pPr>
              <w:pStyle w:val="Tabletext"/>
              <w:rPr>
                <w:b/>
              </w:rPr>
            </w:pPr>
            <w:r w:rsidRPr="0037584C">
              <w:rPr>
                <w:b/>
              </w:rPr>
              <w:t>Risk of bias</w:t>
            </w:r>
          </w:p>
        </w:tc>
        <w:tc>
          <w:tcPr>
            <w:tcW w:w="931" w:type="dxa"/>
          </w:tcPr>
          <w:p w:rsidR="00CC3BA4" w:rsidRPr="0037584C" w:rsidRDefault="00CC3BA4" w:rsidP="0037584C">
            <w:pPr>
              <w:pStyle w:val="Tabletext"/>
              <w:rPr>
                <w:b/>
              </w:rPr>
            </w:pPr>
            <w:r w:rsidRPr="0037584C">
              <w:rPr>
                <w:b/>
              </w:rPr>
              <w:t>Inconsis-tency</w:t>
            </w:r>
          </w:p>
        </w:tc>
        <w:tc>
          <w:tcPr>
            <w:tcW w:w="992" w:type="dxa"/>
          </w:tcPr>
          <w:p w:rsidR="00CC3BA4" w:rsidRPr="0037584C" w:rsidRDefault="00CC3BA4" w:rsidP="0037584C">
            <w:pPr>
              <w:pStyle w:val="Tabletext"/>
              <w:rPr>
                <w:b/>
              </w:rPr>
            </w:pPr>
            <w:r w:rsidRPr="0037584C">
              <w:rPr>
                <w:b/>
              </w:rPr>
              <w:t>Indirect-ness</w:t>
            </w:r>
          </w:p>
        </w:tc>
        <w:tc>
          <w:tcPr>
            <w:tcW w:w="992" w:type="dxa"/>
          </w:tcPr>
          <w:p w:rsidR="00CC3BA4" w:rsidRPr="0037584C" w:rsidRDefault="00CC3BA4" w:rsidP="0037584C">
            <w:pPr>
              <w:pStyle w:val="Tabletext"/>
              <w:rPr>
                <w:b/>
              </w:rPr>
            </w:pPr>
            <w:r w:rsidRPr="0037584C">
              <w:rPr>
                <w:b/>
              </w:rPr>
              <w:t>Impre</w:t>
            </w:r>
            <w:r w:rsidR="00115AB1">
              <w:rPr>
                <w:b/>
              </w:rPr>
              <w:t>-</w:t>
            </w:r>
            <w:r w:rsidRPr="0037584C">
              <w:rPr>
                <w:b/>
              </w:rPr>
              <w:t>c</w:t>
            </w:r>
          </w:p>
          <w:p w:rsidR="00CC3BA4" w:rsidRPr="0037584C" w:rsidRDefault="00CC3BA4" w:rsidP="0037584C">
            <w:pPr>
              <w:pStyle w:val="Tabletext"/>
              <w:rPr>
                <w:b/>
              </w:rPr>
            </w:pPr>
            <w:r w:rsidRPr="0037584C">
              <w:rPr>
                <w:b/>
              </w:rPr>
              <w:t>ision</w:t>
            </w:r>
          </w:p>
        </w:tc>
        <w:tc>
          <w:tcPr>
            <w:tcW w:w="1276" w:type="dxa"/>
          </w:tcPr>
          <w:p w:rsidR="00CC3BA4" w:rsidRPr="0037584C" w:rsidRDefault="00CC3BA4" w:rsidP="0037584C">
            <w:pPr>
              <w:pStyle w:val="Tabletext"/>
              <w:rPr>
                <w:b/>
              </w:rPr>
            </w:pPr>
            <w:r w:rsidRPr="0037584C">
              <w:rPr>
                <w:b/>
              </w:rPr>
              <w:t xml:space="preserve">Other considera-tion </w:t>
            </w:r>
            <w:r w:rsidRPr="0037584C">
              <w:rPr>
                <w:b/>
                <w:vertAlign w:val="superscript"/>
              </w:rPr>
              <w:t>a</w:t>
            </w:r>
          </w:p>
        </w:tc>
        <w:tc>
          <w:tcPr>
            <w:tcW w:w="1417" w:type="dxa"/>
          </w:tcPr>
          <w:p w:rsidR="00CC3BA4" w:rsidRPr="0037584C" w:rsidRDefault="00CC3BA4" w:rsidP="0037584C">
            <w:pPr>
              <w:pStyle w:val="Tabletext"/>
              <w:rPr>
                <w:b/>
              </w:rPr>
            </w:pPr>
            <w:r w:rsidRPr="0037584C">
              <w:rPr>
                <w:b/>
              </w:rPr>
              <w:t>Study event rates (%) with PDE-5i + ERA</w:t>
            </w:r>
          </w:p>
        </w:tc>
        <w:tc>
          <w:tcPr>
            <w:tcW w:w="1134" w:type="dxa"/>
          </w:tcPr>
          <w:p w:rsidR="00CC3BA4" w:rsidRPr="0037584C" w:rsidRDefault="00CC3BA4" w:rsidP="0037584C">
            <w:pPr>
              <w:pStyle w:val="Tabletext"/>
              <w:rPr>
                <w:b/>
              </w:rPr>
            </w:pPr>
            <w:r w:rsidRPr="0037584C">
              <w:rPr>
                <w:b/>
              </w:rPr>
              <w:t>Study event rates (%) with ERA</w:t>
            </w:r>
          </w:p>
        </w:tc>
        <w:tc>
          <w:tcPr>
            <w:tcW w:w="993" w:type="dxa"/>
          </w:tcPr>
          <w:p w:rsidR="00CC3BA4" w:rsidRPr="0037584C" w:rsidRDefault="00CC3BA4" w:rsidP="0037584C">
            <w:pPr>
              <w:pStyle w:val="Tabletext"/>
              <w:rPr>
                <w:b/>
              </w:rPr>
            </w:pPr>
            <w:r w:rsidRPr="0037584C">
              <w:rPr>
                <w:b/>
              </w:rPr>
              <w:t>Effect measure (95%CI)</w:t>
            </w:r>
          </w:p>
        </w:tc>
        <w:tc>
          <w:tcPr>
            <w:tcW w:w="2188" w:type="dxa"/>
          </w:tcPr>
          <w:p w:rsidR="00CC3BA4" w:rsidRPr="0037584C" w:rsidRDefault="00CC3BA4" w:rsidP="0037584C">
            <w:pPr>
              <w:pStyle w:val="Tabletext"/>
              <w:rPr>
                <w:b/>
              </w:rPr>
            </w:pPr>
            <w:r w:rsidRPr="0037584C">
              <w:rPr>
                <w:b/>
              </w:rPr>
              <w:t>Absolute effect (95%CI)</w:t>
            </w:r>
          </w:p>
        </w:tc>
        <w:tc>
          <w:tcPr>
            <w:tcW w:w="1214" w:type="dxa"/>
          </w:tcPr>
          <w:p w:rsidR="007C6567" w:rsidRDefault="007C6567" w:rsidP="0037584C">
            <w:pPr>
              <w:pStyle w:val="Tabletext"/>
              <w:rPr>
                <w:b/>
              </w:rPr>
            </w:pPr>
            <w:r>
              <w:rPr>
                <w:b/>
              </w:rPr>
              <w:t>GRADE</w:t>
            </w:r>
            <w:r w:rsidRPr="007C6567">
              <w:rPr>
                <w:b/>
                <w:vertAlign w:val="superscript"/>
              </w:rPr>
              <w:t>b</w:t>
            </w:r>
          </w:p>
          <w:p w:rsidR="00CC3BA4" w:rsidRPr="0037584C" w:rsidRDefault="00CC3BA4" w:rsidP="0037584C">
            <w:pPr>
              <w:pStyle w:val="Tabletext"/>
              <w:rPr>
                <w:b/>
                <w:vertAlign w:val="superscript"/>
              </w:rPr>
            </w:pPr>
            <w:r w:rsidRPr="0037584C">
              <w:rPr>
                <w:b/>
              </w:rPr>
              <w:t>Quality</w:t>
            </w:r>
          </w:p>
          <w:p w:rsidR="00CC3BA4" w:rsidRPr="0037584C" w:rsidRDefault="00CC3BA4" w:rsidP="0037584C">
            <w:pPr>
              <w:pStyle w:val="Tabletext"/>
              <w:rPr>
                <w:b/>
              </w:rPr>
            </w:pPr>
            <w:r w:rsidRPr="0037584C">
              <w:rPr>
                <w:b/>
              </w:rPr>
              <w:t>Importance</w:t>
            </w:r>
          </w:p>
        </w:tc>
      </w:tr>
      <w:tr w:rsidR="00CC3BA4" w:rsidRPr="00D36FBC" w:rsidTr="00115AB1">
        <w:trPr>
          <w:trHeight w:val="319"/>
        </w:trPr>
        <w:tc>
          <w:tcPr>
            <w:tcW w:w="1493" w:type="dxa"/>
          </w:tcPr>
          <w:p w:rsidR="00CC3BA4" w:rsidRPr="00D36FBC" w:rsidRDefault="00CC3BA4" w:rsidP="0037584C">
            <w:pPr>
              <w:pStyle w:val="Tabletext"/>
              <w:rPr>
                <w:rFonts w:cs="Tahoma"/>
              </w:rPr>
            </w:pPr>
            <w:r w:rsidRPr="00D36FBC">
              <w:rPr>
                <w:rFonts w:cs="Tahoma"/>
              </w:rPr>
              <w:t xml:space="preserve">Clinical worsening </w:t>
            </w:r>
            <w:r>
              <w:rPr>
                <w:rFonts w:cs="Tahoma"/>
              </w:rPr>
              <w:t>in PAH CTD</w:t>
            </w:r>
            <w:r>
              <w:rPr>
                <w:rFonts w:cs="Tahoma"/>
              </w:rPr>
              <w:br/>
              <w:t>(74</w:t>
            </w:r>
            <w:r w:rsidRPr="00D36FBC">
              <w:rPr>
                <w:rFonts w:cs="Tahoma"/>
              </w:rPr>
              <w:t xml:space="preserve"> weeks)</w:t>
            </w:r>
          </w:p>
        </w:tc>
        <w:tc>
          <w:tcPr>
            <w:tcW w:w="1054" w:type="dxa"/>
          </w:tcPr>
          <w:p w:rsidR="00CC3BA4" w:rsidRPr="00D36FBC" w:rsidRDefault="00CC3BA4" w:rsidP="0037584C">
            <w:pPr>
              <w:pStyle w:val="Tabletext"/>
              <w:rPr>
                <w:rFonts w:cs="Tahoma"/>
              </w:rPr>
            </w:pPr>
            <w:r>
              <w:rPr>
                <w:rFonts w:cs="Tahoma"/>
              </w:rPr>
              <w:t>1</w:t>
            </w:r>
            <w:r w:rsidRPr="00D36FBC">
              <w:rPr>
                <w:rFonts w:cs="Tahoma"/>
              </w:rPr>
              <w:t xml:space="preserve"> RCT</w:t>
            </w:r>
          </w:p>
        </w:tc>
        <w:tc>
          <w:tcPr>
            <w:tcW w:w="912" w:type="dxa"/>
          </w:tcPr>
          <w:p w:rsidR="00CC3BA4" w:rsidRPr="00D36FBC" w:rsidRDefault="00CC3BA4" w:rsidP="0037584C">
            <w:pPr>
              <w:pStyle w:val="Tabletext"/>
              <w:rPr>
                <w:rFonts w:cs="Tahoma"/>
              </w:rPr>
            </w:pPr>
            <w:r w:rsidRPr="00D36FBC">
              <w:rPr>
                <w:rFonts w:cs="Tahoma"/>
              </w:rPr>
              <w:t>Not serious</w:t>
            </w:r>
          </w:p>
        </w:tc>
        <w:tc>
          <w:tcPr>
            <w:tcW w:w="931" w:type="dxa"/>
          </w:tcPr>
          <w:p w:rsidR="00CC3BA4" w:rsidRPr="00D36FBC" w:rsidRDefault="00CC3BA4" w:rsidP="0037584C">
            <w:pPr>
              <w:pStyle w:val="Tabletext"/>
              <w:rPr>
                <w:rFonts w:cs="Tahoma"/>
              </w:rPr>
            </w:pPr>
            <w:r w:rsidRPr="00D36FBC">
              <w:rPr>
                <w:rFonts w:cs="Tahoma"/>
              </w:rPr>
              <w:t>Not serious</w:t>
            </w:r>
          </w:p>
        </w:tc>
        <w:tc>
          <w:tcPr>
            <w:tcW w:w="992" w:type="dxa"/>
          </w:tcPr>
          <w:p w:rsidR="00CC3BA4" w:rsidRPr="00D36FBC" w:rsidRDefault="00CC3BA4" w:rsidP="0037584C">
            <w:pPr>
              <w:pStyle w:val="Tabletext"/>
              <w:rPr>
                <w:rFonts w:cs="Tahoma"/>
              </w:rPr>
            </w:pPr>
            <w:r w:rsidRPr="00D36FBC">
              <w:rPr>
                <w:rFonts w:cs="Tahoma"/>
              </w:rPr>
              <w:t>Not serious</w:t>
            </w:r>
          </w:p>
        </w:tc>
        <w:tc>
          <w:tcPr>
            <w:tcW w:w="992" w:type="dxa"/>
          </w:tcPr>
          <w:p w:rsidR="00CC3BA4" w:rsidRPr="00D36FBC" w:rsidRDefault="00CC3BA4" w:rsidP="0037584C">
            <w:pPr>
              <w:pStyle w:val="Tabletext"/>
              <w:rPr>
                <w:rFonts w:cs="Tahoma"/>
              </w:rPr>
            </w:pPr>
            <w:r>
              <w:rPr>
                <w:rFonts w:cs="Tahoma"/>
              </w:rPr>
              <w:t>Not serious</w:t>
            </w:r>
          </w:p>
        </w:tc>
        <w:tc>
          <w:tcPr>
            <w:tcW w:w="1276" w:type="dxa"/>
          </w:tcPr>
          <w:p w:rsidR="00CC3BA4" w:rsidRPr="00D36FBC" w:rsidRDefault="00CC3BA4" w:rsidP="0037584C">
            <w:pPr>
              <w:pStyle w:val="Tabletext"/>
              <w:rPr>
                <w:rFonts w:cs="Tahoma"/>
              </w:rPr>
            </w:pPr>
            <w:r>
              <w:rPr>
                <w:rFonts w:cs="Tahoma"/>
              </w:rPr>
              <w:t>Strong association</w:t>
            </w:r>
          </w:p>
        </w:tc>
        <w:tc>
          <w:tcPr>
            <w:tcW w:w="1417" w:type="dxa"/>
          </w:tcPr>
          <w:p w:rsidR="00CC3BA4" w:rsidRPr="00466E66" w:rsidRDefault="00CC3BA4" w:rsidP="0037584C">
            <w:pPr>
              <w:pStyle w:val="Tabletext"/>
              <w:rPr>
                <w:rFonts w:cs="Tahoma"/>
              </w:rPr>
            </w:pPr>
            <w:r>
              <w:rPr>
                <w:rFonts w:cs="Tahoma"/>
              </w:rPr>
              <w:t>2/103 (1.9%)</w:t>
            </w:r>
          </w:p>
        </w:tc>
        <w:tc>
          <w:tcPr>
            <w:tcW w:w="1134" w:type="dxa"/>
          </w:tcPr>
          <w:p w:rsidR="00CC3BA4" w:rsidRPr="001D2AD7" w:rsidRDefault="00CC3BA4" w:rsidP="0037584C">
            <w:pPr>
              <w:pStyle w:val="Tabletext"/>
              <w:rPr>
                <w:rFonts w:cs="Tahoma"/>
                <w:highlight w:val="cyan"/>
              </w:rPr>
            </w:pPr>
            <w:r w:rsidRPr="00605AC1">
              <w:rPr>
                <w:rFonts w:cs="Tahoma"/>
              </w:rPr>
              <w:t>-/44</w:t>
            </w:r>
          </w:p>
        </w:tc>
        <w:tc>
          <w:tcPr>
            <w:tcW w:w="993" w:type="dxa"/>
          </w:tcPr>
          <w:p w:rsidR="00CC3BA4" w:rsidRPr="001D2AD7" w:rsidRDefault="00CC3BA4" w:rsidP="0037584C">
            <w:pPr>
              <w:pStyle w:val="Tabletext"/>
              <w:rPr>
                <w:rFonts w:cs="Tahoma"/>
                <w:highlight w:val="cyan"/>
              </w:rPr>
            </w:pPr>
            <w:r w:rsidRPr="00605AC1">
              <w:rPr>
                <w:rFonts w:cs="Tahoma"/>
              </w:rPr>
              <w:t>HR</w:t>
            </w:r>
            <w:r>
              <w:rPr>
                <w:rFonts w:cs="Tahoma"/>
              </w:rPr>
              <w:t xml:space="preserve"> =</w:t>
            </w:r>
            <w:r w:rsidRPr="00605AC1">
              <w:rPr>
                <w:rFonts w:cs="Tahoma"/>
              </w:rPr>
              <w:t xml:space="preserve"> 0.51</w:t>
            </w:r>
            <w:r>
              <w:rPr>
                <w:rFonts w:cs="Tahoma"/>
              </w:rPr>
              <w:t xml:space="preserve"> </w:t>
            </w:r>
            <w:r w:rsidRPr="00605AC1">
              <w:rPr>
                <w:rFonts w:cs="Tahoma"/>
              </w:rPr>
              <w:t>(0.25</w:t>
            </w:r>
            <w:r>
              <w:rPr>
                <w:rFonts w:cs="Tahoma"/>
              </w:rPr>
              <w:t>,</w:t>
            </w:r>
            <w:r w:rsidRPr="00605AC1">
              <w:rPr>
                <w:rFonts w:cs="Tahoma"/>
              </w:rPr>
              <w:t xml:space="preserve"> 1.01)</w:t>
            </w:r>
          </w:p>
        </w:tc>
        <w:tc>
          <w:tcPr>
            <w:tcW w:w="2188" w:type="dxa"/>
          </w:tcPr>
          <w:p w:rsidR="00CC3BA4" w:rsidRPr="00D36FBC" w:rsidRDefault="00CC3BA4" w:rsidP="0037584C">
            <w:pPr>
              <w:pStyle w:val="Tabletext"/>
              <w:rPr>
                <w:rFonts w:cs="Tahoma"/>
                <w:highlight w:val="cyan"/>
              </w:rPr>
            </w:pPr>
            <w:r>
              <w:rPr>
                <w:rFonts w:cs="Tahoma"/>
              </w:rPr>
              <w:t>Not estimable</w:t>
            </w:r>
          </w:p>
        </w:tc>
        <w:tc>
          <w:tcPr>
            <w:tcW w:w="1214" w:type="dxa"/>
          </w:tcPr>
          <w:p w:rsidR="00CC3BA4" w:rsidRDefault="00CC3BA4" w:rsidP="0037584C">
            <w:pPr>
              <w:pStyle w:val="Tabletext"/>
              <w:rPr>
                <w:rFonts w:ascii="Cambria Math" w:eastAsia="Times New Roman" w:hAnsi="Cambria Math" w:cs="Cambria Math"/>
                <w:bCs/>
              </w:rPr>
            </w:pPr>
            <w:r w:rsidRPr="00E564DD">
              <w:rPr>
                <w:rFonts w:eastAsia="Times New Roman" w:cs="Tahoma"/>
                <w:bCs/>
              </w:rPr>
              <w:t>High</w:t>
            </w:r>
            <w:r>
              <w:rPr>
                <w:rFonts w:eastAsia="Times New Roman" w:cs="Tahoma"/>
                <w:bCs/>
              </w:rPr>
              <w:br/>
            </w:r>
            <w:r>
              <w:rPr>
                <w:rFonts w:ascii="Cambria Math" w:eastAsia="Times New Roman" w:hAnsi="Cambria Math" w:cs="Cambria Math"/>
                <w:bCs/>
                <w:color w:val="00B050"/>
              </w:rPr>
              <w:t>⨁⨁⨁⨁</w:t>
            </w:r>
          </w:p>
          <w:p w:rsidR="00CC3BA4" w:rsidRPr="00D36FBC" w:rsidRDefault="00CC3BA4" w:rsidP="0037584C">
            <w:pPr>
              <w:pStyle w:val="Tabletext"/>
              <w:rPr>
                <w:rFonts w:cs="Tahoma"/>
              </w:rPr>
            </w:pPr>
            <w:r w:rsidRPr="00E564DD">
              <w:rPr>
                <w:rFonts w:cs="Tahoma"/>
              </w:rPr>
              <w:t>Critical</w:t>
            </w:r>
          </w:p>
        </w:tc>
      </w:tr>
      <w:tr w:rsidR="00CC3BA4" w:rsidRPr="00D36FBC" w:rsidTr="00115AB1">
        <w:trPr>
          <w:trHeight w:val="319"/>
        </w:trPr>
        <w:tc>
          <w:tcPr>
            <w:tcW w:w="1493" w:type="dxa"/>
          </w:tcPr>
          <w:p w:rsidR="00CC3BA4" w:rsidRPr="00D36FBC" w:rsidRDefault="00CC3BA4" w:rsidP="0037584C">
            <w:pPr>
              <w:pStyle w:val="Tabletext"/>
              <w:rPr>
                <w:rFonts w:cs="Tahoma"/>
              </w:rPr>
            </w:pPr>
            <w:r w:rsidRPr="00D36FBC">
              <w:rPr>
                <w:rFonts w:cs="Tahoma"/>
              </w:rPr>
              <w:t>Change in 6MWD from baseline</w:t>
            </w:r>
            <w:r>
              <w:rPr>
                <w:rFonts w:cs="Tahoma"/>
              </w:rPr>
              <w:t xml:space="preserve"> in IPAH/HPAH</w:t>
            </w:r>
            <w:r>
              <w:rPr>
                <w:rFonts w:cs="Tahoma"/>
              </w:rPr>
              <w:br/>
            </w:r>
            <w:r w:rsidRPr="00D36FBC">
              <w:rPr>
                <w:rFonts w:cs="Tahoma"/>
              </w:rPr>
              <w:t xml:space="preserve">(26 weeks) </w:t>
            </w:r>
          </w:p>
        </w:tc>
        <w:tc>
          <w:tcPr>
            <w:tcW w:w="1054" w:type="dxa"/>
          </w:tcPr>
          <w:p w:rsidR="00CC3BA4" w:rsidRPr="00D36FBC" w:rsidRDefault="00CC3BA4" w:rsidP="0037584C">
            <w:pPr>
              <w:pStyle w:val="Tabletext"/>
              <w:rPr>
                <w:rFonts w:cs="Tahoma"/>
              </w:rPr>
            </w:pPr>
            <w:r>
              <w:rPr>
                <w:rFonts w:cs="Tahoma"/>
              </w:rPr>
              <w:t>2</w:t>
            </w:r>
            <w:r w:rsidRPr="00D36FBC">
              <w:rPr>
                <w:rFonts w:cs="Tahoma"/>
              </w:rPr>
              <w:t xml:space="preserve"> RCT</w:t>
            </w:r>
            <w:r>
              <w:rPr>
                <w:rFonts w:cs="Tahoma"/>
              </w:rPr>
              <w:t>s</w:t>
            </w:r>
          </w:p>
        </w:tc>
        <w:tc>
          <w:tcPr>
            <w:tcW w:w="912" w:type="dxa"/>
          </w:tcPr>
          <w:p w:rsidR="00CC3BA4" w:rsidRPr="00D36FBC" w:rsidRDefault="00CC3BA4" w:rsidP="0037584C">
            <w:pPr>
              <w:pStyle w:val="Tabletext"/>
              <w:rPr>
                <w:rFonts w:cs="Tahoma"/>
              </w:rPr>
            </w:pPr>
            <w:r w:rsidRPr="00D36FBC">
              <w:rPr>
                <w:rFonts w:cs="Tahoma"/>
              </w:rPr>
              <w:t>Not serious</w:t>
            </w:r>
          </w:p>
        </w:tc>
        <w:tc>
          <w:tcPr>
            <w:tcW w:w="931" w:type="dxa"/>
          </w:tcPr>
          <w:p w:rsidR="00CC3BA4" w:rsidRPr="00D36FBC" w:rsidRDefault="00CC3BA4" w:rsidP="0037584C">
            <w:pPr>
              <w:pStyle w:val="Tabletext"/>
              <w:rPr>
                <w:rFonts w:cs="Tahoma"/>
              </w:rPr>
            </w:pPr>
            <w:r w:rsidRPr="00D36FBC">
              <w:rPr>
                <w:rFonts w:cs="Tahoma"/>
              </w:rPr>
              <w:t>Not serious</w:t>
            </w:r>
          </w:p>
        </w:tc>
        <w:tc>
          <w:tcPr>
            <w:tcW w:w="992" w:type="dxa"/>
          </w:tcPr>
          <w:p w:rsidR="00CC3BA4" w:rsidRPr="00C05257" w:rsidRDefault="00312FDE" w:rsidP="0037584C">
            <w:pPr>
              <w:pStyle w:val="Tabletext"/>
              <w:rPr>
                <w:rFonts w:cs="Tahoma"/>
                <w:vertAlign w:val="superscript"/>
              </w:rPr>
            </w:pPr>
            <w:r>
              <w:rPr>
                <w:rFonts w:cs="Tahoma"/>
              </w:rPr>
              <w:t>S</w:t>
            </w:r>
            <w:r w:rsidR="00CC3BA4" w:rsidRPr="00D36FBC">
              <w:rPr>
                <w:rFonts w:cs="Tahoma"/>
              </w:rPr>
              <w:t>erious</w:t>
            </w:r>
            <w:r>
              <w:rPr>
                <w:rFonts w:cs="Tahoma"/>
                <w:vertAlign w:val="superscript"/>
              </w:rPr>
              <w:t xml:space="preserve"> c</w:t>
            </w:r>
          </w:p>
        </w:tc>
        <w:tc>
          <w:tcPr>
            <w:tcW w:w="992" w:type="dxa"/>
          </w:tcPr>
          <w:p w:rsidR="00CC3BA4" w:rsidRPr="00D36FBC" w:rsidRDefault="00CC3BA4" w:rsidP="0037584C">
            <w:pPr>
              <w:pStyle w:val="Tabletext"/>
              <w:rPr>
                <w:rFonts w:cs="Tahoma"/>
              </w:rPr>
            </w:pPr>
            <w:r w:rsidRPr="00D36FBC">
              <w:rPr>
                <w:rFonts w:cs="Tahoma"/>
              </w:rPr>
              <w:t>Not serious</w:t>
            </w:r>
          </w:p>
        </w:tc>
        <w:tc>
          <w:tcPr>
            <w:tcW w:w="1276" w:type="dxa"/>
          </w:tcPr>
          <w:p w:rsidR="00CC3BA4" w:rsidRPr="00D36FBC" w:rsidRDefault="00CC3BA4" w:rsidP="0037584C">
            <w:pPr>
              <w:pStyle w:val="Tabletext"/>
              <w:rPr>
                <w:rFonts w:cs="Tahoma"/>
              </w:rPr>
            </w:pPr>
            <w:r w:rsidRPr="00D36FBC">
              <w:rPr>
                <w:rFonts w:cs="Tahoma"/>
              </w:rPr>
              <w:t>None</w:t>
            </w:r>
          </w:p>
        </w:tc>
        <w:tc>
          <w:tcPr>
            <w:tcW w:w="1417" w:type="dxa"/>
          </w:tcPr>
          <w:p w:rsidR="00CC3BA4" w:rsidRPr="00386993" w:rsidRDefault="00CC3BA4" w:rsidP="00386993">
            <w:pPr>
              <w:pStyle w:val="Tabletext"/>
            </w:pPr>
            <w:r w:rsidRPr="00386993">
              <w:t>57 patients tested</w:t>
            </w:r>
          </w:p>
        </w:tc>
        <w:tc>
          <w:tcPr>
            <w:tcW w:w="1134" w:type="dxa"/>
          </w:tcPr>
          <w:p w:rsidR="00CC3BA4" w:rsidRPr="00386993" w:rsidRDefault="00CC3BA4" w:rsidP="00386993">
            <w:pPr>
              <w:pStyle w:val="Tabletext"/>
              <w:rPr>
                <w:highlight w:val="cyan"/>
              </w:rPr>
            </w:pPr>
            <w:r w:rsidRPr="00386993">
              <w:rPr>
                <w:rStyle w:val="cell-value"/>
              </w:rPr>
              <w:t>63</w:t>
            </w:r>
            <w:r w:rsidRPr="00386993">
              <w:t xml:space="preserve"> patients tested</w:t>
            </w:r>
          </w:p>
        </w:tc>
        <w:tc>
          <w:tcPr>
            <w:tcW w:w="993" w:type="dxa"/>
          </w:tcPr>
          <w:p w:rsidR="00CC3BA4" w:rsidRPr="001D2AD7" w:rsidRDefault="00CC3BA4" w:rsidP="0037584C">
            <w:pPr>
              <w:pStyle w:val="Tabletext"/>
              <w:rPr>
                <w:rFonts w:cs="Tahoma"/>
                <w:highlight w:val="cyan"/>
              </w:rPr>
            </w:pPr>
            <w:r>
              <w:rPr>
                <w:rFonts w:cs="Tahoma"/>
              </w:rPr>
              <w:t>-</w:t>
            </w:r>
          </w:p>
        </w:tc>
        <w:tc>
          <w:tcPr>
            <w:tcW w:w="2188" w:type="dxa"/>
          </w:tcPr>
          <w:p w:rsidR="00CC3BA4" w:rsidRPr="00D36FBC" w:rsidRDefault="00CC3BA4" w:rsidP="001F1FDD">
            <w:pPr>
              <w:pStyle w:val="Tabletext"/>
              <w:rPr>
                <w:rFonts w:cs="Tahoma"/>
                <w:highlight w:val="cyan"/>
              </w:rPr>
            </w:pPr>
            <w:r>
              <w:rPr>
                <w:rFonts w:cs="Tahoma"/>
              </w:rPr>
              <w:t>Median</w:t>
            </w:r>
            <w:r w:rsidR="00386993">
              <w:rPr>
                <w:rFonts w:cs="Tahoma"/>
              </w:rPr>
              <w:t xml:space="preserve"> </w:t>
            </w:r>
            <w:r w:rsidR="001F1FDD">
              <w:rPr>
                <w:rFonts w:cs="Tahoma"/>
              </w:rPr>
              <w:t>MD</w:t>
            </w:r>
            <w:r>
              <w:rPr>
                <w:rFonts w:cs="Tahoma"/>
              </w:rPr>
              <w:t xml:space="preserve"> 11.1 m further</w:t>
            </w:r>
            <w:r>
              <w:rPr>
                <w:rFonts w:cs="Tahoma"/>
              </w:rPr>
              <w:br/>
              <w:t>(range</w:t>
            </w:r>
            <w:r w:rsidRPr="00944F0A">
              <w:rPr>
                <w:rFonts w:cs="Tahoma"/>
              </w:rPr>
              <w:t xml:space="preserve"> </w:t>
            </w:r>
            <w:r>
              <w:rPr>
                <w:rFonts w:cs="Tahoma"/>
              </w:rPr>
              <w:t>8.6</w:t>
            </w:r>
            <w:r w:rsidRPr="00944F0A">
              <w:rPr>
                <w:rFonts w:cs="Tahoma"/>
              </w:rPr>
              <w:t xml:space="preserve"> </w:t>
            </w:r>
            <w:r>
              <w:rPr>
                <w:rFonts w:cs="Tahoma"/>
              </w:rPr>
              <w:t>m further</w:t>
            </w:r>
            <w:r w:rsidRPr="00944F0A">
              <w:rPr>
                <w:rFonts w:cs="Tahoma"/>
              </w:rPr>
              <w:t xml:space="preserve"> to </w:t>
            </w:r>
            <w:r>
              <w:rPr>
                <w:rFonts w:cs="Tahoma"/>
              </w:rPr>
              <w:t>13.6 m further)</w:t>
            </w:r>
          </w:p>
        </w:tc>
        <w:tc>
          <w:tcPr>
            <w:tcW w:w="1214" w:type="dxa"/>
          </w:tcPr>
          <w:p w:rsidR="00CC3BA4" w:rsidRDefault="00312FDE" w:rsidP="0037584C">
            <w:pPr>
              <w:pStyle w:val="Tabletext"/>
              <w:rPr>
                <w:rFonts w:ascii="Cambria Math" w:eastAsia="Times New Roman" w:hAnsi="Cambria Math" w:cs="Cambria Math"/>
                <w:bCs/>
              </w:rPr>
            </w:pPr>
            <w:r>
              <w:rPr>
                <w:rFonts w:eastAsia="Times New Roman" w:cs="Tahoma"/>
                <w:bCs/>
              </w:rPr>
              <w:t>Moderate</w:t>
            </w:r>
            <w:r w:rsidR="00CC3BA4">
              <w:rPr>
                <w:rFonts w:eastAsia="Times New Roman" w:cs="Tahoma"/>
                <w:bCs/>
              </w:rPr>
              <w:br/>
            </w:r>
            <w:r w:rsidR="00CC3BA4">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D36FBC" w:rsidRDefault="00B14FF5" w:rsidP="0037584C">
            <w:pPr>
              <w:pStyle w:val="Tabletext"/>
              <w:rPr>
                <w:rFonts w:eastAsia="Times New Roman" w:cs="Cambria Math"/>
                <w:bCs/>
                <w:color w:val="00B050"/>
              </w:rPr>
            </w:pPr>
            <w:r>
              <w:rPr>
                <w:rFonts w:cs="Tahoma"/>
              </w:rPr>
              <w:t>I</w:t>
            </w:r>
            <w:r w:rsidR="00CC3BA4" w:rsidRPr="00E564DD">
              <w:rPr>
                <w:rFonts w:cs="Tahoma"/>
              </w:rPr>
              <w:t>mportant</w:t>
            </w:r>
          </w:p>
        </w:tc>
      </w:tr>
      <w:tr w:rsidR="00CC3BA4" w:rsidRPr="00D36FBC" w:rsidTr="00115AB1">
        <w:trPr>
          <w:trHeight w:val="319"/>
        </w:trPr>
        <w:tc>
          <w:tcPr>
            <w:tcW w:w="1493" w:type="dxa"/>
          </w:tcPr>
          <w:p w:rsidR="00CC3BA4" w:rsidRPr="00D36FBC" w:rsidRDefault="00CC3BA4" w:rsidP="0037584C">
            <w:pPr>
              <w:pStyle w:val="Tabletext"/>
              <w:rPr>
                <w:rFonts w:cs="Tahoma"/>
              </w:rPr>
            </w:pPr>
            <w:r w:rsidRPr="00D36FBC">
              <w:rPr>
                <w:rFonts w:cs="Tahoma"/>
              </w:rPr>
              <w:t>Change in 6MWD from baseline</w:t>
            </w:r>
            <w:r>
              <w:rPr>
                <w:rFonts w:cs="Tahoma"/>
              </w:rPr>
              <w:t xml:space="preserve"> in PAH-CTD</w:t>
            </w:r>
            <w:r>
              <w:rPr>
                <w:rFonts w:cs="Tahoma"/>
              </w:rPr>
              <w:br/>
            </w:r>
            <w:r w:rsidRPr="00D36FBC">
              <w:rPr>
                <w:rFonts w:cs="Tahoma"/>
              </w:rPr>
              <w:t xml:space="preserve">(26 weeks) </w:t>
            </w:r>
          </w:p>
        </w:tc>
        <w:tc>
          <w:tcPr>
            <w:tcW w:w="1054" w:type="dxa"/>
          </w:tcPr>
          <w:p w:rsidR="00CC3BA4" w:rsidRPr="00D36FBC" w:rsidRDefault="00CC3BA4" w:rsidP="0037584C">
            <w:pPr>
              <w:pStyle w:val="Tabletext"/>
              <w:rPr>
                <w:rFonts w:cs="Tahoma"/>
              </w:rPr>
            </w:pPr>
            <w:r>
              <w:rPr>
                <w:rFonts w:cs="Tahoma"/>
              </w:rPr>
              <w:t>2</w:t>
            </w:r>
            <w:r w:rsidRPr="00D36FBC">
              <w:rPr>
                <w:rFonts w:cs="Tahoma"/>
              </w:rPr>
              <w:t xml:space="preserve"> RCT</w:t>
            </w:r>
            <w:r>
              <w:rPr>
                <w:rFonts w:cs="Tahoma"/>
              </w:rPr>
              <w:t>s</w:t>
            </w:r>
          </w:p>
        </w:tc>
        <w:tc>
          <w:tcPr>
            <w:tcW w:w="912" w:type="dxa"/>
          </w:tcPr>
          <w:p w:rsidR="00CC3BA4" w:rsidRPr="00D36FBC" w:rsidRDefault="00CC3BA4" w:rsidP="0037584C">
            <w:pPr>
              <w:pStyle w:val="Tabletext"/>
              <w:rPr>
                <w:rFonts w:cs="Tahoma"/>
              </w:rPr>
            </w:pPr>
            <w:r w:rsidRPr="00D36FBC">
              <w:rPr>
                <w:rFonts w:cs="Tahoma"/>
              </w:rPr>
              <w:t>Not serious</w:t>
            </w:r>
          </w:p>
        </w:tc>
        <w:tc>
          <w:tcPr>
            <w:tcW w:w="931" w:type="dxa"/>
          </w:tcPr>
          <w:p w:rsidR="00CC3BA4" w:rsidRPr="00D36FBC" w:rsidRDefault="00CC3BA4" w:rsidP="00312FDE">
            <w:pPr>
              <w:pStyle w:val="Tabletext"/>
              <w:rPr>
                <w:rFonts w:cs="Tahoma"/>
              </w:rPr>
            </w:pPr>
            <w:r w:rsidRPr="00D36FBC">
              <w:rPr>
                <w:rFonts w:cs="Tahoma"/>
              </w:rPr>
              <w:t xml:space="preserve">Serious </w:t>
            </w:r>
            <w:r w:rsidR="00312FDE">
              <w:rPr>
                <w:rFonts w:cs="Tahoma"/>
                <w:vertAlign w:val="superscript"/>
              </w:rPr>
              <w:t>d</w:t>
            </w:r>
          </w:p>
        </w:tc>
        <w:tc>
          <w:tcPr>
            <w:tcW w:w="992" w:type="dxa"/>
          </w:tcPr>
          <w:p w:rsidR="00CC3BA4" w:rsidRPr="00C05257" w:rsidRDefault="00312FDE" w:rsidP="0037584C">
            <w:pPr>
              <w:pStyle w:val="Tabletext"/>
              <w:rPr>
                <w:rFonts w:cs="Tahoma"/>
                <w:vertAlign w:val="superscript"/>
              </w:rPr>
            </w:pPr>
            <w:r>
              <w:rPr>
                <w:rFonts w:cs="Tahoma"/>
              </w:rPr>
              <w:t>S</w:t>
            </w:r>
            <w:r w:rsidR="00CC3BA4" w:rsidRPr="00D36FBC">
              <w:rPr>
                <w:rFonts w:cs="Tahoma"/>
              </w:rPr>
              <w:t>erious</w:t>
            </w:r>
            <w:r>
              <w:rPr>
                <w:rFonts w:cs="Tahoma"/>
                <w:vertAlign w:val="superscript"/>
              </w:rPr>
              <w:t xml:space="preserve"> c</w:t>
            </w:r>
          </w:p>
        </w:tc>
        <w:tc>
          <w:tcPr>
            <w:tcW w:w="992" w:type="dxa"/>
          </w:tcPr>
          <w:p w:rsidR="00CC3BA4" w:rsidRPr="00C05257" w:rsidRDefault="00C05257" w:rsidP="0037584C">
            <w:pPr>
              <w:pStyle w:val="Tabletext"/>
              <w:rPr>
                <w:rFonts w:cs="Tahoma"/>
                <w:vertAlign w:val="superscript"/>
              </w:rPr>
            </w:pPr>
            <w:r>
              <w:rPr>
                <w:rFonts w:cs="Tahoma"/>
              </w:rPr>
              <w:t>S</w:t>
            </w:r>
            <w:r w:rsidR="00CC3BA4" w:rsidRPr="00D36FBC">
              <w:rPr>
                <w:rFonts w:cs="Tahoma"/>
              </w:rPr>
              <w:t>erious</w:t>
            </w:r>
            <w:r>
              <w:rPr>
                <w:rFonts w:cs="Tahoma"/>
                <w:vertAlign w:val="superscript"/>
              </w:rPr>
              <w:t xml:space="preserve"> e</w:t>
            </w:r>
          </w:p>
        </w:tc>
        <w:tc>
          <w:tcPr>
            <w:tcW w:w="1276" w:type="dxa"/>
          </w:tcPr>
          <w:p w:rsidR="00CC3BA4" w:rsidRPr="00D36FBC" w:rsidRDefault="00CC3BA4" w:rsidP="0037584C">
            <w:pPr>
              <w:pStyle w:val="Tabletext"/>
              <w:rPr>
                <w:rFonts w:cs="Tahoma"/>
              </w:rPr>
            </w:pPr>
            <w:r w:rsidRPr="00D36FBC">
              <w:rPr>
                <w:rFonts w:cs="Tahoma"/>
              </w:rPr>
              <w:t>None</w:t>
            </w:r>
          </w:p>
        </w:tc>
        <w:tc>
          <w:tcPr>
            <w:tcW w:w="1417" w:type="dxa"/>
          </w:tcPr>
          <w:p w:rsidR="00CC3BA4" w:rsidRPr="00386993" w:rsidRDefault="00CC3BA4" w:rsidP="00386993">
            <w:pPr>
              <w:pStyle w:val="Tabletext"/>
            </w:pPr>
            <w:r w:rsidRPr="00386993">
              <w:t>26 patients tested</w:t>
            </w:r>
          </w:p>
        </w:tc>
        <w:tc>
          <w:tcPr>
            <w:tcW w:w="1134" w:type="dxa"/>
          </w:tcPr>
          <w:p w:rsidR="00CC3BA4" w:rsidRPr="00386993" w:rsidRDefault="00CC3BA4" w:rsidP="00386993">
            <w:pPr>
              <w:pStyle w:val="Tabletext"/>
            </w:pPr>
            <w:r w:rsidRPr="00386993">
              <w:rPr>
                <w:rStyle w:val="cell-value"/>
              </w:rPr>
              <w:t>29</w:t>
            </w:r>
            <w:r w:rsidRPr="00386993">
              <w:t xml:space="preserve"> patients tested</w:t>
            </w:r>
          </w:p>
        </w:tc>
        <w:tc>
          <w:tcPr>
            <w:tcW w:w="993" w:type="dxa"/>
          </w:tcPr>
          <w:p w:rsidR="00CC3BA4" w:rsidRPr="00456F1B" w:rsidRDefault="00CC3BA4" w:rsidP="0037584C">
            <w:pPr>
              <w:pStyle w:val="Tabletext"/>
              <w:rPr>
                <w:rFonts w:cs="Tahoma"/>
              </w:rPr>
            </w:pPr>
            <w:r>
              <w:rPr>
                <w:rFonts w:cs="Tahoma"/>
              </w:rPr>
              <w:t>-</w:t>
            </w:r>
          </w:p>
        </w:tc>
        <w:tc>
          <w:tcPr>
            <w:tcW w:w="2188" w:type="dxa"/>
          </w:tcPr>
          <w:p w:rsidR="00CC3BA4" w:rsidRPr="00D36FBC" w:rsidRDefault="00CC3BA4" w:rsidP="001F1FDD">
            <w:pPr>
              <w:pStyle w:val="Tabletext"/>
              <w:rPr>
                <w:rFonts w:cs="Tahoma"/>
              </w:rPr>
            </w:pPr>
            <w:r>
              <w:rPr>
                <w:rFonts w:cs="Tahoma"/>
              </w:rPr>
              <w:t>Median</w:t>
            </w:r>
            <w:r w:rsidR="00386993">
              <w:rPr>
                <w:rFonts w:cs="Tahoma"/>
              </w:rPr>
              <w:t xml:space="preserve"> </w:t>
            </w:r>
            <w:r w:rsidR="001F1FDD">
              <w:rPr>
                <w:rFonts w:cs="Tahoma"/>
              </w:rPr>
              <w:t>MD</w:t>
            </w:r>
            <w:r>
              <w:rPr>
                <w:rFonts w:cs="Tahoma"/>
              </w:rPr>
              <w:t xml:space="preserve"> 6.7 m less</w:t>
            </w:r>
            <w:r>
              <w:rPr>
                <w:rFonts w:cs="Tahoma"/>
              </w:rPr>
              <w:br/>
              <w:t>(range</w:t>
            </w:r>
            <w:r w:rsidRPr="00944F0A">
              <w:rPr>
                <w:rFonts w:cs="Tahoma"/>
              </w:rPr>
              <w:t xml:space="preserve"> </w:t>
            </w:r>
            <w:r>
              <w:rPr>
                <w:rFonts w:cs="Tahoma"/>
              </w:rPr>
              <w:t>34.1</w:t>
            </w:r>
            <w:r w:rsidRPr="00944F0A">
              <w:rPr>
                <w:rFonts w:cs="Tahoma"/>
              </w:rPr>
              <w:t xml:space="preserve"> </w:t>
            </w:r>
            <w:r>
              <w:rPr>
                <w:rFonts w:cs="Tahoma"/>
              </w:rPr>
              <w:t>m less</w:t>
            </w:r>
            <w:r w:rsidRPr="00944F0A">
              <w:rPr>
                <w:rFonts w:cs="Tahoma"/>
              </w:rPr>
              <w:t xml:space="preserve"> to </w:t>
            </w:r>
            <w:r>
              <w:rPr>
                <w:rFonts w:cs="Tahoma"/>
              </w:rPr>
              <w:t>20.7 m further)</w:t>
            </w:r>
          </w:p>
        </w:tc>
        <w:tc>
          <w:tcPr>
            <w:tcW w:w="1214" w:type="dxa"/>
          </w:tcPr>
          <w:p w:rsidR="00CC3BA4" w:rsidRDefault="00C05257" w:rsidP="0037584C">
            <w:pPr>
              <w:pStyle w:val="Tabletext"/>
              <w:rPr>
                <w:rFonts w:ascii="Cambria Math" w:eastAsia="Times New Roman" w:hAnsi="Cambria Math" w:cs="Cambria Math"/>
                <w:bCs/>
              </w:rPr>
            </w:pPr>
            <w:r>
              <w:rPr>
                <w:rFonts w:eastAsia="Times New Roman" w:cs="Tahoma"/>
                <w:bCs/>
              </w:rPr>
              <w:t>Very l</w:t>
            </w:r>
            <w:r w:rsidR="00312FDE">
              <w:rPr>
                <w:rFonts w:eastAsia="Times New Roman" w:cs="Tahoma"/>
                <w:bCs/>
              </w:rPr>
              <w:t>ow</w:t>
            </w:r>
            <w:r w:rsidR="00CC3BA4">
              <w:rPr>
                <w:rFonts w:eastAsia="Times New Roman" w:cs="Tahoma"/>
                <w:bCs/>
              </w:rPr>
              <w:br/>
            </w:r>
            <w:r w:rsidR="00CC3BA4"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r w:rsidR="00312FDE" w:rsidRPr="00E564DD">
              <w:rPr>
                <w:rFonts w:ascii="Cambria Math" w:eastAsia="Times New Roman" w:hAnsi="Cambria Math" w:cs="Cambria Math"/>
                <w:bCs/>
                <w:color w:val="FF0000"/>
              </w:rPr>
              <w:t>⨀</w:t>
            </w:r>
            <w:r w:rsidR="00CC3BA4" w:rsidRPr="00E564DD">
              <w:rPr>
                <w:rFonts w:ascii="Cambria Math" w:eastAsia="Times New Roman" w:hAnsi="Cambria Math" w:cs="Cambria Math"/>
                <w:bCs/>
                <w:color w:val="FF0000"/>
              </w:rPr>
              <w:t>⨀</w:t>
            </w:r>
          </w:p>
          <w:p w:rsidR="00CC3BA4" w:rsidRPr="00D36FBC" w:rsidRDefault="00B14FF5" w:rsidP="0037584C">
            <w:pPr>
              <w:pStyle w:val="Tabletext"/>
              <w:rPr>
                <w:rFonts w:eastAsia="Times New Roman" w:cs="Cambria Math"/>
                <w:bCs/>
                <w:color w:val="00B050"/>
              </w:rPr>
            </w:pPr>
            <w:r>
              <w:rPr>
                <w:rFonts w:cs="Tahoma"/>
              </w:rPr>
              <w:t>I</w:t>
            </w:r>
            <w:r w:rsidR="00CC3BA4" w:rsidRPr="00E564DD">
              <w:rPr>
                <w:rFonts w:cs="Tahoma"/>
              </w:rPr>
              <w:t>mportant</w:t>
            </w:r>
          </w:p>
        </w:tc>
      </w:tr>
    </w:tbl>
    <w:p w:rsidR="00CC3BA4" w:rsidRPr="00AA018C" w:rsidRDefault="00CC3BA4" w:rsidP="0037584C">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37584C">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312FDE" w:rsidRPr="00312FDE" w:rsidRDefault="00312FDE" w:rsidP="0037584C">
      <w:pPr>
        <w:pStyle w:val="Tablenote"/>
      </w:pPr>
      <w:proofErr w:type="gramStart"/>
      <w:r>
        <w:rPr>
          <w:vertAlign w:val="superscript"/>
        </w:rPr>
        <w:t>c</w:t>
      </w:r>
      <w:proofErr w:type="gramEnd"/>
      <w:r>
        <w:rPr>
          <w:vertAlign w:val="superscript"/>
        </w:rPr>
        <w:t xml:space="preserve"> </w:t>
      </w:r>
      <w:r>
        <w:t>surrogate outcome</w:t>
      </w:r>
    </w:p>
    <w:p w:rsidR="00CC3BA4" w:rsidRDefault="00312FDE" w:rsidP="0037584C">
      <w:pPr>
        <w:pStyle w:val="Tablenote"/>
      </w:pPr>
      <w:proofErr w:type="gramStart"/>
      <w:r>
        <w:rPr>
          <w:vertAlign w:val="superscript"/>
        </w:rPr>
        <w:t>d</w:t>
      </w:r>
      <w:proofErr w:type="gramEnd"/>
      <w:r w:rsidR="00CC3BA4">
        <w:rPr>
          <w:vertAlign w:val="superscript"/>
        </w:rPr>
        <w:t xml:space="preserve"> </w:t>
      </w:r>
      <w:r w:rsidR="00CC3BA4">
        <w:t>T</w:t>
      </w:r>
      <w:r w:rsidR="00CC3BA4" w:rsidRPr="00CA02C0">
        <w:t>rials show results trending in opposite directions</w:t>
      </w:r>
    </w:p>
    <w:p w:rsidR="00C05257" w:rsidRPr="00C05257" w:rsidRDefault="00C05257" w:rsidP="0037584C">
      <w:pPr>
        <w:pStyle w:val="Tablenote"/>
      </w:pPr>
      <w:proofErr w:type="gramStart"/>
      <w:r>
        <w:rPr>
          <w:vertAlign w:val="superscript"/>
        </w:rPr>
        <w:t>e</w:t>
      </w:r>
      <w:proofErr w:type="gramEnd"/>
      <w:r>
        <w:rPr>
          <w:vertAlign w:val="superscript"/>
        </w:rPr>
        <w:t xml:space="preserve"> </w:t>
      </w:r>
      <w:r>
        <w:t>Wide range</w:t>
      </w:r>
    </w:p>
    <w:p w:rsidR="00CC3BA4" w:rsidRPr="00E564DD" w:rsidRDefault="00CC3BA4" w:rsidP="0037584C">
      <w:pPr>
        <w:pStyle w:val="Tablenote"/>
      </w:pPr>
      <w:r w:rsidRPr="00E564DD">
        <w:rPr>
          <w:rFonts w:ascii="Cambria Math" w:hAnsi="Cambria Math" w:cs="Cambria Math"/>
          <w:color w:val="00B050"/>
        </w:rPr>
        <w:t>⨁⨁⨁⨁</w:t>
      </w:r>
      <w:r w:rsidRPr="00E564DD">
        <w:rPr>
          <w:color w:val="00B050"/>
        </w:rPr>
        <w:t xml:space="preserve"> </w:t>
      </w:r>
      <w:r w:rsidRPr="00E564DD">
        <w:rPr>
          <w:b/>
        </w:rPr>
        <w:t>High quality:</w:t>
      </w:r>
      <w:r w:rsidRPr="00E564DD">
        <w:t xml:space="preserve"> We are very confident that the true effect lies close to that of the estimate of effect</w:t>
      </w:r>
    </w:p>
    <w:p w:rsidR="00CC3BA4" w:rsidRPr="00E564DD" w:rsidRDefault="00CC3BA4" w:rsidP="0037584C">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F95747" w:rsidRPr="00E564DD" w:rsidRDefault="00F95747" w:rsidP="00F95747">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7C6567" w:rsidRDefault="00CC3BA4" w:rsidP="0037584C">
      <w:pPr>
        <w:pStyle w:val="Tablenote"/>
      </w:pPr>
      <w:r>
        <w:t xml:space="preserve">6MWD = 6-minute </w:t>
      </w:r>
      <w:r w:rsidR="0082368E">
        <w:t>walk distance</w:t>
      </w:r>
      <w:r>
        <w:t>; 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7C6567" w:rsidRPr="00F24B06">
        <w:t xml:space="preserve">; </w:t>
      </w:r>
      <w:r w:rsidRPr="00C65B42">
        <w:t xml:space="preserve">HPAH = heritable PAH; HR = hazard ratio; IPAH = idiopathic PAH; </w:t>
      </w:r>
      <w:r w:rsidR="001F1FDD">
        <w:t xml:space="preserve">MD = mean difference; </w:t>
      </w:r>
      <w:r w:rsidRPr="00C65B42">
        <w:t xml:space="preserve">PAH = pulmonary arterial hypertension; </w:t>
      </w:r>
      <w:r w:rsidR="007C6567">
        <w:t>PAH-</w:t>
      </w:r>
      <w:r w:rsidR="007C6567" w:rsidRPr="00822C52">
        <w:t xml:space="preserve">CTD = </w:t>
      </w:r>
      <w:r w:rsidR="007C6567">
        <w:t xml:space="preserve">PAH associated with </w:t>
      </w:r>
      <w:r w:rsidR="007C6567" w:rsidRPr="00822C52">
        <w:t xml:space="preserve">connective tissue disease; </w:t>
      </w:r>
      <w:r w:rsidRPr="009B5AB3">
        <w:t>PDE-5</w:t>
      </w:r>
      <w:r w:rsidR="007C6567">
        <w:t>i</w:t>
      </w:r>
      <w:r w:rsidRPr="009B5AB3">
        <w:t xml:space="preserve"> = phosphodiesterase type-5</w:t>
      </w:r>
      <w:r w:rsidR="007C6567">
        <w:t xml:space="preserve"> inhibitor</w:t>
      </w:r>
      <w:r>
        <w:t>;</w:t>
      </w:r>
      <w:r w:rsidRPr="009B5AB3">
        <w:t xml:space="preserve"> </w:t>
      </w:r>
      <w:r>
        <w:t>RCT = randomised controlled trial</w:t>
      </w:r>
    </w:p>
    <w:p w:rsidR="00CC3BA4" w:rsidRPr="005D4CA0" w:rsidRDefault="00796F18" w:rsidP="00BC5A2B">
      <w:pPr>
        <w:pStyle w:val="Caption"/>
      </w:pPr>
      <w:bookmarkStart w:id="527" w:name="_Ref505781524"/>
      <w:bookmarkStart w:id="528" w:name="_Toc38360456"/>
      <w:r>
        <w:lastRenderedPageBreak/>
        <w:t>Table 4.</w:t>
      </w:r>
      <w:r w:rsidR="003951FA">
        <w:rPr>
          <w:noProof/>
        </w:rPr>
        <w:t>159</w:t>
      </w:r>
      <w:bookmarkEnd w:id="527"/>
      <w:r>
        <w:tab/>
      </w:r>
      <w:r w:rsidR="00CC3BA4" w:rsidRPr="005D4CA0">
        <w:t xml:space="preserve">Evidence profile table for </w:t>
      </w:r>
      <w:r w:rsidR="00CC3BA4">
        <w:t xml:space="preserve">comparative safety of PDE-5 inhibitor + </w:t>
      </w:r>
      <w:r w:rsidR="00CC3BA4" w:rsidRPr="005D4CA0">
        <w:t xml:space="preserve">ERA </w:t>
      </w:r>
      <w:r w:rsidR="00CC3BA4">
        <w:t xml:space="preserve">combination therapy </w:t>
      </w:r>
      <w:r w:rsidR="00CC3BA4" w:rsidRPr="005D4CA0">
        <w:t xml:space="preserve">compared to </w:t>
      </w:r>
      <w:r w:rsidR="00CC3BA4">
        <w:t>ERA</w:t>
      </w:r>
      <w:r w:rsidR="00CC3BA4" w:rsidRPr="005D4CA0">
        <w:t xml:space="preserve"> </w:t>
      </w:r>
      <w:r w:rsidR="00CC3BA4">
        <w:t xml:space="preserve">monotherapy </w:t>
      </w:r>
      <w:r w:rsidR="00CC3BA4" w:rsidRPr="005D4CA0">
        <w:t xml:space="preserve">for </w:t>
      </w:r>
      <w:r w:rsidR="00CC3BA4">
        <w:t>all PAH patients</w:t>
      </w:r>
      <w:bookmarkEnd w:id="528"/>
    </w:p>
    <w:tbl>
      <w:tblPr>
        <w:tblStyle w:val="TableGrid"/>
        <w:tblW w:w="14596" w:type="dxa"/>
        <w:tblLayout w:type="fixed"/>
        <w:tblLook w:val="04A0" w:firstRow="1" w:lastRow="0" w:firstColumn="1" w:lastColumn="0" w:noHBand="0" w:noVBand="1"/>
        <w:tblCaption w:val="Evidence profile table for comparative safety of PDE-5 inhibitor + ERA combination therapy compared to ERA monotherapy for all PAH patients"/>
      </w:tblPr>
      <w:tblGrid>
        <w:gridCol w:w="1493"/>
        <w:gridCol w:w="1054"/>
        <w:gridCol w:w="771"/>
        <w:gridCol w:w="1072"/>
        <w:gridCol w:w="992"/>
        <w:gridCol w:w="992"/>
        <w:gridCol w:w="1276"/>
        <w:gridCol w:w="1417"/>
        <w:gridCol w:w="1134"/>
        <w:gridCol w:w="993"/>
        <w:gridCol w:w="2188"/>
        <w:gridCol w:w="1214"/>
      </w:tblGrid>
      <w:tr w:rsidR="0037584C" w:rsidRPr="0037584C" w:rsidTr="00115AB1">
        <w:trPr>
          <w:cnfStyle w:val="100000000000" w:firstRow="1" w:lastRow="0" w:firstColumn="0" w:lastColumn="0" w:oddVBand="0" w:evenVBand="0" w:oddHBand="0" w:evenHBand="0" w:firstRowFirstColumn="0" w:firstRowLastColumn="0" w:lastRowFirstColumn="0" w:lastRowLastColumn="0"/>
          <w:trHeight w:val="581"/>
        </w:trPr>
        <w:tc>
          <w:tcPr>
            <w:tcW w:w="1493" w:type="dxa"/>
          </w:tcPr>
          <w:p w:rsidR="00476F09" w:rsidRPr="0037584C" w:rsidRDefault="00476F09" w:rsidP="0037584C">
            <w:pPr>
              <w:pStyle w:val="Tabletext"/>
              <w:rPr>
                <w:b/>
              </w:rPr>
            </w:pPr>
            <w:r w:rsidRPr="0037584C">
              <w:rPr>
                <w:b/>
              </w:rPr>
              <w:t>Outcome (follow-up)</w:t>
            </w:r>
          </w:p>
        </w:tc>
        <w:tc>
          <w:tcPr>
            <w:tcW w:w="1054" w:type="dxa"/>
          </w:tcPr>
          <w:p w:rsidR="00476F09" w:rsidRPr="0037584C" w:rsidRDefault="00476F09" w:rsidP="0037584C">
            <w:pPr>
              <w:pStyle w:val="Tabletext"/>
              <w:rPr>
                <w:b/>
              </w:rPr>
            </w:pPr>
            <w:r w:rsidRPr="0037584C">
              <w:rPr>
                <w:b/>
              </w:rPr>
              <w:t>No. of studies and study design</w:t>
            </w:r>
          </w:p>
        </w:tc>
        <w:tc>
          <w:tcPr>
            <w:tcW w:w="771" w:type="dxa"/>
          </w:tcPr>
          <w:p w:rsidR="00476F09" w:rsidRPr="0037584C" w:rsidRDefault="00476F09" w:rsidP="0037584C">
            <w:pPr>
              <w:pStyle w:val="Tabletext"/>
              <w:rPr>
                <w:b/>
              </w:rPr>
            </w:pPr>
            <w:r w:rsidRPr="0037584C">
              <w:rPr>
                <w:b/>
              </w:rPr>
              <w:t>Risk of bias</w:t>
            </w:r>
          </w:p>
        </w:tc>
        <w:tc>
          <w:tcPr>
            <w:tcW w:w="1072" w:type="dxa"/>
          </w:tcPr>
          <w:p w:rsidR="00476F09" w:rsidRPr="0037584C" w:rsidRDefault="00476F09" w:rsidP="0037584C">
            <w:pPr>
              <w:pStyle w:val="Tabletext"/>
              <w:rPr>
                <w:b/>
              </w:rPr>
            </w:pPr>
            <w:r w:rsidRPr="0037584C">
              <w:rPr>
                <w:b/>
              </w:rPr>
              <w:t>Inconsis</w:t>
            </w:r>
            <w:r w:rsidR="00115AB1">
              <w:rPr>
                <w:b/>
              </w:rPr>
              <w:t>-</w:t>
            </w:r>
            <w:r w:rsidRPr="0037584C">
              <w:rPr>
                <w:b/>
              </w:rPr>
              <w:t>tency</w:t>
            </w:r>
          </w:p>
        </w:tc>
        <w:tc>
          <w:tcPr>
            <w:tcW w:w="992" w:type="dxa"/>
          </w:tcPr>
          <w:p w:rsidR="00476F09" w:rsidRPr="0037584C" w:rsidRDefault="00476F09" w:rsidP="0037584C">
            <w:pPr>
              <w:pStyle w:val="Tabletext"/>
              <w:rPr>
                <w:b/>
              </w:rPr>
            </w:pPr>
            <w:r w:rsidRPr="0037584C">
              <w:rPr>
                <w:b/>
              </w:rPr>
              <w:t>Indirect</w:t>
            </w:r>
            <w:r w:rsidR="00115AB1">
              <w:rPr>
                <w:b/>
              </w:rPr>
              <w:t>-</w:t>
            </w:r>
            <w:r w:rsidRPr="0037584C">
              <w:rPr>
                <w:b/>
              </w:rPr>
              <w:t>ness</w:t>
            </w:r>
          </w:p>
        </w:tc>
        <w:tc>
          <w:tcPr>
            <w:tcW w:w="992" w:type="dxa"/>
          </w:tcPr>
          <w:p w:rsidR="00476F09" w:rsidRPr="0037584C" w:rsidRDefault="00476F09" w:rsidP="0037584C">
            <w:pPr>
              <w:pStyle w:val="Tabletext"/>
              <w:rPr>
                <w:b/>
              </w:rPr>
            </w:pPr>
            <w:r w:rsidRPr="0037584C">
              <w:rPr>
                <w:b/>
              </w:rPr>
              <w:t>Impre</w:t>
            </w:r>
            <w:r w:rsidR="00115AB1">
              <w:rPr>
                <w:b/>
              </w:rPr>
              <w:t>-</w:t>
            </w:r>
            <w:r w:rsidRPr="0037584C">
              <w:rPr>
                <w:b/>
              </w:rPr>
              <w:t>cision</w:t>
            </w:r>
          </w:p>
        </w:tc>
        <w:tc>
          <w:tcPr>
            <w:tcW w:w="1276" w:type="dxa"/>
          </w:tcPr>
          <w:p w:rsidR="00476F09" w:rsidRPr="0037584C" w:rsidRDefault="00476F09" w:rsidP="0037584C">
            <w:pPr>
              <w:pStyle w:val="Tabletext"/>
              <w:rPr>
                <w:b/>
              </w:rPr>
            </w:pPr>
            <w:r w:rsidRPr="0037584C">
              <w:rPr>
                <w:b/>
              </w:rPr>
              <w:t>Other conside</w:t>
            </w:r>
            <w:r w:rsidR="00115AB1">
              <w:rPr>
                <w:b/>
              </w:rPr>
              <w:t>-</w:t>
            </w:r>
            <w:r w:rsidRPr="0037584C">
              <w:rPr>
                <w:b/>
              </w:rPr>
              <w:t>rations</w:t>
            </w:r>
            <w:r w:rsidRPr="0037584C">
              <w:rPr>
                <w:b/>
                <w:vertAlign w:val="superscript"/>
              </w:rPr>
              <w:t>a</w:t>
            </w:r>
          </w:p>
        </w:tc>
        <w:tc>
          <w:tcPr>
            <w:tcW w:w="1417" w:type="dxa"/>
          </w:tcPr>
          <w:p w:rsidR="00476F09" w:rsidRPr="0037584C" w:rsidRDefault="00476F09" w:rsidP="0037584C">
            <w:pPr>
              <w:pStyle w:val="Tabletext"/>
              <w:rPr>
                <w:b/>
              </w:rPr>
            </w:pPr>
            <w:r w:rsidRPr="0037584C">
              <w:rPr>
                <w:b/>
              </w:rPr>
              <w:t>Study event rates (%) with PDE-5i + ERA</w:t>
            </w:r>
          </w:p>
        </w:tc>
        <w:tc>
          <w:tcPr>
            <w:tcW w:w="1134" w:type="dxa"/>
          </w:tcPr>
          <w:p w:rsidR="00476F09" w:rsidRPr="0037584C" w:rsidRDefault="00476F09" w:rsidP="0037584C">
            <w:pPr>
              <w:pStyle w:val="Tabletext"/>
              <w:rPr>
                <w:b/>
              </w:rPr>
            </w:pPr>
            <w:r w:rsidRPr="0037584C">
              <w:rPr>
                <w:b/>
              </w:rPr>
              <w:t>Study event rates (%) with ERA</w:t>
            </w:r>
          </w:p>
        </w:tc>
        <w:tc>
          <w:tcPr>
            <w:tcW w:w="993" w:type="dxa"/>
          </w:tcPr>
          <w:p w:rsidR="00476F09" w:rsidRPr="0037584C" w:rsidRDefault="00476F09" w:rsidP="0037584C">
            <w:pPr>
              <w:pStyle w:val="Tabletext"/>
              <w:rPr>
                <w:b/>
              </w:rPr>
            </w:pPr>
            <w:r w:rsidRPr="0037584C">
              <w:rPr>
                <w:b/>
              </w:rPr>
              <w:t>Effect measure (95%CI)</w:t>
            </w:r>
          </w:p>
        </w:tc>
        <w:tc>
          <w:tcPr>
            <w:tcW w:w="2188" w:type="dxa"/>
          </w:tcPr>
          <w:p w:rsidR="00476F09" w:rsidRPr="0037584C" w:rsidRDefault="00476F09" w:rsidP="0037584C">
            <w:pPr>
              <w:pStyle w:val="Tabletext"/>
              <w:rPr>
                <w:b/>
              </w:rPr>
            </w:pPr>
            <w:r w:rsidRPr="0037584C">
              <w:rPr>
                <w:b/>
              </w:rPr>
              <w:t>Absolute effect (95%CI)</w:t>
            </w:r>
          </w:p>
        </w:tc>
        <w:tc>
          <w:tcPr>
            <w:tcW w:w="1214" w:type="dxa"/>
          </w:tcPr>
          <w:p w:rsidR="007C6567" w:rsidRDefault="007C6567" w:rsidP="0037584C">
            <w:pPr>
              <w:pStyle w:val="Tabletext"/>
              <w:rPr>
                <w:b/>
              </w:rPr>
            </w:pPr>
            <w:r>
              <w:rPr>
                <w:b/>
              </w:rPr>
              <w:t>GRADE</w:t>
            </w:r>
            <w:r w:rsidRPr="007C6567">
              <w:rPr>
                <w:b/>
                <w:vertAlign w:val="superscript"/>
              </w:rPr>
              <w:t>b</w:t>
            </w:r>
          </w:p>
          <w:p w:rsidR="00476F09" w:rsidRPr="0037584C" w:rsidRDefault="00476F09" w:rsidP="0037584C">
            <w:pPr>
              <w:pStyle w:val="Tabletext"/>
              <w:rPr>
                <w:b/>
                <w:vertAlign w:val="superscript"/>
              </w:rPr>
            </w:pPr>
            <w:r w:rsidRPr="0037584C">
              <w:rPr>
                <w:b/>
              </w:rPr>
              <w:t>Quality</w:t>
            </w:r>
          </w:p>
          <w:p w:rsidR="00476F09" w:rsidRPr="0037584C" w:rsidRDefault="00476F09" w:rsidP="0037584C">
            <w:pPr>
              <w:pStyle w:val="Tabletext"/>
              <w:rPr>
                <w:b/>
              </w:rPr>
            </w:pPr>
            <w:r w:rsidRPr="0037584C">
              <w:rPr>
                <w:b/>
              </w:rPr>
              <w:t>Importance</w:t>
            </w:r>
          </w:p>
        </w:tc>
      </w:tr>
      <w:tr w:rsidR="00CC3BA4" w:rsidRPr="00596E2E" w:rsidTr="00115AB1">
        <w:trPr>
          <w:trHeight w:val="319"/>
        </w:trPr>
        <w:tc>
          <w:tcPr>
            <w:tcW w:w="1493" w:type="dxa"/>
          </w:tcPr>
          <w:p w:rsidR="00CC3BA4" w:rsidRPr="00596E2E" w:rsidRDefault="00CC3BA4" w:rsidP="0037584C">
            <w:pPr>
              <w:pStyle w:val="Tabletext"/>
              <w:rPr>
                <w:rFonts w:cs="Tahoma"/>
              </w:rPr>
            </w:pPr>
            <w:r w:rsidRPr="00596E2E">
              <w:rPr>
                <w:rFonts w:cs="Tahoma"/>
              </w:rPr>
              <w:t>Any AE</w:t>
            </w:r>
            <w:r w:rsidRPr="00596E2E">
              <w:rPr>
                <w:rFonts w:cs="Tahoma"/>
              </w:rPr>
              <w:br/>
              <w:t>(1</w:t>
            </w:r>
            <w:r>
              <w:rPr>
                <w:rFonts w:cs="Tahoma"/>
              </w:rPr>
              <w:t>2−16</w:t>
            </w:r>
            <w:r w:rsidRPr="00596E2E">
              <w:rPr>
                <w:rFonts w:cs="Tahoma"/>
              </w:rPr>
              <w:t xml:space="preserve"> weeks)</w:t>
            </w:r>
          </w:p>
        </w:tc>
        <w:tc>
          <w:tcPr>
            <w:tcW w:w="1054" w:type="dxa"/>
          </w:tcPr>
          <w:p w:rsidR="00CC3BA4" w:rsidRPr="00596E2E" w:rsidRDefault="00CC3BA4" w:rsidP="0037584C">
            <w:pPr>
              <w:pStyle w:val="Tabletext"/>
              <w:rPr>
                <w:rFonts w:cs="Tahoma"/>
              </w:rPr>
            </w:pPr>
            <w:r>
              <w:rPr>
                <w:rFonts w:cs="Tahoma"/>
              </w:rPr>
              <w:t>2</w:t>
            </w:r>
            <w:r w:rsidRPr="00596E2E">
              <w:rPr>
                <w:rFonts w:cs="Tahoma"/>
              </w:rPr>
              <w:t xml:space="preserve"> RCT</w:t>
            </w:r>
            <w:r>
              <w:rPr>
                <w:rFonts w:cs="Tahoma"/>
              </w:rPr>
              <w:t>s</w:t>
            </w:r>
          </w:p>
        </w:tc>
        <w:tc>
          <w:tcPr>
            <w:tcW w:w="771" w:type="dxa"/>
          </w:tcPr>
          <w:p w:rsidR="00CC3BA4" w:rsidRPr="00596E2E" w:rsidRDefault="00CC3BA4" w:rsidP="0037584C">
            <w:pPr>
              <w:pStyle w:val="Tabletext"/>
              <w:rPr>
                <w:rFonts w:cs="Tahoma"/>
              </w:rPr>
            </w:pPr>
            <w:r w:rsidRPr="00596E2E">
              <w:rPr>
                <w:rFonts w:cs="Tahoma"/>
              </w:rPr>
              <w:t>Not serious</w:t>
            </w:r>
          </w:p>
        </w:tc>
        <w:tc>
          <w:tcPr>
            <w:tcW w:w="107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1276" w:type="dxa"/>
          </w:tcPr>
          <w:p w:rsidR="00CC3BA4" w:rsidRPr="00596E2E" w:rsidRDefault="00CC3BA4" w:rsidP="0037584C">
            <w:pPr>
              <w:pStyle w:val="Tabletext"/>
              <w:rPr>
                <w:rFonts w:cs="Tahoma"/>
              </w:rPr>
            </w:pPr>
            <w:r w:rsidRPr="00596E2E">
              <w:rPr>
                <w:rFonts w:cs="Tahoma"/>
              </w:rPr>
              <w:t>None</w:t>
            </w:r>
          </w:p>
        </w:tc>
        <w:tc>
          <w:tcPr>
            <w:tcW w:w="1417" w:type="dxa"/>
          </w:tcPr>
          <w:p w:rsidR="00CC3BA4" w:rsidRPr="00596E2E" w:rsidRDefault="00CC3BA4" w:rsidP="0037584C">
            <w:pPr>
              <w:pStyle w:val="Tabletext"/>
              <w:rPr>
                <w:rFonts w:cs="Tahoma"/>
              </w:rPr>
            </w:pPr>
            <w:r>
              <w:rPr>
                <w:rFonts w:cs="Tahoma"/>
              </w:rPr>
              <w:t>73/92 (79.3%)</w:t>
            </w:r>
          </w:p>
        </w:tc>
        <w:tc>
          <w:tcPr>
            <w:tcW w:w="1134" w:type="dxa"/>
          </w:tcPr>
          <w:p w:rsidR="00CC3BA4" w:rsidRPr="00596E2E" w:rsidRDefault="00CC3BA4" w:rsidP="0037584C">
            <w:pPr>
              <w:pStyle w:val="Tabletext"/>
              <w:rPr>
                <w:rFonts w:cs="Tahoma"/>
              </w:rPr>
            </w:pPr>
            <w:r w:rsidRPr="00596E2E">
              <w:rPr>
                <w:rFonts w:cs="Tahoma"/>
              </w:rPr>
              <w:t>79/98 (80.6%)</w:t>
            </w:r>
          </w:p>
        </w:tc>
        <w:tc>
          <w:tcPr>
            <w:tcW w:w="993" w:type="dxa"/>
          </w:tcPr>
          <w:p w:rsidR="00CC3BA4" w:rsidRPr="00596E2E" w:rsidRDefault="00CC3BA4" w:rsidP="0037584C">
            <w:pPr>
              <w:pStyle w:val="Tabletext"/>
              <w:rPr>
                <w:rFonts w:cs="Tahoma"/>
              </w:rPr>
            </w:pPr>
            <w:r w:rsidRPr="00596E2E">
              <w:rPr>
                <w:rFonts w:cs="Tahoma"/>
              </w:rPr>
              <w:t xml:space="preserve">RR </w:t>
            </w:r>
            <w:r>
              <w:rPr>
                <w:rFonts w:cs="Tahoma"/>
              </w:rPr>
              <w:t xml:space="preserve">= </w:t>
            </w:r>
            <w:r w:rsidRPr="00596E2E">
              <w:rPr>
                <w:rFonts w:cs="Tahoma"/>
              </w:rPr>
              <w:t>1.00</w:t>
            </w:r>
            <w:r>
              <w:rPr>
                <w:rFonts w:cs="Tahoma"/>
              </w:rPr>
              <w:t xml:space="preserve"> </w:t>
            </w:r>
            <w:r w:rsidRPr="00596E2E">
              <w:rPr>
                <w:rFonts w:cs="Tahoma"/>
              </w:rPr>
              <w:t>(0.79</w:t>
            </w:r>
            <w:r>
              <w:rPr>
                <w:rFonts w:cs="Tahoma"/>
              </w:rPr>
              <w:t>,</w:t>
            </w:r>
            <w:r w:rsidR="00386993">
              <w:rPr>
                <w:rFonts w:cs="Tahoma"/>
              </w:rPr>
              <w:t xml:space="preserve"> 1.27)</w:t>
            </w:r>
          </w:p>
        </w:tc>
        <w:tc>
          <w:tcPr>
            <w:tcW w:w="2188" w:type="dxa"/>
          </w:tcPr>
          <w:p w:rsidR="00CC3BA4" w:rsidRPr="00596E2E" w:rsidRDefault="00CC3BA4" w:rsidP="0037584C">
            <w:pPr>
              <w:pStyle w:val="Tabletext"/>
              <w:rPr>
                <w:rFonts w:cs="Tahoma"/>
              </w:rPr>
            </w:pPr>
            <w:r w:rsidRPr="00596E2E">
              <w:rPr>
                <w:rFonts w:cs="Tahoma"/>
              </w:rPr>
              <w:t>0 fewer per 1,000</w:t>
            </w:r>
            <w:r>
              <w:rPr>
                <w:rFonts w:cs="Tahoma"/>
              </w:rPr>
              <w:br/>
            </w:r>
            <w:r w:rsidRPr="00596E2E">
              <w:rPr>
                <w:rFonts w:cs="Tahoma"/>
              </w:rPr>
              <w:t>(from 169 fewer to 218 more)</w:t>
            </w:r>
          </w:p>
        </w:tc>
        <w:tc>
          <w:tcPr>
            <w:tcW w:w="1214" w:type="dxa"/>
          </w:tcPr>
          <w:p w:rsidR="00CC3BA4" w:rsidRPr="00596E2E" w:rsidRDefault="00CC3BA4" w:rsidP="0037584C">
            <w:pPr>
              <w:pStyle w:val="Tabletext"/>
              <w:rPr>
                <w:rFonts w:ascii="Cambria Math" w:eastAsia="Times New Roman" w:hAnsi="Cambria Math" w:cs="Cambria Math"/>
                <w:bCs/>
              </w:rPr>
            </w:pPr>
            <w:r w:rsidRPr="00596E2E">
              <w:rPr>
                <w:rFonts w:eastAsia="Times New Roman" w:cs="Tahoma"/>
                <w:bCs/>
              </w:rPr>
              <w:t>High</w:t>
            </w:r>
            <w:r w:rsidRPr="00596E2E">
              <w:rPr>
                <w:rFonts w:eastAsia="Times New Roman" w:cs="Tahoma"/>
                <w:bCs/>
              </w:rPr>
              <w:br/>
            </w:r>
            <w:r w:rsidRPr="00596E2E">
              <w:rPr>
                <w:rFonts w:ascii="Cambria Math" w:eastAsia="Times New Roman" w:hAnsi="Cambria Math" w:cs="Cambria Math"/>
                <w:bCs/>
                <w:color w:val="00B050"/>
              </w:rPr>
              <w:t>⨁⨁⨁⨁</w:t>
            </w:r>
          </w:p>
          <w:p w:rsidR="00CC3BA4" w:rsidRPr="00596E2E" w:rsidRDefault="00CC3BA4" w:rsidP="0037584C">
            <w:pPr>
              <w:pStyle w:val="Tabletext"/>
              <w:rPr>
                <w:rFonts w:cs="Tahoma"/>
              </w:rPr>
            </w:pPr>
            <w:r w:rsidRPr="00596E2E">
              <w:rPr>
                <w:rFonts w:cs="Tahoma"/>
              </w:rPr>
              <w:t>Important</w:t>
            </w:r>
          </w:p>
        </w:tc>
      </w:tr>
      <w:tr w:rsidR="00CC3BA4" w:rsidRPr="00596E2E" w:rsidTr="00115AB1">
        <w:trPr>
          <w:trHeight w:val="319"/>
        </w:trPr>
        <w:tc>
          <w:tcPr>
            <w:tcW w:w="1493" w:type="dxa"/>
          </w:tcPr>
          <w:p w:rsidR="00CC3BA4" w:rsidRPr="00596E2E" w:rsidRDefault="00CC3BA4" w:rsidP="0037584C">
            <w:pPr>
              <w:pStyle w:val="Tabletext"/>
              <w:rPr>
                <w:rFonts w:cs="Tahoma"/>
              </w:rPr>
            </w:pPr>
            <w:r w:rsidRPr="00596E2E">
              <w:rPr>
                <w:rFonts w:cs="Tahoma"/>
              </w:rPr>
              <w:t>Serious AEs</w:t>
            </w:r>
            <w:r w:rsidRPr="00596E2E">
              <w:rPr>
                <w:rFonts w:cs="Tahoma"/>
              </w:rPr>
              <w:br/>
              <w:t>(</w:t>
            </w:r>
            <w:r>
              <w:rPr>
                <w:rFonts w:cs="Tahoma"/>
              </w:rPr>
              <w:t>1</w:t>
            </w:r>
            <w:r w:rsidRPr="00596E2E">
              <w:rPr>
                <w:rFonts w:cs="Tahoma"/>
              </w:rPr>
              <w:t>2−1</w:t>
            </w:r>
            <w:r>
              <w:rPr>
                <w:rFonts w:cs="Tahoma"/>
              </w:rPr>
              <w:t>6</w:t>
            </w:r>
            <w:r w:rsidRPr="00596E2E">
              <w:rPr>
                <w:rFonts w:cs="Tahoma"/>
              </w:rPr>
              <w:t xml:space="preserve"> weeks)</w:t>
            </w:r>
          </w:p>
        </w:tc>
        <w:tc>
          <w:tcPr>
            <w:tcW w:w="1054" w:type="dxa"/>
          </w:tcPr>
          <w:p w:rsidR="00CC3BA4" w:rsidRPr="00596E2E" w:rsidRDefault="00CC3BA4" w:rsidP="0037584C">
            <w:pPr>
              <w:pStyle w:val="Tabletext"/>
              <w:rPr>
                <w:rFonts w:cs="Tahoma"/>
              </w:rPr>
            </w:pPr>
            <w:r w:rsidRPr="00596E2E">
              <w:rPr>
                <w:rFonts w:cs="Tahoma"/>
              </w:rPr>
              <w:t>2 RCTs</w:t>
            </w:r>
          </w:p>
        </w:tc>
        <w:tc>
          <w:tcPr>
            <w:tcW w:w="771" w:type="dxa"/>
          </w:tcPr>
          <w:p w:rsidR="00CC3BA4" w:rsidRPr="00596E2E" w:rsidRDefault="00CC3BA4" w:rsidP="0037584C">
            <w:pPr>
              <w:pStyle w:val="Tabletext"/>
              <w:rPr>
                <w:rFonts w:cs="Tahoma"/>
              </w:rPr>
            </w:pPr>
            <w:r w:rsidRPr="00596E2E">
              <w:rPr>
                <w:rFonts w:cs="Tahoma"/>
              </w:rPr>
              <w:t>Not serious</w:t>
            </w:r>
          </w:p>
        </w:tc>
        <w:tc>
          <w:tcPr>
            <w:tcW w:w="107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1276" w:type="dxa"/>
          </w:tcPr>
          <w:p w:rsidR="00CC3BA4" w:rsidRPr="00596E2E" w:rsidRDefault="00CC3BA4" w:rsidP="0037584C">
            <w:pPr>
              <w:pStyle w:val="Tabletext"/>
              <w:rPr>
                <w:rFonts w:cs="Tahoma"/>
              </w:rPr>
            </w:pPr>
            <w:r w:rsidRPr="00596E2E">
              <w:rPr>
                <w:rFonts w:cs="Tahoma"/>
              </w:rPr>
              <w:t>None</w:t>
            </w:r>
          </w:p>
        </w:tc>
        <w:tc>
          <w:tcPr>
            <w:tcW w:w="1417" w:type="dxa"/>
          </w:tcPr>
          <w:p w:rsidR="00CC3BA4" w:rsidRPr="00596E2E" w:rsidRDefault="00CC3BA4" w:rsidP="0037584C">
            <w:pPr>
              <w:pStyle w:val="Tabletext"/>
              <w:rPr>
                <w:rFonts w:cs="Tahoma"/>
              </w:rPr>
            </w:pPr>
            <w:r>
              <w:rPr>
                <w:rFonts w:cs="Tahoma"/>
              </w:rPr>
              <w:t>101/303 (33.3%)</w:t>
            </w:r>
          </w:p>
        </w:tc>
        <w:tc>
          <w:tcPr>
            <w:tcW w:w="1134" w:type="dxa"/>
          </w:tcPr>
          <w:p w:rsidR="00CC3BA4" w:rsidRPr="00596E2E" w:rsidRDefault="00CC3BA4" w:rsidP="0037584C">
            <w:pPr>
              <w:pStyle w:val="Tabletext"/>
              <w:rPr>
                <w:rFonts w:cs="Tahoma"/>
              </w:rPr>
            </w:pPr>
            <w:r w:rsidRPr="00596E2E">
              <w:rPr>
                <w:rFonts w:cs="Tahoma"/>
              </w:rPr>
              <w:t>57/179 (31.8%)</w:t>
            </w:r>
          </w:p>
        </w:tc>
        <w:tc>
          <w:tcPr>
            <w:tcW w:w="993" w:type="dxa"/>
          </w:tcPr>
          <w:p w:rsidR="00CC3BA4" w:rsidRPr="00596E2E" w:rsidRDefault="00CC3BA4" w:rsidP="0037584C">
            <w:pPr>
              <w:pStyle w:val="Tabletext"/>
              <w:rPr>
                <w:rFonts w:cs="Tahoma"/>
              </w:rPr>
            </w:pPr>
            <w:r w:rsidRPr="00596E2E">
              <w:rPr>
                <w:rFonts w:cs="Tahoma"/>
              </w:rPr>
              <w:t xml:space="preserve">RR </w:t>
            </w:r>
            <w:r>
              <w:rPr>
                <w:rFonts w:cs="Tahoma"/>
              </w:rPr>
              <w:t xml:space="preserve">= </w:t>
            </w:r>
            <w:r w:rsidRPr="00596E2E">
              <w:rPr>
                <w:rFonts w:cs="Tahoma"/>
              </w:rPr>
              <w:t>0.99</w:t>
            </w:r>
            <w:r>
              <w:rPr>
                <w:rFonts w:cs="Tahoma"/>
              </w:rPr>
              <w:t xml:space="preserve"> </w:t>
            </w:r>
            <w:r w:rsidRPr="00596E2E">
              <w:rPr>
                <w:rFonts w:cs="Tahoma"/>
              </w:rPr>
              <w:t>(0.76</w:t>
            </w:r>
            <w:r>
              <w:rPr>
                <w:rFonts w:cs="Tahoma"/>
              </w:rPr>
              <w:t>,</w:t>
            </w:r>
            <w:r w:rsidRPr="00596E2E">
              <w:rPr>
                <w:rFonts w:cs="Tahoma"/>
              </w:rPr>
              <w:t xml:space="preserve"> 1.29)</w:t>
            </w:r>
          </w:p>
        </w:tc>
        <w:tc>
          <w:tcPr>
            <w:tcW w:w="2188" w:type="dxa"/>
          </w:tcPr>
          <w:p w:rsidR="00CC3BA4" w:rsidRPr="00596E2E" w:rsidRDefault="00CC3BA4" w:rsidP="0037584C">
            <w:pPr>
              <w:pStyle w:val="Tabletext"/>
              <w:rPr>
                <w:rFonts w:cs="Tahoma"/>
              </w:rPr>
            </w:pPr>
            <w:r w:rsidRPr="00596E2E">
              <w:rPr>
                <w:rFonts w:cs="Tahoma"/>
              </w:rPr>
              <w:t>3 fewer per 1,000</w:t>
            </w:r>
            <w:r>
              <w:rPr>
                <w:rFonts w:cs="Tahoma"/>
              </w:rPr>
              <w:br/>
            </w:r>
            <w:r w:rsidRPr="00596E2E">
              <w:rPr>
                <w:rFonts w:cs="Tahoma"/>
              </w:rPr>
              <w:t>(from 76 fewer to 92 more)</w:t>
            </w:r>
          </w:p>
        </w:tc>
        <w:tc>
          <w:tcPr>
            <w:tcW w:w="1214" w:type="dxa"/>
          </w:tcPr>
          <w:p w:rsidR="00CC3BA4" w:rsidRPr="00596E2E" w:rsidRDefault="00CC3BA4" w:rsidP="0037584C">
            <w:pPr>
              <w:pStyle w:val="Tabletext"/>
              <w:rPr>
                <w:rFonts w:ascii="Cambria Math" w:eastAsia="Times New Roman" w:hAnsi="Cambria Math" w:cs="Cambria Math"/>
                <w:bCs/>
              </w:rPr>
            </w:pPr>
            <w:r w:rsidRPr="00596E2E">
              <w:rPr>
                <w:rFonts w:eastAsia="Times New Roman" w:cs="Tahoma"/>
                <w:bCs/>
              </w:rPr>
              <w:t>High</w:t>
            </w:r>
            <w:r w:rsidRPr="00596E2E">
              <w:rPr>
                <w:rFonts w:eastAsia="Times New Roman" w:cs="Tahoma"/>
                <w:bCs/>
              </w:rPr>
              <w:br/>
            </w:r>
            <w:r w:rsidRPr="00596E2E">
              <w:rPr>
                <w:rFonts w:ascii="Cambria Math" w:eastAsia="Times New Roman" w:hAnsi="Cambria Math" w:cs="Cambria Math"/>
                <w:bCs/>
                <w:color w:val="00B050"/>
              </w:rPr>
              <w:t>⨁⨁⨁⨁</w:t>
            </w:r>
          </w:p>
          <w:p w:rsidR="00CC3BA4" w:rsidRPr="00596E2E" w:rsidRDefault="00CC3BA4" w:rsidP="0037584C">
            <w:pPr>
              <w:pStyle w:val="Tabletext"/>
              <w:rPr>
                <w:rFonts w:cs="Tahoma"/>
              </w:rPr>
            </w:pPr>
            <w:r w:rsidRPr="00596E2E">
              <w:rPr>
                <w:rFonts w:cs="Tahoma"/>
              </w:rPr>
              <w:t>Important</w:t>
            </w:r>
          </w:p>
        </w:tc>
      </w:tr>
      <w:tr w:rsidR="00CC3BA4" w:rsidRPr="00596E2E" w:rsidTr="00115AB1">
        <w:trPr>
          <w:trHeight w:val="319"/>
        </w:trPr>
        <w:tc>
          <w:tcPr>
            <w:tcW w:w="1493" w:type="dxa"/>
          </w:tcPr>
          <w:p w:rsidR="00CC3BA4" w:rsidRPr="00596E2E" w:rsidRDefault="00CC3BA4" w:rsidP="0037584C">
            <w:pPr>
              <w:pStyle w:val="Tabletext"/>
              <w:rPr>
                <w:rFonts w:cs="Tahoma"/>
              </w:rPr>
            </w:pPr>
            <w:r w:rsidRPr="00596E2E">
              <w:rPr>
                <w:rFonts w:cs="Tahoma"/>
              </w:rPr>
              <w:t>AEs leading to treatment discontinuation</w:t>
            </w:r>
            <w:r w:rsidRPr="00596E2E">
              <w:rPr>
                <w:rFonts w:cs="Tahoma"/>
              </w:rPr>
              <w:br/>
              <w:t>(</w:t>
            </w:r>
            <w:r>
              <w:rPr>
                <w:rFonts w:cs="Tahoma"/>
              </w:rPr>
              <w:t>1</w:t>
            </w:r>
            <w:r w:rsidRPr="00596E2E">
              <w:rPr>
                <w:rFonts w:cs="Tahoma"/>
              </w:rPr>
              <w:t>2−1</w:t>
            </w:r>
            <w:r>
              <w:rPr>
                <w:rFonts w:cs="Tahoma"/>
              </w:rPr>
              <w:t>6</w:t>
            </w:r>
            <w:r w:rsidRPr="00596E2E">
              <w:rPr>
                <w:rFonts w:cs="Tahoma"/>
              </w:rPr>
              <w:t xml:space="preserve"> weeks)</w:t>
            </w:r>
          </w:p>
        </w:tc>
        <w:tc>
          <w:tcPr>
            <w:tcW w:w="1054" w:type="dxa"/>
          </w:tcPr>
          <w:p w:rsidR="00CC3BA4" w:rsidRPr="00596E2E" w:rsidRDefault="00CC3BA4" w:rsidP="0037584C">
            <w:pPr>
              <w:pStyle w:val="Tabletext"/>
              <w:rPr>
                <w:rFonts w:cs="Tahoma"/>
              </w:rPr>
            </w:pPr>
            <w:r w:rsidRPr="00596E2E">
              <w:rPr>
                <w:rFonts w:cs="Tahoma"/>
              </w:rPr>
              <w:t>2 RCTs</w:t>
            </w:r>
          </w:p>
        </w:tc>
        <w:tc>
          <w:tcPr>
            <w:tcW w:w="771" w:type="dxa"/>
          </w:tcPr>
          <w:p w:rsidR="00CC3BA4" w:rsidRPr="00596E2E" w:rsidRDefault="00CC3BA4" w:rsidP="0037584C">
            <w:pPr>
              <w:pStyle w:val="Tabletext"/>
              <w:rPr>
                <w:rFonts w:cs="Tahoma"/>
              </w:rPr>
            </w:pPr>
            <w:r w:rsidRPr="00596E2E">
              <w:rPr>
                <w:rFonts w:cs="Tahoma"/>
              </w:rPr>
              <w:t>Not serious</w:t>
            </w:r>
          </w:p>
        </w:tc>
        <w:tc>
          <w:tcPr>
            <w:tcW w:w="107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Pr>
                <w:rFonts w:cs="Tahoma"/>
              </w:rPr>
              <w:t>S</w:t>
            </w:r>
            <w:r w:rsidRPr="00596E2E">
              <w:rPr>
                <w:rFonts w:cs="Tahoma"/>
              </w:rPr>
              <w:t>erious</w:t>
            </w:r>
            <w:r>
              <w:rPr>
                <w:rFonts w:cs="Tahoma"/>
              </w:rPr>
              <w:t xml:space="preserve"> </w:t>
            </w:r>
            <w:r w:rsidRPr="004A79CF">
              <w:rPr>
                <w:rFonts w:cs="Tahoma"/>
                <w:vertAlign w:val="superscript"/>
              </w:rPr>
              <w:t>c</w:t>
            </w:r>
          </w:p>
        </w:tc>
        <w:tc>
          <w:tcPr>
            <w:tcW w:w="1276" w:type="dxa"/>
          </w:tcPr>
          <w:p w:rsidR="00CC3BA4" w:rsidRPr="00596E2E" w:rsidRDefault="00F95747" w:rsidP="0037584C">
            <w:pPr>
              <w:pStyle w:val="Tabletext"/>
              <w:rPr>
                <w:rFonts w:cs="Tahoma"/>
              </w:rPr>
            </w:pPr>
            <w:r>
              <w:rPr>
                <w:rFonts w:cs="Tahoma"/>
              </w:rPr>
              <w:t>None</w:t>
            </w:r>
          </w:p>
        </w:tc>
        <w:tc>
          <w:tcPr>
            <w:tcW w:w="1417" w:type="dxa"/>
          </w:tcPr>
          <w:p w:rsidR="00CC3BA4" w:rsidRPr="00596E2E" w:rsidRDefault="00CC3BA4" w:rsidP="0037584C">
            <w:pPr>
              <w:pStyle w:val="Tabletext"/>
              <w:rPr>
                <w:rFonts w:cs="Tahoma"/>
              </w:rPr>
            </w:pPr>
            <w:r>
              <w:rPr>
                <w:rFonts w:cs="Tahoma"/>
              </w:rPr>
              <w:t>34/313 (10.9%)</w:t>
            </w:r>
          </w:p>
        </w:tc>
        <w:tc>
          <w:tcPr>
            <w:tcW w:w="1134" w:type="dxa"/>
          </w:tcPr>
          <w:p w:rsidR="00CC3BA4" w:rsidRPr="00596E2E" w:rsidRDefault="00CC3BA4" w:rsidP="0037584C">
            <w:pPr>
              <w:pStyle w:val="Tabletext"/>
              <w:rPr>
                <w:rFonts w:cs="Tahoma"/>
              </w:rPr>
            </w:pPr>
            <w:r w:rsidRPr="00596E2E">
              <w:rPr>
                <w:rFonts w:cs="Tahoma"/>
              </w:rPr>
              <w:t>14/190 (7.4%)</w:t>
            </w:r>
          </w:p>
        </w:tc>
        <w:tc>
          <w:tcPr>
            <w:tcW w:w="993" w:type="dxa"/>
          </w:tcPr>
          <w:p w:rsidR="00CC3BA4" w:rsidRPr="00596E2E" w:rsidRDefault="00CC3BA4" w:rsidP="0037584C">
            <w:pPr>
              <w:pStyle w:val="Tabletext"/>
              <w:rPr>
                <w:rFonts w:cs="Tahoma"/>
              </w:rPr>
            </w:pPr>
            <w:r w:rsidRPr="00596E2E">
              <w:rPr>
                <w:rFonts w:cs="Tahoma"/>
              </w:rPr>
              <w:t xml:space="preserve">RR </w:t>
            </w:r>
            <w:r>
              <w:rPr>
                <w:rFonts w:cs="Tahoma"/>
              </w:rPr>
              <w:t xml:space="preserve">= </w:t>
            </w:r>
            <w:r w:rsidRPr="00596E2E">
              <w:rPr>
                <w:rFonts w:cs="Tahoma"/>
              </w:rPr>
              <w:t>1.65</w:t>
            </w:r>
            <w:r>
              <w:rPr>
                <w:rFonts w:cs="Tahoma"/>
              </w:rPr>
              <w:t xml:space="preserve"> </w:t>
            </w:r>
            <w:r w:rsidRPr="00596E2E">
              <w:rPr>
                <w:rFonts w:cs="Tahoma"/>
              </w:rPr>
              <w:t>(0.35</w:t>
            </w:r>
            <w:r>
              <w:rPr>
                <w:rFonts w:cs="Tahoma"/>
              </w:rPr>
              <w:t>,</w:t>
            </w:r>
            <w:r w:rsidRPr="00596E2E">
              <w:rPr>
                <w:rFonts w:cs="Tahoma"/>
              </w:rPr>
              <w:t xml:space="preserve"> 7.81)</w:t>
            </w:r>
          </w:p>
        </w:tc>
        <w:tc>
          <w:tcPr>
            <w:tcW w:w="2188" w:type="dxa"/>
          </w:tcPr>
          <w:p w:rsidR="00CC3BA4" w:rsidRPr="00596E2E" w:rsidRDefault="00CC3BA4" w:rsidP="0037584C">
            <w:pPr>
              <w:pStyle w:val="Tabletext"/>
              <w:rPr>
                <w:rFonts w:cs="Tahoma"/>
              </w:rPr>
            </w:pPr>
            <w:r w:rsidRPr="00596E2E">
              <w:rPr>
                <w:rFonts w:cs="Tahoma"/>
              </w:rPr>
              <w:t>48 more per 1,000</w:t>
            </w:r>
            <w:r>
              <w:rPr>
                <w:rFonts w:cs="Tahoma"/>
              </w:rPr>
              <w:br/>
            </w:r>
            <w:r w:rsidRPr="00596E2E">
              <w:rPr>
                <w:rFonts w:cs="Tahoma"/>
              </w:rPr>
              <w:t>(from 48 fewer to 502 more)</w:t>
            </w:r>
          </w:p>
        </w:tc>
        <w:tc>
          <w:tcPr>
            <w:tcW w:w="1214" w:type="dxa"/>
          </w:tcPr>
          <w:p w:rsidR="00F95747" w:rsidRDefault="00F95747" w:rsidP="00F95747">
            <w:pPr>
              <w:pStyle w:val="Tabletext"/>
              <w:rPr>
                <w:rFonts w:ascii="Cambria Math" w:eastAsia="Times New Roman" w:hAnsi="Cambria Math" w:cs="Cambria Math"/>
                <w:bCs/>
              </w:rPr>
            </w:pPr>
            <w:r>
              <w:rPr>
                <w:rFonts w:eastAsia="Times New Roman" w:cs="Tahoma"/>
                <w:bCs/>
              </w:rPr>
              <w:t>Moderate</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596E2E" w:rsidRDefault="00CC3BA4" w:rsidP="0037584C">
            <w:pPr>
              <w:pStyle w:val="Tabletext"/>
              <w:rPr>
                <w:rFonts w:ascii="Cambria Math" w:eastAsia="Times New Roman" w:hAnsi="Cambria Math" w:cs="Cambria Math"/>
                <w:bCs/>
                <w:color w:val="00B050"/>
              </w:rPr>
            </w:pPr>
            <w:r w:rsidRPr="00596E2E">
              <w:rPr>
                <w:rFonts w:cs="Tahoma"/>
              </w:rPr>
              <w:t>Important</w:t>
            </w:r>
          </w:p>
        </w:tc>
      </w:tr>
    </w:tbl>
    <w:p w:rsidR="00CC3BA4" w:rsidRPr="00AA018C" w:rsidRDefault="00CC3BA4" w:rsidP="0037584C">
      <w:pPr>
        <w:pStyle w:val="Tablenote"/>
      </w:pPr>
      <w:proofErr w:type="gramStart"/>
      <w:r w:rsidRPr="00596E2E">
        <w:rPr>
          <w:vertAlign w:val="superscript"/>
        </w:rPr>
        <w:t>a</w:t>
      </w:r>
      <w:proofErr w:type="gramEnd"/>
      <w:r w:rsidRPr="00596E2E">
        <w:rPr>
          <w:vertAlign w:val="superscript"/>
        </w:rPr>
        <w:t xml:space="preserve"> </w:t>
      </w:r>
      <w:r w:rsidRPr="00596E2E">
        <w:t>Other considerations such as publication bias and effect size</w:t>
      </w:r>
    </w:p>
    <w:p w:rsidR="00CC3BA4" w:rsidRDefault="00CC3BA4" w:rsidP="0037584C">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CC3BA4" w:rsidRPr="00E564DD" w:rsidRDefault="00CC3BA4" w:rsidP="0037584C">
      <w:pPr>
        <w:pStyle w:val="Tablenote"/>
      </w:pPr>
      <w:proofErr w:type="gramStart"/>
      <w:r>
        <w:rPr>
          <w:vertAlign w:val="superscript"/>
        </w:rPr>
        <w:t>c</w:t>
      </w:r>
      <w:proofErr w:type="gramEnd"/>
      <w:r w:rsidRPr="00E564DD">
        <w:t xml:space="preserve"> </w:t>
      </w:r>
      <w:r>
        <w:t>Wide 95% CIs span 1</w:t>
      </w:r>
    </w:p>
    <w:p w:rsidR="00CC3BA4" w:rsidRPr="00E564DD" w:rsidRDefault="00CC3BA4" w:rsidP="0037584C">
      <w:pPr>
        <w:pStyle w:val="Tablenote"/>
      </w:pPr>
      <w:r w:rsidRPr="00E564DD">
        <w:rPr>
          <w:rFonts w:ascii="Cambria Math" w:hAnsi="Cambria Math" w:cs="Cambria Math"/>
          <w:color w:val="00B050"/>
        </w:rPr>
        <w:t>⨁⨁⨁⨁</w:t>
      </w:r>
      <w:r w:rsidRPr="00E564DD">
        <w:rPr>
          <w:color w:val="00B050"/>
        </w:rPr>
        <w:t xml:space="preserve"> </w:t>
      </w:r>
      <w:r w:rsidRPr="00E564DD">
        <w:rPr>
          <w:b/>
        </w:rPr>
        <w:t>High quality:</w:t>
      </w:r>
      <w:r w:rsidRPr="00E564DD">
        <w:t xml:space="preserve"> We are very confident that the true effect lies close to that of the estimate of effect</w:t>
      </w:r>
    </w:p>
    <w:p w:rsidR="00F95747" w:rsidRPr="00E564DD" w:rsidRDefault="00F95747" w:rsidP="00F95747">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7C6567" w:rsidRDefault="00CC3BA4" w:rsidP="0037584C">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7C6567" w:rsidRPr="00F24B06">
        <w:t xml:space="preserve">; </w:t>
      </w:r>
      <w:r w:rsidRPr="00C65B42">
        <w:t xml:space="preserve">PAH = pulmonary arterial hypertension; </w:t>
      </w:r>
      <w:r w:rsidRPr="009B5AB3">
        <w:t>PDE-5</w:t>
      </w:r>
      <w:r w:rsidR="007C6567">
        <w:t>i</w:t>
      </w:r>
      <w:r w:rsidRPr="009B5AB3">
        <w:t xml:space="preserve"> = phosphodiesterase type-5</w:t>
      </w:r>
      <w:r w:rsidR="007C6567">
        <w:t xml:space="preserve"> inhibitor</w:t>
      </w:r>
      <w:r>
        <w:t>;</w:t>
      </w:r>
      <w:r w:rsidRPr="009B5AB3">
        <w:t xml:space="preserve"> </w:t>
      </w:r>
      <w:r>
        <w:t>RCT = randomised controlled trial; RR = relative risk</w:t>
      </w:r>
    </w:p>
    <w:p w:rsidR="00CC3BA4" w:rsidRPr="005D4CA0" w:rsidRDefault="00796F18" w:rsidP="00BC5A2B">
      <w:pPr>
        <w:pStyle w:val="Caption"/>
      </w:pPr>
      <w:bookmarkStart w:id="529" w:name="_Ref505781534"/>
      <w:bookmarkStart w:id="530" w:name="_Toc38360457"/>
      <w:r>
        <w:lastRenderedPageBreak/>
        <w:t>Table 4.</w:t>
      </w:r>
      <w:r w:rsidR="003951FA">
        <w:rPr>
          <w:noProof/>
        </w:rPr>
        <w:t>160</w:t>
      </w:r>
      <w:bookmarkEnd w:id="529"/>
      <w:r>
        <w:tab/>
      </w:r>
      <w:r w:rsidR="00CC3BA4" w:rsidRPr="005D4CA0">
        <w:t xml:space="preserve">Evidence profile table for </w:t>
      </w:r>
      <w:r w:rsidR="00CC3BA4">
        <w:t xml:space="preserve">comparative safety of </w:t>
      </w:r>
      <w:r w:rsidR="00CC3BA4" w:rsidRPr="0045259F">
        <w:t xml:space="preserve">PDE-5 inhibitor </w:t>
      </w:r>
      <w:r w:rsidR="00386993">
        <w:t>plus</w:t>
      </w:r>
      <w:r w:rsidR="00CC3BA4" w:rsidRPr="0045259F">
        <w:t xml:space="preserve"> ERA combination therapy compared to ERA </w:t>
      </w:r>
      <w:r w:rsidR="00CC3BA4">
        <w:t xml:space="preserve">monotherapy </w:t>
      </w:r>
      <w:r w:rsidR="00CC3BA4" w:rsidRPr="005D4CA0">
        <w:t xml:space="preserve">for </w:t>
      </w:r>
      <w:r w:rsidR="00CC3BA4">
        <w:t>patients with PAH</w:t>
      </w:r>
      <w:r w:rsidR="002E6E59">
        <w:t>-CTD</w:t>
      </w:r>
      <w:bookmarkEnd w:id="530"/>
    </w:p>
    <w:tbl>
      <w:tblPr>
        <w:tblStyle w:val="TableGrid"/>
        <w:tblW w:w="14596" w:type="dxa"/>
        <w:tblLayout w:type="fixed"/>
        <w:tblLook w:val="04A0" w:firstRow="1" w:lastRow="0" w:firstColumn="1" w:lastColumn="0" w:noHBand="0" w:noVBand="1"/>
        <w:tblCaption w:val="Evidence profile table for comparative safety of PDE-5 inhibitor plus ERA combination therapy compared to ERA monotherapy for patients with PAH-CTD"/>
      </w:tblPr>
      <w:tblGrid>
        <w:gridCol w:w="1493"/>
        <w:gridCol w:w="1054"/>
        <w:gridCol w:w="771"/>
        <w:gridCol w:w="1072"/>
        <w:gridCol w:w="992"/>
        <w:gridCol w:w="992"/>
        <w:gridCol w:w="1276"/>
        <w:gridCol w:w="1417"/>
        <w:gridCol w:w="1134"/>
        <w:gridCol w:w="993"/>
        <w:gridCol w:w="2188"/>
        <w:gridCol w:w="1214"/>
      </w:tblGrid>
      <w:tr w:rsidR="0037584C" w:rsidRPr="0037584C" w:rsidTr="00115AB1">
        <w:trPr>
          <w:cnfStyle w:val="100000000000" w:firstRow="1" w:lastRow="0" w:firstColumn="0" w:lastColumn="0" w:oddVBand="0" w:evenVBand="0" w:oddHBand="0" w:evenHBand="0" w:firstRowFirstColumn="0" w:firstRowLastColumn="0" w:lastRowFirstColumn="0" w:lastRowLastColumn="0"/>
          <w:trHeight w:val="592"/>
        </w:trPr>
        <w:tc>
          <w:tcPr>
            <w:tcW w:w="1493" w:type="dxa"/>
          </w:tcPr>
          <w:p w:rsidR="00476F09" w:rsidRPr="0037584C" w:rsidRDefault="00476F09" w:rsidP="0037584C">
            <w:pPr>
              <w:pStyle w:val="Tabletext"/>
              <w:rPr>
                <w:b/>
              </w:rPr>
            </w:pPr>
            <w:r w:rsidRPr="0037584C">
              <w:rPr>
                <w:b/>
              </w:rPr>
              <w:t>Outcome (follow-up)</w:t>
            </w:r>
          </w:p>
        </w:tc>
        <w:tc>
          <w:tcPr>
            <w:tcW w:w="1054" w:type="dxa"/>
          </w:tcPr>
          <w:p w:rsidR="00476F09" w:rsidRPr="0037584C" w:rsidRDefault="00476F09" w:rsidP="0037584C">
            <w:pPr>
              <w:pStyle w:val="Tabletext"/>
              <w:rPr>
                <w:b/>
              </w:rPr>
            </w:pPr>
            <w:r w:rsidRPr="0037584C">
              <w:rPr>
                <w:b/>
              </w:rPr>
              <w:t>No. of studies and study design</w:t>
            </w:r>
          </w:p>
        </w:tc>
        <w:tc>
          <w:tcPr>
            <w:tcW w:w="771" w:type="dxa"/>
          </w:tcPr>
          <w:p w:rsidR="00476F09" w:rsidRPr="0037584C" w:rsidRDefault="00476F09" w:rsidP="0037584C">
            <w:pPr>
              <w:pStyle w:val="Tabletext"/>
              <w:rPr>
                <w:b/>
              </w:rPr>
            </w:pPr>
            <w:r w:rsidRPr="0037584C">
              <w:rPr>
                <w:b/>
              </w:rPr>
              <w:t>Risk of bias</w:t>
            </w:r>
          </w:p>
        </w:tc>
        <w:tc>
          <w:tcPr>
            <w:tcW w:w="1072" w:type="dxa"/>
          </w:tcPr>
          <w:p w:rsidR="00476F09" w:rsidRPr="0037584C" w:rsidRDefault="00476F09" w:rsidP="0037584C">
            <w:pPr>
              <w:pStyle w:val="Tabletext"/>
              <w:rPr>
                <w:b/>
              </w:rPr>
            </w:pPr>
            <w:r w:rsidRPr="0037584C">
              <w:rPr>
                <w:b/>
              </w:rPr>
              <w:t>Inconsis</w:t>
            </w:r>
            <w:r w:rsidR="00115AB1">
              <w:rPr>
                <w:b/>
              </w:rPr>
              <w:t>-</w:t>
            </w:r>
            <w:r w:rsidRPr="0037584C">
              <w:rPr>
                <w:b/>
              </w:rPr>
              <w:t>tency</w:t>
            </w:r>
          </w:p>
        </w:tc>
        <w:tc>
          <w:tcPr>
            <w:tcW w:w="992" w:type="dxa"/>
          </w:tcPr>
          <w:p w:rsidR="00476F09" w:rsidRPr="0037584C" w:rsidRDefault="00476F09" w:rsidP="0037584C">
            <w:pPr>
              <w:pStyle w:val="Tabletext"/>
              <w:rPr>
                <w:b/>
              </w:rPr>
            </w:pPr>
            <w:r w:rsidRPr="0037584C">
              <w:rPr>
                <w:b/>
              </w:rPr>
              <w:t>Indirect</w:t>
            </w:r>
            <w:r w:rsidR="00115AB1">
              <w:rPr>
                <w:b/>
              </w:rPr>
              <w:t>-</w:t>
            </w:r>
            <w:r w:rsidRPr="0037584C">
              <w:rPr>
                <w:b/>
              </w:rPr>
              <w:t>ness</w:t>
            </w:r>
          </w:p>
        </w:tc>
        <w:tc>
          <w:tcPr>
            <w:tcW w:w="992" w:type="dxa"/>
          </w:tcPr>
          <w:p w:rsidR="00476F09" w:rsidRPr="0037584C" w:rsidRDefault="00476F09" w:rsidP="0037584C">
            <w:pPr>
              <w:pStyle w:val="Tabletext"/>
              <w:rPr>
                <w:b/>
              </w:rPr>
            </w:pPr>
            <w:r w:rsidRPr="0037584C">
              <w:rPr>
                <w:b/>
              </w:rPr>
              <w:t>Impre</w:t>
            </w:r>
            <w:r w:rsidR="00115AB1">
              <w:rPr>
                <w:b/>
              </w:rPr>
              <w:t>--</w:t>
            </w:r>
            <w:r w:rsidRPr="0037584C">
              <w:rPr>
                <w:b/>
              </w:rPr>
              <w:t>cision</w:t>
            </w:r>
          </w:p>
        </w:tc>
        <w:tc>
          <w:tcPr>
            <w:tcW w:w="1276" w:type="dxa"/>
          </w:tcPr>
          <w:p w:rsidR="00476F09" w:rsidRPr="0037584C" w:rsidRDefault="00476F09" w:rsidP="0037584C">
            <w:pPr>
              <w:pStyle w:val="Tabletext"/>
              <w:rPr>
                <w:b/>
              </w:rPr>
            </w:pPr>
            <w:r w:rsidRPr="0037584C">
              <w:rPr>
                <w:b/>
              </w:rPr>
              <w:t>Other conside</w:t>
            </w:r>
            <w:r w:rsidR="00115AB1">
              <w:rPr>
                <w:b/>
              </w:rPr>
              <w:t>-</w:t>
            </w:r>
            <w:r w:rsidRPr="0037584C">
              <w:rPr>
                <w:b/>
              </w:rPr>
              <w:t>rations</w:t>
            </w:r>
            <w:r w:rsidRPr="0037584C">
              <w:rPr>
                <w:b/>
                <w:vertAlign w:val="superscript"/>
              </w:rPr>
              <w:t>a</w:t>
            </w:r>
          </w:p>
        </w:tc>
        <w:tc>
          <w:tcPr>
            <w:tcW w:w="1417" w:type="dxa"/>
          </w:tcPr>
          <w:p w:rsidR="00476F09" w:rsidRPr="0037584C" w:rsidRDefault="00476F09" w:rsidP="0037584C">
            <w:pPr>
              <w:pStyle w:val="Tabletext"/>
              <w:rPr>
                <w:b/>
              </w:rPr>
            </w:pPr>
            <w:r w:rsidRPr="0037584C">
              <w:rPr>
                <w:b/>
              </w:rPr>
              <w:t>Study event rates (%) with PDE-5i + ERA</w:t>
            </w:r>
          </w:p>
        </w:tc>
        <w:tc>
          <w:tcPr>
            <w:tcW w:w="1134" w:type="dxa"/>
          </w:tcPr>
          <w:p w:rsidR="00476F09" w:rsidRPr="0037584C" w:rsidRDefault="00476F09" w:rsidP="0037584C">
            <w:pPr>
              <w:pStyle w:val="Tabletext"/>
              <w:rPr>
                <w:b/>
              </w:rPr>
            </w:pPr>
            <w:r w:rsidRPr="0037584C">
              <w:rPr>
                <w:b/>
              </w:rPr>
              <w:t>Study event rates (%) with ERA</w:t>
            </w:r>
          </w:p>
        </w:tc>
        <w:tc>
          <w:tcPr>
            <w:tcW w:w="993" w:type="dxa"/>
          </w:tcPr>
          <w:p w:rsidR="00476F09" w:rsidRPr="0037584C" w:rsidRDefault="00476F09" w:rsidP="0037584C">
            <w:pPr>
              <w:pStyle w:val="Tabletext"/>
              <w:rPr>
                <w:b/>
              </w:rPr>
            </w:pPr>
            <w:r w:rsidRPr="0037584C">
              <w:rPr>
                <w:b/>
              </w:rPr>
              <w:t>Effect measure (95%CI)</w:t>
            </w:r>
          </w:p>
        </w:tc>
        <w:tc>
          <w:tcPr>
            <w:tcW w:w="2188" w:type="dxa"/>
          </w:tcPr>
          <w:p w:rsidR="00476F09" w:rsidRPr="0037584C" w:rsidRDefault="00476F09" w:rsidP="0037584C">
            <w:pPr>
              <w:pStyle w:val="Tabletext"/>
              <w:rPr>
                <w:b/>
              </w:rPr>
            </w:pPr>
            <w:r w:rsidRPr="0037584C">
              <w:rPr>
                <w:b/>
              </w:rPr>
              <w:t>Absolute effect (95%CI)</w:t>
            </w:r>
          </w:p>
        </w:tc>
        <w:tc>
          <w:tcPr>
            <w:tcW w:w="1214" w:type="dxa"/>
          </w:tcPr>
          <w:p w:rsidR="002E6E59" w:rsidRDefault="002E6E59" w:rsidP="0037584C">
            <w:pPr>
              <w:pStyle w:val="Tabletext"/>
              <w:rPr>
                <w:b/>
              </w:rPr>
            </w:pPr>
            <w:r>
              <w:rPr>
                <w:b/>
              </w:rPr>
              <w:t>GRADE</w:t>
            </w:r>
            <w:r w:rsidRPr="002E6E59">
              <w:rPr>
                <w:b/>
                <w:vertAlign w:val="superscript"/>
              </w:rPr>
              <w:t>b</w:t>
            </w:r>
          </w:p>
          <w:p w:rsidR="00476F09" w:rsidRPr="0037584C" w:rsidRDefault="00476F09" w:rsidP="0037584C">
            <w:pPr>
              <w:pStyle w:val="Tabletext"/>
              <w:rPr>
                <w:b/>
                <w:vertAlign w:val="superscript"/>
              </w:rPr>
            </w:pPr>
            <w:r w:rsidRPr="0037584C">
              <w:rPr>
                <w:b/>
              </w:rPr>
              <w:t>Quality</w:t>
            </w:r>
          </w:p>
          <w:p w:rsidR="00476F09" w:rsidRPr="0037584C" w:rsidRDefault="00476F09" w:rsidP="0037584C">
            <w:pPr>
              <w:pStyle w:val="Tabletext"/>
              <w:rPr>
                <w:b/>
              </w:rPr>
            </w:pPr>
            <w:r w:rsidRPr="0037584C">
              <w:rPr>
                <w:b/>
              </w:rPr>
              <w:t>Importance</w:t>
            </w:r>
          </w:p>
        </w:tc>
      </w:tr>
      <w:tr w:rsidR="00CC3BA4" w:rsidRPr="00E564DD" w:rsidTr="00115AB1">
        <w:trPr>
          <w:trHeight w:val="319"/>
        </w:trPr>
        <w:tc>
          <w:tcPr>
            <w:tcW w:w="1493" w:type="dxa"/>
          </w:tcPr>
          <w:p w:rsidR="00CC3BA4" w:rsidRPr="00E564DD" w:rsidRDefault="00CC3BA4" w:rsidP="0037584C">
            <w:pPr>
              <w:pStyle w:val="Tabletext"/>
              <w:rPr>
                <w:rFonts w:cs="Tahoma"/>
              </w:rPr>
            </w:pPr>
            <w:r>
              <w:rPr>
                <w:rFonts w:cs="Tahoma"/>
              </w:rPr>
              <w:t>Any AE in PAH-CTD</w:t>
            </w:r>
            <w:r>
              <w:rPr>
                <w:rFonts w:cs="Tahoma"/>
              </w:rPr>
              <w:br/>
              <w:t>(74</w:t>
            </w:r>
            <w:r w:rsidRPr="00D36FBC">
              <w:rPr>
                <w:rFonts w:cs="Tahoma"/>
              </w:rPr>
              <w:t xml:space="preserve"> weeks)</w:t>
            </w:r>
          </w:p>
        </w:tc>
        <w:tc>
          <w:tcPr>
            <w:tcW w:w="1054" w:type="dxa"/>
          </w:tcPr>
          <w:p w:rsidR="00CC3BA4" w:rsidRPr="00E564DD" w:rsidRDefault="00CC3BA4" w:rsidP="0037584C">
            <w:pPr>
              <w:pStyle w:val="Tabletext"/>
              <w:rPr>
                <w:rFonts w:cs="Tahoma"/>
              </w:rPr>
            </w:pPr>
            <w:r>
              <w:rPr>
                <w:rFonts w:cs="Tahoma"/>
              </w:rPr>
              <w:t>1</w:t>
            </w:r>
            <w:r w:rsidRPr="00E564DD">
              <w:rPr>
                <w:rFonts w:cs="Tahoma"/>
              </w:rPr>
              <w:t xml:space="preserve"> RCT</w:t>
            </w:r>
          </w:p>
        </w:tc>
        <w:tc>
          <w:tcPr>
            <w:tcW w:w="771" w:type="dxa"/>
          </w:tcPr>
          <w:p w:rsidR="00CC3BA4" w:rsidRPr="00E564DD" w:rsidRDefault="00CC3BA4" w:rsidP="0037584C">
            <w:pPr>
              <w:pStyle w:val="Tabletext"/>
              <w:rPr>
                <w:rFonts w:cs="Tahoma"/>
              </w:rPr>
            </w:pPr>
            <w:r w:rsidRPr="00E564DD">
              <w:rPr>
                <w:rFonts w:cs="Tahoma"/>
              </w:rPr>
              <w:t>Not serious</w:t>
            </w:r>
          </w:p>
        </w:tc>
        <w:tc>
          <w:tcPr>
            <w:tcW w:w="1072" w:type="dxa"/>
          </w:tcPr>
          <w:p w:rsidR="00CC3BA4" w:rsidRPr="00E564DD" w:rsidRDefault="00CC3BA4" w:rsidP="0037584C">
            <w:pPr>
              <w:pStyle w:val="Tabletext"/>
              <w:rPr>
                <w:rFonts w:cs="Tahoma"/>
              </w:rPr>
            </w:pPr>
            <w:r w:rsidRPr="00E564DD">
              <w:rPr>
                <w:rFonts w:cs="Tahoma"/>
              </w:rPr>
              <w:t>Not serious</w:t>
            </w:r>
          </w:p>
        </w:tc>
        <w:tc>
          <w:tcPr>
            <w:tcW w:w="992" w:type="dxa"/>
          </w:tcPr>
          <w:p w:rsidR="00CC3BA4" w:rsidRPr="00E564DD" w:rsidRDefault="00CC3BA4" w:rsidP="0037584C">
            <w:pPr>
              <w:pStyle w:val="Tabletext"/>
              <w:rPr>
                <w:rFonts w:cs="Tahoma"/>
              </w:rPr>
            </w:pPr>
            <w:r w:rsidRPr="00E564DD">
              <w:rPr>
                <w:rFonts w:cs="Tahoma"/>
              </w:rPr>
              <w:t>Not serious</w:t>
            </w:r>
          </w:p>
        </w:tc>
        <w:tc>
          <w:tcPr>
            <w:tcW w:w="992" w:type="dxa"/>
          </w:tcPr>
          <w:p w:rsidR="00CC3BA4" w:rsidRPr="00E564DD" w:rsidRDefault="00CC3BA4" w:rsidP="0037584C">
            <w:pPr>
              <w:pStyle w:val="Tabletext"/>
              <w:rPr>
                <w:rFonts w:cs="Tahoma"/>
              </w:rPr>
            </w:pPr>
            <w:r w:rsidRPr="00E564DD">
              <w:rPr>
                <w:rFonts w:cs="Tahoma"/>
              </w:rPr>
              <w:t>Not serious</w:t>
            </w:r>
          </w:p>
        </w:tc>
        <w:tc>
          <w:tcPr>
            <w:tcW w:w="1276" w:type="dxa"/>
          </w:tcPr>
          <w:p w:rsidR="00CC3BA4" w:rsidRPr="00E564DD" w:rsidRDefault="00CC3BA4" w:rsidP="0037584C">
            <w:pPr>
              <w:pStyle w:val="Tabletext"/>
              <w:rPr>
                <w:rFonts w:cs="Tahoma"/>
              </w:rPr>
            </w:pPr>
            <w:r w:rsidRPr="00E564DD">
              <w:rPr>
                <w:rFonts w:cs="Tahoma"/>
              </w:rPr>
              <w:t>None</w:t>
            </w:r>
          </w:p>
        </w:tc>
        <w:tc>
          <w:tcPr>
            <w:tcW w:w="1417" w:type="dxa"/>
          </w:tcPr>
          <w:p w:rsidR="00CC3BA4" w:rsidRPr="00C80652" w:rsidRDefault="00CC3BA4" w:rsidP="0037584C">
            <w:pPr>
              <w:pStyle w:val="Tabletext"/>
              <w:rPr>
                <w:rFonts w:eastAsia="Times New Roman"/>
              </w:rPr>
            </w:pPr>
            <w:r w:rsidRPr="00894134">
              <w:rPr>
                <w:rFonts w:eastAsia="Times New Roman"/>
              </w:rPr>
              <w:t>102/103 (99.0%)</w:t>
            </w:r>
          </w:p>
        </w:tc>
        <w:tc>
          <w:tcPr>
            <w:tcW w:w="1134" w:type="dxa"/>
          </w:tcPr>
          <w:p w:rsidR="00CC3BA4" w:rsidRPr="00C80652" w:rsidRDefault="00CC3BA4" w:rsidP="0037584C">
            <w:pPr>
              <w:pStyle w:val="Tabletext"/>
              <w:rPr>
                <w:rFonts w:eastAsia="Times New Roman"/>
              </w:rPr>
            </w:pPr>
            <w:r w:rsidRPr="00894134">
              <w:rPr>
                <w:rFonts w:eastAsia="Times New Roman"/>
              </w:rPr>
              <w:t>42/44 (95.5%)</w:t>
            </w:r>
          </w:p>
        </w:tc>
        <w:tc>
          <w:tcPr>
            <w:tcW w:w="993" w:type="dxa"/>
          </w:tcPr>
          <w:p w:rsidR="00CC3BA4" w:rsidRPr="00A971CA" w:rsidRDefault="00CC3BA4" w:rsidP="0037584C">
            <w:pPr>
              <w:pStyle w:val="Tabletext"/>
              <w:rPr>
                <w:rFonts w:eastAsia="Times New Roman"/>
              </w:rPr>
            </w:pPr>
            <w:r w:rsidRPr="00894134">
              <w:rPr>
                <w:rFonts w:eastAsia="Times New Roman"/>
              </w:rPr>
              <w:t xml:space="preserve">RR </w:t>
            </w:r>
            <w:r>
              <w:rPr>
                <w:rFonts w:eastAsia="Times New Roman"/>
              </w:rPr>
              <w:t xml:space="preserve">= </w:t>
            </w:r>
            <w:r w:rsidRPr="00894134">
              <w:rPr>
                <w:rFonts w:eastAsia="Times New Roman"/>
              </w:rPr>
              <w:t>1.04</w:t>
            </w:r>
            <w:r>
              <w:rPr>
                <w:rFonts w:eastAsia="Times New Roman"/>
              </w:rPr>
              <w:t xml:space="preserve"> </w:t>
            </w:r>
            <w:r w:rsidRPr="00894134">
              <w:rPr>
                <w:rFonts w:eastAsia="Times New Roman"/>
              </w:rPr>
              <w:t>(0.97</w:t>
            </w:r>
            <w:r>
              <w:rPr>
                <w:rFonts w:eastAsia="Times New Roman"/>
              </w:rPr>
              <w:t>,</w:t>
            </w:r>
            <w:r w:rsidRPr="00894134">
              <w:rPr>
                <w:rFonts w:eastAsia="Times New Roman"/>
              </w:rPr>
              <w:t xml:space="preserve"> </w:t>
            </w:r>
            <w:r>
              <w:rPr>
                <w:rFonts w:eastAsia="Times New Roman"/>
              </w:rPr>
              <w:t>1.11)</w:t>
            </w:r>
          </w:p>
        </w:tc>
        <w:tc>
          <w:tcPr>
            <w:tcW w:w="2188" w:type="dxa"/>
          </w:tcPr>
          <w:p w:rsidR="00CC3BA4" w:rsidRPr="00C80652" w:rsidRDefault="00CC3BA4" w:rsidP="0037584C">
            <w:pPr>
              <w:pStyle w:val="Tabletext"/>
              <w:rPr>
                <w:rFonts w:eastAsia="Times New Roman"/>
                <w:bCs/>
              </w:rPr>
            </w:pPr>
            <w:r w:rsidRPr="00894134">
              <w:rPr>
                <w:rFonts w:eastAsia="Times New Roman"/>
              </w:rPr>
              <w:t>38 more per 1,000</w:t>
            </w:r>
            <w:r>
              <w:rPr>
                <w:rFonts w:eastAsia="Times New Roman"/>
              </w:rPr>
              <w:br/>
            </w:r>
            <w:r w:rsidRPr="00894134">
              <w:rPr>
                <w:rFonts w:eastAsia="Times New Roman"/>
              </w:rPr>
              <w:t>(from 29 fewer to 105 more)</w:t>
            </w:r>
          </w:p>
        </w:tc>
        <w:tc>
          <w:tcPr>
            <w:tcW w:w="1214" w:type="dxa"/>
          </w:tcPr>
          <w:p w:rsidR="00CC3BA4" w:rsidRDefault="00CC3BA4" w:rsidP="0037584C">
            <w:pPr>
              <w:pStyle w:val="Tabletext"/>
              <w:rPr>
                <w:rFonts w:ascii="Cambria Math" w:eastAsia="Times New Roman" w:hAnsi="Cambria Math" w:cs="Cambria Math"/>
                <w:bCs/>
              </w:rPr>
            </w:pPr>
            <w:r>
              <w:rPr>
                <w:rFonts w:eastAsia="Times New Roman" w:cs="Tahoma"/>
                <w:bCs/>
              </w:rPr>
              <w:t>High</w:t>
            </w:r>
            <w:r>
              <w:rPr>
                <w:rFonts w:eastAsia="Times New Roman" w:cs="Tahoma"/>
                <w:bCs/>
              </w:rPr>
              <w:br/>
            </w:r>
            <w:r w:rsidRPr="00E564DD">
              <w:rPr>
                <w:rFonts w:ascii="Cambria Math" w:eastAsia="Times New Roman" w:hAnsi="Cambria Math" w:cs="Cambria Math"/>
                <w:bCs/>
                <w:color w:val="00B050"/>
              </w:rPr>
              <w:t>⨁⨁⨁</w:t>
            </w:r>
            <w:r w:rsidRPr="00D36FBC">
              <w:rPr>
                <w:rFonts w:ascii="Cambria Math" w:eastAsia="Times New Roman" w:hAnsi="Cambria Math" w:cs="Cambria Math"/>
                <w:bCs/>
                <w:color w:val="00B050"/>
              </w:rPr>
              <w:t>⨁</w:t>
            </w:r>
          </w:p>
          <w:p w:rsidR="00CC3BA4" w:rsidRPr="00C80652" w:rsidRDefault="00CC3BA4" w:rsidP="0037584C">
            <w:pPr>
              <w:pStyle w:val="Tabletext"/>
              <w:rPr>
                <w:rFonts w:ascii="Cambria Math" w:eastAsia="Times New Roman" w:hAnsi="Cambria Math" w:cs="Cambria Math"/>
                <w:bCs/>
                <w:color w:val="00B050"/>
              </w:rPr>
            </w:pPr>
            <w:r>
              <w:rPr>
                <w:rFonts w:cs="Tahoma"/>
              </w:rPr>
              <w:t>I</w:t>
            </w:r>
            <w:r w:rsidRPr="00E564DD">
              <w:rPr>
                <w:rFonts w:cs="Tahoma"/>
              </w:rPr>
              <w:t>mportant</w:t>
            </w:r>
          </w:p>
        </w:tc>
      </w:tr>
      <w:tr w:rsidR="00CC3BA4" w:rsidRPr="00E564DD" w:rsidTr="00115AB1">
        <w:trPr>
          <w:trHeight w:val="319"/>
        </w:trPr>
        <w:tc>
          <w:tcPr>
            <w:tcW w:w="1493" w:type="dxa"/>
          </w:tcPr>
          <w:p w:rsidR="00CC3BA4" w:rsidRPr="00E564DD" w:rsidRDefault="00CC3BA4" w:rsidP="0037584C">
            <w:pPr>
              <w:pStyle w:val="Tabletext"/>
              <w:rPr>
                <w:rFonts w:cs="Tahoma"/>
              </w:rPr>
            </w:pPr>
            <w:r>
              <w:rPr>
                <w:rFonts w:cs="Tahoma"/>
              </w:rPr>
              <w:t>Serious AEs in PAH-CTD</w:t>
            </w:r>
            <w:r>
              <w:rPr>
                <w:rFonts w:cs="Tahoma"/>
              </w:rPr>
              <w:br/>
              <w:t>(74</w:t>
            </w:r>
            <w:r w:rsidRPr="00D36FBC">
              <w:rPr>
                <w:rFonts w:cs="Tahoma"/>
              </w:rPr>
              <w:t xml:space="preserve"> weeks)</w:t>
            </w:r>
          </w:p>
        </w:tc>
        <w:tc>
          <w:tcPr>
            <w:tcW w:w="1054" w:type="dxa"/>
          </w:tcPr>
          <w:p w:rsidR="00CC3BA4" w:rsidRPr="00E564DD" w:rsidRDefault="00CC3BA4" w:rsidP="0037584C">
            <w:pPr>
              <w:pStyle w:val="Tabletext"/>
              <w:rPr>
                <w:rFonts w:cs="Tahoma"/>
              </w:rPr>
            </w:pPr>
            <w:r>
              <w:rPr>
                <w:rFonts w:cs="Tahoma"/>
              </w:rPr>
              <w:t>1</w:t>
            </w:r>
            <w:r w:rsidRPr="00E564DD">
              <w:rPr>
                <w:rFonts w:cs="Tahoma"/>
              </w:rPr>
              <w:t xml:space="preserve"> RCT</w:t>
            </w:r>
          </w:p>
        </w:tc>
        <w:tc>
          <w:tcPr>
            <w:tcW w:w="771" w:type="dxa"/>
          </w:tcPr>
          <w:p w:rsidR="00CC3BA4" w:rsidRPr="00E564DD" w:rsidRDefault="00CC3BA4" w:rsidP="0037584C">
            <w:pPr>
              <w:pStyle w:val="Tabletext"/>
              <w:rPr>
                <w:rFonts w:cs="Tahoma"/>
              </w:rPr>
            </w:pPr>
            <w:r w:rsidRPr="00E564DD">
              <w:rPr>
                <w:rFonts w:cs="Tahoma"/>
              </w:rPr>
              <w:t>Not serious</w:t>
            </w:r>
          </w:p>
        </w:tc>
        <w:tc>
          <w:tcPr>
            <w:tcW w:w="1072" w:type="dxa"/>
          </w:tcPr>
          <w:p w:rsidR="00CC3BA4" w:rsidRPr="00E564DD" w:rsidRDefault="00CC3BA4" w:rsidP="0037584C">
            <w:pPr>
              <w:pStyle w:val="Tabletext"/>
              <w:rPr>
                <w:rFonts w:cs="Tahoma"/>
              </w:rPr>
            </w:pPr>
            <w:r w:rsidRPr="00E564DD">
              <w:rPr>
                <w:rFonts w:cs="Tahoma"/>
              </w:rPr>
              <w:t>Not serious</w:t>
            </w:r>
          </w:p>
        </w:tc>
        <w:tc>
          <w:tcPr>
            <w:tcW w:w="992" w:type="dxa"/>
          </w:tcPr>
          <w:p w:rsidR="00CC3BA4" w:rsidRPr="00E564DD" w:rsidRDefault="00CC3BA4" w:rsidP="0037584C">
            <w:pPr>
              <w:pStyle w:val="Tabletext"/>
              <w:rPr>
                <w:rFonts w:cs="Tahoma"/>
              </w:rPr>
            </w:pPr>
            <w:r w:rsidRPr="00E564DD">
              <w:rPr>
                <w:rFonts w:cs="Tahoma"/>
              </w:rPr>
              <w:t>Not serious</w:t>
            </w:r>
          </w:p>
        </w:tc>
        <w:tc>
          <w:tcPr>
            <w:tcW w:w="992" w:type="dxa"/>
          </w:tcPr>
          <w:p w:rsidR="00CC3BA4" w:rsidRPr="00E564DD" w:rsidRDefault="00CC3BA4" w:rsidP="0037584C">
            <w:pPr>
              <w:pStyle w:val="Tabletext"/>
              <w:rPr>
                <w:rFonts w:cs="Tahoma"/>
              </w:rPr>
            </w:pPr>
            <w:r w:rsidRPr="00E564DD">
              <w:rPr>
                <w:rFonts w:cs="Tahoma"/>
              </w:rPr>
              <w:t>Not serious</w:t>
            </w:r>
          </w:p>
        </w:tc>
        <w:tc>
          <w:tcPr>
            <w:tcW w:w="1276" w:type="dxa"/>
          </w:tcPr>
          <w:p w:rsidR="00CC3BA4" w:rsidRPr="00E564DD" w:rsidRDefault="00CC3BA4" w:rsidP="0037584C">
            <w:pPr>
              <w:pStyle w:val="Tabletext"/>
              <w:rPr>
                <w:rFonts w:cs="Tahoma"/>
              </w:rPr>
            </w:pPr>
            <w:r>
              <w:rPr>
                <w:rFonts w:cs="Tahoma"/>
              </w:rPr>
              <w:t>None</w:t>
            </w:r>
          </w:p>
        </w:tc>
        <w:tc>
          <w:tcPr>
            <w:tcW w:w="1417" w:type="dxa"/>
          </w:tcPr>
          <w:p w:rsidR="00CC3BA4" w:rsidRPr="000C5F99" w:rsidRDefault="00CC3BA4" w:rsidP="0037584C">
            <w:pPr>
              <w:pStyle w:val="Tabletext"/>
              <w:rPr>
                <w:rFonts w:cs="Tahoma"/>
              </w:rPr>
            </w:pPr>
            <w:r>
              <w:rPr>
                <w:rFonts w:cs="Tahoma"/>
              </w:rPr>
              <w:t>45/103 (43.7%)</w:t>
            </w:r>
          </w:p>
        </w:tc>
        <w:tc>
          <w:tcPr>
            <w:tcW w:w="1134" w:type="dxa"/>
          </w:tcPr>
          <w:p w:rsidR="00CC3BA4" w:rsidRPr="00456F1B" w:rsidRDefault="00CC3BA4" w:rsidP="0037584C">
            <w:pPr>
              <w:pStyle w:val="Tabletext"/>
              <w:rPr>
                <w:rFonts w:cs="Tahoma"/>
                <w:highlight w:val="cyan"/>
              </w:rPr>
            </w:pPr>
            <w:r w:rsidRPr="00894134">
              <w:rPr>
                <w:rFonts w:cs="Tahoma"/>
              </w:rPr>
              <w:t>15/44 (34.1%)</w:t>
            </w:r>
          </w:p>
        </w:tc>
        <w:tc>
          <w:tcPr>
            <w:tcW w:w="993" w:type="dxa"/>
          </w:tcPr>
          <w:p w:rsidR="00CC3BA4" w:rsidRPr="00894134" w:rsidRDefault="00CC3BA4" w:rsidP="0037584C">
            <w:pPr>
              <w:pStyle w:val="Tabletext"/>
              <w:rPr>
                <w:rFonts w:cs="Tahoma"/>
              </w:rPr>
            </w:pPr>
            <w:r w:rsidRPr="00894134">
              <w:rPr>
                <w:rFonts w:cs="Tahoma"/>
              </w:rPr>
              <w:t xml:space="preserve">RR </w:t>
            </w:r>
            <w:r>
              <w:rPr>
                <w:rFonts w:cs="Tahoma"/>
              </w:rPr>
              <w:t xml:space="preserve">= </w:t>
            </w:r>
            <w:r w:rsidRPr="00894134">
              <w:rPr>
                <w:rFonts w:cs="Tahoma"/>
              </w:rPr>
              <w:t>1.28</w:t>
            </w:r>
            <w:r>
              <w:rPr>
                <w:rFonts w:cs="Tahoma"/>
              </w:rPr>
              <w:t xml:space="preserve"> </w:t>
            </w:r>
            <w:r w:rsidRPr="00894134">
              <w:rPr>
                <w:rFonts w:cs="Tahoma"/>
              </w:rPr>
              <w:t>(0.80</w:t>
            </w:r>
            <w:r>
              <w:rPr>
                <w:rFonts w:cs="Tahoma"/>
              </w:rPr>
              <w:t>,</w:t>
            </w:r>
            <w:r w:rsidRPr="00894134">
              <w:rPr>
                <w:rFonts w:cs="Tahoma"/>
              </w:rPr>
              <w:t xml:space="preserve"> </w:t>
            </w:r>
            <w:r>
              <w:rPr>
                <w:rFonts w:cs="Tahoma"/>
              </w:rPr>
              <w:t>2.04)</w:t>
            </w:r>
          </w:p>
        </w:tc>
        <w:tc>
          <w:tcPr>
            <w:tcW w:w="2188" w:type="dxa"/>
          </w:tcPr>
          <w:p w:rsidR="00CC3BA4" w:rsidRPr="00456F1B" w:rsidRDefault="00CC3BA4" w:rsidP="0037584C">
            <w:pPr>
              <w:pStyle w:val="Tabletext"/>
              <w:rPr>
                <w:rFonts w:cs="Tahoma"/>
                <w:highlight w:val="cyan"/>
              </w:rPr>
            </w:pPr>
            <w:r w:rsidRPr="00894134">
              <w:rPr>
                <w:rFonts w:cs="Tahoma"/>
              </w:rPr>
              <w:t>95 more per 1,000</w:t>
            </w:r>
            <w:r>
              <w:rPr>
                <w:rFonts w:cs="Tahoma"/>
              </w:rPr>
              <w:br/>
            </w:r>
            <w:r w:rsidRPr="00894134">
              <w:rPr>
                <w:rFonts w:cs="Tahoma"/>
              </w:rPr>
              <w:t>(from 68 fewer to 355 more)</w:t>
            </w:r>
          </w:p>
        </w:tc>
        <w:tc>
          <w:tcPr>
            <w:tcW w:w="1214" w:type="dxa"/>
          </w:tcPr>
          <w:p w:rsidR="00CC3BA4" w:rsidRDefault="00CC3BA4" w:rsidP="0037584C">
            <w:pPr>
              <w:pStyle w:val="Tabletext"/>
              <w:rPr>
                <w:rFonts w:ascii="Cambria Math" w:eastAsia="Times New Roman" w:hAnsi="Cambria Math" w:cs="Cambria Math"/>
                <w:bCs/>
              </w:rPr>
            </w:pPr>
            <w:r>
              <w:rPr>
                <w:rFonts w:eastAsia="Times New Roman" w:cs="Tahoma"/>
                <w:bCs/>
              </w:rPr>
              <w:t>High</w:t>
            </w:r>
            <w:r>
              <w:rPr>
                <w:rFonts w:eastAsia="Times New Roman" w:cs="Tahoma"/>
                <w:bCs/>
              </w:rPr>
              <w:br/>
            </w:r>
            <w:r w:rsidRPr="00E564DD">
              <w:rPr>
                <w:rFonts w:ascii="Cambria Math" w:eastAsia="Times New Roman" w:hAnsi="Cambria Math" w:cs="Cambria Math"/>
                <w:bCs/>
                <w:color w:val="00B050"/>
              </w:rPr>
              <w:t>⨁⨁⨁</w:t>
            </w:r>
            <w:r w:rsidRPr="00D36FBC">
              <w:rPr>
                <w:rFonts w:ascii="Cambria Math" w:eastAsia="Times New Roman" w:hAnsi="Cambria Math" w:cs="Cambria Math"/>
                <w:bCs/>
                <w:color w:val="00B050"/>
              </w:rPr>
              <w:t>⨁</w:t>
            </w:r>
          </w:p>
          <w:p w:rsidR="00CC3BA4" w:rsidRPr="00E564DD" w:rsidRDefault="00CC3BA4" w:rsidP="0037584C">
            <w:pPr>
              <w:pStyle w:val="Tabletext"/>
              <w:rPr>
                <w:rFonts w:cs="Tahoma"/>
              </w:rPr>
            </w:pPr>
            <w:r>
              <w:rPr>
                <w:rFonts w:cs="Tahoma"/>
              </w:rPr>
              <w:t>I</w:t>
            </w:r>
            <w:r w:rsidRPr="00E564DD">
              <w:rPr>
                <w:rFonts w:cs="Tahoma"/>
              </w:rPr>
              <w:t>mportant</w:t>
            </w:r>
          </w:p>
        </w:tc>
      </w:tr>
      <w:tr w:rsidR="00CC3BA4" w:rsidRPr="00E564DD" w:rsidTr="00115AB1">
        <w:trPr>
          <w:trHeight w:val="319"/>
        </w:trPr>
        <w:tc>
          <w:tcPr>
            <w:tcW w:w="1493" w:type="dxa"/>
          </w:tcPr>
          <w:p w:rsidR="00CC3BA4" w:rsidRPr="00E564DD" w:rsidRDefault="00CC3BA4" w:rsidP="0037584C">
            <w:pPr>
              <w:pStyle w:val="Tabletext"/>
              <w:rPr>
                <w:rFonts w:cs="Tahoma"/>
              </w:rPr>
            </w:pPr>
            <w:r>
              <w:rPr>
                <w:rFonts w:cs="Tahoma"/>
              </w:rPr>
              <w:t>AEs leading to treatment discontinuation in PAH-CTD</w:t>
            </w:r>
            <w:r>
              <w:rPr>
                <w:rFonts w:cs="Tahoma"/>
              </w:rPr>
              <w:br/>
              <w:t>(74</w:t>
            </w:r>
            <w:r w:rsidRPr="00D36FBC">
              <w:rPr>
                <w:rFonts w:cs="Tahoma"/>
              </w:rPr>
              <w:t xml:space="preserve"> weeks)</w:t>
            </w:r>
          </w:p>
        </w:tc>
        <w:tc>
          <w:tcPr>
            <w:tcW w:w="1054" w:type="dxa"/>
          </w:tcPr>
          <w:p w:rsidR="00CC3BA4" w:rsidRPr="00E564DD" w:rsidRDefault="00CC3BA4" w:rsidP="0037584C">
            <w:pPr>
              <w:pStyle w:val="Tabletext"/>
              <w:rPr>
                <w:rFonts w:cs="Tahoma"/>
              </w:rPr>
            </w:pPr>
            <w:r>
              <w:rPr>
                <w:rFonts w:cs="Tahoma"/>
              </w:rPr>
              <w:t>1</w:t>
            </w:r>
            <w:r w:rsidRPr="00E564DD">
              <w:rPr>
                <w:rFonts w:cs="Tahoma"/>
              </w:rPr>
              <w:t xml:space="preserve"> RCT</w:t>
            </w:r>
          </w:p>
        </w:tc>
        <w:tc>
          <w:tcPr>
            <w:tcW w:w="771" w:type="dxa"/>
          </w:tcPr>
          <w:p w:rsidR="00CC3BA4" w:rsidRPr="00E564DD" w:rsidRDefault="00CC3BA4" w:rsidP="0037584C">
            <w:pPr>
              <w:pStyle w:val="Tabletext"/>
              <w:rPr>
                <w:rFonts w:cs="Tahoma"/>
              </w:rPr>
            </w:pPr>
            <w:r w:rsidRPr="00E564DD">
              <w:rPr>
                <w:rFonts w:cs="Tahoma"/>
              </w:rPr>
              <w:t>Not serious</w:t>
            </w:r>
          </w:p>
        </w:tc>
        <w:tc>
          <w:tcPr>
            <w:tcW w:w="1072" w:type="dxa"/>
          </w:tcPr>
          <w:p w:rsidR="00CC3BA4" w:rsidRPr="00E564DD" w:rsidRDefault="00CC3BA4" w:rsidP="0037584C">
            <w:pPr>
              <w:pStyle w:val="Tabletext"/>
              <w:rPr>
                <w:rFonts w:cs="Tahoma"/>
              </w:rPr>
            </w:pPr>
            <w:r w:rsidRPr="00E564DD">
              <w:rPr>
                <w:rFonts w:cs="Tahoma"/>
              </w:rPr>
              <w:t>Not serious</w:t>
            </w:r>
          </w:p>
        </w:tc>
        <w:tc>
          <w:tcPr>
            <w:tcW w:w="992" w:type="dxa"/>
          </w:tcPr>
          <w:p w:rsidR="00CC3BA4" w:rsidRPr="00E564DD" w:rsidRDefault="00CC3BA4" w:rsidP="0037584C">
            <w:pPr>
              <w:pStyle w:val="Tabletext"/>
              <w:rPr>
                <w:rFonts w:cs="Tahoma"/>
              </w:rPr>
            </w:pPr>
            <w:r w:rsidRPr="00E564DD">
              <w:rPr>
                <w:rFonts w:cs="Tahoma"/>
              </w:rPr>
              <w:t>Not serious</w:t>
            </w:r>
          </w:p>
        </w:tc>
        <w:tc>
          <w:tcPr>
            <w:tcW w:w="992" w:type="dxa"/>
          </w:tcPr>
          <w:p w:rsidR="00CC3BA4" w:rsidRPr="00E564DD" w:rsidRDefault="00CC3BA4" w:rsidP="0037584C">
            <w:pPr>
              <w:pStyle w:val="Tabletext"/>
              <w:rPr>
                <w:rFonts w:cs="Tahoma"/>
              </w:rPr>
            </w:pPr>
            <w:r w:rsidRPr="00E564DD">
              <w:rPr>
                <w:rFonts w:cs="Tahoma"/>
              </w:rPr>
              <w:t>Not serious</w:t>
            </w:r>
          </w:p>
        </w:tc>
        <w:tc>
          <w:tcPr>
            <w:tcW w:w="1276" w:type="dxa"/>
          </w:tcPr>
          <w:p w:rsidR="00CC3BA4" w:rsidRPr="00E564DD" w:rsidRDefault="00CC3BA4" w:rsidP="0037584C">
            <w:pPr>
              <w:pStyle w:val="Tabletext"/>
              <w:rPr>
                <w:rFonts w:cs="Tahoma"/>
              </w:rPr>
            </w:pPr>
            <w:r>
              <w:rPr>
                <w:rFonts w:cs="Tahoma"/>
              </w:rPr>
              <w:t>None</w:t>
            </w:r>
          </w:p>
        </w:tc>
        <w:tc>
          <w:tcPr>
            <w:tcW w:w="1417" w:type="dxa"/>
          </w:tcPr>
          <w:p w:rsidR="00CC3BA4" w:rsidRPr="00456F1B" w:rsidRDefault="00CC3BA4" w:rsidP="0037584C">
            <w:pPr>
              <w:pStyle w:val="Tabletext"/>
              <w:rPr>
                <w:rFonts w:cs="Tahoma"/>
              </w:rPr>
            </w:pPr>
            <w:r>
              <w:rPr>
                <w:rFonts w:cs="Tahoma"/>
              </w:rPr>
              <w:t>14/103 (13.6%)</w:t>
            </w:r>
          </w:p>
        </w:tc>
        <w:tc>
          <w:tcPr>
            <w:tcW w:w="1134" w:type="dxa"/>
          </w:tcPr>
          <w:p w:rsidR="00CC3BA4" w:rsidRPr="00456F1B" w:rsidRDefault="00CC3BA4" w:rsidP="0037584C">
            <w:pPr>
              <w:pStyle w:val="Tabletext"/>
              <w:rPr>
                <w:rFonts w:cs="Tahoma"/>
              </w:rPr>
            </w:pPr>
            <w:r>
              <w:rPr>
                <w:rFonts w:cs="Tahoma"/>
              </w:rPr>
              <w:t>8</w:t>
            </w:r>
            <w:r w:rsidRPr="00894134">
              <w:rPr>
                <w:rFonts w:cs="Tahoma"/>
              </w:rPr>
              <w:t>/44 (18.2%)</w:t>
            </w:r>
          </w:p>
        </w:tc>
        <w:tc>
          <w:tcPr>
            <w:tcW w:w="993" w:type="dxa"/>
          </w:tcPr>
          <w:p w:rsidR="00CC3BA4" w:rsidRPr="00456F1B" w:rsidRDefault="00CC3BA4" w:rsidP="0037584C">
            <w:pPr>
              <w:pStyle w:val="Tabletext"/>
              <w:rPr>
                <w:rFonts w:cs="Tahoma"/>
              </w:rPr>
            </w:pPr>
            <w:r w:rsidRPr="00894134">
              <w:rPr>
                <w:rFonts w:cs="Tahoma"/>
              </w:rPr>
              <w:t xml:space="preserve">RR </w:t>
            </w:r>
            <w:r>
              <w:rPr>
                <w:rFonts w:cs="Tahoma"/>
              </w:rPr>
              <w:t xml:space="preserve">= </w:t>
            </w:r>
            <w:r w:rsidRPr="00894134">
              <w:rPr>
                <w:rFonts w:cs="Tahoma"/>
              </w:rPr>
              <w:t>0.75</w:t>
            </w:r>
            <w:r>
              <w:rPr>
                <w:rFonts w:cs="Tahoma"/>
              </w:rPr>
              <w:t xml:space="preserve"> </w:t>
            </w:r>
            <w:r w:rsidRPr="00894134">
              <w:rPr>
                <w:rFonts w:cs="Tahoma"/>
              </w:rPr>
              <w:t>(0.34</w:t>
            </w:r>
            <w:r>
              <w:rPr>
                <w:rFonts w:cs="Tahoma"/>
              </w:rPr>
              <w:t>,</w:t>
            </w:r>
            <w:r w:rsidRPr="00894134">
              <w:rPr>
                <w:rFonts w:cs="Tahoma"/>
              </w:rPr>
              <w:t xml:space="preserve"> </w:t>
            </w:r>
            <w:r>
              <w:rPr>
                <w:rFonts w:cs="Tahoma"/>
              </w:rPr>
              <w:t>1.65)</w:t>
            </w:r>
          </w:p>
        </w:tc>
        <w:tc>
          <w:tcPr>
            <w:tcW w:w="2188" w:type="dxa"/>
          </w:tcPr>
          <w:p w:rsidR="00CC3BA4" w:rsidRPr="00456F1B" w:rsidRDefault="00CC3BA4" w:rsidP="0037584C">
            <w:pPr>
              <w:pStyle w:val="Tabletext"/>
              <w:rPr>
                <w:rFonts w:cs="Tahoma"/>
              </w:rPr>
            </w:pPr>
            <w:r w:rsidRPr="00894134">
              <w:rPr>
                <w:rFonts w:cs="Tahoma"/>
              </w:rPr>
              <w:t>45 fewer per 1,000</w:t>
            </w:r>
            <w:r>
              <w:rPr>
                <w:rFonts w:cs="Tahoma"/>
              </w:rPr>
              <w:br/>
              <w:t>(from 118 more to 120 fewer)</w:t>
            </w:r>
          </w:p>
        </w:tc>
        <w:tc>
          <w:tcPr>
            <w:tcW w:w="1214" w:type="dxa"/>
          </w:tcPr>
          <w:p w:rsidR="00CC3BA4" w:rsidRDefault="00CC3BA4" w:rsidP="0037584C">
            <w:pPr>
              <w:pStyle w:val="Tabletext"/>
              <w:rPr>
                <w:rFonts w:ascii="Cambria Math" w:eastAsia="Times New Roman" w:hAnsi="Cambria Math" w:cs="Cambria Math"/>
                <w:bCs/>
              </w:rPr>
            </w:pPr>
            <w:r>
              <w:rPr>
                <w:rFonts w:eastAsia="Times New Roman" w:cs="Tahoma"/>
                <w:bCs/>
              </w:rPr>
              <w:t>High</w:t>
            </w:r>
            <w:r>
              <w:rPr>
                <w:rFonts w:eastAsia="Times New Roman" w:cs="Tahoma"/>
                <w:bCs/>
              </w:rPr>
              <w:br/>
            </w:r>
            <w:r w:rsidRPr="00E564DD">
              <w:rPr>
                <w:rFonts w:ascii="Cambria Math" w:eastAsia="Times New Roman" w:hAnsi="Cambria Math" w:cs="Cambria Math"/>
                <w:bCs/>
                <w:color w:val="00B050"/>
              </w:rPr>
              <w:t>⨁⨁⨁</w:t>
            </w:r>
            <w:r w:rsidRPr="00D36FBC">
              <w:rPr>
                <w:rFonts w:ascii="Cambria Math" w:eastAsia="Times New Roman" w:hAnsi="Cambria Math" w:cs="Cambria Math"/>
                <w:bCs/>
                <w:color w:val="00B050"/>
              </w:rPr>
              <w:t>⨁</w:t>
            </w:r>
          </w:p>
          <w:p w:rsidR="00CC3BA4" w:rsidRPr="007E5698" w:rsidRDefault="00CC3BA4" w:rsidP="0037584C">
            <w:pPr>
              <w:pStyle w:val="Tabletext"/>
              <w:rPr>
                <w:rFonts w:ascii="Cambria Math" w:eastAsia="Times New Roman" w:hAnsi="Cambria Math" w:cs="Cambria Math"/>
                <w:bCs/>
                <w:color w:val="00B050"/>
              </w:rPr>
            </w:pPr>
            <w:r>
              <w:rPr>
                <w:rFonts w:cs="Tahoma"/>
              </w:rPr>
              <w:t>I</w:t>
            </w:r>
            <w:r w:rsidRPr="00E564DD">
              <w:rPr>
                <w:rFonts w:cs="Tahoma"/>
              </w:rPr>
              <w:t>mportant</w:t>
            </w:r>
          </w:p>
        </w:tc>
      </w:tr>
    </w:tbl>
    <w:p w:rsidR="00CC3BA4" w:rsidRPr="00AA018C" w:rsidRDefault="00CC3BA4" w:rsidP="0037584C">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37584C">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CC3BA4" w:rsidRPr="00E564DD" w:rsidRDefault="00CC3BA4" w:rsidP="0037584C">
      <w:pPr>
        <w:pStyle w:val="Tablenote"/>
      </w:pPr>
      <w:r w:rsidRPr="00E564DD">
        <w:rPr>
          <w:rFonts w:ascii="Cambria Math" w:hAnsi="Cambria Math" w:cs="Cambria Math"/>
          <w:color w:val="00B050"/>
        </w:rPr>
        <w:t>⨁⨁⨁⨁</w:t>
      </w:r>
      <w:r w:rsidRPr="00E564DD">
        <w:rPr>
          <w:color w:val="00B050"/>
        </w:rPr>
        <w:t xml:space="preserve"> </w:t>
      </w:r>
      <w:r w:rsidRPr="00E564DD">
        <w:rPr>
          <w:b/>
        </w:rPr>
        <w:t>High quality:</w:t>
      </w:r>
      <w:r w:rsidRPr="00E564DD">
        <w:t xml:space="preserve"> We are very confident that the true effect lies close to that of the estimate of effect</w:t>
      </w:r>
    </w:p>
    <w:p w:rsidR="007C6567" w:rsidRDefault="00CC3BA4" w:rsidP="0037584C">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w:t>
      </w:r>
      <w:r w:rsidR="00385E5A">
        <w:t>GRADE = grading of recommendations assessment, development and evaluation</w:t>
      </w:r>
      <w:r w:rsidR="001D34EE" w:rsidRPr="001D34EE">
        <w:rPr>
          <w:noProof/>
          <w:vertAlign w:val="superscript"/>
        </w:rPr>
        <w:t>1</w:t>
      </w:r>
      <w:r w:rsidR="002E6E59" w:rsidRPr="00F24B06">
        <w:t xml:space="preserve">; </w:t>
      </w:r>
      <w:r w:rsidRPr="00C65B42">
        <w:t xml:space="preserve">PAH = pulmonary arterial hypertension; </w:t>
      </w:r>
      <w:r w:rsidR="002E6E59">
        <w:t>PAH-</w:t>
      </w:r>
      <w:r w:rsidR="002E6E59" w:rsidRPr="00822C52">
        <w:t xml:space="preserve">CTD = </w:t>
      </w:r>
      <w:r w:rsidR="002E6E59">
        <w:t xml:space="preserve">PAH associated with </w:t>
      </w:r>
      <w:r w:rsidR="002E6E59" w:rsidRPr="00822C52">
        <w:t xml:space="preserve">connective tissue disease; </w:t>
      </w:r>
      <w:r w:rsidRPr="009B5AB3">
        <w:t>PDE-5</w:t>
      </w:r>
      <w:r w:rsidR="002E6E59">
        <w:t>i</w:t>
      </w:r>
      <w:r w:rsidRPr="009B5AB3">
        <w:t xml:space="preserve"> = phosphodiesterase type-5</w:t>
      </w:r>
      <w:r w:rsidR="002E6E59">
        <w:t xml:space="preserve"> inhibitor</w:t>
      </w:r>
      <w:r>
        <w:t>;</w:t>
      </w:r>
      <w:r w:rsidRPr="009B5AB3">
        <w:t xml:space="preserve"> </w:t>
      </w:r>
      <w:r>
        <w:t>RCT = randomised controlled trial; RR = relative risk</w:t>
      </w:r>
    </w:p>
    <w:p w:rsidR="00CC3BA4" w:rsidRPr="00822C52" w:rsidRDefault="00CC3BA4" w:rsidP="00BF48DF">
      <w:pPr>
        <w:pStyle w:val="Heading4"/>
      </w:pPr>
      <w:r>
        <w:lastRenderedPageBreak/>
        <w:t>PDE-5 inhibitor</w:t>
      </w:r>
      <w:r w:rsidRPr="00822C52">
        <w:t xml:space="preserve"> </w:t>
      </w:r>
      <w:r>
        <w:t xml:space="preserve">in </w:t>
      </w:r>
      <w:r w:rsidRPr="00822C52">
        <w:t xml:space="preserve">addition to </w:t>
      </w:r>
      <w:r>
        <w:t xml:space="preserve">a </w:t>
      </w:r>
      <w:r w:rsidR="0017012F">
        <w:t>prostanoid</w:t>
      </w:r>
    </w:p>
    <w:p w:rsidR="00CC3BA4" w:rsidRPr="005D4CA0" w:rsidRDefault="00796F18" w:rsidP="00BC5A2B">
      <w:pPr>
        <w:pStyle w:val="Caption"/>
      </w:pPr>
      <w:bookmarkStart w:id="531" w:name="_Ref505782356"/>
      <w:bookmarkStart w:id="532" w:name="_Toc38360458"/>
      <w:r>
        <w:t>Table 4.</w:t>
      </w:r>
      <w:r w:rsidR="003951FA">
        <w:rPr>
          <w:noProof/>
        </w:rPr>
        <w:t>161</w:t>
      </w:r>
      <w:bookmarkEnd w:id="531"/>
      <w:r>
        <w:tab/>
      </w:r>
      <w:r w:rsidR="00CC3BA4" w:rsidRPr="005D4CA0">
        <w:t xml:space="preserve">Evidence profile table for </w:t>
      </w:r>
      <w:r w:rsidR="00CC3BA4">
        <w:t xml:space="preserve">effectiveness of PDE-5 inhibitor </w:t>
      </w:r>
      <w:r w:rsidR="00207AD0">
        <w:t>plus</w:t>
      </w:r>
      <w:r w:rsidR="00CC3BA4">
        <w:t xml:space="preserve"> </w:t>
      </w:r>
      <w:r w:rsidR="0017012F">
        <w:t>prostanoid</w:t>
      </w:r>
      <w:r w:rsidR="00CC3BA4" w:rsidRPr="005D4CA0">
        <w:t xml:space="preserve"> </w:t>
      </w:r>
      <w:r w:rsidR="00CC3BA4">
        <w:t xml:space="preserve">combination therapy </w:t>
      </w:r>
      <w:r w:rsidR="00CC3BA4" w:rsidRPr="005D4CA0">
        <w:t xml:space="preserve">compared to </w:t>
      </w:r>
      <w:r w:rsidR="0017012F" w:rsidRPr="00596E2E">
        <w:t>prostanoid</w:t>
      </w:r>
      <w:r w:rsidR="00CC3BA4" w:rsidRPr="00596E2E">
        <w:t xml:space="preserve"> </w:t>
      </w:r>
      <w:r w:rsidR="00CC3BA4">
        <w:t xml:space="preserve">monotherapy </w:t>
      </w:r>
      <w:r w:rsidR="00CC3BA4" w:rsidRPr="005D4CA0">
        <w:t xml:space="preserve">for </w:t>
      </w:r>
      <w:r w:rsidR="00CC3BA4">
        <w:t>all PAH patients</w:t>
      </w:r>
      <w:bookmarkEnd w:id="532"/>
    </w:p>
    <w:tbl>
      <w:tblPr>
        <w:tblStyle w:val="TableGrid"/>
        <w:tblW w:w="14738" w:type="dxa"/>
        <w:tblLayout w:type="fixed"/>
        <w:tblLook w:val="04A0" w:firstRow="1" w:lastRow="0" w:firstColumn="1" w:lastColumn="0" w:noHBand="0" w:noVBand="1"/>
        <w:tblCaption w:val="Evidence profile table for effectiveness of PDE-5 inhibitor plus prostanoid combination therapy compared to prostanoid monotherapy for all PAH patients"/>
      </w:tblPr>
      <w:tblGrid>
        <w:gridCol w:w="1493"/>
        <w:gridCol w:w="1054"/>
        <w:gridCol w:w="771"/>
        <w:gridCol w:w="1072"/>
        <w:gridCol w:w="1134"/>
        <w:gridCol w:w="992"/>
        <w:gridCol w:w="1276"/>
        <w:gridCol w:w="1417"/>
        <w:gridCol w:w="1134"/>
        <w:gridCol w:w="993"/>
        <w:gridCol w:w="2188"/>
        <w:gridCol w:w="1214"/>
      </w:tblGrid>
      <w:tr w:rsidR="0037584C" w:rsidRPr="0037584C" w:rsidTr="00115AB1">
        <w:trPr>
          <w:cnfStyle w:val="100000000000" w:firstRow="1" w:lastRow="0" w:firstColumn="0" w:lastColumn="0" w:oddVBand="0" w:evenVBand="0" w:oddHBand="0" w:evenHBand="0" w:firstRowFirstColumn="0" w:firstRowLastColumn="0" w:lastRowFirstColumn="0" w:lastRowLastColumn="0"/>
          <w:trHeight w:val="461"/>
        </w:trPr>
        <w:tc>
          <w:tcPr>
            <w:tcW w:w="1493" w:type="dxa"/>
          </w:tcPr>
          <w:p w:rsidR="00476F09" w:rsidRPr="0037584C" w:rsidRDefault="00476F09" w:rsidP="0037584C">
            <w:pPr>
              <w:pStyle w:val="Tabletext"/>
              <w:rPr>
                <w:b/>
              </w:rPr>
            </w:pPr>
            <w:r w:rsidRPr="0037584C">
              <w:rPr>
                <w:b/>
              </w:rPr>
              <w:t>Outcome (follow-up)</w:t>
            </w:r>
          </w:p>
        </w:tc>
        <w:tc>
          <w:tcPr>
            <w:tcW w:w="1054" w:type="dxa"/>
          </w:tcPr>
          <w:p w:rsidR="00476F09" w:rsidRPr="0037584C" w:rsidRDefault="00476F09" w:rsidP="0037584C">
            <w:pPr>
              <w:pStyle w:val="Tabletext"/>
              <w:rPr>
                <w:b/>
              </w:rPr>
            </w:pPr>
            <w:r w:rsidRPr="0037584C">
              <w:rPr>
                <w:b/>
              </w:rPr>
              <w:t>No. of studies and study design</w:t>
            </w:r>
          </w:p>
        </w:tc>
        <w:tc>
          <w:tcPr>
            <w:tcW w:w="771" w:type="dxa"/>
          </w:tcPr>
          <w:p w:rsidR="00476F09" w:rsidRPr="0037584C" w:rsidRDefault="00476F09" w:rsidP="0037584C">
            <w:pPr>
              <w:pStyle w:val="Tabletext"/>
              <w:rPr>
                <w:b/>
              </w:rPr>
            </w:pPr>
            <w:r w:rsidRPr="0037584C">
              <w:rPr>
                <w:b/>
              </w:rPr>
              <w:t>Risk of bias</w:t>
            </w:r>
          </w:p>
        </w:tc>
        <w:tc>
          <w:tcPr>
            <w:tcW w:w="1072" w:type="dxa"/>
          </w:tcPr>
          <w:p w:rsidR="00476F09" w:rsidRPr="0037584C" w:rsidRDefault="00476F09" w:rsidP="0037584C">
            <w:pPr>
              <w:pStyle w:val="Tabletext"/>
              <w:rPr>
                <w:b/>
              </w:rPr>
            </w:pPr>
            <w:r w:rsidRPr="0037584C">
              <w:rPr>
                <w:b/>
              </w:rPr>
              <w:t>Inconsis</w:t>
            </w:r>
            <w:r w:rsidR="00115AB1">
              <w:rPr>
                <w:b/>
              </w:rPr>
              <w:t>-</w:t>
            </w:r>
            <w:r w:rsidRPr="0037584C">
              <w:rPr>
                <w:b/>
              </w:rPr>
              <w:t>tency</w:t>
            </w:r>
          </w:p>
        </w:tc>
        <w:tc>
          <w:tcPr>
            <w:tcW w:w="1134" w:type="dxa"/>
          </w:tcPr>
          <w:p w:rsidR="00476F09" w:rsidRPr="0037584C" w:rsidRDefault="00476F09" w:rsidP="0037584C">
            <w:pPr>
              <w:pStyle w:val="Tabletext"/>
              <w:rPr>
                <w:b/>
              </w:rPr>
            </w:pPr>
            <w:r w:rsidRPr="0037584C">
              <w:rPr>
                <w:b/>
              </w:rPr>
              <w:t>Indirect</w:t>
            </w:r>
            <w:r w:rsidR="00115AB1">
              <w:rPr>
                <w:b/>
              </w:rPr>
              <w:t>-</w:t>
            </w:r>
            <w:r w:rsidRPr="0037584C">
              <w:rPr>
                <w:b/>
              </w:rPr>
              <w:t>ness</w:t>
            </w:r>
          </w:p>
        </w:tc>
        <w:tc>
          <w:tcPr>
            <w:tcW w:w="992" w:type="dxa"/>
          </w:tcPr>
          <w:p w:rsidR="00476F09" w:rsidRPr="0037584C" w:rsidRDefault="00476F09" w:rsidP="0037584C">
            <w:pPr>
              <w:pStyle w:val="Tabletext"/>
              <w:rPr>
                <w:b/>
              </w:rPr>
            </w:pPr>
            <w:r w:rsidRPr="0037584C">
              <w:rPr>
                <w:b/>
              </w:rPr>
              <w:t>Impre</w:t>
            </w:r>
            <w:r w:rsidR="00115AB1">
              <w:rPr>
                <w:b/>
              </w:rPr>
              <w:t>-</w:t>
            </w:r>
            <w:r w:rsidRPr="0037584C">
              <w:rPr>
                <w:b/>
              </w:rPr>
              <w:t>cision</w:t>
            </w:r>
          </w:p>
        </w:tc>
        <w:tc>
          <w:tcPr>
            <w:tcW w:w="1276" w:type="dxa"/>
          </w:tcPr>
          <w:p w:rsidR="00476F09" w:rsidRPr="0037584C" w:rsidRDefault="00476F09" w:rsidP="0037584C">
            <w:pPr>
              <w:pStyle w:val="Tabletext"/>
              <w:rPr>
                <w:b/>
              </w:rPr>
            </w:pPr>
            <w:r w:rsidRPr="0037584C">
              <w:rPr>
                <w:b/>
              </w:rPr>
              <w:t>Other conside</w:t>
            </w:r>
            <w:r w:rsidR="00115AB1">
              <w:rPr>
                <w:b/>
              </w:rPr>
              <w:t>-</w:t>
            </w:r>
            <w:r w:rsidRPr="0037584C">
              <w:rPr>
                <w:b/>
              </w:rPr>
              <w:t>rations</w:t>
            </w:r>
            <w:r w:rsidRPr="0037584C">
              <w:rPr>
                <w:b/>
                <w:vertAlign w:val="superscript"/>
              </w:rPr>
              <w:t>a</w:t>
            </w:r>
          </w:p>
        </w:tc>
        <w:tc>
          <w:tcPr>
            <w:tcW w:w="1417" w:type="dxa"/>
          </w:tcPr>
          <w:p w:rsidR="00476F09" w:rsidRPr="0037584C" w:rsidRDefault="00476F09" w:rsidP="0037584C">
            <w:pPr>
              <w:pStyle w:val="Tabletext"/>
              <w:rPr>
                <w:b/>
              </w:rPr>
            </w:pPr>
            <w:r w:rsidRPr="0037584C">
              <w:rPr>
                <w:b/>
              </w:rPr>
              <w:t>Study event rates (%) with PDE-5i + prostanoid</w:t>
            </w:r>
          </w:p>
        </w:tc>
        <w:tc>
          <w:tcPr>
            <w:tcW w:w="1134" w:type="dxa"/>
          </w:tcPr>
          <w:p w:rsidR="00476F09" w:rsidRPr="0037584C" w:rsidRDefault="00476F09" w:rsidP="0037584C">
            <w:pPr>
              <w:pStyle w:val="Tabletext"/>
              <w:rPr>
                <w:b/>
              </w:rPr>
            </w:pPr>
            <w:r w:rsidRPr="0037584C">
              <w:rPr>
                <w:b/>
              </w:rPr>
              <w:t>Study event rates (%) with prostanoid</w:t>
            </w:r>
          </w:p>
        </w:tc>
        <w:tc>
          <w:tcPr>
            <w:tcW w:w="993" w:type="dxa"/>
          </w:tcPr>
          <w:p w:rsidR="00476F09" w:rsidRPr="0037584C" w:rsidRDefault="00476F09" w:rsidP="0037584C">
            <w:pPr>
              <w:pStyle w:val="Tabletext"/>
              <w:rPr>
                <w:b/>
              </w:rPr>
            </w:pPr>
            <w:r w:rsidRPr="0037584C">
              <w:rPr>
                <w:b/>
              </w:rPr>
              <w:t>Effect measure (95%CI)</w:t>
            </w:r>
          </w:p>
        </w:tc>
        <w:tc>
          <w:tcPr>
            <w:tcW w:w="2188" w:type="dxa"/>
          </w:tcPr>
          <w:p w:rsidR="00476F09" w:rsidRPr="0037584C" w:rsidRDefault="00476F09" w:rsidP="0037584C">
            <w:pPr>
              <w:pStyle w:val="Tabletext"/>
              <w:rPr>
                <w:b/>
              </w:rPr>
            </w:pPr>
            <w:r w:rsidRPr="0037584C">
              <w:rPr>
                <w:b/>
              </w:rPr>
              <w:t>Absolute effect (95%CI)</w:t>
            </w:r>
          </w:p>
        </w:tc>
        <w:tc>
          <w:tcPr>
            <w:tcW w:w="1214" w:type="dxa"/>
          </w:tcPr>
          <w:p w:rsidR="002E6E59" w:rsidRDefault="002E6E59" w:rsidP="0037584C">
            <w:pPr>
              <w:pStyle w:val="Tabletext"/>
              <w:rPr>
                <w:b/>
              </w:rPr>
            </w:pPr>
            <w:r>
              <w:rPr>
                <w:b/>
              </w:rPr>
              <w:t>GRADE</w:t>
            </w:r>
            <w:r w:rsidRPr="002E6E59">
              <w:rPr>
                <w:b/>
                <w:vertAlign w:val="superscript"/>
              </w:rPr>
              <w:t>b</w:t>
            </w:r>
          </w:p>
          <w:p w:rsidR="00476F09" w:rsidRPr="0037584C" w:rsidRDefault="00476F09" w:rsidP="0037584C">
            <w:pPr>
              <w:pStyle w:val="Tabletext"/>
              <w:rPr>
                <w:b/>
                <w:vertAlign w:val="superscript"/>
              </w:rPr>
            </w:pPr>
            <w:r w:rsidRPr="0037584C">
              <w:rPr>
                <w:b/>
              </w:rPr>
              <w:t>Quality</w:t>
            </w:r>
          </w:p>
          <w:p w:rsidR="00476F09" w:rsidRPr="0037584C" w:rsidRDefault="00476F09" w:rsidP="0037584C">
            <w:pPr>
              <w:pStyle w:val="Tabletext"/>
              <w:rPr>
                <w:b/>
              </w:rPr>
            </w:pPr>
            <w:r w:rsidRPr="0037584C">
              <w:rPr>
                <w:b/>
              </w:rPr>
              <w:t>Importance</w:t>
            </w:r>
          </w:p>
        </w:tc>
      </w:tr>
      <w:tr w:rsidR="00CC3BA4" w:rsidRPr="00D36FBC" w:rsidTr="00115AB1">
        <w:trPr>
          <w:trHeight w:val="319"/>
        </w:trPr>
        <w:tc>
          <w:tcPr>
            <w:tcW w:w="1493" w:type="dxa"/>
          </w:tcPr>
          <w:p w:rsidR="00CC3BA4" w:rsidRPr="00D36FBC" w:rsidRDefault="00CC3BA4" w:rsidP="0037584C">
            <w:pPr>
              <w:pStyle w:val="Tabletext"/>
              <w:rPr>
                <w:rFonts w:cs="Tahoma"/>
              </w:rPr>
            </w:pPr>
            <w:r w:rsidRPr="00D36FBC">
              <w:rPr>
                <w:rFonts w:cs="Tahoma"/>
              </w:rPr>
              <w:t>Clinical worsening</w:t>
            </w:r>
            <w:r>
              <w:rPr>
                <w:rFonts w:cs="Tahoma"/>
              </w:rPr>
              <w:br/>
            </w:r>
            <w:r w:rsidRPr="00D36FBC">
              <w:rPr>
                <w:rFonts w:cs="Tahoma"/>
              </w:rPr>
              <w:t>(</w:t>
            </w:r>
            <w:r>
              <w:rPr>
                <w:rFonts w:cs="Tahoma"/>
              </w:rPr>
              <w:t>16</w:t>
            </w:r>
            <w:r w:rsidRPr="00D36FBC">
              <w:rPr>
                <w:rFonts w:cs="Tahoma"/>
              </w:rPr>
              <w:t xml:space="preserve"> weeks)</w:t>
            </w:r>
          </w:p>
        </w:tc>
        <w:tc>
          <w:tcPr>
            <w:tcW w:w="1054" w:type="dxa"/>
          </w:tcPr>
          <w:p w:rsidR="00CC3BA4" w:rsidRPr="00D36FBC" w:rsidRDefault="00CC3BA4" w:rsidP="0037584C">
            <w:pPr>
              <w:pStyle w:val="Tabletext"/>
              <w:rPr>
                <w:rFonts w:cs="Tahoma"/>
              </w:rPr>
            </w:pPr>
            <w:r w:rsidRPr="00D36FBC">
              <w:rPr>
                <w:rFonts w:cs="Tahoma"/>
              </w:rPr>
              <w:t>1 RCT</w:t>
            </w:r>
          </w:p>
        </w:tc>
        <w:tc>
          <w:tcPr>
            <w:tcW w:w="771" w:type="dxa"/>
          </w:tcPr>
          <w:p w:rsidR="00CC3BA4" w:rsidRPr="00D36FBC" w:rsidRDefault="00CC3BA4" w:rsidP="0037584C">
            <w:pPr>
              <w:pStyle w:val="Tabletext"/>
              <w:rPr>
                <w:rFonts w:cs="Tahoma"/>
              </w:rPr>
            </w:pPr>
            <w:r w:rsidRPr="00D36FBC">
              <w:rPr>
                <w:rFonts w:cs="Tahoma"/>
              </w:rPr>
              <w:t>Not serious</w:t>
            </w:r>
          </w:p>
        </w:tc>
        <w:tc>
          <w:tcPr>
            <w:tcW w:w="1072" w:type="dxa"/>
          </w:tcPr>
          <w:p w:rsidR="00CC3BA4" w:rsidRPr="00D36FBC" w:rsidRDefault="00CC3BA4" w:rsidP="0037584C">
            <w:pPr>
              <w:pStyle w:val="Tabletext"/>
              <w:rPr>
                <w:rFonts w:cs="Tahoma"/>
              </w:rPr>
            </w:pPr>
            <w:r w:rsidRPr="00D36FBC">
              <w:rPr>
                <w:rFonts w:cs="Tahoma"/>
              </w:rPr>
              <w:t>Not serious</w:t>
            </w:r>
          </w:p>
        </w:tc>
        <w:tc>
          <w:tcPr>
            <w:tcW w:w="1134" w:type="dxa"/>
          </w:tcPr>
          <w:p w:rsidR="00CC3BA4" w:rsidRPr="00D36FBC" w:rsidRDefault="00CC3BA4" w:rsidP="0037584C">
            <w:pPr>
              <w:pStyle w:val="Tabletext"/>
              <w:rPr>
                <w:rFonts w:cs="Tahoma"/>
              </w:rPr>
            </w:pPr>
            <w:r w:rsidRPr="00D36FBC">
              <w:rPr>
                <w:rFonts w:cs="Tahoma"/>
              </w:rPr>
              <w:t>Not serious</w:t>
            </w:r>
          </w:p>
        </w:tc>
        <w:tc>
          <w:tcPr>
            <w:tcW w:w="992" w:type="dxa"/>
          </w:tcPr>
          <w:p w:rsidR="00CC3BA4" w:rsidRPr="00D36FBC" w:rsidRDefault="00CC3BA4" w:rsidP="0037584C">
            <w:pPr>
              <w:pStyle w:val="Tabletext"/>
              <w:rPr>
                <w:rFonts w:cs="Tahoma"/>
              </w:rPr>
            </w:pPr>
            <w:r w:rsidRPr="00D36FBC">
              <w:rPr>
                <w:rFonts w:cs="Tahoma"/>
              </w:rPr>
              <w:t>Not serious</w:t>
            </w:r>
          </w:p>
        </w:tc>
        <w:tc>
          <w:tcPr>
            <w:tcW w:w="1276" w:type="dxa"/>
          </w:tcPr>
          <w:p w:rsidR="00CC3BA4" w:rsidRPr="00D36FBC" w:rsidRDefault="00CC3BA4" w:rsidP="0037584C">
            <w:pPr>
              <w:pStyle w:val="Tabletext"/>
              <w:rPr>
                <w:rFonts w:cs="Tahoma"/>
              </w:rPr>
            </w:pPr>
            <w:r w:rsidRPr="00D36FBC">
              <w:rPr>
                <w:rFonts w:cs="Tahoma"/>
              </w:rPr>
              <w:t>Strong association</w:t>
            </w:r>
          </w:p>
        </w:tc>
        <w:tc>
          <w:tcPr>
            <w:tcW w:w="1417" w:type="dxa"/>
          </w:tcPr>
          <w:p w:rsidR="00CC3BA4" w:rsidRPr="0077309F" w:rsidRDefault="00CC3BA4" w:rsidP="0037584C">
            <w:pPr>
              <w:pStyle w:val="Tabletext"/>
              <w:rPr>
                <w:rFonts w:cs="Tahoma"/>
              </w:rPr>
            </w:pPr>
            <w:r>
              <w:rPr>
                <w:rFonts w:cs="Tahoma"/>
              </w:rPr>
              <w:t>8/134 (6.0%)</w:t>
            </w:r>
          </w:p>
        </w:tc>
        <w:tc>
          <w:tcPr>
            <w:tcW w:w="1134" w:type="dxa"/>
          </w:tcPr>
          <w:p w:rsidR="00CC3BA4" w:rsidRPr="00D36FBC" w:rsidRDefault="00CC3BA4" w:rsidP="0037584C">
            <w:pPr>
              <w:pStyle w:val="Tabletext"/>
              <w:rPr>
                <w:rFonts w:cs="Tahoma"/>
                <w:highlight w:val="cyan"/>
              </w:rPr>
            </w:pPr>
            <w:r w:rsidRPr="00482160">
              <w:rPr>
                <w:rFonts w:cs="Tahoma"/>
              </w:rPr>
              <w:t>24/131 (18.3%)</w:t>
            </w:r>
          </w:p>
        </w:tc>
        <w:tc>
          <w:tcPr>
            <w:tcW w:w="993" w:type="dxa"/>
          </w:tcPr>
          <w:p w:rsidR="00CC3BA4" w:rsidRPr="00482160" w:rsidRDefault="00CC3BA4" w:rsidP="0037584C">
            <w:pPr>
              <w:pStyle w:val="Tabletext"/>
              <w:rPr>
                <w:rFonts w:cs="Tahoma"/>
              </w:rPr>
            </w:pPr>
            <w:r w:rsidRPr="00482160">
              <w:rPr>
                <w:rFonts w:cs="Tahoma"/>
              </w:rPr>
              <w:t xml:space="preserve">RR </w:t>
            </w:r>
            <w:r>
              <w:rPr>
                <w:rFonts w:cs="Tahoma"/>
              </w:rPr>
              <w:t xml:space="preserve">= </w:t>
            </w:r>
            <w:r w:rsidRPr="00482160">
              <w:rPr>
                <w:rFonts w:cs="Tahoma"/>
              </w:rPr>
              <w:t>0.33</w:t>
            </w:r>
            <w:r>
              <w:rPr>
                <w:rFonts w:cs="Tahoma"/>
              </w:rPr>
              <w:t xml:space="preserve"> </w:t>
            </w:r>
            <w:r w:rsidRPr="00482160">
              <w:rPr>
                <w:rFonts w:cs="Tahoma"/>
              </w:rPr>
              <w:t>(0.15</w:t>
            </w:r>
            <w:r>
              <w:rPr>
                <w:rFonts w:cs="Tahoma"/>
              </w:rPr>
              <w:t>,</w:t>
            </w:r>
            <w:r w:rsidRPr="00482160">
              <w:rPr>
                <w:rFonts w:cs="Tahoma"/>
              </w:rPr>
              <w:t xml:space="preserve"> </w:t>
            </w:r>
            <w:r>
              <w:rPr>
                <w:rFonts w:cs="Tahoma"/>
              </w:rPr>
              <w:t>0.70)</w:t>
            </w:r>
          </w:p>
        </w:tc>
        <w:tc>
          <w:tcPr>
            <w:tcW w:w="2188" w:type="dxa"/>
          </w:tcPr>
          <w:p w:rsidR="00CC3BA4" w:rsidRPr="00D36FBC" w:rsidRDefault="00CC3BA4" w:rsidP="0037584C">
            <w:pPr>
              <w:pStyle w:val="Tabletext"/>
              <w:rPr>
                <w:rFonts w:cs="Tahoma"/>
                <w:highlight w:val="cyan"/>
              </w:rPr>
            </w:pPr>
            <w:r w:rsidRPr="00482160">
              <w:rPr>
                <w:rFonts w:cs="Tahoma"/>
              </w:rPr>
              <w:t>123 fewer per 1,000</w:t>
            </w:r>
            <w:r>
              <w:rPr>
                <w:rFonts w:cs="Tahoma"/>
              </w:rPr>
              <w:br/>
            </w:r>
            <w:r w:rsidRPr="00482160">
              <w:rPr>
                <w:rFonts w:cs="Tahoma"/>
              </w:rPr>
              <w:t>(from 55 fewer to 156 fewer)</w:t>
            </w:r>
          </w:p>
        </w:tc>
        <w:tc>
          <w:tcPr>
            <w:tcW w:w="1214" w:type="dxa"/>
          </w:tcPr>
          <w:p w:rsidR="00CC3BA4" w:rsidRDefault="00CC3BA4" w:rsidP="0037584C">
            <w:pPr>
              <w:pStyle w:val="Tabletext"/>
              <w:rPr>
                <w:rFonts w:ascii="Cambria Math" w:eastAsia="Times New Roman" w:hAnsi="Cambria Math" w:cs="Cambria Math"/>
                <w:bCs/>
              </w:rPr>
            </w:pPr>
            <w:r w:rsidRPr="00E564DD">
              <w:rPr>
                <w:rFonts w:eastAsia="Times New Roman" w:cs="Tahoma"/>
                <w:bCs/>
              </w:rPr>
              <w:t>High</w:t>
            </w:r>
            <w:r>
              <w:rPr>
                <w:rFonts w:eastAsia="Times New Roman" w:cs="Tahoma"/>
                <w:bCs/>
              </w:rPr>
              <w:br/>
            </w:r>
            <w:r>
              <w:rPr>
                <w:rFonts w:ascii="Cambria Math" w:eastAsia="Times New Roman" w:hAnsi="Cambria Math" w:cs="Cambria Math"/>
                <w:bCs/>
                <w:color w:val="00B050"/>
              </w:rPr>
              <w:t>⨁⨁⨁⨁</w:t>
            </w:r>
          </w:p>
          <w:p w:rsidR="00CC3BA4" w:rsidRPr="00D36FBC" w:rsidRDefault="00CC3BA4" w:rsidP="0037584C">
            <w:pPr>
              <w:pStyle w:val="Tabletext"/>
              <w:rPr>
                <w:rFonts w:cs="Tahoma"/>
              </w:rPr>
            </w:pPr>
            <w:r w:rsidRPr="00E564DD">
              <w:rPr>
                <w:rFonts w:cs="Tahoma"/>
              </w:rPr>
              <w:t>Critical</w:t>
            </w:r>
          </w:p>
        </w:tc>
      </w:tr>
      <w:tr w:rsidR="00CC3BA4" w:rsidRPr="00D36FBC" w:rsidTr="00115AB1">
        <w:trPr>
          <w:trHeight w:val="319"/>
        </w:trPr>
        <w:tc>
          <w:tcPr>
            <w:tcW w:w="1493" w:type="dxa"/>
          </w:tcPr>
          <w:p w:rsidR="00CC3BA4" w:rsidRPr="00D36FBC" w:rsidRDefault="00CC3BA4" w:rsidP="0037584C">
            <w:pPr>
              <w:pStyle w:val="Tabletext"/>
              <w:rPr>
                <w:rFonts w:cs="Tahoma"/>
              </w:rPr>
            </w:pPr>
            <w:r w:rsidRPr="00D36FBC">
              <w:rPr>
                <w:rFonts w:cs="Tahoma"/>
              </w:rPr>
              <w:t>Mortality</w:t>
            </w:r>
            <w:r>
              <w:rPr>
                <w:rFonts w:cs="Tahoma"/>
              </w:rPr>
              <w:br/>
            </w:r>
            <w:r w:rsidRPr="00D36FBC">
              <w:rPr>
                <w:rFonts w:cs="Tahoma"/>
              </w:rPr>
              <w:t>(</w:t>
            </w:r>
            <w:r>
              <w:rPr>
                <w:rFonts w:cs="Tahoma"/>
              </w:rPr>
              <w:t>16</w:t>
            </w:r>
            <w:r w:rsidRPr="00D36FBC">
              <w:rPr>
                <w:rFonts w:cs="Tahoma"/>
              </w:rPr>
              <w:t xml:space="preserve"> weeks)</w:t>
            </w:r>
          </w:p>
        </w:tc>
        <w:tc>
          <w:tcPr>
            <w:tcW w:w="1054" w:type="dxa"/>
          </w:tcPr>
          <w:p w:rsidR="00CC3BA4" w:rsidRPr="00D36FBC" w:rsidRDefault="00CC3BA4" w:rsidP="0037584C">
            <w:pPr>
              <w:pStyle w:val="Tabletext"/>
              <w:rPr>
                <w:rFonts w:cs="Tahoma"/>
              </w:rPr>
            </w:pPr>
            <w:r w:rsidRPr="00D36FBC">
              <w:rPr>
                <w:rFonts w:cs="Tahoma"/>
              </w:rPr>
              <w:t>1 RCT</w:t>
            </w:r>
          </w:p>
        </w:tc>
        <w:tc>
          <w:tcPr>
            <w:tcW w:w="771" w:type="dxa"/>
          </w:tcPr>
          <w:p w:rsidR="00CC3BA4" w:rsidRPr="00D36FBC" w:rsidRDefault="00CC3BA4" w:rsidP="0037584C">
            <w:pPr>
              <w:pStyle w:val="Tabletext"/>
              <w:rPr>
                <w:rFonts w:cs="Tahoma"/>
              </w:rPr>
            </w:pPr>
            <w:r w:rsidRPr="00D36FBC">
              <w:rPr>
                <w:rFonts w:cs="Tahoma"/>
              </w:rPr>
              <w:t>Not serious</w:t>
            </w:r>
          </w:p>
        </w:tc>
        <w:tc>
          <w:tcPr>
            <w:tcW w:w="1072" w:type="dxa"/>
          </w:tcPr>
          <w:p w:rsidR="00CC3BA4" w:rsidRPr="00D36FBC" w:rsidRDefault="00CC3BA4" w:rsidP="0037584C">
            <w:pPr>
              <w:pStyle w:val="Tabletext"/>
              <w:rPr>
                <w:rFonts w:cs="Tahoma"/>
              </w:rPr>
            </w:pPr>
            <w:r w:rsidRPr="00D36FBC">
              <w:rPr>
                <w:rFonts w:cs="Tahoma"/>
              </w:rPr>
              <w:t>Not serious</w:t>
            </w:r>
          </w:p>
        </w:tc>
        <w:tc>
          <w:tcPr>
            <w:tcW w:w="1134" w:type="dxa"/>
          </w:tcPr>
          <w:p w:rsidR="00CC3BA4" w:rsidRPr="00D36FBC" w:rsidRDefault="00CC3BA4" w:rsidP="0037584C">
            <w:pPr>
              <w:pStyle w:val="Tabletext"/>
              <w:rPr>
                <w:rFonts w:cs="Tahoma"/>
              </w:rPr>
            </w:pPr>
            <w:r w:rsidRPr="00D36FBC">
              <w:rPr>
                <w:rFonts w:cs="Tahoma"/>
              </w:rPr>
              <w:t>Not serious</w:t>
            </w:r>
          </w:p>
        </w:tc>
        <w:tc>
          <w:tcPr>
            <w:tcW w:w="992" w:type="dxa"/>
          </w:tcPr>
          <w:p w:rsidR="00CC3BA4" w:rsidRPr="00D36FBC" w:rsidRDefault="00CC3BA4" w:rsidP="0037584C">
            <w:pPr>
              <w:pStyle w:val="Tabletext"/>
              <w:rPr>
                <w:rFonts w:cs="Tahoma"/>
              </w:rPr>
            </w:pPr>
            <w:r>
              <w:rPr>
                <w:rFonts w:cs="Tahoma"/>
              </w:rPr>
              <w:t>Not s</w:t>
            </w:r>
            <w:r w:rsidRPr="00D36FBC">
              <w:rPr>
                <w:rFonts w:cs="Tahoma"/>
              </w:rPr>
              <w:t>erious</w:t>
            </w:r>
          </w:p>
        </w:tc>
        <w:tc>
          <w:tcPr>
            <w:tcW w:w="1276" w:type="dxa"/>
          </w:tcPr>
          <w:p w:rsidR="00CC3BA4" w:rsidRPr="00D36FBC" w:rsidRDefault="00207AD0" w:rsidP="0037584C">
            <w:pPr>
              <w:pStyle w:val="Tabletext"/>
              <w:rPr>
                <w:rFonts w:cs="Tahoma"/>
              </w:rPr>
            </w:pPr>
            <w:r>
              <w:rPr>
                <w:rFonts w:cs="Tahoma"/>
              </w:rPr>
              <w:t>None</w:t>
            </w:r>
          </w:p>
        </w:tc>
        <w:tc>
          <w:tcPr>
            <w:tcW w:w="1417" w:type="dxa"/>
          </w:tcPr>
          <w:p w:rsidR="00CC3BA4" w:rsidRPr="0077309F" w:rsidRDefault="00CC3BA4" w:rsidP="0037584C">
            <w:pPr>
              <w:pStyle w:val="Tabletext"/>
              <w:rPr>
                <w:rFonts w:cs="Tahoma"/>
              </w:rPr>
            </w:pPr>
            <w:r>
              <w:rPr>
                <w:rFonts w:cs="Tahoma"/>
              </w:rPr>
              <w:t>0/134 (0.0%)</w:t>
            </w:r>
          </w:p>
        </w:tc>
        <w:tc>
          <w:tcPr>
            <w:tcW w:w="1134" w:type="dxa"/>
          </w:tcPr>
          <w:p w:rsidR="00CC3BA4" w:rsidRPr="001D2AD7" w:rsidRDefault="00CC3BA4" w:rsidP="0037584C">
            <w:pPr>
              <w:pStyle w:val="Tabletext"/>
              <w:rPr>
                <w:rFonts w:cs="Tahoma"/>
                <w:highlight w:val="cyan"/>
              </w:rPr>
            </w:pPr>
            <w:r w:rsidRPr="00482160">
              <w:rPr>
                <w:rFonts w:cs="Tahoma"/>
              </w:rPr>
              <w:t>7/131 (5.3%)</w:t>
            </w:r>
          </w:p>
        </w:tc>
        <w:tc>
          <w:tcPr>
            <w:tcW w:w="993" w:type="dxa"/>
          </w:tcPr>
          <w:p w:rsidR="00CC3BA4" w:rsidRPr="001D2AD7" w:rsidRDefault="00B21201" w:rsidP="00645E4A">
            <w:pPr>
              <w:pStyle w:val="Tabletext"/>
              <w:rPr>
                <w:rFonts w:cs="Tahoma"/>
                <w:highlight w:val="cyan"/>
              </w:rPr>
            </w:pPr>
            <w:r>
              <w:rPr>
                <w:rFonts w:cs="Tahoma"/>
              </w:rPr>
              <w:t>ARD</w:t>
            </w:r>
            <w:r w:rsidR="00CC3BA4" w:rsidRPr="00482160">
              <w:rPr>
                <w:rFonts w:cs="Tahoma"/>
              </w:rPr>
              <w:t xml:space="preserve"> = </w:t>
            </w:r>
            <w:r w:rsidR="00645E4A">
              <w:rPr>
                <w:rFonts w:cs="Tahoma"/>
              </w:rPr>
              <w:t>−</w:t>
            </w:r>
            <w:r w:rsidR="00CC3BA4" w:rsidRPr="00482160">
              <w:rPr>
                <w:rFonts w:cs="Tahoma"/>
              </w:rPr>
              <w:t>5.3%</w:t>
            </w:r>
            <w:r w:rsidR="00CC3BA4">
              <w:rPr>
                <w:rFonts w:cs="Tahoma"/>
              </w:rPr>
              <w:t xml:space="preserve"> (</w:t>
            </w:r>
            <w:r w:rsidR="00645E4A">
              <w:rPr>
                <w:rFonts w:cs="Tahoma"/>
              </w:rPr>
              <w:t>−</w:t>
            </w:r>
            <w:r w:rsidR="00645E4A" w:rsidRPr="00482160">
              <w:rPr>
                <w:rFonts w:cs="Tahoma"/>
              </w:rPr>
              <w:t>9.2</w:t>
            </w:r>
            <w:r w:rsidR="00645E4A">
              <w:rPr>
                <w:rFonts w:cs="Tahoma"/>
              </w:rPr>
              <w:t>, −</w:t>
            </w:r>
            <w:r w:rsidR="00CC3BA4" w:rsidRPr="00482160">
              <w:rPr>
                <w:rFonts w:cs="Tahoma"/>
              </w:rPr>
              <w:t>1.5</w:t>
            </w:r>
            <w:r w:rsidR="00CC3BA4">
              <w:rPr>
                <w:rFonts w:cs="Tahoma"/>
              </w:rPr>
              <w:t>)</w:t>
            </w:r>
          </w:p>
        </w:tc>
        <w:tc>
          <w:tcPr>
            <w:tcW w:w="2188" w:type="dxa"/>
          </w:tcPr>
          <w:p w:rsidR="00CC3BA4" w:rsidRPr="00D36FBC" w:rsidRDefault="00CC3BA4" w:rsidP="0037584C">
            <w:pPr>
              <w:pStyle w:val="Tabletext"/>
              <w:rPr>
                <w:rFonts w:cs="Tahoma"/>
                <w:highlight w:val="cyan"/>
              </w:rPr>
            </w:pPr>
            <w:r w:rsidRPr="00482160">
              <w:rPr>
                <w:rFonts w:cs="Tahoma"/>
              </w:rPr>
              <w:t>53 fewer per 1,000</w:t>
            </w:r>
            <w:r>
              <w:rPr>
                <w:rFonts w:cs="Tahoma"/>
              </w:rPr>
              <w:br/>
            </w:r>
            <w:r w:rsidRPr="00482160">
              <w:rPr>
                <w:rFonts w:cs="Tahoma"/>
              </w:rPr>
              <w:t>(from 15 fewer to 92 fewer)</w:t>
            </w:r>
          </w:p>
        </w:tc>
        <w:tc>
          <w:tcPr>
            <w:tcW w:w="1214" w:type="dxa"/>
          </w:tcPr>
          <w:p w:rsidR="00CC3BA4" w:rsidRDefault="00CC3BA4" w:rsidP="0037584C">
            <w:pPr>
              <w:pStyle w:val="Tabletext"/>
              <w:rPr>
                <w:rFonts w:ascii="Cambria Math" w:eastAsia="Times New Roman" w:hAnsi="Cambria Math" w:cs="Cambria Math"/>
                <w:bCs/>
              </w:rPr>
            </w:pPr>
            <w:r w:rsidRPr="00E564DD">
              <w:rPr>
                <w:rFonts w:eastAsia="Times New Roman" w:cs="Tahoma"/>
                <w:bCs/>
              </w:rPr>
              <w:t>High</w:t>
            </w:r>
            <w:r>
              <w:rPr>
                <w:rFonts w:eastAsia="Times New Roman" w:cs="Tahoma"/>
                <w:bCs/>
              </w:rPr>
              <w:br/>
            </w:r>
            <w:r>
              <w:rPr>
                <w:rFonts w:ascii="Cambria Math" w:eastAsia="Times New Roman" w:hAnsi="Cambria Math" w:cs="Cambria Math"/>
                <w:bCs/>
                <w:color w:val="00B050"/>
              </w:rPr>
              <w:t>⨁⨁⨁⨁</w:t>
            </w:r>
          </w:p>
          <w:p w:rsidR="00CC3BA4" w:rsidRPr="00D36FBC" w:rsidRDefault="00CC3BA4" w:rsidP="0037584C">
            <w:pPr>
              <w:pStyle w:val="Tabletext"/>
              <w:rPr>
                <w:rFonts w:cs="Tahoma"/>
              </w:rPr>
            </w:pPr>
            <w:r w:rsidRPr="00E564DD">
              <w:rPr>
                <w:rFonts w:cs="Tahoma"/>
              </w:rPr>
              <w:t>Critical</w:t>
            </w:r>
          </w:p>
        </w:tc>
      </w:tr>
      <w:tr w:rsidR="0037584C" w:rsidRPr="00D36FBC" w:rsidTr="00115AB1">
        <w:trPr>
          <w:trHeight w:val="319"/>
        </w:trPr>
        <w:tc>
          <w:tcPr>
            <w:tcW w:w="1493" w:type="dxa"/>
          </w:tcPr>
          <w:p w:rsidR="0037584C" w:rsidRPr="00D36FBC" w:rsidRDefault="0037584C" w:rsidP="0037584C">
            <w:pPr>
              <w:pStyle w:val="Tabletext"/>
              <w:rPr>
                <w:rFonts w:cs="Tahoma"/>
              </w:rPr>
            </w:pPr>
            <w:r w:rsidRPr="00D36FBC">
              <w:rPr>
                <w:rFonts w:cs="Tahoma"/>
              </w:rPr>
              <w:t>Hospitalisation</w:t>
            </w:r>
            <w:r w:rsidR="00086A04">
              <w:rPr>
                <w:rFonts w:cs="Tahoma"/>
              </w:rPr>
              <w:t xml:space="preserve"> due to PAH</w:t>
            </w:r>
            <w:r>
              <w:rPr>
                <w:rFonts w:cs="Tahoma"/>
              </w:rPr>
              <w:br/>
            </w:r>
            <w:r w:rsidRPr="00D36FBC">
              <w:rPr>
                <w:rFonts w:cs="Tahoma"/>
              </w:rPr>
              <w:t>(</w:t>
            </w:r>
            <w:r>
              <w:rPr>
                <w:rFonts w:cs="Tahoma"/>
              </w:rPr>
              <w:t>16</w:t>
            </w:r>
            <w:r w:rsidRPr="00D36FBC">
              <w:rPr>
                <w:rFonts w:cs="Tahoma"/>
              </w:rPr>
              <w:t xml:space="preserve"> weeks)</w:t>
            </w:r>
          </w:p>
        </w:tc>
        <w:tc>
          <w:tcPr>
            <w:tcW w:w="1054" w:type="dxa"/>
          </w:tcPr>
          <w:p w:rsidR="0037584C" w:rsidRPr="00D36FBC" w:rsidRDefault="0037584C" w:rsidP="0037584C">
            <w:pPr>
              <w:pStyle w:val="Tabletext"/>
              <w:rPr>
                <w:rFonts w:cs="Tahoma"/>
              </w:rPr>
            </w:pPr>
            <w:r w:rsidRPr="00D36FBC">
              <w:rPr>
                <w:rFonts w:cs="Tahoma"/>
              </w:rPr>
              <w:t>1 RCT</w:t>
            </w:r>
          </w:p>
        </w:tc>
        <w:tc>
          <w:tcPr>
            <w:tcW w:w="771" w:type="dxa"/>
          </w:tcPr>
          <w:p w:rsidR="0037584C" w:rsidRPr="00D36FBC" w:rsidRDefault="0037584C" w:rsidP="0037584C">
            <w:pPr>
              <w:pStyle w:val="Tabletext"/>
              <w:rPr>
                <w:rFonts w:cs="Tahoma"/>
              </w:rPr>
            </w:pPr>
            <w:r w:rsidRPr="00D36FBC">
              <w:rPr>
                <w:rFonts w:cs="Tahoma"/>
              </w:rPr>
              <w:t>Not serious</w:t>
            </w:r>
          </w:p>
        </w:tc>
        <w:tc>
          <w:tcPr>
            <w:tcW w:w="1072" w:type="dxa"/>
          </w:tcPr>
          <w:p w:rsidR="0037584C" w:rsidRPr="00D36FBC" w:rsidRDefault="0037584C" w:rsidP="0037584C">
            <w:pPr>
              <w:pStyle w:val="Tabletext"/>
              <w:rPr>
                <w:rFonts w:cs="Tahoma"/>
              </w:rPr>
            </w:pPr>
            <w:r>
              <w:rPr>
                <w:rFonts w:cs="Tahoma"/>
              </w:rPr>
              <w:t>Not serious</w:t>
            </w:r>
          </w:p>
        </w:tc>
        <w:tc>
          <w:tcPr>
            <w:tcW w:w="1134" w:type="dxa"/>
          </w:tcPr>
          <w:p w:rsidR="0037584C" w:rsidRPr="00D36FBC" w:rsidRDefault="0037584C" w:rsidP="0037584C">
            <w:pPr>
              <w:pStyle w:val="Tabletext"/>
              <w:rPr>
                <w:rFonts w:cs="Tahoma"/>
              </w:rPr>
            </w:pPr>
            <w:r w:rsidRPr="00D36FBC">
              <w:rPr>
                <w:rFonts w:cs="Tahoma"/>
              </w:rPr>
              <w:t>Not serious</w:t>
            </w:r>
          </w:p>
        </w:tc>
        <w:tc>
          <w:tcPr>
            <w:tcW w:w="992" w:type="dxa"/>
          </w:tcPr>
          <w:p w:rsidR="0037584C" w:rsidRPr="00D36FBC" w:rsidRDefault="0037584C" w:rsidP="0037584C">
            <w:pPr>
              <w:pStyle w:val="Tabletext"/>
              <w:rPr>
                <w:rFonts w:cs="Tahoma"/>
              </w:rPr>
            </w:pPr>
            <w:r w:rsidRPr="00D36FBC">
              <w:rPr>
                <w:rFonts w:cs="Tahoma"/>
              </w:rPr>
              <w:t xml:space="preserve">Serious </w:t>
            </w:r>
            <w:r>
              <w:rPr>
                <w:rFonts w:cs="Tahoma"/>
                <w:vertAlign w:val="superscript"/>
              </w:rPr>
              <w:t>c</w:t>
            </w:r>
          </w:p>
        </w:tc>
        <w:tc>
          <w:tcPr>
            <w:tcW w:w="1276" w:type="dxa"/>
          </w:tcPr>
          <w:p w:rsidR="0037584C" w:rsidRPr="00D36FBC" w:rsidRDefault="0037584C" w:rsidP="0037584C">
            <w:pPr>
              <w:pStyle w:val="Tabletext"/>
              <w:rPr>
                <w:rFonts w:cs="Tahoma"/>
              </w:rPr>
            </w:pPr>
            <w:r w:rsidRPr="00D36FBC">
              <w:rPr>
                <w:rFonts w:cs="Tahoma"/>
              </w:rPr>
              <w:t>None</w:t>
            </w:r>
          </w:p>
        </w:tc>
        <w:tc>
          <w:tcPr>
            <w:tcW w:w="1417" w:type="dxa"/>
          </w:tcPr>
          <w:p w:rsidR="0037584C" w:rsidRPr="0077309F" w:rsidRDefault="0037584C" w:rsidP="0037584C">
            <w:pPr>
              <w:pStyle w:val="Tabletext"/>
              <w:rPr>
                <w:rFonts w:cs="Tahoma"/>
              </w:rPr>
            </w:pPr>
            <w:r>
              <w:rPr>
                <w:rFonts w:cs="Tahoma"/>
              </w:rPr>
              <w:t>8/134 (6.0%)</w:t>
            </w:r>
          </w:p>
        </w:tc>
        <w:tc>
          <w:tcPr>
            <w:tcW w:w="1134" w:type="dxa"/>
          </w:tcPr>
          <w:p w:rsidR="0037584C" w:rsidRPr="001D2AD7" w:rsidRDefault="00FF1A9C" w:rsidP="00FF1A9C">
            <w:pPr>
              <w:pStyle w:val="Tabletext"/>
              <w:rPr>
                <w:rFonts w:cs="Tahoma"/>
                <w:highlight w:val="cyan"/>
              </w:rPr>
            </w:pPr>
            <w:r>
              <w:rPr>
                <w:rFonts w:cs="Tahoma"/>
              </w:rPr>
              <w:t>11</w:t>
            </w:r>
            <w:r w:rsidR="0037584C" w:rsidRPr="00AC54F2">
              <w:rPr>
                <w:rFonts w:cs="Tahoma"/>
              </w:rPr>
              <w:t>/131 (</w:t>
            </w:r>
            <w:r>
              <w:rPr>
                <w:rFonts w:cs="Tahoma"/>
              </w:rPr>
              <w:t>8.4</w:t>
            </w:r>
            <w:r w:rsidR="0037584C" w:rsidRPr="00AC54F2">
              <w:rPr>
                <w:rFonts w:cs="Tahoma"/>
              </w:rPr>
              <w:t>%)</w:t>
            </w:r>
          </w:p>
        </w:tc>
        <w:tc>
          <w:tcPr>
            <w:tcW w:w="993" w:type="dxa"/>
          </w:tcPr>
          <w:p w:rsidR="0037584C" w:rsidRPr="001D2AD7" w:rsidRDefault="0037584C" w:rsidP="00FF1A9C">
            <w:pPr>
              <w:pStyle w:val="Tabletext"/>
              <w:rPr>
                <w:rFonts w:cs="Tahoma"/>
                <w:highlight w:val="cyan"/>
              </w:rPr>
            </w:pPr>
            <w:r w:rsidRPr="00AC54F2">
              <w:rPr>
                <w:rFonts w:cs="Tahoma"/>
              </w:rPr>
              <w:t xml:space="preserve">RR </w:t>
            </w:r>
            <w:r>
              <w:rPr>
                <w:rFonts w:cs="Tahoma"/>
              </w:rPr>
              <w:t xml:space="preserve">= </w:t>
            </w:r>
            <w:r w:rsidRPr="00AC54F2">
              <w:rPr>
                <w:rFonts w:cs="Tahoma"/>
              </w:rPr>
              <w:t>0.</w:t>
            </w:r>
            <w:r w:rsidR="00FF1A9C">
              <w:rPr>
                <w:rFonts w:cs="Tahoma"/>
              </w:rPr>
              <w:t>71</w:t>
            </w:r>
            <w:r>
              <w:rPr>
                <w:rFonts w:cs="Tahoma"/>
              </w:rPr>
              <w:t xml:space="preserve"> </w:t>
            </w:r>
            <w:r w:rsidRPr="00AC54F2">
              <w:rPr>
                <w:rFonts w:cs="Tahoma"/>
              </w:rPr>
              <w:t>(0.3</w:t>
            </w:r>
            <w:r w:rsidR="00FF1A9C">
              <w:rPr>
                <w:rFonts w:cs="Tahoma"/>
              </w:rPr>
              <w:t>0</w:t>
            </w:r>
            <w:r>
              <w:rPr>
                <w:rFonts w:cs="Tahoma"/>
              </w:rPr>
              <w:t>,</w:t>
            </w:r>
            <w:r w:rsidRPr="00AC54F2">
              <w:rPr>
                <w:rFonts w:cs="Tahoma"/>
              </w:rPr>
              <w:t xml:space="preserve"> </w:t>
            </w:r>
            <w:r w:rsidR="00FF1A9C">
              <w:rPr>
                <w:rFonts w:cs="Tahoma"/>
              </w:rPr>
              <w:t>1.71</w:t>
            </w:r>
            <w:r w:rsidRPr="00AC54F2">
              <w:rPr>
                <w:rFonts w:cs="Tahoma"/>
              </w:rPr>
              <w:t>)</w:t>
            </w:r>
          </w:p>
        </w:tc>
        <w:tc>
          <w:tcPr>
            <w:tcW w:w="2188" w:type="dxa"/>
          </w:tcPr>
          <w:p w:rsidR="0037584C" w:rsidRPr="00D36FBC" w:rsidRDefault="00FF1A9C" w:rsidP="0037584C">
            <w:pPr>
              <w:pStyle w:val="Tabletext"/>
              <w:rPr>
                <w:rFonts w:cs="Tahoma"/>
                <w:highlight w:val="cyan"/>
              </w:rPr>
            </w:pPr>
            <w:r>
              <w:rPr>
                <w:rFonts w:cs="Tahoma"/>
              </w:rPr>
              <w:t>24</w:t>
            </w:r>
            <w:r w:rsidR="0037584C" w:rsidRPr="00AC54F2">
              <w:rPr>
                <w:rFonts w:cs="Tahoma"/>
              </w:rPr>
              <w:t xml:space="preserve"> fewer per 1,000</w:t>
            </w:r>
            <w:r w:rsidR="0037584C">
              <w:rPr>
                <w:rFonts w:cs="Tahoma"/>
              </w:rPr>
              <w:br/>
            </w:r>
            <w:r w:rsidR="0037584C" w:rsidRPr="00AC54F2">
              <w:rPr>
                <w:rFonts w:cs="Tahoma"/>
              </w:rPr>
              <w:t xml:space="preserve">(from </w:t>
            </w:r>
            <w:r w:rsidR="00DB7B69">
              <w:rPr>
                <w:rFonts w:cs="Tahoma"/>
              </w:rPr>
              <w:t>59</w:t>
            </w:r>
            <w:r w:rsidR="0037584C" w:rsidRPr="00AC54F2">
              <w:rPr>
                <w:rFonts w:cs="Tahoma"/>
              </w:rPr>
              <w:t xml:space="preserve"> fewer to </w:t>
            </w:r>
            <w:r w:rsidR="00DB7B69">
              <w:rPr>
                <w:rFonts w:cs="Tahoma"/>
              </w:rPr>
              <w:t>60</w:t>
            </w:r>
            <w:r w:rsidR="0037584C" w:rsidRPr="00AC54F2">
              <w:rPr>
                <w:rFonts w:cs="Tahoma"/>
              </w:rPr>
              <w:t xml:space="preserve"> more)</w:t>
            </w:r>
          </w:p>
        </w:tc>
        <w:tc>
          <w:tcPr>
            <w:tcW w:w="1214" w:type="dxa"/>
          </w:tcPr>
          <w:p w:rsidR="0037584C" w:rsidRDefault="0037584C" w:rsidP="0037584C">
            <w:pPr>
              <w:pStyle w:val="Tabletext"/>
              <w:rPr>
                <w:rFonts w:ascii="Cambria Math" w:eastAsia="Times New Roman" w:hAnsi="Cambria Math" w:cs="Cambria Math"/>
                <w:bCs/>
              </w:rPr>
            </w:pPr>
            <w:r w:rsidRPr="00E564DD">
              <w:rPr>
                <w:rFonts w:eastAsia="Times New Roman" w:cs="Tahoma"/>
                <w:bCs/>
              </w:rPr>
              <w:t>Moderate</w:t>
            </w:r>
            <w:r>
              <w:rPr>
                <w:rFonts w:eastAsia="Times New Roman" w:cs="Tahoma"/>
                <w:bCs/>
              </w:rPr>
              <w:br/>
            </w: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37584C" w:rsidRPr="00D36FBC" w:rsidRDefault="0037584C" w:rsidP="0037584C">
            <w:pPr>
              <w:pStyle w:val="Tabletext"/>
              <w:rPr>
                <w:rFonts w:eastAsia="Times New Roman" w:cs="Cambria Math"/>
                <w:bCs/>
                <w:color w:val="00B050"/>
              </w:rPr>
            </w:pPr>
            <w:r>
              <w:rPr>
                <w:rFonts w:cs="Tahoma"/>
              </w:rPr>
              <w:t>I</w:t>
            </w:r>
            <w:r w:rsidRPr="00E564DD">
              <w:rPr>
                <w:rFonts w:cs="Tahoma"/>
              </w:rPr>
              <w:t>mportant</w:t>
            </w:r>
          </w:p>
        </w:tc>
      </w:tr>
      <w:tr w:rsidR="0037584C" w:rsidRPr="00D36FBC" w:rsidTr="00115AB1">
        <w:trPr>
          <w:trHeight w:val="319"/>
        </w:trPr>
        <w:tc>
          <w:tcPr>
            <w:tcW w:w="1493" w:type="dxa"/>
          </w:tcPr>
          <w:p w:rsidR="0037584C" w:rsidRPr="00D36FBC" w:rsidRDefault="0037584C" w:rsidP="0037584C">
            <w:pPr>
              <w:pStyle w:val="Tabletext"/>
              <w:rPr>
                <w:rFonts w:cs="Tahoma"/>
              </w:rPr>
            </w:pPr>
            <w:r w:rsidRPr="00D36FBC">
              <w:rPr>
                <w:rFonts w:cs="Tahoma"/>
              </w:rPr>
              <w:t>Change in 6MWD from baseline</w:t>
            </w:r>
            <w:r>
              <w:rPr>
                <w:rFonts w:cs="Tahoma"/>
              </w:rPr>
              <w:br/>
              <w:t>(1</w:t>
            </w:r>
            <w:r w:rsidRPr="00D36FBC">
              <w:rPr>
                <w:rFonts w:cs="Tahoma"/>
              </w:rPr>
              <w:t xml:space="preserve">6 weeks) </w:t>
            </w:r>
          </w:p>
        </w:tc>
        <w:tc>
          <w:tcPr>
            <w:tcW w:w="1054" w:type="dxa"/>
          </w:tcPr>
          <w:p w:rsidR="0037584C" w:rsidRPr="00D36FBC" w:rsidRDefault="0037584C" w:rsidP="0037584C">
            <w:pPr>
              <w:pStyle w:val="Tabletext"/>
              <w:rPr>
                <w:rFonts w:cs="Tahoma"/>
              </w:rPr>
            </w:pPr>
            <w:r w:rsidRPr="00D36FBC">
              <w:rPr>
                <w:rFonts w:cs="Tahoma"/>
              </w:rPr>
              <w:t>1 RCT</w:t>
            </w:r>
          </w:p>
        </w:tc>
        <w:tc>
          <w:tcPr>
            <w:tcW w:w="771" w:type="dxa"/>
          </w:tcPr>
          <w:p w:rsidR="0037584C" w:rsidRPr="00D36FBC" w:rsidRDefault="0037584C" w:rsidP="0037584C">
            <w:pPr>
              <w:pStyle w:val="Tabletext"/>
              <w:rPr>
                <w:rFonts w:cs="Tahoma"/>
              </w:rPr>
            </w:pPr>
            <w:r w:rsidRPr="00D36FBC">
              <w:rPr>
                <w:rFonts w:cs="Tahoma"/>
              </w:rPr>
              <w:t>Not serious</w:t>
            </w:r>
          </w:p>
        </w:tc>
        <w:tc>
          <w:tcPr>
            <w:tcW w:w="1072" w:type="dxa"/>
          </w:tcPr>
          <w:p w:rsidR="0037584C" w:rsidRPr="00D36FBC" w:rsidRDefault="0037584C" w:rsidP="0037584C">
            <w:pPr>
              <w:pStyle w:val="Tabletext"/>
              <w:rPr>
                <w:rFonts w:cs="Tahoma"/>
              </w:rPr>
            </w:pPr>
            <w:r w:rsidRPr="00D36FBC">
              <w:rPr>
                <w:rFonts w:cs="Tahoma"/>
              </w:rPr>
              <w:t>Not serious</w:t>
            </w:r>
          </w:p>
        </w:tc>
        <w:tc>
          <w:tcPr>
            <w:tcW w:w="1134" w:type="dxa"/>
          </w:tcPr>
          <w:p w:rsidR="0037584C" w:rsidRPr="00F95747" w:rsidRDefault="00312FDE" w:rsidP="0037584C">
            <w:pPr>
              <w:pStyle w:val="Tabletext"/>
              <w:rPr>
                <w:rFonts w:cs="Tahoma"/>
                <w:vertAlign w:val="superscript"/>
              </w:rPr>
            </w:pPr>
            <w:r>
              <w:rPr>
                <w:rFonts w:cs="Tahoma"/>
              </w:rPr>
              <w:t>S</w:t>
            </w:r>
            <w:r w:rsidR="0037584C" w:rsidRPr="00D36FBC">
              <w:rPr>
                <w:rFonts w:cs="Tahoma"/>
              </w:rPr>
              <w:t>erious</w:t>
            </w:r>
            <w:r>
              <w:rPr>
                <w:rFonts w:cs="Tahoma"/>
                <w:vertAlign w:val="superscript"/>
              </w:rPr>
              <w:t xml:space="preserve"> d</w:t>
            </w:r>
          </w:p>
        </w:tc>
        <w:tc>
          <w:tcPr>
            <w:tcW w:w="992" w:type="dxa"/>
          </w:tcPr>
          <w:p w:rsidR="0037584C" w:rsidRPr="00D36FBC" w:rsidRDefault="0037584C" w:rsidP="0037584C">
            <w:pPr>
              <w:pStyle w:val="Tabletext"/>
              <w:rPr>
                <w:rFonts w:cs="Tahoma"/>
              </w:rPr>
            </w:pPr>
            <w:r w:rsidRPr="00D36FBC">
              <w:rPr>
                <w:rFonts w:cs="Tahoma"/>
              </w:rPr>
              <w:t>Not serious</w:t>
            </w:r>
          </w:p>
        </w:tc>
        <w:tc>
          <w:tcPr>
            <w:tcW w:w="1276" w:type="dxa"/>
          </w:tcPr>
          <w:p w:rsidR="0037584C" w:rsidRPr="00D36FBC" w:rsidRDefault="0037584C" w:rsidP="0037584C">
            <w:pPr>
              <w:pStyle w:val="Tabletext"/>
              <w:rPr>
                <w:rFonts w:cs="Tahoma"/>
              </w:rPr>
            </w:pPr>
            <w:r w:rsidRPr="00D36FBC">
              <w:rPr>
                <w:rFonts w:cs="Tahoma"/>
              </w:rPr>
              <w:t>None</w:t>
            </w:r>
          </w:p>
        </w:tc>
        <w:tc>
          <w:tcPr>
            <w:tcW w:w="1417" w:type="dxa"/>
          </w:tcPr>
          <w:p w:rsidR="0037584C" w:rsidRPr="00456F1B" w:rsidRDefault="0037584C" w:rsidP="0037584C">
            <w:pPr>
              <w:pStyle w:val="Tabletext"/>
              <w:rPr>
                <w:rFonts w:cs="Tahoma"/>
              </w:rPr>
            </w:pPr>
            <w:r w:rsidRPr="00B14FF5">
              <w:rPr>
                <w:rFonts w:cs="Tahoma"/>
              </w:rPr>
              <w:t>134 patients tested</w:t>
            </w:r>
          </w:p>
        </w:tc>
        <w:tc>
          <w:tcPr>
            <w:tcW w:w="1134" w:type="dxa"/>
          </w:tcPr>
          <w:p w:rsidR="0037584C" w:rsidRPr="00456F1B" w:rsidRDefault="0037584C" w:rsidP="0037584C">
            <w:pPr>
              <w:pStyle w:val="Tabletext"/>
              <w:rPr>
                <w:rFonts w:cs="Tahoma"/>
              </w:rPr>
            </w:pPr>
            <w:r w:rsidRPr="00F95747">
              <w:t>131</w:t>
            </w:r>
            <w:r w:rsidRPr="00B14FF5">
              <w:rPr>
                <w:rFonts w:cs="Tahoma"/>
              </w:rPr>
              <w:t xml:space="preserve"> patients tested</w:t>
            </w:r>
          </w:p>
        </w:tc>
        <w:tc>
          <w:tcPr>
            <w:tcW w:w="993" w:type="dxa"/>
          </w:tcPr>
          <w:p w:rsidR="0037584C" w:rsidRPr="001D2AD7" w:rsidRDefault="0037584C" w:rsidP="0037584C">
            <w:pPr>
              <w:pStyle w:val="Tabletext"/>
              <w:rPr>
                <w:rFonts w:cs="Tahoma"/>
              </w:rPr>
            </w:pPr>
            <w:r>
              <w:rPr>
                <w:rFonts w:cs="Tahoma"/>
              </w:rPr>
              <w:t>-</w:t>
            </w:r>
          </w:p>
        </w:tc>
        <w:tc>
          <w:tcPr>
            <w:tcW w:w="2188" w:type="dxa"/>
          </w:tcPr>
          <w:p w:rsidR="0037584C" w:rsidRPr="00B14FF5" w:rsidRDefault="00E25FAA" w:rsidP="004F21C9">
            <w:pPr>
              <w:pStyle w:val="Tabletext"/>
              <w:rPr>
                <w:rFonts w:cs="Tahoma"/>
              </w:rPr>
            </w:pPr>
            <w:r>
              <w:rPr>
                <w:rFonts w:cs="Tahoma"/>
              </w:rPr>
              <w:t>MD</w:t>
            </w:r>
            <w:r w:rsidR="0037584C" w:rsidRPr="00B14FF5">
              <w:rPr>
                <w:rFonts w:cs="Tahoma"/>
              </w:rPr>
              <w:t xml:space="preserve"> 28.8 m further</w:t>
            </w:r>
            <w:r w:rsidR="0037584C" w:rsidRPr="00B14FF5">
              <w:rPr>
                <w:rFonts w:cs="Tahoma"/>
              </w:rPr>
              <w:br/>
              <w:t>(</w:t>
            </w:r>
            <w:r w:rsidR="004F21C9">
              <w:rPr>
                <w:rFonts w:cs="Tahoma"/>
              </w:rPr>
              <w:t xml:space="preserve">from </w:t>
            </w:r>
            <w:r w:rsidR="0037584C" w:rsidRPr="00B14FF5">
              <w:rPr>
                <w:rFonts w:cs="Tahoma"/>
              </w:rPr>
              <w:t xml:space="preserve">13.9 m </w:t>
            </w:r>
            <w:r w:rsidR="004F21C9">
              <w:rPr>
                <w:rFonts w:cs="Tahoma"/>
              </w:rPr>
              <w:t>further</w:t>
            </w:r>
            <w:r w:rsidR="0037584C" w:rsidRPr="00B14FF5">
              <w:rPr>
                <w:rFonts w:cs="Tahoma"/>
              </w:rPr>
              <w:t xml:space="preserve"> to 43.8 m further)</w:t>
            </w:r>
          </w:p>
        </w:tc>
        <w:tc>
          <w:tcPr>
            <w:tcW w:w="1214" w:type="dxa"/>
          </w:tcPr>
          <w:p w:rsidR="0037584C" w:rsidRDefault="00312FDE" w:rsidP="0037584C">
            <w:pPr>
              <w:pStyle w:val="Tabletext"/>
              <w:rPr>
                <w:rFonts w:ascii="Cambria Math" w:eastAsia="Times New Roman" w:hAnsi="Cambria Math" w:cs="Cambria Math"/>
                <w:bCs/>
              </w:rPr>
            </w:pPr>
            <w:r>
              <w:rPr>
                <w:rFonts w:eastAsia="Times New Roman" w:cs="Tahoma"/>
                <w:bCs/>
              </w:rPr>
              <w:t>Moderate</w:t>
            </w:r>
            <w:r w:rsidR="0037584C">
              <w:rPr>
                <w:rFonts w:eastAsia="Times New Roman" w:cs="Tahoma"/>
                <w:bCs/>
              </w:rPr>
              <w:br/>
            </w:r>
            <w:r w:rsidR="0037584C">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37584C" w:rsidRPr="00B14FF5" w:rsidRDefault="0037584C" w:rsidP="0037584C">
            <w:pPr>
              <w:pStyle w:val="Tabletext"/>
              <w:rPr>
                <w:rFonts w:eastAsia="Times New Roman" w:cs="Tahoma"/>
                <w:bCs/>
              </w:rPr>
            </w:pPr>
            <w:r>
              <w:rPr>
                <w:rFonts w:cs="Tahoma"/>
              </w:rPr>
              <w:t>I</w:t>
            </w:r>
            <w:r w:rsidRPr="00E564DD">
              <w:rPr>
                <w:rFonts w:cs="Tahoma"/>
              </w:rPr>
              <w:t>mportant</w:t>
            </w:r>
          </w:p>
        </w:tc>
      </w:tr>
      <w:tr w:rsidR="0037584C" w:rsidRPr="00D36FBC" w:rsidTr="00115AB1">
        <w:trPr>
          <w:trHeight w:val="1281"/>
        </w:trPr>
        <w:tc>
          <w:tcPr>
            <w:tcW w:w="1493" w:type="dxa"/>
          </w:tcPr>
          <w:p w:rsidR="0037584C" w:rsidRPr="00D36FBC" w:rsidRDefault="0037584C" w:rsidP="0037584C">
            <w:pPr>
              <w:pStyle w:val="Tabletext"/>
              <w:rPr>
                <w:rFonts w:cs="Tahoma"/>
              </w:rPr>
            </w:pPr>
            <w:r w:rsidRPr="00D36FBC">
              <w:rPr>
                <w:rFonts w:cs="Tahoma"/>
              </w:rPr>
              <w:t xml:space="preserve">Change in </w:t>
            </w:r>
            <w:r>
              <w:rPr>
                <w:rFonts w:cs="Tahoma"/>
              </w:rPr>
              <w:t xml:space="preserve">haemodynamic parameters </w:t>
            </w:r>
            <w:r w:rsidRPr="00D36FBC">
              <w:rPr>
                <w:rFonts w:cs="Tahoma"/>
              </w:rPr>
              <w:t>from baseline</w:t>
            </w:r>
            <w:r>
              <w:rPr>
                <w:rFonts w:cs="Tahoma"/>
              </w:rPr>
              <w:br/>
            </w:r>
            <w:r w:rsidRPr="00D36FBC">
              <w:rPr>
                <w:rFonts w:cs="Tahoma"/>
              </w:rPr>
              <w:t>(</w:t>
            </w:r>
            <w:r>
              <w:rPr>
                <w:rFonts w:cs="Tahoma"/>
              </w:rPr>
              <w:t>1</w:t>
            </w:r>
            <w:r w:rsidRPr="00D36FBC">
              <w:rPr>
                <w:rFonts w:cs="Tahoma"/>
              </w:rPr>
              <w:t xml:space="preserve">6 weeks) </w:t>
            </w:r>
          </w:p>
        </w:tc>
        <w:tc>
          <w:tcPr>
            <w:tcW w:w="1054" w:type="dxa"/>
          </w:tcPr>
          <w:p w:rsidR="0037584C" w:rsidRPr="00D36FBC" w:rsidRDefault="0037584C" w:rsidP="0037584C">
            <w:pPr>
              <w:pStyle w:val="Tabletext"/>
              <w:rPr>
                <w:rFonts w:cs="Tahoma"/>
              </w:rPr>
            </w:pPr>
            <w:r w:rsidRPr="00D36FBC">
              <w:rPr>
                <w:rFonts w:cs="Tahoma"/>
              </w:rPr>
              <w:t>1 RCT</w:t>
            </w:r>
          </w:p>
        </w:tc>
        <w:tc>
          <w:tcPr>
            <w:tcW w:w="771" w:type="dxa"/>
          </w:tcPr>
          <w:p w:rsidR="0037584C" w:rsidRPr="00D36FBC" w:rsidRDefault="0037584C" w:rsidP="0037584C">
            <w:pPr>
              <w:pStyle w:val="Tabletext"/>
              <w:rPr>
                <w:rFonts w:cs="Tahoma"/>
              </w:rPr>
            </w:pPr>
            <w:r w:rsidRPr="00D36FBC">
              <w:rPr>
                <w:rFonts w:cs="Tahoma"/>
              </w:rPr>
              <w:t>Not serious</w:t>
            </w:r>
          </w:p>
        </w:tc>
        <w:tc>
          <w:tcPr>
            <w:tcW w:w="1072" w:type="dxa"/>
          </w:tcPr>
          <w:p w:rsidR="0037584C" w:rsidRPr="00D36FBC" w:rsidRDefault="0037584C" w:rsidP="0037584C">
            <w:pPr>
              <w:pStyle w:val="Tabletext"/>
              <w:rPr>
                <w:rFonts w:cs="Tahoma"/>
              </w:rPr>
            </w:pPr>
            <w:r w:rsidRPr="00D36FBC">
              <w:rPr>
                <w:rFonts w:cs="Tahoma"/>
              </w:rPr>
              <w:t>Not serious</w:t>
            </w:r>
          </w:p>
        </w:tc>
        <w:tc>
          <w:tcPr>
            <w:tcW w:w="1134" w:type="dxa"/>
          </w:tcPr>
          <w:p w:rsidR="0037584C" w:rsidRPr="00D36FBC" w:rsidRDefault="00312FDE" w:rsidP="00312FDE">
            <w:pPr>
              <w:pStyle w:val="Tabletext"/>
              <w:rPr>
                <w:rFonts w:cs="Tahoma"/>
              </w:rPr>
            </w:pPr>
            <w:r>
              <w:rPr>
                <w:rFonts w:cs="Tahoma"/>
              </w:rPr>
              <w:t>Very</w:t>
            </w:r>
            <w:r w:rsidR="0037584C" w:rsidRPr="00D36FBC">
              <w:rPr>
                <w:rFonts w:cs="Tahoma"/>
              </w:rPr>
              <w:t xml:space="preserve"> serious</w:t>
            </w:r>
            <w:r w:rsidR="00403921">
              <w:rPr>
                <w:rFonts w:cs="Tahoma"/>
              </w:rPr>
              <w:t xml:space="preserve"> </w:t>
            </w:r>
            <w:r w:rsidR="00403921" w:rsidRPr="00403921">
              <w:rPr>
                <w:rFonts w:cs="Tahoma"/>
                <w:vertAlign w:val="superscript"/>
              </w:rPr>
              <w:t>d</w:t>
            </w:r>
          </w:p>
        </w:tc>
        <w:tc>
          <w:tcPr>
            <w:tcW w:w="992" w:type="dxa"/>
          </w:tcPr>
          <w:p w:rsidR="0037584C" w:rsidRPr="00D36FBC" w:rsidRDefault="0037584C" w:rsidP="0037584C">
            <w:pPr>
              <w:pStyle w:val="Tabletext"/>
              <w:rPr>
                <w:rFonts w:cs="Tahoma"/>
              </w:rPr>
            </w:pPr>
            <w:r w:rsidRPr="00D36FBC">
              <w:rPr>
                <w:rFonts w:cs="Tahoma"/>
              </w:rPr>
              <w:t>Not serious</w:t>
            </w:r>
          </w:p>
        </w:tc>
        <w:tc>
          <w:tcPr>
            <w:tcW w:w="1276" w:type="dxa"/>
          </w:tcPr>
          <w:p w:rsidR="0037584C" w:rsidRDefault="0037584C" w:rsidP="0037584C">
            <w:pPr>
              <w:pStyle w:val="Tabletext"/>
              <w:rPr>
                <w:rFonts w:cs="Tahoma"/>
              </w:rPr>
            </w:pPr>
            <w:r w:rsidRPr="00AC54F2">
              <w:rPr>
                <w:rFonts w:cs="Tahoma"/>
              </w:rPr>
              <w:t>Strong association</w:t>
            </w:r>
          </w:p>
          <w:p w:rsidR="0037584C" w:rsidRDefault="0037584C" w:rsidP="0037584C">
            <w:pPr>
              <w:pStyle w:val="Tabletext"/>
              <w:rPr>
                <w:rFonts w:cs="Tahoma"/>
              </w:rPr>
            </w:pPr>
            <w:r w:rsidRPr="00D36FBC">
              <w:rPr>
                <w:rFonts w:cs="Tahoma"/>
              </w:rPr>
              <w:t>None</w:t>
            </w:r>
          </w:p>
          <w:p w:rsidR="0037584C" w:rsidRPr="00D36FBC" w:rsidRDefault="0037584C" w:rsidP="0037584C">
            <w:pPr>
              <w:pStyle w:val="Tabletext"/>
              <w:rPr>
                <w:rFonts w:cs="Tahoma"/>
              </w:rPr>
            </w:pPr>
            <w:r w:rsidRPr="00D36FBC">
              <w:rPr>
                <w:rFonts w:cs="Tahoma"/>
              </w:rPr>
              <w:t>Strong association</w:t>
            </w:r>
          </w:p>
        </w:tc>
        <w:tc>
          <w:tcPr>
            <w:tcW w:w="1417" w:type="dxa"/>
          </w:tcPr>
          <w:p w:rsidR="0037584C" w:rsidRPr="0077309F" w:rsidRDefault="0037584C" w:rsidP="0037584C">
            <w:pPr>
              <w:pStyle w:val="Tabletext"/>
              <w:rPr>
                <w:rFonts w:eastAsia="Times New Roman"/>
              </w:rPr>
            </w:pPr>
            <w:r>
              <w:rPr>
                <w:rFonts w:eastAsia="Times New Roman"/>
              </w:rPr>
              <w:t>134</w:t>
            </w:r>
            <w:r w:rsidRPr="00456F1B">
              <w:rPr>
                <w:rFonts w:eastAsia="Times New Roman"/>
              </w:rPr>
              <w:t xml:space="preserve"> patients tested</w:t>
            </w:r>
          </w:p>
        </w:tc>
        <w:tc>
          <w:tcPr>
            <w:tcW w:w="1134" w:type="dxa"/>
          </w:tcPr>
          <w:p w:rsidR="0037584C" w:rsidRPr="00F95747" w:rsidRDefault="0037584C" w:rsidP="0037584C">
            <w:pPr>
              <w:pStyle w:val="Tabletext"/>
              <w:rPr>
                <w:rFonts w:cs="Tahoma"/>
              </w:rPr>
            </w:pPr>
            <w:r w:rsidRPr="00F95747">
              <w:rPr>
                <w:rFonts w:cs="Tahoma"/>
              </w:rPr>
              <w:t>131 patients tested</w:t>
            </w:r>
          </w:p>
        </w:tc>
        <w:tc>
          <w:tcPr>
            <w:tcW w:w="993" w:type="dxa"/>
          </w:tcPr>
          <w:p w:rsidR="0037584C" w:rsidRPr="0077309F" w:rsidRDefault="0037584C" w:rsidP="0037584C">
            <w:pPr>
              <w:pStyle w:val="Tabletext"/>
              <w:rPr>
                <w:rFonts w:eastAsia="Times New Roman"/>
                <w:bCs/>
              </w:rPr>
            </w:pPr>
            <w:r w:rsidRPr="0077309F">
              <w:rPr>
                <w:rFonts w:eastAsia="Times New Roman"/>
                <w:bCs/>
              </w:rPr>
              <w:t>-</w:t>
            </w:r>
          </w:p>
        </w:tc>
        <w:tc>
          <w:tcPr>
            <w:tcW w:w="2188" w:type="dxa"/>
          </w:tcPr>
          <w:p w:rsidR="0037584C" w:rsidRDefault="00E25FAA" w:rsidP="0037584C">
            <w:pPr>
              <w:pStyle w:val="Tabletext"/>
              <w:rPr>
                <w:rFonts w:cs="Tahoma"/>
              </w:rPr>
            </w:pPr>
            <w:r>
              <w:rPr>
                <w:rFonts w:cs="Tahoma"/>
              </w:rPr>
              <w:t>PVR</w:t>
            </w:r>
            <w:r>
              <w:rPr>
                <w:rFonts w:cs="Tahoma"/>
              </w:rPr>
              <w:br/>
              <w:t>MD</w:t>
            </w:r>
            <w:r w:rsidR="0037584C">
              <w:rPr>
                <w:rFonts w:cs="Tahoma"/>
              </w:rPr>
              <w:t xml:space="preserve"> 20.8% improvement</w:t>
            </w:r>
          </w:p>
          <w:p w:rsidR="0037584C" w:rsidRDefault="00E25FAA" w:rsidP="0037584C">
            <w:pPr>
              <w:pStyle w:val="Tabletext"/>
              <w:rPr>
                <w:rFonts w:cs="Tahoma"/>
              </w:rPr>
            </w:pPr>
            <w:r>
              <w:rPr>
                <w:rFonts w:cs="Tahoma"/>
              </w:rPr>
              <w:t>mPAP</w:t>
            </w:r>
            <w:r>
              <w:rPr>
                <w:rFonts w:cs="Tahoma"/>
              </w:rPr>
              <w:br/>
              <w:t>MD</w:t>
            </w:r>
            <w:r w:rsidR="0037584C">
              <w:rPr>
                <w:rFonts w:cs="Tahoma"/>
              </w:rPr>
              <w:t xml:space="preserve"> 7.5% improvement</w:t>
            </w:r>
          </w:p>
          <w:p w:rsidR="0037584C" w:rsidRPr="0077309F" w:rsidRDefault="0037584C" w:rsidP="0037584C">
            <w:pPr>
              <w:pStyle w:val="Tabletext"/>
              <w:rPr>
                <w:rFonts w:cs="Tahoma"/>
              </w:rPr>
            </w:pPr>
            <w:r>
              <w:rPr>
                <w:rFonts w:cs="Tahoma"/>
              </w:rPr>
              <w:t>mRAP</w:t>
            </w:r>
            <w:r>
              <w:rPr>
                <w:rFonts w:cs="Tahoma"/>
              </w:rPr>
              <w:br/>
            </w:r>
            <w:r w:rsidR="00E25FAA">
              <w:rPr>
                <w:rFonts w:cs="Tahoma"/>
              </w:rPr>
              <w:t xml:space="preserve">MD </w:t>
            </w:r>
            <w:r>
              <w:rPr>
                <w:rFonts w:cs="Tahoma"/>
              </w:rPr>
              <w:t>2.1 mmHg improvement</w:t>
            </w:r>
          </w:p>
        </w:tc>
        <w:tc>
          <w:tcPr>
            <w:tcW w:w="1214" w:type="dxa"/>
          </w:tcPr>
          <w:p w:rsidR="0037584C" w:rsidRDefault="00312FDE" w:rsidP="0037584C">
            <w:pPr>
              <w:pStyle w:val="Tabletext"/>
              <w:rPr>
                <w:rFonts w:ascii="Cambria Math" w:eastAsia="Times New Roman" w:hAnsi="Cambria Math" w:cs="Cambria Math"/>
                <w:bCs/>
              </w:rPr>
            </w:pPr>
            <w:r>
              <w:rPr>
                <w:rFonts w:eastAsia="Times New Roman" w:cs="Tahoma"/>
                <w:bCs/>
              </w:rPr>
              <w:t>Low</w:t>
            </w:r>
            <w:r w:rsidR="0037584C">
              <w:rPr>
                <w:rFonts w:eastAsia="Times New Roman" w:cs="Tahoma"/>
                <w:bCs/>
              </w:rPr>
              <w:br/>
            </w:r>
            <w:r w:rsidR="0037584C">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37584C" w:rsidRPr="0077309F" w:rsidRDefault="0037584C" w:rsidP="0037584C">
            <w:pPr>
              <w:pStyle w:val="Tabletext"/>
              <w:rPr>
                <w:rFonts w:eastAsia="Times New Roman" w:cs="Tahoma"/>
                <w:bCs/>
              </w:rPr>
            </w:pPr>
            <w:r>
              <w:rPr>
                <w:rFonts w:cs="Tahoma"/>
              </w:rPr>
              <w:t>Not i</w:t>
            </w:r>
            <w:r w:rsidRPr="00E564DD">
              <w:rPr>
                <w:rFonts w:cs="Tahoma"/>
              </w:rPr>
              <w:t>mportant</w:t>
            </w:r>
          </w:p>
        </w:tc>
      </w:tr>
    </w:tbl>
    <w:p w:rsidR="00CC3BA4" w:rsidRPr="00AA018C" w:rsidRDefault="00CC3BA4" w:rsidP="0037584C">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37584C">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CC3BA4" w:rsidRDefault="00CC3BA4" w:rsidP="0037584C">
      <w:pPr>
        <w:pStyle w:val="Tablenote"/>
      </w:pPr>
      <w:proofErr w:type="gramStart"/>
      <w:r>
        <w:rPr>
          <w:vertAlign w:val="superscript"/>
        </w:rPr>
        <w:lastRenderedPageBreak/>
        <w:t>c</w:t>
      </w:r>
      <w:proofErr w:type="gramEnd"/>
      <w:r w:rsidRPr="00E564DD">
        <w:t xml:space="preserve"> </w:t>
      </w:r>
      <w:r>
        <w:t>Wide 95% CIs span 1</w:t>
      </w:r>
    </w:p>
    <w:p w:rsidR="00312FDE" w:rsidRPr="00312FDE" w:rsidRDefault="00312FDE" w:rsidP="0037584C">
      <w:pPr>
        <w:pStyle w:val="Tablenote"/>
      </w:pPr>
      <w:proofErr w:type="gramStart"/>
      <w:r>
        <w:rPr>
          <w:vertAlign w:val="superscript"/>
        </w:rPr>
        <w:t>d</w:t>
      </w:r>
      <w:proofErr w:type="gramEnd"/>
      <w:r>
        <w:rPr>
          <w:vertAlign w:val="superscript"/>
        </w:rPr>
        <w:t xml:space="preserve"> </w:t>
      </w:r>
      <w:r>
        <w:t>Surrogate outcome</w:t>
      </w:r>
    </w:p>
    <w:p w:rsidR="00CC3BA4" w:rsidRPr="00E564DD" w:rsidRDefault="00CC3BA4" w:rsidP="0037584C">
      <w:pPr>
        <w:pStyle w:val="Tablenote"/>
      </w:pPr>
      <w:r w:rsidRPr="00E564DD">
        <w:rPr>
          <w:rFonts w:ascii="Cambria Math" w:hAnsi="Cambria Math" w:cs="Cambria Math"/>
          <w:color w:val="00B050"/>
        </w:rPr>
        <w:t>⨁⨁⨁⨁</w:t>
      </w:r>
      <w:r w:rsidRPr="00E564DD">
        <w:rPr>
          <w:color w:val="00B050"/>
        </w:rPr>
        <w:t xml:space="preserve"> </w:t>
      </w:r>
      <w:r w:rsidRPr="00E564DD">
        <w:rPr>
          <w:b/>
        </w:rPr>
        <w:t>High quality:</w:t>
      </w:r>
      <w:r w:rsidRPr="00E564DD">
        <w:t xml:space="preserve"> We are very confident that the true effect lies close to that of the estimate of effect</w:t>
      </w:r>
    </w:p>
    <w:p w:rsidR="00CC3BA4" w:rsidRPr="00E564DD" w:rsidRDefault="00CC3BA4" w:rsidP="0037584C">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312FDE" w:rsidRPr="00E564DD" w:rsidRDefault="00312FDE" w:rsidP="00312FDE">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Low quality:</w:t>
      </w:r>
      <w:r w:rsidRPr="00E564DD">
        <w:t xml:space="preserve"> Our confidence in the effect estimate is limited: The true effect may be substantially different from the estimate of the effect</w:t>
      </w:r>
    </w:p>
    <w:p w:rsidR="002E6E59" w:rsidRDefault="00CC3BA4" w:rsidP="0037584C">
      <w:pPr>
        <w:pStyle w:val="Tablenote"/>
      </w:pPr>
      <w:r>
        <w:t xml:space="preserve">6MWD = 6-minute </w:t>
      </w:r>
      <w:r w:rsidR="0082368E">
        <w:t>walk distance</w:t>
      </w:r>
      <w:r>
        <w:t>; AR</w:t>
      </w:r>
      <w:r w:rsidR="00B21201">
        <w:t>D</w:t>
      </w:r>
      <w:r>
        <w:t xml:space="preserve"> = absolute risk </w:t>
      </w:r>
      <w:r w:rsidR="00B21201">
        <w:t>difference</w:t>
      </w:r>
      <w:r>
        <w:t xml:space="preserve">; CI = confidence interval; </w:t>
      </w:r>
      <w:r w:rsidR="00385E5A">
        <w:t>GRADE = grading of recommendations assessment, development and evaluation</w:t>
      </w:r>
      <w:r w:rsidR="001D34EE" w:rsidRPr="001D34EE">
        <w:rPr>
          <w:noProof/>
          <w:vertAlign w:val="superscript"/>
        </w:rPr>
        <w:t>1</w:t>
      </w:r>
      <w:r w:rsidR="002E6E59" w:rsidRPr="00F24B06">
        <w:t xml:space="preserve">; </w:t>
      </w:r>
      <w:r>
        <w:t xml:space="preserve">MD = mean difference; </w:t>
      </w:r>
      <w:r w:rsidR="004510DE">
        <w:t>mPAP = mean pulmonary artery</w:t>
      </w:r>
      <w:r w:rsidRPr="00D30CB5">
        <w:t xml:space="preserve"> pressure; mRAP = mean right atrial pressure; PAH = pulmonary arterial hypertension; PDE-5</w:t>
      </w:r>
      <w:r w:rsidR="002E6E59">
        <w:t>i</w:t>
      </w:r>
      <w:r w:rsidRPr="00D30CB5">
        <w:t xml:space="preserve"> = phosphodiesterase type-5</w:t>
      </w:r>
      <w:r w:rsidR="002E6E59">
        <w:t xml:space="preserve"> inhibitor</w:t>
      </w:r>
      <w:r w:rsidRPr="00D30CB5">
        <w:t xml:space="preserve">; PVR = pulmonary vascular resistance; </w:t>
      </w:r>
      <w:r>
        <w:t>RCT = randomised controlled trial; RR = relative risk</w:t>
      </w:r>
    </w:p>
    <w:p w:rsidR="00CC3BA4" w:rsidRPr="005D4CA0" w:rsidRDefault="00796F18" w:rsidP="00BC5A2B">
      <w:pPr>
        <w:pStyle w:val="Caption"/>
      </w:pPr>
      <w:bookmarkStart w:id="533" w:name="_Ref505861995"/>
      <w:bookmarkStart w:id="534" w:name="_Toc38360459"/>
      <w:r>
        <w:t>Table 4.</w:t>
      </w:r>
      <w:r w:rsidR="003951FA">
        <w:rPr>
          <w:noProof/>
        </w:rPr>
        <w:t>162</w:t>
      </w:r>
      <w:bookmarkEnd w:id="533"/>
      <w:r>
        <w:tab/>
      </w:r>
      <w:r w:rsidR="00CC3BA4" w:rsidRPr="005D4CA0">
        <w:t xml:space="preserve">Evidence profile table for </w:t>
      </w:r>
      <w:r w:rsidR="00CC3BA4">
        <w:t xml:space="preserve">comparative safety of PDE-5 inhibitor </w:t>
      </w:r>
      <w:r w:rsidR="00207AD0">
        <w:t>plus</w:t>
      </w:r>
      <w:r w:rsidR="00CC3BA4">
        <w:t xml:space="preserve"> </w:t>
      </w:r>
      <w:r w:rsidR="0017012F">
        <w:t>prostanoid</w:t>
      </w:r>
      <w:r w:rsidR="00CC3BA4" w:rsidRPr="005D4CA0">
        <w:t xml:space="preserve"> </w:t>
      </w:r>
      <w:r w:rsidR="00CC3BA4">
        <w:t xml:space="preserve">combination therapy </w:t>
      </w:r>
      <w:r w:rsidR="00CC3BA4" w:rsidRPr="005D4CA0">
        <w:t xml:space="preserve">compared to </w:t>
      </w:r>
      <w:r w:rsidR="0017012F">
        <w:t>prostanoid</w:t>
      </w:r>
      <w:r w:rsidR="00CC3BA4" w:rsidRPr="005D4CA0">
        <w:t xml:space="preserve"> </w:t>
      </w:r>
      <w:r w:rsidR="00CC3BA4">
        <w:t xml:space="preserve">monotherapy </w:t>
      </w:r>
      <w:r w:rsidR="00CC3BA4" w:rsidRPr="005D4CA0">
        <w:t xml:space="preserve">for </w:t>
      </w:r>
      <w:r w:rsidR="00CC3BA4">
        <w:t>all PAH patients</w:t>
      </w:r>
      <w:bookmarkEnd w:id="534"/>
    </w:p>
    <w:tbl>
      <w:tblPr>
        <w:tblStyle w:val="TableGrid"/>
        <w:tblW w:w="14596" w:type="dxa"/>
        <w:tblLayout w:type="fixed"/>
        <w:tblLook w:val="04A0" w:firstRow="1" w:lastRow="0" w:firstColumn="1" w:lastColumn="0" w:noHBand="0" w:noVBand="1"/>
        <w:tblCaption w:val="Evidence profile table for comparative safety of PDE-5 inhibitor plus prostanoid combination therapy compared to prostanoid monotherapy for all PAH patients"/>
      </w:tblPr>
      <w:tblGrid>
        <w:gridCol w:w="1493"/>
        <w:gridCol w:w="1054"/>
        <w:gridCol w:w="771"/>
        <w:gridCol w:w="1072"/>
        <w:gridCol w:w="992"/>
        <w:gridCol w:w="992"/>
        <w:gridCol w:w="1276"/>
        <w:gridCol w:w="1417"/>
        <w:gridCol w:w="1196"/>
        <w:gridCol w:w="1134"/>
        <w:gridCol w:w="1985"/>
        <w:gridCol w:w="1214"/>
      </w:tblGrid>
      <w:tr w:rsidR="0037584C" w:rsidRPr="0037584C" w:rsidTr="00F37FD2">
        <w:trPr>
          <w:cnfStyle w:val="100000000000" w:firstRow="1" w:lastRow="0" w:firstColumn="0" w:lastColumn="0" w:oddVBand="0" w:evenVBand="0" w:oddHBand="0" w:evenHBand="0" w:firstRowFirstColumn="0" w:firstRowLastColumn="0" w:lastRowFirstColumn="0" w:lastRowLastColumn="0"/>
          <w:trHeight w:val="441"/>
        </w:trPr>
        <w:tc>
          <w:tcPr>
            <w:tcW w:w="1493" w:type="dxa"/>
          </w:tcPr>
          <w:p w:rsidR="00476F09" w:rsidRPr="0037584C" w:rsidRDefault="00476F09" w:rsidP="0037584C">
            <w:pPr>
              <w:pStyle w:val="Tabletext"/>
              <w:rPr>
                <w:b/>
              </w:rPr>
            </w:pPr>
            <w:r w:rsidRPr="0037584C">
              <w:rPr>
                <w:b/>
              </w:rPr>
              <w:t>Outcome (follow-up)</w:t>
            </w:r>
          </w:p>
        </w:tc>
        <w:tc>
          <w:tcPr>
            <w:tcW w:w="1054" w:type="dxa"/>
          </w:tcPr>
          <w:p w:rsidR="00476F09" w:rsidRPr="0037584C" w:rsidRDefault="00476F09" w:rsidP="0037584C">
            <w:pPr>
              <w:pStyle w:val="Tabletext"/>
              <w:rPr>
                <w:b/>
              </w:rPr>
            </w:pPr>
            <w:r w:rsidRPr="0037584C">
              <w:rPr>
                <w:b/>
              </w:rPr>
              <w:t>No. of studies and study design</w:t>
            </w:r>
          </w:p>
        </w:tc>
        <w:tc>
          <w:tcPr>
            <w:tcW w:w="771" w:type="dxa"/>
          </w:tcPr>
          <w:p w:rsidR="00476F09" w:rsidRPr="0037584C" w:rsidRDefault="00476F09" w:rsidP="0037584C">
            <w:pPr>
              <w:pStyle w:val="Tabletext"/>
              <w:rPr>
                <w:b/>
              </w:rPr>
            </w:pPr>
            <w:r w:rsidRPr="0037584C">
              <w:rPr>
                <w:b/>
              </w:rPr>
              <w:t>Risk of bias</w:t>
            </w:r>
          </w:p>
        </w:tc>
        <w:tc>
          <w:tcPr>
            <w:tcW w:w="1072" w:type="dxa"/>
          </w:tcPr>
          <w:p w:rsidR="00476F09" w:rsidRPr="0037584C" w:rsidRDefault="00476F09" w:rsidP="0037584C">
            <w:pPr>
              <w:pStyle w:val="Tabletext"/>
              <w:rPr>
                <w:b/>
              </w:rPr>
            </w:pPr>
            <w:r w:rsidRPr="0037584C">
              <w:rPr>
                <w:b/>
              </w:rPr>
              <w:t>Inconsis</w:t>
            </w:r>
            <w:r w:rsidR="00F37FD2">
              <w:rPr>
                <w:b/>
              </w:rPr>
              <w:t>-</w:t>
            </w:r>
            <w:r w:rsidRPr="0037584C">
              <w:rPr>
                <w:b/>
              </w:rPr>
              <w:t>tency</w:t>
            </w:r>
          </w:p>
        </w:tc>
        <w:tc>
          <w:tcPr>
            <w:tcW w:w="992" w:type="dxa"/>
          </w:tcPr>
          <w:p w:rsidR="00476F09" w:rsidRPr="0037584C" w:rsidRDefault="00476F09" w:rsidP="0037584C">
            <w:pPr>
              <w:pStyle w:val="Tabletext"/>
              <w:rPr>
                <w:b/>
              </w:rPr>
            </w:pPr>
            <w:r w:rsidRPr="0037584C">
              <w:rPr>
                <w:b/>
              </w:rPr>
              <w:t>Indirect</w:t>
            </w:r>
            <w:r w:rsidR="00F37FD2">
              <w:rPr>
                <w:b/>
              </w:rPr>
              <w:t>-</w:t>
            </w:r>
            <w:r w:rsidRPr="0037584C">
              <w:rPr>
                <w:b/>
              </w:rPr>
              <w:t>ness</w:t>
            </w:r>
          </w:p>
        </w:tc>
        <w:tc>
          <w:tcPr>
            <w:tcW w:w="992" w:type="dxa"/>
          </w:tcPr>
          <w:p w:rsidR="00476F09" w:rsidRPr="0037584C" w:rsidRDefault="00476F09" w:rsidP="0037584C">
            <w:pPr>
              <w:pStyle w:val="Tabletext"/>
              <w:rPr>
                <w:b/>
              </w:rPr>
            </w:pPr>
            <w:r w:rsidRPr="0037584C">
              <w:rPr>
                <w:b/>
              </w:rPr>
              <w:t>Impre</w:t>
            </w:r>
            <w:r w:rsidR="00F37FD2">
              <w:rPr>
                <w:b/>
              </w:rPr>
              <w:t>-</w:t>
            </w:r>
            <w:r w:rsidRPr="0037584C">
              <w:rPr>
                <w:b/>
              </w:rPr>
              <w:t>cision</w:t>
            </w:r>
          </w:p>
        </w:tc>
        <w:tc>
          <w:tcPr>
            <w:tcW w:w="1276" w:type="dxa"/>
          </w:tcPr>
          <w:p w:rsidR="00476F09" w:rsidRPr="0037584C" w:rsidRDefault="00476F09" w:rsidP="0037584C">
            <w:pPr>
              <w:pStyle w:val="Tabletext"/>
              <w:rPr>
                <w:b/>
              </w:rPr>
            </w:pPr>
            <w:r w:rsidRPr="0037584C">
              <w:rPr>
                <w:b/>
              </w:rPr>
              <w:t>Other conside</w:t>
            </w:r>
            <w:r w:rsidR="00F37FD2">
              <w:rPr>
                <w:b/>
              </w:rPr>
              <w:t>-</w:t>
            </w:r>
            <w:r w:rsidRPr="0037584C">
              <w:rPr>
                <w:b/>
              </w:rPr>
              <w:t>rations</w:t>
            </w:r>
            <w:r w:rsidRPr="0037584C">
              <w:rPr>
                <w:b/>
                <w:vertAlign w:val="superscript"/>
              </w:rPr>
              <w:t>a</w:t>
            </w:r>
          </w:p>
        </w:tc>
        <w:tc>
          <w:tcPr>
            <w:tcW w:w="1417" w:type="dxa"/>
          </w:tcPr>
          <w:p w:rsidR="00476F09" w:rsidRPr="0037584C" w:rsidRDefault="00476F09" w:rsidP="0037584C">
            <w:pPr>
              <w:pStyle w:val="Tabletext"/>
              <w:rPr>
                <w:b/>
              </w:rPr>
            </w:pPr>
            <w:r w:rsidRPr="0037584C">
              <w:rPr>
                <w:b/>
              </w:rPr>
              <w:t>Study event rates (%) with PDE-5i + prostanoid</w:t>
            </w:r>
          </w:p>
        </w:tc>
        <w:tc>
          <w:tcPr>
            <w:tcW w:w="1196" w:type="dxa"/>
          </w:tcPr>
          <w:p w:rsidR="00476F09" w:rsidRPr="0037584C" w:rsidRDefault="00476F09" w:rsidP="0037584C">
            <w:pPr>
              <w:pStyle w:val="Tabletext"/>
              <w:rPr>
                <w:b/>
              </w:rPr>
            </w:pPr>
            <w:r w:rsidRPr="0037584C">
              <w:rPr>
                <w:b/>
              </w:rPr>
              <w:t>Study event rates (%) with prostanoid</w:t>
            </w:r>
          </w:p>
        </w:tc>
        <w:tc>
          <w:tcPr>
            <w:tcW w:w="1134" w:type="dxa"/>
          </w:tcPr>
          <w:p w:rsidR="00476F09" w:rsidRPr="0037584C" w:rsidRDefault="00476F09" w:rsidP="0037584C">
            <w:pPr>
              <w:pStyle w:val="Tabletext"/>
              <w:rPr>
                <w:b/>
              </w:rPr>
            </w:pPr>
            <w:r w:rsidRPr="0037584C">
              <w:rPr>
                <w:b/>
              </w:rPr>
              <w:t>Effect measure (95%CI)</w:t>
            </w:r>
          </w:p>
        </w:tc>
        <w:tc>
          <w:tcPr>
            <w:tcW w:w="1985" w:type="dxa"/>
          </w:tcPr>
          <w:p w:rsidR="00476F09" w:rsidRPr="0037584C" w:rsidRDefault="00476F09" w:rsidP="0037584C">
            <w:pPr>
              <w:pStyle w:val="Tabletext"/>
              <w:rPr>
                <w:b/>
              </w:rPr>
            </w:pPr>
            <w:r w:rsidRPr="0037584C">
              <w:rPr>
                <w:b/>
              </w:rPr>
              <w:t>Absolute effect (95%CI)</w:t>
            </w:r>
          </w:p>
        </w:tc>
        <w:tc>
          <w:tcPr>
            <w:tcW w:w="1214" w:type="dxa"/>
          </w:tcPr>
          <w:p w:rsidR="002E6E59" w:rsidRDefault="002E6E59" w:rsidP="0037584C">
            <w:pPr>
              <w:pStyle w:val="Tabletext"/>
              <w:rPr>
                <w:b/>
              </w:rPr>
            </w:pPr>
            <w:r>
              <w:rPr>
                <w:b/>
              </w:rPr>
              <w:t>GRADE</w:t>
            </w:r>
            <w:r w:rsidRPr="002E6E59">
              <w:rPr>
                <w:b/>
                <w:vertAlign w:val="superscript"/>
              </w:rPr>
              <w:t>b</w:t>
            </w:r>
          </w:p>
          <w:p w:rsidR="00476F09" w:rsidRPr="0037584C" w:rsidRDefault="00476F09" w:rsidP="0037584C">
            <w:pPr>
              <w:pStyle w:val="Tabletext"/>
              <w:rPr>
                <w:b/>
                <w:vertAlign w:val="superscript"/>
              </w:rPr>
            </w:pPr>
            <w:r w:rsidRPr="0037584C">
              <w:rPr>
                <w:b/>
              </w:rPr>
              <w:t>Quality</w:t>
            </w:r>
          </w:p>
          <w:p w:rsidR="00476F09" w:rsidRPr="0037584C" w:rsidRDefault="00476F09" w:rsidP="0037584C">
            <w:pPr>
              <w:pStyle w:val="Tabletext"/>
              <w:rPr>
                <w:b/>
              </w:rPr>
            </w:pPr>
            <w:r w:rsidRPr="0037584C">
              <w:rPr>
                <w:b/>
              </w:rPr>
              <w:t>Importance</w:t>
            </w:r>
          </w:p>
        </w:tc>
      </w:tr>
      <w:tr w:rsidR="00CC3BA4" w:rsidRPr="00596E2E" w:rsidTr="00F37FD2">
        <w:trPr>
          <w:trHeight w:val="319"/>
        </w:trPr>
        <w:tc>
          <w:tcPr>
            <w:tcW w:w="1493" w:type="dxa"/>
          </w:tcPr>
          <w:p w:rsidR="00CC3BA4" w:rsidRPr="00596E2E" w:rsidRDefault="00CC3BA4" w:rsidP="0037584C">
            <w:pPr>
              <w:pStyle w:val="Tabletext"/>
              <w:rPr>
                <w:rFonts w:cs="Tahoma"/>
              </w:rPr>
            </w:pPr>
            <w:r w:rsidRPr="00596E2E">
              <w:rPr>
                <w:rFonts w:cs="Tahoma"/>
              </w:rPr>
              <w:t>Any AE</w:t>
            </w:r>
            <w:r w:rsidRPr="00596E2E">
              <w:rPr>
                <w:rFonts w:cs="Tahoma"/>
              </w:rPr>
              <w:br/>
              <w:t>(1</w:t>
            </w:r>
            <w:r>
              <w:rPr>
                <w:rFonts w:cs="Tahoma"/>
              </w:rPr>
              <w:t>2−16</w:t>
            </w:r>
            <w:r w:rsidRPr="00596E2E">
              <w:rPr>
                <w:rFonts w:cs="Tahoma"/>
              </w:rPr>
              <w:t xml:space="preserve"> weeks)</w:t>
            </w:r>
          </w:p>
        </w:tc>
        <w:tc>
          <w:tcPr>
            <w:tcW w:w="1054" w:type="dxa"/>
          </w:tcPr>
          <w:p w:rsidR="00CC3BA4" w:rsidRPr="00596E2E" w:rsidRDefault="00CC3BA4" w:rsidP="0037584C">
            <w:pPr>
              <w:pStyle w:val="Tabletext"/>
              <w:rPr>
                <w:rFonts w:cs="Tahoma"/>
              </w:rPr>
            </w:pPr>
            <w:r w:rsidRPr="00D36FBC">
              <w:rPr>
                <w:rFonts w:cs="Tahoma"/>
              </w:rPr>
              <w:t>1 RCT</w:t>
            </w:r>
          </w:p>
        </w:tc>
        <w:tc>
          <w:tcPr>
            <w:tcW w:w="771" w:type="dxa"/>
          </w:tcPr>
          <w:p w:rsidR="00CC3BA4" w:rsidRPr="00596E2E" w:rsidRDefault="00CC3BA4" w:rsidP="0037584C">
            <w:pPr>
              <w:pStyle w:val="Tabletext"/>
              <w:rPr>
                <w:rFonts w:cs="Tahoma"/>
              </w:rPr>
            </w:pPr>
            <w:r w:rsidRPr="00596E2E">
              <w:rPr>
                <w:rFonts w:cs="Tahoma"/>
              </w:rPr>
              <w:t>Not serious</w:t>
            </w:r>
          </w:p>
        </w:tc>
        <w:tc>
          <w:tcPr>
            <w:tcW w:w="107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1276" w:type="dxa"/>
          </w:tcPr>
          <w:p w:rsidR="00CC3BA4" w:rsidRPr="00596E2E" w:rsidRDefault="00CC3BA4" w:rsidP="0037584C">
            <w:pPr>
              <w:pStyle w:val="Tabletext"/>
              <w:rPr>
                <w:rFonts w:cs="Tahoma"/>
              </w:rPr>
            </w:pPr>
            <w:r w:rsidRPr="00596E2E">
              <w:rPr>
                <w:rFonts w:cs="Tahoma"/>
              </w:rPr>
              <w:t>None</w:t>
            </w:r>
          </w:p>
        </w:tc>
        <w:tc>
          <w:tcPr>
            <w:tcW w:w="1417" w:type="dxa"/>
          </w:tcPr>
          <w:p w:rsidR="00CC3BA4" w:rsidRPr="00596E2E" w:rsidRDefault="00CC3BA4" w:rsidP="0037584C">
            <w:pPr>
              <w:pStyle w:val="Tabletext"/>
              <w:rPr>
                <w:rFonts w:cs="Tahoma"/>
              </w:rPr>
            </w:pPr>
            <w:r>
              <w:rPr>
                <w:rFonts w:cs="Tahoma"/>
              </w:rPr>
              <w:t>124/134 (92.5%)</w:t>
            </w:r>
          </w:p>
        </w:tc>
        <w:tc>
          <w:tcPr>
            <w:tcW w:w="1196" w:type="dxa"/>
          </w:tcPr>
          <w:p w:rsidR="00CC3BA4" w:rsidRPr="00596E2E" w:rsidRDefault="00CC3BA4" w:rsidP="0037584C">
            <w:pPr>
              <w:pStyle w:val="Tabletext"/>
              <w:rPr>
                <w:rFonts w:cs="Tahoma"/>
              </w:rPr>
            </w:pPr>
            <w:r w:rsidRPr="00AC54F2">
              <w:rPr>
                <w:rFonts w:cs="Tahoma"/>
              </w:rPr>
              <w:t>128/131 (97.7%)</w:t>
            </w:r>
          </w:p>
        </w:tc>
        <w:tc>
          <w:tcPr>
            <w:tcW w:w="1134" w:type="dxa"/>
          </w:tcPr>
          <w:p w:rsidR="00CC3BA4" w:rsidRPr="00596E2E" w:rsidRDefault="00CC3BA4" w:rsidP="0037584C">
            <w:pPr>
              <w:pStyle w:val="Tabletext"/>
              <w:rPr>
                <w:rFonts w:cs="Tahoma"/>
              </w:rPr>
            </w:pPr>
            <w:r w:rsidRPr="00AC54F2">
              <w:rPr>
                <w:rFonts w:cs="Tahoma"/>
              </w:rPr>
              <w:t xml:space="preserve">RR </w:t>
            </w:r>
            <w:r>
              <w:rPr>
                <w:rFonts w:cs="Tahoma"/>
              </w:rPr>
              <w:t xml:space="preserve">= </w:t>
            </w:r>
            <w:r w:rsidRPr="00AC54F2">
              <w:rPr>
                <w:rFonts w:cs="Tahoma"/>
              </w:rPr>
              <w:t>0.95</w:t>
            </w:r>
            <w:r>
              <w:rPr>
                <w:rFonts w:cs="Tahoma"/>
              </w:rPr>
              <w:t xml:space="preserve"> </w:t>
            </w:r>
            <w:r w:rsidRPr="00AC54F2">
              <w:rPr>
                <w:rFonts w:cs="Tahoma"/>
              </w:rPr>
              <w:t>(0.90</w:t>
            </w:r>
            <w:r>
              <w:rPr>
                <w:rFonts w:cs="Tahoma"/>
              </w:rPr>
              <w:t>,</w:t>
            </w:r>
            <w:r w:rsidRPr="00AC54F2">
              <w:rPr>
                <w:rFonts w:cs="Tahoma"/>
              </w:rPr>
              <w:t xml:space="preserve"> 1.00)</w:t>
            </w:r>
          </w:p>
        </w:tc>
        <w:tc>
          <w:tcPr>
            <w:tcW w:w="1985" w:type="dxa"/>
          </w:tcPr>
          <w:p w:rsidR="00CC3BA4" w:rsidRPr="00596E2E" w:rsidRDefault="00CC3BA4" w:rsidP="0037584C">
            <w:pPr>
              <w:pStyle w:val="Tabletext"/>
              <w:rPr>
                <w:rFonts w:cs="Tahoma"/>
              </w:rPr>
            </w:pPr>
            <w:r w:rsidRPr="00AC54F2">
              <w:rPr>
                <w:rFonts w:cs="Tahoma"/>
              </w:rPr>
              <w:t>49 fewer per 1,000</w:t>
            </w:r>
            <w:r>
              <w:rPr>
                <w:rFonts w:cs="Tahoma"/>
              </w:rPr>
              <w:br/>
            </w:r>
            <w:r w:rsidRPr="00AC54F2">
              <w:rPr>
                <w:rFonts w:cs="Tahoma"/>
              </w:rPr>
              <w:t>(from 0 fewer to 98 fewer)</w:t>
            </w:r>
          </w:p>
        </w:tc>
        <w:tc>
          <w:tcPr>
            <w:tcW w:w="1214" w:type="dxa"/>
          </w:tcPr>
          <w:p w:rsidR="00CC3BA4" w:rsidRPr="00596E2E" w:rsidRDefault="00CC3BA4" w:rsidP="0037584C">
            <w:pPr>
              <w:pStyle w:val="Tabletext"/>
              <w:rPr>
                <w:rFonts w:ascii="Cambria Math" w:eastAsia="Times New Roman" w:hAnsi="Cambria Math" w:cs="Cambria Math"/>
                <w:bCs/>
              </w:rPr>
            </w:pPr>
            <w:r w:rsidRPr="00596E2E">
              <w:rPr>
                <w:rFonts w:eastAsia="Times New Roman" w:cs="Tahoma"/>
                <w:bCs/>
              </w:rPr>
              <w:t>High</w:t>
            </w:r>
            <w:r w:rsidRPr="00596E2E">
              <w:rPr>
                <w:rFonts w:eastAsia="Times New Roman" w:cs="Tahoma"/>
                <w:bCs/>
              </w:rPr>
              <w:br/>
            </w:r>
            <w:r w:rsidRPr="00596E2E">
              <w:rPr>
                <w:rFonts w:ascii="Cambria Math" w:eastAsia="Times New Roman" w:hAnsi="Cambria Math" w:cs="Cambria Math"/>
                <w:bCs/>
                <w:color w:val="00B050"/>
              </w:rPr>
              <w:t>⨁⨁⨁⨁</w:t>
            </w:r>
          </w:p>
          <w:p w:rsidR="00CC3BA4" w:rsidRPr="00596E2E" w:rsidRDefault="00CC3BA4" w:rsidP="0037584C">
            <w:pPr>
              <w:pStyle w:val="Tabletext"/>
              <w:rPr>
                <w:rFonts w:cs="Tahoma"/>
              </w:rPr>
            </w:pPr>
            <w:r w:rsidRPr="00596E2E">
              <w:rPr>
                <w:rFonts w:cs="Tahoma"/>
              </w:rPr>
              <w:t>Important</w:t>
            </w:r>
          </w:p>
        </w:tc>
      </w:tr>
      <w:tr w:rsidR="00CC3BA4" w:rsidRPr="00596E2E" w:rsidTr="00F37FD2">
        <w:trPr>
          <w:trHeight w:val="319"/>
        </w:trPr>
        <w:tc>
          <w:tcPr>
            <w:tcW w:w="1493" w:type="dxa"/>
          </w:tcPr>
          <w:p w:rsidR="00CC3BA4" w:rsidRPr="00596E2E" w:rsidRDefault="00CC3BA4" w:rsidP="0037584C">
            <w:pPr>
              <w:pStyle w:val="Tabletext"/>
              <w:rPr>
                <w:rFonts w:cs="Tahoma"/>
              </w:rPr>
            </w:pPr>
            <w:r w:rsidRPr="00596E2E">
              <w:rPr>
                <w:rFonts w:cs="Tahoma"/>
              </w:rPr>
              <w:t>Serious AEs</w:t>
            </w:r>
            <w:r w:rsidRPr="00596E2E">
              <w:rPr>
                <w:rFonts w:cs="Tahoma"/>
              </w:rPr>
              <w:br/>
              <w:t>(</w:t>
            </w:r>
            <w:r>
              <w:rPr>
                <w:rFonts w:cs="Tahoma"/>
              </w:rPr>
              <w:t>1</w:t>
            </w:r>
            <w:r w:rsidRPr="00596E2E">
              <w:rPr>
                <w:rFonts w:cs="Tahoma"/>
              </w:rPr>
              <w:t>2−1</w:t>
            </w:r>
            <w:r>
              <w:rPr>
                <w:rFonts w:cs="Tahoma"/>
              </w:rPr>
              <w:t>6</w:t>
            </w:r>
            <w:r w:rsidRPr="00596E2E">
              <w:rPr>
                <w:rFonts w:cs="Tahoma"/>
              </w:rPr>
              <w:t xml:space="preserve"> weeks)</w:t>
            </w:r>
          </w:p>
        </w:tc>
        <w:tc>
          <w:tcPr>
            <w:tcW w:w="1054" w:type="dxa"/>
          </w:tcPr>
          <w:p w:rsidR="00CC3BA4" w:rsidRPr="00596E2E" w:rsidRDefault="00CC3BA4" w:rsidP="0037584C">
            <w:pPr>
              <w:pStyle w:val="Tabletext"/>
              <w:rPr>
                <w:rFonts w:cs="Tahoma"/>
              </w:rPr>
            </w:pPr>
            <w:r w:rsidRPr="00D36FBC">
              <w:rPr>
                <w:rFonts w:cs="Tahoma"/>
              </w:rPr>
              <w:t>1 RCT</w:t>
            </w:r>
          </w:p>
        </w:tc>
        <w:tc>
          <w:tcPr>
            <w:tcW w:w="771" w:type="dxa"/>
          </w:tcPr>
          <w:p w:rsidR="00CC3BA4" w:rsidRPr="00596E2E" w:rsidRDefault="00CC3BA4" w:rsidP="0037584C">
            <w:pPr>
              <w:pStyle w:val="Tabletext"/>
              <w:rPr>
                <w:rFonts w:cs="Tahoma"/>
              </w:rPr>
            </w:pPr>
            <w:r w:rsidRPr="00596E2E">
              <w:rPr>
                <w:rFonts w:cs="Tahoma"/>
              </w:rPr>
              <w:t>Not serious</w:t>
            </w:r>
          </w:p>
        </w:tc>
        <w:tc>
          <w:tcPr>
            <w:tcW w:w="107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1276" w:type="dxa"/>
          </w:tcPr>
          <w:p w:rsidR="00CC3BA4" w:rsidRPr="00596E2E" w:rsidRDefault="00CC3BA4" w:rsidP="0037584C">
            <w:pPr>
              <w:pStyle w:val="Tabletext"/>
              <w:rPr>
                <w:rFonts w:cs="Tahoma"/>
              </w:rPr>
            </w:pPr>
            <w:r w:rsidRPr="00596E2E">
              <w:rPr>
                <w:rFonts w:cs="Tahoma"/>
              </w:rPr>
              <w:t>None</w:t>
            </w:r>
          </w:p>
        </w:tc>
        <w:tc>
          <w:tcPr>
            <w:tcW w:w="1417" w:type="dxa"/>
          </w:tcPr>
          <w:p w:rsidR="00CC3BA4" w:rsidRPr="00596E2E" w:rsidRDefault="00CC3BA4" w:rsidP="0037584C">
            <w:pPr>
              <w:pStyle w:val="Tabletext"/>
              <w:rPr>
                <w:rFonts w:cs="Tahoma"/>
              </w:rPr>
            </w:pPr>
            <w:r>
              <w:rPr>
                <w:rFonts w:cs="Tahoma"/>
              </w:rPr>
              <w:t>29/134 (21.6%)</w:t>
            </w:r>
          </w:p>
        </w:tc>
        <w:tc>
          <w:tcPr>
            <w:tcW w:w="1196" w:type="dxa"/>
          </w:tcPr>
          <w:p w:rsidR="00CC3BA4" w:rsidRPr="00596E2E" w:rsidRDefault="00CC3BA4" w:rsidP="0037584C">
            <w:pPr>
              <w:pStyle w:val="Tabletext"/>
              <w:rPr>
                <w:rFonts w:cs="Tahoma"/>
              </w:rPr>
            </w:pPr>
            <w:r w:rsidRPr="00AC54F2">
              <w:rPr>
                <w:rFonts w:cs="Tahoma"/>
              </w:rPr>
              <w:t>39/131 (29.8%)</w:t>
            </w:r>
          </w:p>
        </w:tc>
        <w:tc>
          <w:tcPr>
            <w:tcW w:w="1134" w:type="dxa"/>
          </w:tcPr>
          <w:p w:rsidR="00CC3BA4" w:rsidRPr="00596E2E" w:rsidRDefault="00CC3BA4" w:rsidP="0037584C">
            <w:pPr>
              <w:pStyle w:val="Tabletext"/>
              <w:rPr>
                <w:rFonts w:cs="Tahoma"/>
              </w:rPr>
            </w:pPr>
            <w:r w:rsidRPr="00AC54F2">
              <w:rPr>
                <w:rFonts w:cs="Tahoma"/>
              </w:rPr>
              <w:t xml:space="preserve">RR </w:t>
            </w:r>
            <w:r>
              <w:rPr>
                <w:rFonts w:cs="Tahoma"/>
              </w:rPr>
              <w:t xml:space="preserve">= </w:t>
            </w:r>
            <w:r w:rsidRPr="00AC54F2">
              <w:rPr>
                <w:rFonts w:cs="Tahoma"/>
              </w:rPr>
              <w:t>0.73</w:t>
            </w:r>
            <w:r>
              <w:rPr>
                <w:rFonts w:cs="Tahoma"/>
              </w:rPr>
              <w:t xml:space="preserve"> </w:t>
            </w:r>
            <w:r w:rsidRPr="00AC54F2">
              <w:rPr>
                <w:rFonts w:cs="Tahoma"/>
              </w:rPr>
              <w:t>(0.48</w:t>
            </w:r>
            <w:r>
              <w:rPr>
                <w:rFonts w:cs="Tahoma"/>
              </w:rPr>
              <w:t>,</w:t>
            </w:r>
            <w:r w:rsidRPr="00AC54F2">
              <w:rPr>
                <w:rFonts w:cs="Tahoma"/>
              </w:rPr>
              <w:t xml:space="preserve"> 1.10)</w:t>
            </w:r>
          </w:p>
        </w:tc>
        <w:tc>
          <w:tcPr>
            <w:tcW w:w="1985" w:type="dxa"/>
          </w:tcPr>
          <w:p w:rsidR="00CC3BA4" w:rsidRPr="00596E2E" w:rsidRDefault="00CC3BA4" w:rsidP="0037584C">
            <w:pPr>
              <w:pStyle w:val="Tabletext"/>
              <w:rPr>
                <w:rFonts w:cs="Tahoma"/>
              </w:rPr>
            </w:pPr>
            <w:r w:rsidRPr="00AC54F2">
              <w:rPr>
                <w:rFonts w:cs="Tahoma"/>
              </w:rPr>
              <w:t>80 fewer per 1,000</w:t>
            </w:r>
            <w:r>
              <w:rPr>
                <w:rFonts w:cs="Tahoma"/>
              </w:rPr>
              <w:br/>
            </w:r>
            <w:r w:rsidRPr="00AC54F2">
              <w:rPr>
                <w:rFonts w:cs="Tahoma"/>
              </w:rPr>
              <w:t>(from 30 more to 155 fewer)</w:t>
            </w:r>
          </w:p>
        </w:tc>
        <w:tc>
          <w:tcPr>
            <w:tcW w:w="1214" w:type="dxa"/>
          </w:tcPr>
          <w:p w:rsidR="00CC3BA4" w:rsidRPr="00596E2E" w:rsidRDefault="00CC3BA4" w:rsidP="0037584C">
            <w:pPr>
              <w:pStyle w:val="Tabletext"/>
              <w:rPr>
                <w:rFonts w:ascii="Cambria Math" w:eastAsia="Times New Roman" w:hAnsi="Cambria Math" w:cs="Cambria Math"/>
                <w:bCs/>
              </w:rPr>
            </w:pPr>
            <w:r w:rsidRPr="00596E2E">
              <w:rPr>
                <w:rFonts w:eastAsia="Times New Roman" w:cs="Tahoma"/>
                <w:bCs/>
              </w:rPr>
              <w:t>High</w:t>
            </w:r>
            <w:r w:rsidRPr="00596E2E">
              <w:rPr>
                <w:rFonts w:eastAsia="Times New Roman" w:cs="Tahoma"/>
                <w:bCs/>
              </w:rPr>
              <w:br/>
            </w:r>
            <w:r w:rsidRPr="00596E2E">
              <w:rPr>
                <w:rFonts w:ascii="Cambria Math" w:eastAsia="Times New Roman" w:hAnsi="Cambria Math" w:cs="Cambria Math"/>
                <w:bCs/>
                <w:color w:val="00B050"/>
              </w:rPr>
              <w:t>⨁⨁⨁⨁</w:t>
            </w:r>
          </w:p>
          <w:p w:rsidR="00CC3BA4" w:rsidRPr="00596E2E" w:rsidRDefault="00CC3BA4" w:rsidP="0037584C">
            <w:pPr>
              <w:pStyle w:val="Tabletext"/>
              <w:rPr>
                <w:rFonts w:cs="Tahoma"/>
              </w:rPr>
            </w:pPr>
            <w:r w:rsidRPr="00596E2E">
              <w:rPr>
                <w:rFonts w:cs="Tahoma"/>
              </w:rPr>
              <w:t>Important</w:t>
            </w:r>
          </w:p>
        </w:tc>
      </w:tr>
      <w:tr w:rsidR="00CC3BA4" w:rsidRPr="00596E2E" w:rsidTr="00F37FD2">
        <w:trPr>
          <w:trHeight w:val="319"/>
        </w:trPr>
        <w:tc>
          <w:tcPr>
            <w:tcW w:w="1493" w:type="dxa"/>
          </w:tcPr>
          <w:p w:rsidR="00CC3BA4" w:rsidRPr="00596E2E" w:rsidRDefault="00CC3BA4" w:rsidP="0037584C">
            <w:pPr>
              <w:pStyle w:val="Tabletext"/>
              <w:rPr>
                <w:rFonts w:cs="Tahoma"/>
              </w:rPr>
            </w:pPr>
            <w:r w:rsidRPr="00596E2E">
              <w:rPr>
                <w:rFonts w:cs="Tahoma"/>
              </w:rPr>
              <w:t>AEs leading to treatment discontinuation</w:t>
            </w:r>
            <w:r w:rsidRPr="00596E2E">
              <w:rPr>
                <w:rFonts w:cs="Tahoma"/>
              </w:rPr>
              <w:br/>
              <w:t>(</w:t>
            </w:r>
            <w:r>
              <w:rPr>
                <w:rFonts w:cs="Tahoma"/>
              </w:rPr>
              <w:t>1</w:t>
            </w:r>
            <w:r w:rsidRPr="00596E2E">
              <w:rPr>
                <w:rFonts w:cs="Tahoma"/>
              </w:rPr>
              <w:t>2−1</w:t>
            </w:r>
            <w:r>
              <w:rPr>
                <w:rFonts w:cs="Tahoma"/>
              </w:rPr>
              <w:t>6</w:t>
            </w:r>
            <w:r w:rsidRPr="00596E2E">
              <w:rPr>
                <w:rFonts w:cs="Tahoma"/>
              </w:rPr>
              <w:t xml:space="preserve"> weeks)</w:t>
            </w:r>
          </w:p>
        </w:tc>
        <w:tc>
          <w:tcPr>
            <w:tcW w:w="1054" w:type="dxa"/>
          </w:tcPr>
          <w:p w:rsidR="00CC3BA4" w:rsidRPr="00596E2E" w:rsidRDefault="00CC3BA4" w:rsidP="0037584C">
            <w:pPr>
              <w:pStyle w:val="Tabletext"/>
              <w:rPr>
                <w:rFonts w:cs="Tahoma"/>
              </w:rPr>
            </w:pPr>
            <w:r w:rsidRPr="00D36FBC">
              <w:rPr>
                <w:rFonts w:cs="Tahoma"/>
              </w:rPr>
              <w:t>1 RCT</w:t>
            </w:r>
          </w:p>
        </w:tc>
        <w:tc>
          <w:tcPr>
            <w:tcW w:w="771" w:type="dxa"/>
          </w:tcPr>
          <w:p w:rsidR="00CC3BA4" w:rsidRPr="00596E2E" w:rsidRDefault="00CC3BA4" w:rsidP="0037584C">
            <w:pPr>
              <w:pStyle w:val="Tabletext"/>
              <w:rPr>
                <w:rFonts w:cs="Tahoma"/>
              </w:rPr>
            </w:pPr>
            <w:r w:rsidRPr="00596E2E">
              <w:rPr>
                <w:rFonts w:cs="Tahoma"/>
              </w:rPr>
              <w:t>Not serious</w:t>
            </w:r>
          </w:p>
        </w:tc>
        <w:tc>
          <w:tcPr>
            <w:tcW w:w="107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992" w:type="dxa"/>
          </w:tcPr>
          <w:p w:rsidR="00CC3BA4" w:rsidRPr="00596E2E" w:rsidRDefault="00CC3BA4" w:rsidP="0037584C">
            <w:pPr>
              <w:pStyle w:val="Tabletext"/>
              <w:rPr>
                <w:rFonts w:cs="Tahoma"/>
              </w:rPr>
            </w:pPr>
            <w:r w:rsidRPr="00596E2E">
              <w:rPr>
                <w:rFonts w:cs="Tahoma"/>
              </w:rPr>
              <w:t>Not serious</w:t>
            </w:r>
          </w:p>
        </w:tc>
        <w:tc>
          <w:tcPr>
            <w:tcW w:w="1276" w:type="dxa"/>
          </w:tcPr>
          <w:p w:rsidR="00CC3BA4" w:rsidRPr="00596E2E" w:rsidRDefault="00CC3BA4" w:rsidP="0037584C">
            <w:pPr>
              <w:pStyle w:val="Tabletext"/>
              <w:rPr>
                <w:rFonts w:cs="Tahoma"/>
              </w:rPr>
            </w:pPr>
            <w:r w:rsidRPr="00596E2E">
              <w:rPr>
                <w:rFonts w:cs="Tahoma"/>
              </w:rPr>
              <w:t>None</w:t>
            </w:r>
          </w:p>
        </w:tc>
        <w:tc>
          <w:tcPr>
            <w:tcW w:w="1417" w:type="dxa"/>
          </w:tcPr>
          <w:p w:rsidR="00CC3BA4" w:rsidRPr="00596E2E" w:rsidRDefault="007E22A2" w:rsidP="007E22A2">
            <w:pPr>
              <w:pStyle w:val="Tabletext"/>
              <w:rPr>
                <w:rFonts w:cs="Tahoma"/>
              </w:rPr>
            </w:pPr>
            <w:r>
              <w:rPr>
                <w:rFonts w:cs="Tahoma"/>
              </w:rPr>
              <w:t>7</w:t>
            </w:r>
            <w:r w:rsidR="00CC3BA4">
              <w:rPr>
                <w:rFonts w:cs="Tahoma"/>
              </w:rPr>
              <w:t>/134 (5</w:t>
            </w:r>
            <w:r>
              <w:rPr>
                <w:rFonts w:cs="Tahoma"/>
              </w:rPr>
              <w:t>.2</w:t>
            </w:r>
            <w:r w:rsidR="00CC3BA4">
              <w:rPr>
                <w:rFonts w:cs="Tahoma"/>
              </w:rPr>
              <w:t>%)</w:t>
            </w:r>
          </w:p>
        </w:tc>
        <w:tc>
          <w:tcPr>
            <w:tcW w:w="1196" w:type="dxa"/>
          </w:tcPr>
          <w:p w:rsidR="00CC3BA4" w:rsidRPr="00596E2E" w:rsidRDefault="007E22A2" w:rsidP="007E22A2">
            <w:pPr>
              <w:pStyle w:val="Tabletext"/>
              <w:rPr>
                <w:rFonts w:cs="Tahoma"/>
              </w:rPr>
            </w:pPr>
            <w:r>
              <w:rPr>
                <w:rFonts w:cs="Tahoma"/>
              </w:rPr>
              <w:t>14</w:t>
            </w:r>
            <w:r w:rsidR="00CC3BA4" w:rsidRPr="00AC54F2">
              <w:rPr>
                <w:rFonts w:cs="Tahoma"/>
              </w:rPr>
              <w:t>/131 (1</w:t>
            </w:r>
            <w:r>
              <w:rPr>
                <w:rFonts w:cs="Tahoma"/>
              </w:rPr>
              <w:t>0</w:t>
            </w:r>
            <w:r w:rsidR="00CC3BA4" w:rsidRPr="00AC54F2">
              <w:rPr>
                <w:rFonts w:cs="Tahoma"/>
              </w:rPr>
              <w:t>.</w:t>
            </w:r>
            <w:r>
              <w:rPr>
                <w:rFonts w:cs="Tahoma"/>
              </w:rPr>
              <w:t>7</w:t>
            </w:r>
            <w:r w:rsidR="00CC3BA4" w:rsidRPr="00AC54F2">
              <w:rPr>
                <w:rFonts w:cs="Tahoma"/>
              </w:rPr>
              <w:t>%)</w:t>
            </w:r>
          </w:p>
        </w:tc>
        <w:tc>
          <w:tcPr>
            <w:tcW w:w="1134" w:type="dxa"/>
          </w:tcPr>
          <w:p w:rsidR="00CC3BA4" w:rsidRPr="00596E2E" w:rsidRDefault="00CC3BA4" w:rsidP="007E22A2">
            <w:pPr>
              <w:pStyle w:val="Tabletext"/>
              <w:rPr>
                <w:rFonts w:cs="Tahoma"/>
              </w:rPr>
            </w:pPr>
            <w:r w:rsidRPr="00AC54F2">
              <w:rPr>
                <w:rFonts w:cs="Tahoma"/>
              </w:rPr>
              <w:t xml:space="preserve">RR </w:t>
            </w:r>
            <w:r>
              <w:rPr>
                <w:rFonts w:cs="Tahoma"/>
              </w:rPr>
              <w:t xml:space="preserve">= </w:t>
            </w:r>
            <w:r w:rsidR="007E22A2">
              <w:rPr>
                <w:rFonts w:cs="Tahoma"/>
              </w:rPr>
              <w:t>0</w:t>
            </w:r>
            <w:r w:rsidRPr="00AC54F2">
              <w:rPr>
                <w:rFonts w:cs="Tahoma"/>
              </w:rPr>
              <w:t>.</w:t>
            </w:r>
            <w:r w:rsidR="007E22A2">
              <w:rPr>
                <w:rFonts w:cs="Tahoma"/>
              </w:rPr>
              <w:t>4</w:t>
            </w:r>
            <w:r w:rsidRPr="00AC54F2">
              <w:rPr>
                <w:rFonts w:cs="Tahoma"/>
              </w:rPr>
              <w:t>9</w:t>
            </w:r>
            <w:r>
              <w:rPr>
                <w:rFonts w:cs="Tahoma"/>
              </w:rPr>
              <w:t xml:space="preserve"> </w:t>
            </w:r>
            <w:r w:rsidRPr="00AC54F2">
              <w:rPr>
                <w:rFonts w:cs="Tahoma"/>
              </w:rPr>
              <w:t>(0.</w:t>
            </w:r>
            <w:r w:rsidR="007E22A2">
              <w:rPr>
                <w:rFonts w:cs="Tahoma"/>
              </w:rPr>
              <w:t>2</w:t>
            </w:r>
            <w:r w:rsidRPr="00AC54F2">
              <w:rPr>
                <w:rFonts w:cs="Tahoma"/>
              </w:rPr>
              <w:t>0</w:t>
            </w:r>
            <w:r>
              <w:rPr>
                <w:rFonts w:cs="Tahoma"/>
              </w:rPr>
              <w:t>,</w:t>
            </w:r>
            <w:r w:rsidRPr="00AC54F2">
              <w:rPr>
                <w:rFonts w:cs="Tahoma"/>
              </w:rPr>
              <w:t xml:space="preserve"> 1.</w:t>
            </w:r>
            <w:r w:rsidR="007E22A2">
              <w:rPr>
                <w:rFonts w:cs="Tahoma"/>
              </w:rPr>
              <w:t>1</w:t>
            </w:r>
            <w:r w:rsidRPr="00AC54F2">
              <w:rPr>
                <w:rFonts w:cs="Tahoma"/>
              </w:rPr>
              <w:t>7)</w:t>
            </w:r>
          </w:p>
        </w:tc>
        <w:tc>
          <w:tcPr>
            <w:tcW w:w="1985" w:type="dxa"/>
          </w:tcPr>
          <w:p w:rsidR="00CC3BA4" w:rsidRPr="00596E2E" w:rsidRDefault="007C71D5" w:rsidP="007C71D5">
            <w:pPr>
              <w:pStyle w:val="Tabletext"/>
              <w:rPr>
                <w:rFonts w:cs="Tahoma"/>
              </w:rPr>
            </w:pPr>
            <w:r>
              <w:rPr>
                <w:rFonts w:cs="Tahoma"/>
              </w:rPr>
              <w:t>55</w:t>
            </w:r>
            <w:r w:rsidR="00E25FAA">
              <w:rPr>
                <w:rFonts w:cs="Tahoma"/>
              </w:rPr>
              <w:t xml:space="preserve"> </w:t>
            </w:r>
            <w:r>
              <w:rPr>
                <w:rFonts w:cs="Tahoma"/>
              </w:rPr>
              <w:t>fewer</w:t>
            </w:r>
            <w:r w:rsidR="00CC3BA4" w:rsidRPr="00AC54F2">
              <w:rPr>
                <w:rFonts w:cs="Tahoma"/>
              </w:rPr>
              <w:t xml:space="preserve"> per 1,000</w:t>
            </w:r>
            <w:r w:rsidR="00CC3BA4">
              <w:rPr>
                <w:rFonts w:cs="Tahoma"/>
              </w:rPr>
              <w:br/>
            </w:r>
            <w:r w:rsidR="00CC3BA4" w:rsidRPr="00AC54F2">
              <w:rPr>
                <w:rFonts w:cs="Tahoma"/>
              </w:rPr>
              <w:t xml:space="preserve">(from </w:t>
            </w:r>
            <w:r>
              <w:rPr>
                <w:rFonts w:cs="Tahoma"/>
              </w:rPr>
              <w:t>18</w:t>
            </w:r>
            <w:r w:rsidR="00CC3BA4" w:rsidRPr="00AC54F2">
              <w:rPr>
                <w:rFonts w:cs="Tahoma"/>
              </w:rPr>
              <w:t xml:space="preserve"> </w:t>
            </w:r>
            <w:r>
              <w:rPr>
                <w:rFonts w:cs="Tahoma"/>
              </w:rPr>
              <w:t>more</w:t>
            </w:r>
            <w:r w:rsidR="00CC3BA4" w:rsidRPr="00AC54F2">
              <w:rPr>
                <w:rFonts w:cs="Tahoma"/>
              </w:rPr>
              <w:t xml:space="preserve"> to </w:t>
            </w:r>
            <w:r>
              <w:rPr>
                <w:rFonts w:cs="Tahoma"/>
              </w:rPr>
              <w:t>85</w:t>
            </w:r>
            <w:r w:rsidRPr="00AC54F2">
              <w:rPr>
                <w:rFonts w:cs="Tahoma"/>
              </w:rPr>
              <w:t xml:space="preserve"> </w:t>
            </w:r>
            <w:r>
              <w:rPr>
                <w:rFonts w:cs="Tahoma"/>
              </w:rPr>
              <w:t>fewer</w:t>
            </w:r>
            <w:r w:rsidR="00CC3BA4" w:rsidRPr="00AC54F2">
              <w:rPr>
                <w:rFonts w:cs="Tahoma"/>
              </w:rPr>
              <w:t>)</w:t>
            </w:r>
          </w:p>
        </w:tc>
        <w:tc>
          <w:tcPr>
            <w:tcW w:w="1214" w:type="dxa"/>
          </w:tcPr>
          <w:p w:rsidR="00CC3BA4" w:rsidRPr="00596E2E" w:rsidRDefault="00CC3BA4" w:rsidP="0037584C">
            <w:pPr>
              <w:pStyle w:val="Tabletext"/>
              <w:rPr>
                <w:rFonts w:ascii="Cambria Math" w:eastAsia="Times New Roman" w:hAnsi="Cambria Math" w:cs="Cambria Math"/>
                <w:bCs/>
              </w:rPr>
            </w:pPr>
            <w:r w:rsidRPr="00596E2E">
              <w:rPr>
                <w:rFonts w:eastAsia="Times New Roman" w:cs="Tahoma"/>
                <w:bCs/>
              </w:rPr>
              <w:t>High</w:t>
            </w:r>
            <w:r w:rsidRPr="00596E2E">
              <w:rPr>
                <w:rFonts w:eastAsia="Times New Roman" w:cs="Tahoma"/>
                <w:bCs/>
              </w:rPr>
              <w:br/>
            </w:r>
            <w:r w:rsidRPr="00596E2E">
              <w:rPr>
                <w:rFonts w:ascii="Cambria Math" w:eastAsia="Times New Roman" w:hAnsi="Cambria Math" w:cs="Cambria Math"/>
                <w:bCs/>
                <w:color w:val="00B050"/>
              </w:rPr>
              <w:t>⨁⨁⨁⨁</w:t>
            </w:r>
          </w:p>
          <w:p w:rsidR="00CC3BA4" w:rsidRPr="00596E2E" w:rsidRDefault="00CC3BA4" w:rsidP="0037584C">
            <w:pPr>
              <w:pStyle w:val="Tabletext"/>
              <w:rPr>
                <w:rFonts w:ascii="Cambria Math" w:eastAsia="Times New Roman" w:hAnsi="Cambria Math" w:cs="Cambria Math"/>
                <w:bCs/>
                <w:color w:val="00B050"/>
              </w:rPr>
            </w:pPr>
            <w:r w:rsidRPr="00596E2E">
              <w:rPr>
                <w:rFonts w:cs="Tahoma"/>
              </w:rPr>
              <w:t>Important</w:t>
            </w:r>
          </w:p>
        </w:tc>
      </w:tr>
    </w:tbl>
    <w:p w:rsidR="00CC3BA4" w:rsidRPr="00AA018C" w:rsidRDefault="00CC3BA4" w:rsidP="0037584C">
      <w:pPr>
        <w:pStyle w:val="Tablenote"/>
      </w:pPr>
      <w:proofErr w:type="gramStart"/>
      <w:r w:rsidRPr="00596E2E">
        <w:rPr>
          <w:vertAlign w:val="superscript"/>
        </w:rPr>
        <w:t>a</w:t>
      </w:r>
      <w:proofErr w:type="gramEnd"/>
      <w:r w:rsidRPr="00596E2E">
        <w:rPr>
          <w:vertAlign w:val="superscript"/>
        </w:rPr>
        <w:t xml:space="preserve"> </w:t>
      </w:r>
      <w:r w:rsidRPr="00596E2E">
        <w:t>Other considerations such as publication bias and effect size</w:t>
      </w:r>
    </w:p>
    <w:p w:rsidR="00CC3BA4" w:rsidRDefault="00CC3BA4" w:rsidP="0037584C">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CC3BA4" w:rsidRPr="00E564DD" w:rsidRDefault="00CC3BA4" w:rsidP="0037584C">
      <w:pPr>
        <w:pStyle w:val="Tablenote"/>
      </w:pPr>
      <w:r w:rsidRPr="00E564DD">
        <w:rPr>
          <w:rFonts w:ascii="Cambria Math" w:hAnsi="Cambria Math" w:cs="Cambria Math"/>
          <w:color w:val="00B050"/>
        </w:rPr>
        <w:t>⨁⨁⨁⨁</w:t>
      </w:r>
      <w:r w:rsidRPr="00E564DD">
        <w:rPr>
          <w:color w:val="00B050"/>
        </w:rPr>
        <w:t xml:space="preserve"> </w:t>
      </w:r>
      <w:r w:rsidRPr="00E564DD">
        <w:rPr>
          <w:b/>
        </w:rPr>
        <w:t>High quality:</w:t>
      </w:r>
      <w:r w:rsidRPr="00E564DD">
        <w:t xml:space="preserve"> We are very confident that the true effect lies close to that of the estimate of effect</w:t>
      </w:r>
    </w:p>
    <w:p w:rsidR="002E6E59" w:rsidRDefault="00CC3BA4" w:rsidP="0037584C">
      <w:pPr>
        <w:pStyle w:val="Tablenote"/>
      </w:pPr>
      <w:r>
        <w:t xml:space="preserve">AE = adverse event; CI = confidence interval; </w:t>
      </w:r>
      <w:r w:rsidR="00385E5A">
        <w:t>GRADE = grading of recommendations assessment, development and evaluation</w:t>
      </w:r>
      <w:r w:rsidR="001D34EE" w:rsidRPr="001D34EE">
        <w:rPr>
          <w:noProof/>
          <w:vertAlign w:val="superscript"/>
        </w:rPr>
        <w:t>1</w:t>
      </w:r>
      <w:r w:rsidR="002E6E59" w:rsidRPr="00F24B06">
        <w:t xml:space="preserve">; </w:t>
      </w:r>
      <w:r w:rsidRPr="00C65B42">
        <w:t xml:space="preserve">PAH = pulmonary arterial hypertension; </w:t>
      </w:r>
      <w:r w:rsidRPr="009B5AB3">
        <w:t>PDE-5</w:t>
      </w:r>
      <w:r w:rsidR="002E6E59">
        <w:t>i</w:t>
      </w:r>
      <w:r w:rsidRPr="009B5AB3">
        <w:t xml:space="preserve"> = phosphodiesterase type-5</w:t>
      </w:r>
      <w:r w:rsidR="002E6E59">
        <w:t xml:space="preserve"> inhibitor</w:t>
      </w:r>
      <w:r>
        <w:t>;</w:t>
      </w:r>
      <w:r w:rsidRPr="009B5AB3">
        <w:t xml:space="preserve"> </w:t>
      </w:r>
      <w:r>
        <w:t>RCT = randomised controlled trial; RR = relative risk</w:t>
      </w:r>
    </w:p>
    <w:p w:rsidR="00CC3BA4" w:rsidRPr="00822C52" w:rsidRDefault="0017012F" w:rsidP="00BF48DF">
      <w:pPr>
        <w:pStyle w:val="Heading4"/>
      </w:pPr>
      <w:r>
        <w:lastRenderedPageBreak/>
        <w:t>Prostanoid</w:t>
      </w:r>
      <w:r w:rsidR="00CC3BA4">
        <w:t xml:space="preserve"> in </w:t>
      </w:r>
      <w:r w:rsidR="00CC3BA4" w:rsidRPr="00822C52">
        <w:t xml:space="preserve">addition to </w:t>
      </w:r>
      <w:r w:rsidR="00CC3BA4">
        <w:t>an ERA</w:t>
      </w:r>
    </w:p>
    <w:p w:rsidR="00CC3BA4" w:rsidRPr="005D4CA0" w:rsidRDefault="00796F18" w:rsidP="00BC5A2B">
      <w:pPr>
        <w:pStyle w:val="Caption"/>
      </w:pPr>
      <w:bookmarkStart w:id="535" w:name="_Ref505863021"/>
      <w:bookmarkStart w:id="536" w:name="_Toc38360460"/>
      <w:r>
        <w:t>Table 4.</w:t>
      </w:r>
      <w:r w:rsidR="003951FA">
        <w:rPr>
          <w:noProof/>
        </w:rPr>
        <w:t>163</w:t>
      </w:r>
      <w:bookmarkEnd w:id="535"/>
      <w:r>
        <w:tab/>
      </w:r>
      <w:r w:rsidR="00CC3BA4" w:rsidRPr="005D4CA0">
        <w:t xml:space="preserve">Evidence profile table for </w:t>
      </w:r>
      <w:r w:rsidR="00CC3BA4">
        <w:t xml:space="preserve">effectiveness of </w:t>
      </w:r>
      <w:r w:rsidR="0017012F">
        <w:t>prostanoid</w:t>
      </w:r>
      <w:r w:rsidR="00CC3BA4" w:rsidRPr="005D4CA0">
        <w:t xml:space="preserve"> </w:t>
      </w:r>
      <w:r w:rsidR="000E67F8">
        <w:t>plus</w:t>
      </w:r>
      <w:r w:rsidR="00CC3BA4">
        <w:t xml:space="preserve"> ERA combination therapy </w:t>
      </w:r>
      <w:r w:rsidR="00CC3BA4" w:rsidRPr="005D4CA0">
        <w:t xml:space="preserve">compared to </w:t>
      </w:r>
      <w:r w:rsidR="00CC3BA4">
        <w:t>ERA</w:t>
      </w:r>
      <w:r w:rsidR="00CC3BA4" w:rsidRPr="00596E2E">
        <w:t xml:space="preserve"> </w:t>
      </w:r>
      <w:r w:rsidR="00CC3BA4">
        <w:t xml:space="preserve">monotherapy </w:t>
      </w:r>
      <w:r w:rsidR="00CC3BA4" w:rsidRPr="005D4CA0">
        <w:t xml:space="preserve">for </w:t>
      </w:r>
      <w:r w:rsidR="00CC3BA4">
        <w:t>patients with WHO FC III/IV PAH</w:t>
      </w:r>
      <w:bookmarkEnd w:id="536"/>
    </w:p>
    <w:tbl>
      <w:tblPr>
        <w:tblStyle w:val="TableGrid"/>
        <w:tblW w:w="14596" w:type="dxa"/>
        <w:tblLayout w:type="fixed"/>
        <w:tblLook w:val="04A0" w:firstRow="1" w:lastRow="0" w:firstColumn="1" w:lastColumn="0" w:noHBand="0" w:noVBand="1"/>
        <w:tblCaption w:val="Evidence profile table for effectiveness of prostanoid plus ERA combination therapy compared to ERA monotherapy for patients with WHO FC III/IV PAH"/>
      </w:tblPr>
      <w:tblGrid>
        <w:gridCol w:w="1493"/>
        <w:gridCol w:w="974"/>
        <w:gridCol w:w="851"/>
        <w:gridCol w:w="1072"/>
        <w:gridCol w:w="992"/>
        <w:gridCol w:w="1038"/>
        <w:gridCol w:w="1230"/>
        <w:gridCol w:w="1417"/>
        <w:gridCol w:w="1134"/>
        <w:gridCol w:w="993"/>
        <w:gridCol w:w="2188"/>
        <w:gridCol w:w="1214"/>
      </w:tblGrid>
      <w:tr w:rsidR="00D1356D" w:rsidRPr="00D1356D" w:rsidTr="002856B6">
        <w:trPr>
          <w:cnfStyle w:val="100000000000" w:firstRow="1" w:lastRow="0" w:firstColumn="0" w:lastColumn="0" w:oddVBand="0" w:evenVBand="0" w:oddHBand="0" w:evenHBand="0" w:firstRowFirstColumn="0" w:firstRowLastColumn="0" w:lastRowFirstColumn="0" w:lastRowLastColumn="0"/>
          <w:trHeight w:val="515"/>
        </w:trPr>
        <w:tc>
          <w:tcPr>
            <w:tcW w:w="1493" w:type="dxa"/>
          </w:tcPr>
          <w:p w:rsidR="00476F09" w:rsidRPr="00D1356D" w:rsidRDefault="00476F09" w:rsidP="00D1356D">
            <w:pPr>
              <w:pStyle w:val="Tabletext"/>
              <w:rPr>
                <w:b/>
              </w:rPr>
            </w:pPr>
            <w:r w:rsidRPr="00D1356D">
              <w:rPr>
                <w:b/>
              </w:rPr>
              <w:t>Outcome (follow-up)</w:t>
            </w:r>
          </w:p>
        </w:tc>
        <w:tc>
          <w:tcPr>
            <w:tcW w:w="974" w:type="dxa"/>
          </w:tcPr>
          <w:p w:rsidR="00476F09" w:rsidRPr="00D1356D" w:rsidRDefault="00476F09" w:rsidP="00D1356D">
            <w:pPr>
              <w:pStyle w:val="Tabletext"/>
              <w:rPr>
                <w:b/>
              </w:rPr>
            </w:pPr>
            <w:r w:rsidRPr="00D1356D">
              <w:rPr>
                <w:b/>
              </w:rPr>
              <w:t>No. of studies and study design</w:t>
            </w:r>
          </w:p>
        </w:tc>
        <w:tc>
          <w:tcPr>
            <w:tcW w:w="851" w:type="dxa"/>
          </w:tcPr>
          <w:p w:rsidR="00476F09" w:rsidRPr="00D1356D" w:rsidRDefault="00476F09" w:rsidP="00D1356D">
            <w:pPr>
              <w:pStyle w:val="Tabletext"/>
              <w:rPr>
                <w:b/>
              </w:rPr>
            </w:pPr>
            <w:r w:rsidRPr="00D1356D">
              <w:rPr>
                <w:b/>
              </w:rPr>
              <w:t>Risk of bias</w:t>
            </w:r>
          </w:p>
        </w:tc>
        <w:tc>
          <w:tcPr>
            <w:tcW w:w="1072" w:type="dxa"/>
          </w:tcPr>
          <w:p w:rsidR="00476F09" w:rsidRPr="00D1356D" w:rsidRDefault="00476F09" w:rsidP="00D1356D">
            <w:pPr>
              <w:pStyle w:val="Tabletext"/>
              <w:rPr>
                <w:b/>
              </w:rPr>
            </w:pPr>
            <w:r w:rsidRPr="00D1356D">
              <w:rPr>
                <w:b/>
              </w:rPr>
              <w:t>Inconsis</w:t>
            </w:r>
            <w:r w:rsidR="00F37FD2">
              <w:rPr>
                <w:b/>
              </w:rPr>
              <w:t>-</w:t>
            </w:r>
            <w:r w:rsidRPr="00D1356D">
              <w:rPr>
                <w:b/>
              </w:rPr>
              <w:t>tency</w:t>
            </w:r>
          </w:p>
        </w:tc>
        <w:tc>
          <w:tcPr>
            <w:tcW w:w="992" w:type="dxa"/>
          </w:tcPr>
          <w:p w:rsidR="00476F09" w:rsidRPr="00D1356D" w:rsidRDefault="00476F09" w:rsidP="00D1356D">
            <w:pPr>
              <w:pStyle w:val="Tabletext"/>
              <w:rPr>
                <w:b/>
              </w:rPr>
            </w:pPr>
            <w:r w:rsidRPr="00D1356D">
              <w:rPr>
                <w:b/>
              </w:rPr>
              <w:t>Indirect</w:t>
            </w:r>
            <w:r w:rsidR="00F37FD2">
              <w:rPr>
                <w:b/>
              </w:rPr>
              <w:t>-</w:t>
            </w:r>
            <w:r w:rsidRPr="00D1356D">
              <w:rPr>
                <w:b/>
              </w:rPr>
              <w:t>ness</w:t>
            </w:r>
          </w:p>
        </w:tc>
        <w:tc>
          <w:tcPr>
            <w:tcW w:w="1038" w:type="dxa"/>
          </w:tcPr>
          <w:p w:rsidR="00476F09" w:rsidRPr="00D1356D" w:rsidRDefault="00476F09" w:rsidP="00D1356D">
            <w:pPr>
              <w:pStyle w:val="Tabletext"/>
              <w:rPr>
                <w:b/>
              </w:rPr>
            </w:pPr>
            <w:r w:rsidRPr="00D1356D">
              <w:rPr>
                <w:b/>
              </w:rPr>
              <w:t>Impre</w:t>
            </w:r>
            <w:r w:rsidR="00F37FD2">
              <w:rPr>
                <w:b/>
              </w:rPr>
              <w:t>-</w:t>
            </w:r>
            <w:r w:rsidRPr="00D1356D">
              <w:rPr>
                <w:b/>
              </w:rPr>
              <w:t>cision</w:t>
            </w:r>
          </w:p>
        </w:tc>
        <w:tc>
          <w:tcPr>
            <w:tcW w:w="1230" w:type="dxa"/>
          </w:tcPr>
          <w:p w:rsidR="00476F09" w:rsidRPr="00D1356D" w:rsidRDefault="00476F09" w:rsidP="00D1356D">
            <w:pPr>
              <w:pStyle w:val="Tabletext"/>
              <w:rPr>
                <w:b/>
              </w:rPr>
            </w:pPr>
            <w:r w:rsidRPr="00D1356D">
              <w:rPr>
                <w:b/>
              </w:rPr>
              <w:t>Other conside</w:t>
            </w:r>
            <w:r w:rsidR="00F37FD2">
              <w:rPr>
                <w:b/>
              </w:rPr>
              <w:t>-</w:t>
            </w:r>
            <w:r w:rsidRPr="00D1356D">
              <w:rPr>
                <w:b/>
              </w:rPr>
              <w:t>rations</w:t>
            </w:r>
            <w:r w:rsidRPr="00D1356D">
              <w:rPr>
                <w:b/>
                <w:vertAlign w:val="superscript"/>
              </w:rPr>
              <w:t>a</w:t>
            </w:r>
          </w:p>
        </w:tc>
        <w:tc>
          <w:tcPr>
            <w:tcW w:w="1417" w:type="dxa"/>
          </w:tcPr>
          <w:p w:rsidR="00476F09" w:rsidRPr="00D1356D" w:rsidRDefault="00476F09" w:rsidP="00D1356D">
            <w:pPr>
              <w:pStyle w:val="Tabletext"/>
              <w:rPr>
                <w:b/>
              </w:rPr>
            </w:pPr>
            <w:r w:rsidRPr="00D1356D">
              <w:rPr>
                <w:b/>
              </w:rPr>
              <w:t>Study event rates (%) with prostanoid + ERA</w:t>
            </w:r>
          </w:p>
        </w:tc>
        <w:tc>
          <w:tcPr>
            <w:tcW w:w="1134" w:type="dxa"/>
          </w:tcPr>
          <w:p w:rsidR="00476F09" w:rsidRPr="00D1356D" w:rsidRDefault="00476F09" w:rsidP="00D1356D">
            <w:pPr>
              <w:pStyle w:val="Tabletext"/>
              <w:rPr>
                <w:b/>
              </w:rPr>
            </w:pPr>
            <w:r w:rsidRPr="00D1356D">
              <w:rPr>
                <w:b/>
              </w:rPr>
              <w:t>Study event rates (%) with ERA</w:t>
            </w:r>
          </w:p>
        </w:tc>
        <w:tc>
          <w:tcPr>
            <w:tcW w:w="993" w:type="dxa"/>
          </w:tcPr>
          <w:p w:rsidR="00476F09" w:rsidRPr="00D1356D" w:rsidRDefault="00476F09" w:rsidP="00D1356D">
            <w:pPr>
              <w:pStyle w:val="Tabletext"/>
              <w:rPr>
                <w:b/>
              </w:rPr>
            </w:pPr>
            <w:r w:rsidRPr="00D1356D">
              <w:rPr>
                <w:b/>
              </w:rPr>
              <w:t>Effect measure (95%CI)</w:t>
            </w:r>
          </w:p>
        </w:tc>
        <w:tc>
          <w:tcPr>
            <w:tcW w:w="2188" w:type="dxa"/>
          </w:tcPr>
          <w:p w:rsidR="00476F09" w:rsidRPr="00D1356D" w:rsidRDefault="00476F09" w:rsidP="00D1356D">
            <w:pPr>
              <w:pStyle w:val="Tabletext"/>
              <w:rPr>
                <w:b/>
              </w:rPr>
            </w:pPr>
            <w:r w:rsidRPr="00D1356D">
              <w:rPr>
                <w:b/>
              </w:rPr>
              <w:t>Absolute effect (95%CI)</w:t>
            </w:r>
          </w:p>
        </w:tc>
        <w:tc>
          <w:tcPr>
            <w:tcW w:w="1214" w:type="dxa"/>
          </w:tcPr>
          <w:p w:rsidR="002E6E59" w:rsidRDefault="002E6E59" w:rsidP="00D1356D">
            <w:pPr>
              <w:pStyle w:val="Tabletext"/>
              <w:rPr>
                <w:b/>
              </w:rPr>
            </w:pPr>
            <w:r>
              <w:rPr>
                <w:b/>
              </w:rPr>
              <w:t>GRADE</w:t>
            </w:r>
            <w:r w:rsidRPr="002E6E59">
              <w:rPr>
                <w:b/>
                <w:vertAlign w:val="superscript"/>
              </w:rPr>
              <w:t>b</w:t>
            </w:r>
          </w:p>
          <w:p w:rsidR="00476F09" w:rsidRPr="00D1356D" w:rsidRDefault="00476F09" w:rsidP="00D1356D">
            <w:pPr>
              <w:pStyle w:val="Tabletext"/>
              <w:rPr>
                <w:b/>
                <w:vertAlign w:val="superscript"/>
              </w:rPr>
            </w:pPr>
            <w:r w:rsidRPr="00D1356D">
              <w:rPr>
                <w:b/>
              </w:rPr>
              <w:t>Quality</w:t>
            </w:r>
          </w:p>
          <w:p w:rsidR="00476F09" w:rsidRPr="00D1356D" w:rsidRDefault="00476F09" w:rsidP="00D1356D">
            <w:pPr>
              <w:pStyle w:val="Tabletext"/>
              <w:rPr>
                <w:b/>
              </w:rPr>
            </w:pPr>
            <w:r w:rsidRPr="00D1356D">
              <w:rPr>
                <w:b/>
              </w:rPr>
              <w:t>Importance</w:t>
            </w:r>
          </w:p>
        </w:tc>
      </w:tr>
      <w:tr w:rsidR="00CC3BA4" w:rsidRPr="00D36FBC" w:rsidTr="002856B6">
        <w:trPr>
          <w:trHeight w:val="319"/>
        </w:trPr>
        <w:tc>
          <w:tcPr>
            <w:tcW w:w="1493" w:type="dxa"/>
          </w:tcPr>
          <w:p w:rsidR="00CC3BA4" w:rsidRPr="00D36FBC" w:rsidRDefault="00CC3BA4" w:rsidP="00D1356D">
            <w:pPr>
              <w:pStyle w:val="Tabletext"/>
              <w:rPr>
                <w:rFonts w:cs="Tahoma"/>
              </w:rPr>
            </w:pPr>
            <w:r w:rsidRPr="00D36FBC">
              <w:rPr>
                <w:rFonts w:cs="Tahoma"/>
              </w:rPr>
              <w:t>Clinical worsening</w:t>
            </w:r>
            <w:r>
              <w:rPr>
                <w:rFonts w:cs="Tahoma"/>
              </w:rPr>
              <w:br/>
            </w:r>
            <w:r w:rsidRPr="00D36FBC">
              <w:rPr>
                <w:rFonts w:cs="Tahoma"/>
              </w:rPr>
              <w:t>(</w:t>
            </w:r>
            <w:r>
              <w:rPr>
                <w:rFonts w:cs="Tahoma"/>
              </w:rPr>
              <w:t>12−16</w:t>
            </w:r>
            <w:r w:rsidRPr="00D36FBC">
              <w:rPr>
                <w:rFonts w:cs="Tahoma"/>
              </w:rPr>
              <w:t xml:space="preserve"> weeks)</w:t>
            </w:r>
          </w:p>
        </w:tc>
        <w:tc>
          <w:tcPr>
            <w:tcW w:w="974" w:type="dxa"/>
          </w:tcPr>
          <w:p w:rsidR="00CC3BA4" w:rsidRPr="00D36FBC" w:rsidRDefault="00CC3BA4" w:rsidP="00D1356D">
            <w:pPr>
              <w:pStyle w:val="Tabletext"/>
              <w:rPr>
                <w:rFonts w:cs="Tahoma"/>
              </w:rPr>
            </w:pPr>
            <w:r>
              <w:rPr>
                <w:rFonts w:cs="Tahoma"/>
              </w:rPr>
              <w:t>2</w:t>
            </w:r>
            <w:r w:rsidRPr="00D36FBC">
              <w:rPr>
                <w:rFonts w:cs="Tahoma"/>
              </w:rPr>
              <w:t xml:space="preserve"> RCT</w:t>
            </w:r>
            <w:r>
              <w:rPr>
                <w:rFonts w:cs="Tahoma"/>
              </w:rPr>
              <w:t>s</w:t>
            </w:r>
          </w:p>
        </w:tc>
        <w:tc>
          <w:tcPr>
            <w:tcW w:w="851" w:type="dxa"/>
          </w:tcPr>
          <w:p w:rsidR="00CC3BA4" w:rsidRPr="00D36FBC" w:rsidRDefault="00CC3BA4" w:rsidP="00D1356D">
            <w:pPr>
              <w:pStyle w:val="Tabletext"/>
              <w:rPr>
                <w:rFonts w:cs="Tahoma"/>
              </w:rPr>
            </w:pPr>
            <w:r>
              <w:rPr>
                <w:rFonts w:cs="Tahoma"/>
              </w:rPr>
              <w:t>S</w:t>
            </w:r>
            <w:r w:rsidRPr="00D36FBC">
              <w:rPr>
                <w:rFonts w:cs="Tahoma"/>
              </w:rPr>
              <w:t>erious</w:t>
            </w:r>
            <w:r>
              <w:rPr>
                <w:rFonts w:cs="Tahoma"/>
              </w:rPr>
              <w:t xml:space="preserve"> </w:t>
            </w:r>
            <w:r w:rsidRPr="00B5424D">
              <w:rPr>
                <w:rFonts w:cs="Tahoma"/>
                <w:vertAlign w:val="superscript"/>
              </w:rPr>
              <w:t>c</w:t>
            </w:r>
          </w:p>
        </w:tc>
        <w:tc>
          <w:tcPr>
            <w:tcW w:w="1072" w:type="dxa"/>
          </w:tcPr>
          <w:p w:rsidR="00CC3BA4" w:rsidRPr="00D36FBC" w:rsidRDefault="00CC3BA4" w:rsidP="00D1356D">
            <w:pPr>
              <w:pStyle w:val="Tabletext"/>
              <w:rPr>
                <w:rFonts w:cs="Tahoma"/>
              </w:rPr>
            </w:pPr>
            <w:r w:rsidRPr="00D36FBC">
              <w:rPr>
                <w:rFonts w:cs="Tahoma"/>
              </w:rPr>
              <w:t>Not serious</w:t>
            </w:r>
          </w:p>
        </w:tc>
        <w:tc>
          <w:tcPr>
            <w:tcW w:w="992" w:type="dxa"/>
          </w:tcPr>
          <w:p w:rsidR="00CC3BA4" w:rsidRPr="00D36FBC" w:rsidRDefault="00CC3BA4" w:rsidP="00D1356D">
            <w:pPr>
              <w:pStyle w:val="Tabletext"/>
              <w:rPr>
                <w:rFonts w:cs="Tahoma"/>
              </w:rPr>
            </w:pPr>
            <w:r w:rsidRPr="00D36FBC">
              <w:rPr>
                <w:rFonts w:cs="Tahoma"/>
              </w:rPr>
              <w:t>Not serious</w:t>
            </w:r>
          </w:p>
        </w:tc>
        <w:tc>
          <w:tcPr>
            <w:tcW w:w="1038" w:type="dxa"/>
          </w:tcPr>
          <w:p w:rsidR="00CC3BA4" w:rsidRPr="00D36FBC" w:rsidRDefault="00872747" w:rsidP="00872747">
            <w:pPr>
              <w:pStyle w:val="Tabletext"/>
              <w:rPr>
                <w:rFonts w:cs="Tahoma"/>
              </w:rPr>
            </w:pPr>
            <w:r>
              <w:rPr>
                <w:rFonts w:cs="Tahoma"/>
              </w:rPr>
              <w:t>Very se</w:t>
            </w:r>
            <w:r w:rsidR="00CC3BA4" w:rsidRPr="00D36FBC">
              <w:rPr>
                <w:rFonts w:cs="Tahoma"/>
              </w:rPr>
              <w:t>rious</w:t>
            </w:r>
            <w:r w:rsidR="00CC3BA4">
              <w:rPr>
                <w:rFonts w:cs="Tahoma"/>
              </w:rPr>
              <w:t xml:space="preserve"> </w:t>
            </w:r>
            <w:r w:rsidR="00CC3BA4">
              <w:rPr>
                <w:rFonts w:cs="Tahoma"/>
                <w:vertAlign w:val="superscript"/>
              </w:rPr>
              <w:t>d</w:t>
            </w:r>
          </w:p>
        </w:tc>
        <w:tc>
          <w:tcPr>
            <w:tcW w:w="1230" w:type="dxa"/>
          </w:tcPr>
          <w:p w:rsidR="00CC3BA4" w:rsidRPr="00D36FBC" w:rsidRDefault="00CC3BA4" w:rsidP="00D1356D">
            <w:pPr>
              <w:pStyle w:val="Tabletext"/>
              <w:rPr>
                <w:rFonts w:cs="Tahoma"/>
              </w:rPr>
            </w:pPr>
            <w:r>
              <w:rPr>
                <w:rFonts w:cs="Tahoma"/>
              </w:rPr>
              <w:t>None</w:t>
            </w:r>
          </w:p>
        </w:tc>
        <w:tc>
          <w:tcPr>
            <w:tcW w:w="1417" w:type="dxa"/>
          </w:tcPr>
          <w:p w:rsidR="00CC3BA4" w:rsidRPr="0077309F" w:rsidRDefault="00CC3BA4" w:rsidP="00D1356D">
            <w:pPr>
              <w:pStyle w:val="Tabletext"/>
              <w:rPr>
                <w:rFonts w:cs="Tahoma"/>
              </w:rPr>
            </w:pPr>
            <w:r>
              <w:rPr>
                <w:rFonts w:cs="Tahoma"/>
              </w:rPr>
              <w:t>3/51 (5.9%)</w:t>
            </w:r>
          </w:p>
        </w:tc>
        <w:tc>
          <w:tcPr>
            <w:tcW w:w="1134" w:type="dxa"/>
          </w:tcPr>
          <w:p w:rsidR="00CC3BA4" w:rsidRPr="00D36FBC" w:rsidRDefault="00CC3BA4" w:rsidP="00D1356D">
            <w:pPr>
              <w:pStyle w:val="Tabletext"/>
              <w:rPr>
                <w:rFonts w:cs="Tahoma"/>
                <w:highlight w:val="cyan"/>
              </w:rPr>
            </w:pPr>
            <w:r w:rsidRPr="00A72EDD">
              <w:rPr>
                <w:rFonts w:cs="Tahoma"/>
              </w:rPr>
              <w:t>9/54 (16.7%)</w:t>
            </w:r>
          </w:p>
        </w:tc>
        <w:tc>
          <w:tcPr>
            <w:tcW w:w="993" w:type="dxa"/>
          </w:tcPr>
          <w:p w:rsidR="00CC3BA4" w:rsidRPr="00482160" w:rsidRDefault="00CC3BA4" w:rsidP="00D1356D">
            <w:pPr>
              <w:pStyle w:val="Tabletext"/>
              <w:rPr>
                <w:rFonts w:cs="Tahoma"/>
              </w:rPr>
            </w:pPr>
            <w:r w:rsidRPr="00A72EDD">
              <w:rPr>
                <w:rFonts w:cs="Tahoma"/>
              </w:rPr>
              <w:t xml:space="preserve">RR </w:t>
            </w:r>
            <w:r>
              <w:rPr>
                <w:rFonts w:cs="Tahoma"/>
              </w:rPr>
              <w:t xml:space="preserve">= </w:t>
            </w:r>
            <w:r w:rsidRPr="00A72EDD">
              <w:rPr>
                <w:rFonts w:cs="Tahoma"/>
              </w:rPr>
              <w:t>0.39</w:t>
            </w:r>
            <w:r>
              <w:rPr>
                <w:rFonts w:cs="Tahoma"/>
              </w:rPr>
              <w:t xml:space="preserve"> </w:t>
            </w:r>
            <w:r w:rsidRPr="00A72EDD">
              <w:rPr>
                <w:rFonts w:cs="Tahoma"/>
              </w:rPr>
              <w:t>(0.04</w:t>
            </w:r>
            <w:r>
              <w:rPr>
                <w:rFonts w:cs="Tahoma"/>
              </w:rPr>
              <w:t>,</w:t>
            </w:r>
            <w:r w:rsidRPr="00A72EDD">
              <w:rPr>
                <w:rFonts w:cs="Tahoma"/>
              </w:rPr>
              <w:t xml:space="preserve"> 3.45)</w:t>
            </w:r>
          </w:p>
        </w:tc>
        <w:tc>
          <w:tcPr>
            <w:tcW w:w="2188" w:type="dxa"/>
          </w:tcPr>
          <w:p w:rsidR="00CC3BA4" w:rsidRPr="00D36FBC" w:rsidRDefault="00CC3BA4" w:rsidP="00D1356D">
            <w:pPr>
              <w:pStyle w:val="Tabletext"/>
              <w:rPr>
                <w:rFonts w:cs="Tahoma"/>
                <w:highlight w:val="cyan"/>
              </w:rPr>
            </w:pPr>
            <w:r w:rsidRPr="00A72EDD">
              <w:rPr>
                <w:rFonts w:cs="Tahoma"/>
              </w:rPr>
              <w:t>102 fewer per 1,000</w:t>
            </w:r>
            <w:r>
              <w:rPr>
                <w:rFonts w:cs="Tahoma"/>
              </w:rPr>
              <w:br/>
            </w:r>
            <w:r w:rsidRPr="00A72EDD">
              <w:rPr>
                <w:rFonts w:cs="Tahoma"/>
              </w:rPr>
              <w:t>(from 160 fewer to 408 more)</w:t>
            </w:r>
          </w:p>
        </w:tc>
        <w:tc>
          <w:tcPr>
            <w:tcW w:w="1214" w:type="dxa"/>
          </w:tcPr>
          <w:p w:rsidR="00872747" w:rsidRDefault="00872747" w:rsidP="00872747">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D36FBC" w:rsidRDefault="00CC3BA4" w:rsidP="00D1356D">
            <w:pPr>
              <w:pStyle w:val="Tabletext"/>
              <w:rPr>
                <w:rFonts w:cs="Tahoma"/>
              </w:rPr>
            </w:pPr>
            <w:r w:rsidRPr="00E564DD">
              <w:rPr>
                <w:rFonts w:cs="Tahoma"/>
              </w:rPr>
              <w:t>Critical</w:t>
            </w:r>
          </w:p>
        </w:tc>
      </w:tr>
      <w:tr w:rsidR="00CC3BA4" w:rsidRPr="00D36FBC" w:rsidTr="002856B6">
        <w:trPr>
          <w:trHeight w:val="319"/>
        </w:trPr>
        <w:tc>
          <w:tcPr>
            <w:tcW w:w="1493" w:type="dxa"/>
          </w:tcPr>
          <w:p w:rsidR="00CC3BA4" w:rsidRPr="00D36FBC" w:rsidRDefault="00CC3BA4" w:rsidP="00D1356D">
            <w:pPr>
              <w:pStyle w:val="Tabletext"/>
              <w:rPr>
                <w:rFonts w:cs="Tahoma"/>
              </w:rPr>
            </w:pPr>
            <w:r w:rsidRPr="00D36FBC">
              <w:rPr>
                <w:rFonts w:cs="Tahoma"/>
              </w:rPr>
              <w:t>Mortality</w:t>
            </w:r>
            <w:r>
              <w:rPr>
                <w:rFonts w:cs="Tahoma"/>
              </w:rPr>
              <w:br/>
            </w:r>
            <w:r w:rsidRPr="00D36FBC">
              <w:rPr>
                <w:rFonts w:cs="Tahoma"/>
              </w:rPr>
              <w:t>(</w:t>
            </w:r>
            <w:r>
              <w:rPr>
                <w:rFonts w:cs="Tahoma"/>
              </w:rPr>
              <w:t>12−16</w:t>
            </w:r>
            <w:r w:rsidRPr="00D36FBC">
              <w:rPr>
                <w:rFonts w:cs="Tahoma"/>
              </w:rPr>
              <w:t xml:space="preserve"> weeks)</w:t>
            </w:r>
          </w:p>
        </w:tc>
        <w:tc>
          <w:tcPr>
            <w:tcW w:w="974" w:type="dxa"/>
          </w:tcPr>
          <w:p w:rsidR="00CC3BA4" w:rsidRPr="00D36FBC" w:rsidRDefault="00CC3BA4" w:rsidP="00D1356D">
            <w:pPr>
              <w:pStyle w:val="Tabletext"/>
              <w:rPr>
                <w:rFonts w:cs="Tahoma"/>
              </w:rPr>
            </w:pPr>
            <w:r>
              <w:rPr>
                <w:rFonts w:cs="Tahoma"/>
              </w:rPr>
              <w:t>2</w:t>
            </w:r>
            <w:r w:rsidRPr="00D36FBC">
              <w:rPr>
                <w:rFonts w:cs="Tahoma"/>
              </w:rPr>
              <w:t xml:space="preserve"> RCT</w:t>
            </w:r>
            <w:r>
              <w:rPr>
                <w:rFonts w:cs="Tahoma"/>
              </w:rPr>
              <w:t>s</w:t>
            </w:r>
          </w:p>
        </w:tc>
        <w:tc>
          <w:tcPr>
            <w:tcW w:w="851" w:type="dxa"/>
          </w:tcPr>
          <w:p w:rsidR="00CC3BA4" w:rsidRPr="00D36FBC" w:rsidRDefault="00CC3BA4" w:rsidP="00D1356D">
            <w:pPr>
              <w:pStyle w:val="Tabletext"/>
              <w:rPr>
                <w:rFonts w:cs="Tahoma"/>
              </w:rPr>
            </w:pPr>
            <w:r>
              <w:rPr>
                <w:rFonts w:cs="Tahoma"/>
              </w:rPr>
              <w:t>S</w:t>
            </w:r>
            <w:r w:rsidRPr="00D36FBC">
              <w:rPr>
                <w:rFonts w:cs="Tahoma"/>
              </w:rPr>
              <w:t>erious</w:t>
            </w:r>
            <w:r>
              <w:rPr>
                <w:rFonts w:cs="Tahoma"/>
              </w:rPr>
              <w:t xml:space="preserve"> </w:t>
            </w:r>
            <w:r w:rsidRPr="00B5424D">
              <w:rPr>
                <w:rFonts w:cs="Tahoma"/>
                <w:vertAlign w:val="superscript"/>
              </w:rPr>
              <w:t>c</w:t>
            </w:r>
          </w:p>
        </w:tc>
        <w:tc>
          <w:tcPr>
            <w:tcW w:w="1072" w:type="dxa"/>
          </w:tcPr>
          <w:p w:rsidR="00CC3BA4" w:rsidRPr="00D36FBC" w:rsidRDefault="00CC3BA4" w:rsidP="00D1356D">
            <w:pPr>
              <w:pStyle w:val="Tabletext"/>
              <w:rPr>
                <w:rFonts w:cs="Tahoma"/>
              </w:rPr>
            </w:pPr>
            <w:r w:rsidRPr="00D36FBC">
              <w:rPr>
                <w:rFonts w:cs="Tahoma"/>
              </w:rPr>
              <w:t>Not serious</w:t>
            </w:r>
          </w:p>
        </w:tc>
        <w:tc>
          <w:tcPr>
            <w:tcW w:w="992" w:type="dxa"/>
          </w:tcPr>
          <w:p w:rsidR="00CC3BA4" w:rsidRPr="00D36FBC" w:rsidRDefault="00CC3BA4" w:rsidP="00D1356D">
            <w:pPr>
              <w:pStyle w:val="Tabletext"/>
              <w:rPr>
                <w:rFonts w:cs="Tahoma"/>
              </w:rPr>
            </w:pPr>
            <w:r w:rsidRPr="00D36FBC">
              <w:rPr>
                <w:rFonts w:cs="Tahoma"/>
              </w:rPr>
              <w:t>Not serious</w:t>
            </w:r>
          </w:p>
        </w:tc>
        <w:tc>
          <w:tcPr>
            <w:tcW w:w="1038" w:type="dxa"/>
          </w:tcPr>
          <w:p w:rsidR="00CC3BA4" w:rsidRPr="00D36FBC" w:rsidRDefault="00CC3BA4" w:rsidP="00D1356D">
            <w:pPr>
              <w:pStyle w:val="Tabletext"/>
              <w:rPr>
                <w:rFonts w:cs="Tahoma"/>
              </w:rPr>
            </w:pPr>
            <w:r>
              <w:rPr>
                <w:rFonts w:cs="Tahoma"/>
              </w:rPr>
              <w:t>Not s</w:t>
            </w:r>
            <w:r w:rsidRPr="00D36FBC">
              <w:rPr>
                <w:rFonts w:cs="Tahoma"/>
              </w:rPr>
              <w:t>erious</w:t>
            </w:r>
          </w:p>
        </w:tc>
        <w:tc>
          <w:tcPr>
            <w:tcW w:w="1230" w:type="dxa"/>
          </w:tcPr>
          <w:p w:rsidR="00CC3BA4" w:rsidRPr="00D36FBC" w:rsidRDefault="00CC3BA4" w:rsidP="00D1356D">
            <w:pPr>
              <w:pStyle w:val="Tabletext"/>
              <w:rPr>
                <w:rFonts w:cs="Tahoma"/>
              </w:rPr>
            </w:pPr>
            <w:r w:rsidRPr="00D36FBC">
              <w:rPr>
                <w:rFonts w:cs="Tahoma"/>
              </w:rPr>
              <w:t>None</w:t>
            </w:r>
          </w:p>
        </w:tc>
        <w:tc>
          <w:tcPr>
            <w:tcW w:w="1417" w:type="dxa"/>
          </w:tcPr>
          <w:p w:rsidR="00CC3BA4" w:rsidRPr="0077309F" w:rsidRDefault="00CC3BA4" w:rsidP="00D1356D">
            <w:pPr>
              <w:pStyle w:val="Tabletext"/>
              <w:rPr>
                <w:rFonts w:cs="Tahoma"/>
              </w:rPr>
            </w:pPr>
            <w:r>
              <w:rPr>
                <w:rFonts w:cs="Tahoma"/>
              </w:rPr>
              <w:t>0/51 (0.0%)</w:t>
            </w:r>
          </w:p>
        </w:tc>
        <w:tc>
          <w:tcPr>
            <w:tcW w:w="1134" w:type="dxa"/>
          </w:tcPr>
          <w:p w:rsidR="00CC3BA4" w:rsidRPr="001D2AD7" w:rsidRDefault="00CC3BA4" w:rsidP="00D1356D">
            <w:pPr>
              <w:pStyle w:val="Tabletext"/>
              <w:rPr>
                <w:rFonts w:cs="Tahoma"/>
                <w:highlight w:val="cyan"/>
              </w:rPr>
            </w:pPr>
            <w:r>
              <w:rPr>
                <w:rFonts w:cs="Tahoma"/>
              </w:rPr>
              <w:t>0</w:t>
            </w:r>
            <w:r w:rsidRPr="00A72EDD">
              <w:rPr>
                <w:rFonts w:cs="Tahoma"/>
              </w:rPr>
              <w:t>/54 (0.0%)</w:t>
            </w:r>
          </w:p>
        </w:tc>
        <w:tc>
          <w:tcPr>
            <w:tcW w:w="993" w:type="dxa"/>
          </w:tcPr>
          <w:p w:rsidR="00CC3BA4" w:rsidRPr="001D2AD7" w:rsidRDefault="00CC3BA4" w:rsidP="000E67F8">
            <w:pPr>
              <w:pStyle w:val="Tabletext"/>
              <w:rPr>
                <w:rFonts w:cs="Tahoma"/>
                <w:highlight w:val="cyan"/>
              </w:rPr>
            </w:pPr>
            <w:r>
              <w:rPr>
                <w:rFonts w:cs="Tahoma"/>
              </w:rPr>
              <w:t>N</w:t>
            </w:r>
            <w:r w:rsidRPr="00A72EDD">
              <w:rPr>
                <w:rFonts w:cs="Tahoma"/>
              </w:rPr>
              <w:t>o</w:t>
            </w:r>
            <w:r w:rsidR="000E67F8">
              <w:rPr>
                <w:rFonts w:cs="Tahoma"/>
              </w:rPr>
              <w:t xml:space="preserve"> deaths</w:t>
            </w:r>
          </w:p>
        </w:tc>
        <w:tc>
          <w:tcPr>
            <w:tcW w:w="2188" w:type="dxa"/>
          </w:tcPr>
          <w:p w:rsidR="00CC3BA4" w:rsidRPr="00D36FBC" w:rsidRDefault="00CC3BA4" w:rsidP="00D1356D">
            <w:pPr>
              <w:pStyle w:val="Tabletext"/>
              <w:rPr>
                <w:rFonts w:cs="Tahoma"/>
                <w:highlight w:val="cyan"/>
              </w:rPr>
            </w:pPr>
            <w:r w:rsidRPr="00A72EDD">
              <w:rPr>
                <w:rFonts w:cs="Tahoma"/>
              </w:rPr>
              <w:t>Not estimable</w:t>
            </w:r>
          </w:p>
        </w:tc>
        <w:tc>
          <w:tcPr>
            <w:tcW w:w="1214" w:type="dxa"/>
          </w:tcPr>
          <w:p w:rsidR="00CC3BA4" w:rsidRDefault="00CC3BA4" w:rsidP="00D1356D">
            <w:pPr>
              <w:pStyle w:val="Tabletext"/>
              <w:rPr>
                <w:rFonts w:ascii="Cambria Math" w:eastAsia="Times New Roman" w:hAnsi="Cambria Math" w:cs="Cambria Math"/>
                <w:bCs/>
              </w:rPr>
            </w:pPr>
            <w:r w:rsidRPr="00E564DD">
              <w:rPr>
                <w:rFonts w:eastAsia="Times New Roman" w:cs="Tahoma"/>
                <w:bCs/>
              </w:rPr>
              <w:t>Moderate</w:t>
            </w:r>
            <w:r>
              <w:rPr>
                <w:rFonts w:eastAsia="Times New Roman" w:cs="Tahoma"/>
                <w:bCs/>
              </w:rPr>
              <w:br/>
            </w: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D36FBC" w:rsidRDefault="00CC3BA4" w:rsidP="00D1356D">
            <w:pPr>
              <w:pStyle w:val="Tabletext"/>
              <w:rPr>
                <w:rFonts w:cs="Tahoma"/>
              </w:rPr>
            </w:pPr>
            <w:r w:rsidRPr="00E564DD">
              <w:rPr>
                <w:rFonts w:cs="Tahoma"/>
              </w:rPr>
              <w:t>Critical</w:t>
            </w:r>
          </w:p>
        </w:tc>
      </w:tr>
      <w:tr w:rsidR="00CC3BA4" w:rsidRPr="00D36FBC" w:rsidTr="002856B6">
        <w:trPr>
          <w:trHeight w:val="319"/>
        </w:trPr>
        <w:tc>
          <w:tcPr>
            <w:tcW w:w="1493" w:type="dxa"/>
          </w:tcPr>
          <w:p w:rsidR="00CC3BA4" w:rsidRPr="00D36FBC" w:rsidRDefault="00CC3BA4" w:rsidP="00D1356D">
            <w:pPr>
              <w:pStyle w:val="Tabletext"/>
              <w:rPr>
                <w:rFonts w:cs="Tahoma"/>
              </w:rPr>
            </w:pPr>
            <w:r w:rsidRPr="000E67F8">
              <w:rPr>
                <w:rFonts w:cs="Tahoma"/>
              </w:rPr>
              <w:t>Hospitalisation</w:t>
            </w:r>
            <w:r w:rsidR="00086A04">
              <w:rPr>
                <w:rFonts w:cs="Tahoma"/>
              </w:rPr>
              <w:t xml:space="preserve"> due to PAH</w:t>
            </w:r>
            <w:r w:rsidRPr="000E67F8">
              <w:rPr>
                <w:rFonts w:cs="Tahoma"/>
              </w:rPr>
              <w:br/>
              <w:t>(12−16 weeks)</w:t>
            </w:r>
          </w:p>
        </w:tc>
        <w:tc>
          <w:tcPr>
            <w:tcW w:w="974" w:type="dxa"/>
          </w:tcPr>
          <w:p w:rsidR="00CC3BA4" w:rsidRPr="00D36FBC" w:rsidRDefault="00CC3BA4" w:rsidP="00D1356D">
            <w:pPr>
              <w:pStyle w:val="Tabletext"/>
              <w:rPr>
                <w:rFonts w:cs="Tahoma"/>
              </w:rPr>
            </w:pPr>
            <w:r>
              <w:rPr>
                <w:rFonts w:cs="Tahoma"/>
              </w:rPr>
              <w:t>2</w:t>
            </w:r>
            <w:r w:rsidRPr="00D36FBC">
              <w:rPr>
                <w:rFonts w:cs="Tahoma"/>
              </w:rPr>
              <w:t xml:space="preserve"> RCT</w:t>
            </w:r>
            <w:r>
              <w:rPr>
                <w:rFonts w:cs="Tahoma"/>
              </w:rPr>
              <w:t>s</w:t>
            </w:r>
          </w:p>
        </w:tc>
        <w:tc>
          <w:tcPr>
            <w:tcW w:w="851" w:type="dxa"/>
          </w:tcPr>
          <w:p w:rsidR="00CC3BA4" w:rsidRPr="00D36FBC" w:rsidRDefault="00CC3BA4" w:rsidP="00D1356D">
            <w:pPr>
              <w:pStyle w:val="Tabletext"/>
              <w:rPr>
                <w:rFonts w:cs="Tahoma"/>
              </w:rPr>
            </w:pPr>
            <w:r>
              <w:rPr>
                <w:rFonts w:cs="Tahoma"/>
              </w:rPr>
              <w:t>S</w:t>
            </w:r>
            <w:r w:rsidRPr="00D36FBC">
              <w:rPr>
                <w:rFonts w:cs="Tahoma"/>
              </w:rPr>
              <w:t>erious</w:t>
            </w:r>
            <w:r>
              <w:rPr>
                <w:rFonts w:cs="Tahoma"/>
              </w:rPr>
              <w:t xml:space="preserve"> </w:t>
            </w:r>
            <w:r w:rsidRPr="00B5424D">
              <w:rPr>
                <w:rFonts w:cs="Tahoma"/>
                <w:vertAlign w:val="superscript"/>
              </w:rPr>
              <w:t>c</w:t>
            </w:r>
          </w:p>
        </w:tc>
        <w:tc>
          <w:tcPr>
            <w:tcW w:w="1072" w:type="dxa"/>
          </w:tcPr>
          <w:p w:rsidR="00CC3BA4" w:rsidRPr="00D36FBC" w:rsidRDefault="00CC3BA4" w:rsidP="00D1356D">
            <w:pPr>
              <w:pStyle w:val="Tabletext"/>
              <w:rPr>
                <w:rFonts w:cs="Tahoma"/>
              </w:rPr>
            </w:pPr>
            <w:r>
              <w:rPr>
                <w:rFonts w:cs="Tahoma"/>
              </w:rPr>
              <w:t>Not serious</w:t>
            </w:r>
          </w:p>
        </w:tc>
        <w:tc>
          <w:tcPr>
            <w:tcW w:w="992" w:type="dxa"/>
          </w:tcPr>
          <w:p w:rsidR="00CC3BA4" w:rsidRPr="00D36FBC" w:rsidRDefault="00CC3BA4" w:rsidP="00D1356D">
            <w:pPr>
              <w:pStyle w:val="Tabletext"/>
              <w:rPr>
                <w:rFonts w:cs="Tahoma"/>
              </w:rPr>
            </w:pPr>
            <w:r w:rsidRPr="00D36FBC">
              <w:rPr>
                <w:rFonts w:cs="Tahoma"/>
              </w:rPr>
              <w:t>Not serious</w:t>
            </w:r>
          </w:p>
        </w:tc>
        <w:tc>
          <w:tcPr>
            <w:tcW w:w="1038" w:type="dxa"/>
          </w:tcPr>
          <w:p w:rsidR="00CC3BA4" w:rsidRPr="00D36FBC" w:rsidRDefault="00CC3BA4" w:rsidP="00D1356D">
            <w:pPr>
              <w:pStyle w:val="Tabletext"/>
              <w:rPr>
                <w:rFonts w:cs="Tahoma"/>
              </w:rPr>
            </w:pPr>
            <w:r w:rsidRPr="00D36FBC">
              <w:rPr>
                <w:rFonts w:cs="Tahoma"/>
              </w:rPr>
              <w:t>Not serious</w:t>
            </w:r>
          </w:p>
        </w:tc>
        <w:tc>
          <w:tcPr>
            <w:tcW w:w="1230" w:type="dxa"/>
          </w:tcPr>
          <w:p w:rsidR="00CC3BA4" w:rsidRPr="00D36FBC" w:rsidRDefault="00CC3BA4" w:rsidP="00D1356D">
            <w:pPr>
              <w:pStyle w:val="Tabletext"/>
              <w:rPr>
                <w:rFonts w:cs="Tahoma"/>
              </w:rPr>
            </w:pPr>
            <w:r w:rsidRPr="00D36FBC">
              <w:rPr>
                <w:rFonts w:cs="Tahoma"/>
              </w:rPr>
              <w:t>None</w:t>
            </w:r>
          </w:p>
        </w:tc>
        <w:tc>
          <w:tcPr>
            <w:tcW w:w="1417" w:type="dxa"/>
          </w:tcPr>
          <w:p w:rsidR="00CC3BA4" w:rsidRPr="0077309F" w:rsidRDefault="00CC3BA4" w:rsidP="00D1356D">
            <w:pPr>
              <w:pStyle w:val="Tabletext"/>
              <w:rPr>
                <w:rFonts w:cs="Tahoma"/>
              </w:rPr>
            </w:pPr>
            <w:r>
              <w:rPr>
                <w:rFonts w:cs="Tahoma"/>
              </w:rPr>
              <w:t>0/51 (0.0%)</w:t>
            </w:r>
          </w:p>
        </w:tc>
        <w:tc>
          <w:tcPr>
            <w:tcW w:w="1134" w:type="dxa"/>
          </w:tcPr>
          <w:p w:rsidR="00CC3BA4" w:rsidRPr="001D2AD7" w:rsidRDefault="00CC3BA4" w:rsidP="00D1356D">
            <w:pPr>
              <w:pStyle w:val="Tabletext"/>
              <w:rPr>
                <w:rFonts w:cs="Tahoma"/>
                <w:highlight w:val="cyan"/>
              </w:rPr>
            </w:pPr>
            <w:r>
              <w:rPr>
                <w:rFonts w:cs="Tahoma"/>
              </w:rPr>
              <w:t>4</w:t>
            </w:r>
            <w:r w:rsidRPr="00A72EDD">
              <w:rPr>
                <w:rFonts w:cs="Tahoma"/>
              </w:rPr>
              <w:t>/54 (0.0%)</w:t>
            </w:r>
          </w:p>
        </w:tc>
        <w:tc>
          <w:tcPr>
            <w:tcW w:w="993" w:type="dxa"/>
          </w:tcPr>
          <w:p w:rsidR="00CC3BA4" w:rsidRPr="001D2AD7" w:rsidRDefault="00B21201" w:rsidP="00C035C0">
            <w:pPr>
              <w:pStyle w:val="Tabletext"/>
              <w:rPr>
                <w:rFonts w:cs="Tahoma"/>
                <w:highlight w:val="cyan"/>
              </w:rPr>
            </w:pPr>
            <w:r>
              <w:rPr>
                <w:rFonts w:cs="Tahoma"/>
              </w:rPr>
              <w:t>ARD</w:t>
            </w:r>
            <w:r w:rsidR="00CC3BA4">
              <w:rPr>
                <w:rFonts w:cs="Tahoma"/>
              </w:rPr>
              <w:t xml:space="preserve"> = </w:t>
            </w:r>
            <w:r w:rsidR="00645E4A">
              <w:rPr>
                <w:rFonts w:cs="Tahoma"/>
              </w:rPr>
              <w:t>−</w:t>
            </w:r>
            <w:r w:rsidR="00C035C0">
              <w:rPr>
                <w:rFonts w:cs="Tahoma"/>
              </w:rPr>
              <w:t>5.5</w:t>
            </w:r>
            <w:r w:rsidR="00CC3BA4">
              <w:rPr>
                <w:rFonts w:cs="Tahoma"/>
              </w:rPr>
              <w:t>% (</w:t>
            </w:r>
            <w:r w:rsidR="00645E4A">
              <w:rPr>
                <w:rFonts w:cs="Tahoma"/>
              </w:rPr>
              <w:t>−1</w:t>
            </w:r>
            <w:r w:rsidR="00C035C0">
              <w:rPr>
                <w:rFonts w:cs="Tahoma"/>
              </w:rPr>
              <w:t>8.9</w:t>
            </w:r>
            <w:r w:rsidR="00645E4A">
              <w:rPr>
                <w:rFonts w:cs="Tahoma"/>
              </w:rPr>
              <w:t xml:space="preserve">, </w:t>
            </w:r>
            <w:r w:rsidR="00C035C0">
              <w:rPr>
                <w:rFonts w:cs="Tahoma"/>
              </w:rPr>
              <w:t>7.8</w:t>
            </w:r>
            <w:r w:rsidR="00CC3BA4">
              <w:rPr>
                <w:rFonts w:cs="Tahoma"/>
              </w:rPr>
              <w:t>)</w:t>
            </w:r>
          </w:p>
        </w:tc>
        <w:tc>
          <w:tcPr>
            <w:tcW w:w="2188" w:type="dxa"/>
          </w:tcPr>
          <w:p w:rsidR="00CC3BA4" w:rsidRPr="00D36FBC" w:rsidRDefault="00884F0A" w:rsidP="00734B37">
            <w:pPr>
              <w:pStyle w:val="Tabletext"/>
              <w:rPr>
                <w:rFonts w:cs="Tahoma"/>
                <w:highlight w:val="cyan"/>
              </w:rPr>
            </w:pPr>
            <w:r>
              <w:rPr>
                <w:rFonts w:cs="Tahoma"/>
              </w:rPr>
              <w:t>55</w:t>
            </w:r>
            <w:r w:rsidR="00CC3BA4" w:rsidRPr="00F032EC">
              <w:rPr>
                <w:rFonts w:cs="Tahoma"/>
              </w:rPr>
              <w:t xml:space="preserve"> fewer per 1,000</w:t>
            </w:r>
            <w:r w:rsidR="00CC3BA4">
              <w:rPr>
                <w:rFonts w:cs="Tahoma"/>
              </w:rPr>
              <w:br/>
            </w:r>
            <w:r w:rsidR="00CC3BA4" w:rsidRPr="00F032EC">
              <w:rPr>
                <w:rFonts w:cs="Tahoma"/>
              </w:rPr>
              <w:t xml:space="preserve">(from </w:t>
            </w:r>
            <w:r w:rsidR="00734B37">
              <w:rPr>
                <w:rFonts w:cs="Tahoma"/>
              </w:rPr>
              <w:t>7</w:t>
            </w:r>
            <w:r>
              <w:rPr>
                <w:rFonts w:cs="Tahoma"/>
              </w:rPr>
              <w:t>8</w:t>
            </w:r>
            <w:r w:rsidR="00CC3BA4" w:rsidRPr="00F032EC">
              <w:rPr>
                <w:rFonts w:cs="Tahoma"/>
              </w:rPr>
              <w:t xml:space="preserve"> </w:t>
            </w:r>
            <w:r w:rsidR="00734B37">
              <w:rPr>
                <w:rFonts w:cs="Tahoma"/>
              </w:rPr>
              <w:t>more</w:t>
            </w:r>
            <w:r w:rsidR="00CC3BA4" w:rsidRPr="00F032EC">
              <w:rPr>
                <w:rFonts w:cs="Tahoma"/>
              </w:rPr>
              <w:t xml:space="preserve"> to </w:t>
            </w:r>
            <w:r w:rsidR="00734B37">
              <w:rPr>
                <w:rFonts w:cs="Tahoma"/>
              </w:rPr>
              <w:t>1</w:t>
            </w:r>
            <w:r>
              <w:rPr>
                <w:rFonts w:cs="Tahoma"/>
              </w:rPr>
              <w:t>8</w:t>
            </w:r>
            <w:r w:rsidR="00734B37">
              <w:rPr>
                <w:rFonts w:cs="Tahoma"/>
              </w:rPr>
              <w:t>9</w:t>
            </w:r>
            <w:r>
              <w:rPr>
                <w:rFonts w:cs="Tahoma"/>
              </w:rPr>
              <w:t xml:space="preserve"> </w:t>
            </w:r>
            <w:r w:rsidR="00734B37">
              <w:rPr>
                <w:rFonts w:cs="Tahoma"/>
              </w:rPr>
              <w:t>fewer</w:t>
            </w:r>
            <w:r w:rsidR="00CC3BA4" w:rsidRPr="00F032EC">
              <w:rPr>
                <w:rFonts w:cs="Tahoma"/>
              </w:rPr>
              <w:t>)</w:t>
            </w:r>
          </w:p>
        </w:tc>
        <w:tc>
          <w:tcPr>
            <w:tcW w:w="1214" w:type="dxa"/>
          </w:tcPr>
          <w:p w:rsidR="00CC3BA4" w:rsidRDefault="00CC3BA4" w:rsidP="00D1356D">
            <w:pPr>
              <w:pStyle w:val="Tabletext"/>
              <w:rPr>
                <w:rFonts w:ascii="Cambria Math" w:eastAsia="Times New Roman" w:hAnsi="Cambria Math" w:cs="Cambria Math"/>
                <w:bCs/>
              </w:rPr>
            </w:pPr>
            <w:r w:rsidRPr="00E564DD">
              <w:rPr>
                <w:rFonts w:eastAsia="Times New Roman" w:cs="Tahoma"/>
                <w:bCs/>
              </w:rPr>
              <w:t>Moderate</w:t>
            </w:r>
            <w:r>
              <w:rPr>
                <w:rFonts w:eastAsia="Times New Roman" w:cs="Tahoma"/>
                <w:bCs/>
              </w:rPr>
              <w:br/>
            </w: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D36FBC" w:rsidRDefault="00CC3BA4" w:rsidP="00D1356D">
            <w:pPr>
              <w:pStyle w:val="Tabletext"/>
              <w:rPr>
                <w:rFonts w:eastAsia="Times New Roman" w:cs="Cambria Math"/>
                <w:bCs/>
                <w:color w:val="00B050"/>
              </w:rPr>
            </w:pPr>
            <w:r>
              <w:rPr>
                <w:rFonts w:cs="Tahoma"/>
              </w:rPr>
              <w:t>I</w:t>
            </w:r>
            <w:r w:rsidRPr="00E564DD">
              <w:rPr>
                <w:rFonts w:cs="Tahoma"/>
              </w:rPr>
              <w:t>mportant</w:t>
            </w:r>
          </w:p>
        </w:tc>
      </w:tr>
      <w:tr w:rsidR="00CC3BA4" w:rsidRPr="00D36FBC" w:rsidTr="002856B6">
        <w:trPr>
          <w:trHeight w:val="319"/>
        </w:trPr>
        <w:tc>
          <w:tcPr>
            <w:tcW w:w="1493" w:type="dxa"/>
          </w:tcPr>
          <w:p w:rsidR="00CC3BA4" w:rsidRDefault="00CC3BA4" w:rsidP="00D1356D">
            <w:pPr>
              <w:pStyle w:val="Tabletext"/>
              <w:rPr>
                <w:rFonts w:cs="Tahoma"/>
              </w:rPr>
            </w:pPr>
            <w:r>
              <w:rPr>
                <w:rFonts w:cs="Tahoma"/>
              </w:rPr>
              <w:t>Improved WHO FC</w:t>
            </w:r>
          </w:p>
          <w:p w:rsidR="00CC3BA4" w:rsidRPr="00D36FBC" w:rsidRDefault="00CC3BA4" w:rsidP="00D1356D">
            <w:pPr>
              <w:pStyle w:val="Tabletext"/>
              <w:rPr>
                <w:rFonts w:cs="Tahoma"/>
              </w:rPr>
            </w:pPr>
            <w:r>
              <w:rPr>
                <w:rFonts w:cs="Tahoma"/>
              </w:rPr>
              <w:t>(12 weeks)</w:t>
            </w:r>
          </w:p>
        </w:tc>
        <w:tc>
          <w:tcPr>
            <w:tcW w:w="974" w:type="dxa"/>
          </w:tcPr>
          <w:p w:rsidR="00CC3BA4" w:rsidRPr="00D36FBC" w:rsidRDefault="00CC3BA4" w:rsidP="00D1356D">
            <w:pPr>
              <w:pStyle w:val="Tabletext"/>
              <w:rPr>
                <w:rFonts w:cs="Tahoma"/>
              </w:rPr>
            </w:pPr>
            <w:r>
              <w:rPr>
                <w:rFonts w:cs="Tahoma"/>
              </w:rPr>
              <w:t>1 RCT</w:t>
            </w:r>
          </w:p>
        </w:tc>
        <w:tc>
          <w:tcPr>
            <w:tcW w:w="851" w:type="dxa"/>
          </w:tcPr>
          <w:p w:rsidR="00CC3BA4" w:rsidRPr="00D36FBC" w:rsidRDefault="00CC3BA4" w:rsidP="00D1356D">
            <w:pPr>
              <w:pStyle w:val="Tabletext"/>
              <w:rPr>
                <w:rFonts w:cs="Tahoma"/>
              </w:rPr>
            </w:pPr>
            <w:r w:rsidRPr="00D36FBC">
              <w:rPr>
                <w:rFonts w:cs="Tahoma"/>
              </w:rPr>
              <w:t>Not serious</w:t>
            </w:r>
          </w:p>
        </w:tc>
        <w:tc>
          <w:tcPr>
            <w:tcW w:w="1072" w:type="dxa"/>
          </w:tcPr>
          <w:p w:rsidR="00CC3BA4" w:rsidRPr="00D36FBC" w:rsidRDefault="00CC3BA4" w:rsidP="00D1356D">
            <w:pPr>
              <w:pStyle w:val="Tabletext"/>
              <w:rPr>
                <w:rFonts w:cs="Tahoma"/>
              </w:rPr>
            </w:pPr>
            <w:r w:rsidRPr="00D36FBC">
              <w:rPr>
                <w:rFonts w:cs="Tahoma"/>
              </w:rPr>
              <w:t>Not serious</w:t>
            </w:r>
          </w:p>
        </w:tc>
        <w:tc>
          <w:tcPr>
            <w:tcW w:w="992" w:type="dxa"/>
          </w:tcPr>
          <w:p w:rsidR="00CC3BA4" w:rsidRPr="00D36FBC" w:rsidRDefault="00CC3BA4" w:rsidP="00D1356D">
            <w:pPr>
              <w:pStyle w:val="Tabletext"/>
              <w:rPr>
                <w:rFonts w:cs="Tahoma"/>
              </w:rPr>
            </w:pPr>
            <w:r w:rsidRPr="00D36FBC">
              <w:rPr>
                <w:rFonts w:cs="Tahoma"/>
              </w:rPr>
              <w:t>Not serious</w:t>
            </w:r>
          </w:p>
        </w:tc>
        <w:tc>
          <w:tcPr>
            <w:tcW w:w="1038" w:type="dxa"/>
          </w:tcPr>
          <w:p w:rsidR="00CC3BA4" w:rsidRPr="00E86FC8" w:rsidRDefault="00872747" w:rsidP="00872747">
            <w:pPr>
              <w:pStyle w:val="Tabletext"/>
              <w:rPr>
                <w:rFonts w:cs="Tahoma"/>
                <w:vertAlign w:val="superscript"/>
              </w:rPr>
            </w:pPr>
            <w:r>
              <w:rPr>
                <w:rFonts w:cs="Tahoma"/>
              </w:rPr>
              <w:t>Very s</w:t>
            </w:r>
            <w:r w:rsidR="00CC3BA4" w:rsidRPr="00D36FBC">
              <w:rPr>
                <w:rFonts w:cs="Tahoma"/>
              </w:rPr>
              <w:t>erious</w:t>
            </w:r>
            <w:r w:rsidR="00E86FC8">
              <w:rPr>
                <w:rFonts w:cs="Tahoma"/>
                <w:vertAlign w:val="superscript"/>
              </w:rPr>
              <w:t xml:space="preserve"> d</w:t>
            </w:r>
          </w:p>
        </w:tc>
        <w:tc>
          <w:tcPr>
            <w:tcW w:w="1230" w:type="dxa"/>
          </w:tcPr>
          <w:p w:rsidR="00CC3BA4" w:rsidRPr="00AC54F2" w:rsidRDefault="00CC3BA4" w:rsidP="00D1356D">
            <w:pPr>
              <w:pStyle w:val="Tabletext"/>
              <w:rPr>
                <w:rFonts w:cs="Tahoma"/>
              </w:rPr>
            </w:pPr>
            <w:r>
              <w:rPr>
                <w:rFonts w:cs="Tahoma"/>
              </w:rPr>
              <w:t>Very s</w:t>
            </w:r>
            <w:r w:rsidRPr="00D36FBC">
              <w:rPr>
                <w:rFonts w:cs="Tahoma"/>
              </w:rPr>
              <w:t>trong association</w:t>
            </w:r>
          </w:p>
        </w:tc>
        <w:tc>
          <w:tcPr>
            <w:tcW w:w="1417" w:type="dxa"/>
          </w:tcPr>
          <w:p w:rsidR="00CC3BA4" w:rsidRDefault="00CC3BA4" w:rsidP="00D1356D">
            <w:pPr>
              <w:pStyle w:val="Tabletext"/>
              <w:rPr>
                <w:rFonts w:eastAsia="Times New Roman"/>
              </w:rPr>
            </w:pPr>
            <w:r w:rsidRPr="00A72EDD">
              <w:rPr>
                <w:rFonts w:eastAsia="Times New Roman"/>
              </w:rPr>
              <w:t>11/32 (34.4%)</w:t>
            </w:r>
          </w:p>
        </w:tc>
        <w:tc>
          <w:tcPr>
            <w:tcW w:w="1134" w:type="dxa"/>
          </w:tcPr>
          <w:p w:rsidR="00CC3BA4" w:rsidRDefault="00CC3BA4" w:rsidP="00D1356D">
            <w:pPr>
              <w:pStyle w:val="Tabletext"/>
              <w:rPr>
                <w:rStyle w:val="cell-value"/>
                <w:rFonts w:asciiTheme="minorHAnsi" w:eastAsia="Times New Roman" w:hAnsiTheme="minorHAnsi"/>
              </w:rPr>
            </w:pPr>
            <w:r w:rsidRPr="00A72EDD">
              <w:rPr>
                <w:rFonts w:eastAsia="Times New Roman"/>
              </w:rPr>
              <w:t>2/33 (6.1%)</w:t>
            </w:r>
          </w:p>
        </w:tc>
        <w:tc>
          <w:tcPr>
            <w:tcW w:w="993" w:type="dxa"/>
          </w:tcPr>
          <w:p w:rsidR="00CC3BA4" w:rsidRPr="00645E4A" w:rsidRDefault="00CC3BA4" w:rsidP="00D1356D">
            <w:pPr>
              <w:pStyle w:val="Tabletext"/>
              <w:rPr>
                <w:rFonts w:eastAsia="Times New Roman"/>
              </w:rPr>
            </w:pPr>
            <w:r w:rsidRPr="00A72EDD">
              <w:rPr>
                <w:rFonts w:eastAsia="Times New Roman"/>
              </w:rPr>
              <w:t xml:space="preserve">RR </w:t>
            </w:r>
            <w:r>
              <w:rPr>
                <w:rFonts w:eastAsia="Times New Roman"/>
              </w:rPr>
              <w:t xml:space="preserve">= </w:t>
            </w:r>
            <w:r w:rsidRPr="00A72EDD">
              <w:rPr>
                <w:rFonts w:eastAsia="Times New Roman"/>
              </w:rPr>
              <w:t>5.67</w:t>
            </w:r>
            <w:r>
              <w:rPr>
                <w:rFonts w:eastAsia="Times New Roman"/>
              </w:rPr>
              <w:t xml:space="preserve"> </w:t>
            </w:r>
            <w:r w:rsidRPr="00A72EDD">
              <w:rPr>
                <w:rFonts w:eastAsia="Times New Roman"/>
              </w:rPr>
              <w:t>(1.36</w:t>
            </w:r>
            <w:r>
              <w:rPr>
                <w:rFonts w:eastAsia="Times New Roman"/>
              </w:rPr>
              <w:t xml:space="preserve">, </w:t>
            </w:r>
            <w:r w:rsidR="00645E4A">
              <w:rPr>
                <w:rFonts w:eastAsia="Times New Roman"/>
              </w:rPr>
              <w:t>23.61)</w:t>
            </w:r>
          </w:p>
        </w:tc>
        <w:tc>
          <w:tcPr>
            <w:tcW w:w="2188" w:type="dxa"/>
          </w:tcPr>
          <w:p w:rsidR="00CC3BA4" w:rsidRDefault="00CC3BA4" w:rsidP="00D1356D">
            <w:pPr>
              <w:pStyle w:val="Tabletext"/>
              <w:rPr>
                <w:rFonts w:cs="Tahoma"/>
              </w:rPr>
            </w:pPr>
            <w:r w:rsidRPr="00A72EDD">
              <w:rPr>
                <w:rFonts w:eastAsia="Times New Roman"/>
              </w:rPr>
              <w:t>283 more per 1,000</w:t>
            </w:r>
            <w:r>
              <w:rPr>
                <w:rFonts w:eastAsia="Times New Roman"/>
              </w:rPr>
              <w:br/>
            </w:r>
            <w:r w:rsidRPr="00A72EDD">
              <w:rPr>
                <w:rFonts w:eastAsia="Times New Roman"/>
              </w:rPr>
              <w:t>(from 22 more to 1,000 more)</w:t>
            </w:r>
          </w:p>
        </w:tc>
        <w:tc>
          <w:tcPr>
            <w:tcW w:w="1214" w:type="dxa"/>
          </w:tcPr>
          <w:p w:rsidR="00872747" w:rsidRDefault="00872747" w:rsidP="00872747">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E564DD" w:rsidRDefault="00CC3BA4" w:rsidP="00D1356D">
            <w:pPr>
              <w:pStyle w:val="Tabletext"/>
              <w:rPr>
                <w:rFonts w:eastAsia="Times New Roman" w:cs="Tahoma"/>
                <w:bCs/>
              </w:rPr>
            </w:pPr>
            <w:r>
              <w:rPr>
                <w:rFonts w:eastAsia="Times New Roman" w:cs="Tahoma"/>
                <w:bCs/>
              </w:rPr>
              <w:t>Important</w:t>
            </w:r>
          </w:p>
        </w:tc>
      </w:tr>
      <w:tr w:rsidR="00CC3BA4" w:rsidRPr="00D36FBC" w:rsidTr="002856B6">
        <w:trPr>
          <w:trHeight w:val="319"/>
        </w:trPr>
        <w:tc>
          <w:tcPr>
            <w:tcW w:w="1493" w:type="dxa"/>
          </w:tcPr>
          <w:p w:rsidR="00CC3BA4" w:rsidRPr="000E67F8" w:rsidRDefault="00CC3BA4" w:rsidP="00D1356D">
            <w:pPr>
              <w:pStyle w:val="Tabletext"/>
              <w:rPr>
                <w:rFonts w:cs="Tahoma"/>
              </w:rPr>
            </w:pPr>
            <w:r w:rsidRPr="000E67F8">
              <w:rPr>
                <w:rFonts w:cs="Tahoma"/>
              </w:rPr>
              <w:t>Worsened WHO FC</w:t>
            </w:r>
          </w:p>
          <w:p w:rsidR="00CC3BA4" w:rsidRPr="000E67F8" w:rsidRDefault="00CC3BA4" w:rsidP="00D1356D">
            <w:pPr>
              <w:pStyle w:val="Tabletext"/>
              <w:rPr>
                <w:rFonts w:cs="Tahoma"/>
              </w:rPr>
            </w:pPr>
            <w:r w:rsidRPr="000E67F8">
              <w:rPr>
                <w:rFonts w:cs="Tahoma"/>
              </w:rPr>
              <w:t>(12 weeks)</w:t>
            </w:r>
          </w:p>
        </w:tc>
        <w:tc>
          <w:tcPr>
            <w:tcW w:w="974" w:type="dxa"/>
          </w:tcPr>
          <w:p w:rsidR="00CC3BA4" w:rsidRPr="00D36FBC" w:rsidRDefault="00CC3BA4" w:rsidP="00D1356D">
            <w:pPr>
              <w:pStyle w:val="Tabletext"/>
              <w:rPr>
                <w:rFonts w:cs="Tahoma"/>
              </w:rPr>
            </w:pPr>
            <w:r>
              <w:rPr>
                <w:rFonts w:cs="Tahoma"/>
              </w:rPr>
              <w:t>1 RCT</w:t>
            </w:r>
          </w:p>
        </w:tc>
        <w:tc>
          <w:tcPr>
            <w:tcW w:w="851" w:type="dxa"/>
          </w:tcPr>
          <w:p w:rsidR="00CC3BA4" w:rsidRPr="00D36FBC" w:rsidRDefault="00CC3BA4" w:rsidP="00D1356D">
            <w:pPr>
              <w:pStyle w:val="Tabletext"/>
              <w:rPr>
                <w:rFonts w:cs="Tahoma"/>
              </w:rPr>
            </w:pPr>
            <w:r w:rsidRPr="00D36FBC">
              <w:rPr>
                <w:rFonts w:cs="Tahoma"/>
              </w:rPr>
              <w:t>Not serious</w:t>
            </w:r>
          </w:p>
        </w:tc>
        <w:tc>
          <w:tcPr>
            <w:tcW w:w="1072" w:type="dxa"/>
          </w:tcPr>
          <w:p w:rsidR="00CC3BA4" w:rsidRPr="00D36FBC" w:rsidRDefault="00CC3BA4" w:rsidP="00D1356D">
            <w:pPr>
              <w:pStyle w:val="Tabletext"/>
              <w:rPr>
                <w:rFonts w:cs="Tahoma"/>
              </w:rPr>
            </w:pPr>
            <w:r w:rsidRPr="00D36FBC">
              <w:rPr>
                <w:rFonts w:cs="Tahoma"/>
              </w:rPr>
              <w:t>Not serious</w:t>
            </w:r>
          </w:p>
        </w:tc>
        <w:tc>
          <w:tcPr>
            <w:tcW w:w="992" w:type="dxa"/>
          </w:tcPr>
          <w:p w:rsidR="00CC3BA4" w:rsidRPr="00D36FBC" w:rsidRDefault="00CC3BA4" w:rsidP="00D1356D">
            <w:pPr>
              <w:pStyle w:val="Tabletext"/>
              <w:rPr>
                <w:rFonts w:cs="Tahoma"/>
              </w:rPr>
            </w:pPr>
            <w:r w:rsidRPr="00D36FBC">
              <w:rPr>
                <w:rFonts w:cs="Tahoma"/>
              </w:rPr>
              <w:t>Not serious</w:t>
            </w:r>
          </w:p>
        </w:tc>
        <w:tc>
          <w:tcPr>
            <w:tcW w:w="1038" w:type="dxa"/>
          </w:tcPr>
          <w:p w:rsidR="00CC3BA4" w:rsidRPr="00E86FC8" w:rsidRDefault="00E86FC8" w:rsidP="00D1356D">
            <w:pPr>
              <w:pStyle w:val="Tabletext"/>
              <w:rPr>
                <w:rFonts w:cs="Tahoma"/>
                <w:vertAlign w:val="superscript"/>
              </w:rPr>
            </w:pPr>
            <w:r>
              <w:rPr>
                <w:rFonts w:cs="Tahoma"/>
              </w:rPr>
              <w:t>S</w:t>
            </w:r>
            <w:r w:rsidR="00CC3BA4" w:rsidRPr="00D36FBC">
              <w:rPr>
                <w:rFonts w:cs="Tahoma"/>
              </w:rPr>
              <w:t>erious</w:t>
            </w:r>
            <w:r>
              <w:rPr>
                <w:rFonts w:cs="Tahoma"/>
                <w:vertAlign w:val="superscript"/>
              </w:rPr>
              <w:t xml:space="preserve"> d</w:t>
            </w:r>
          </w:p>
        </w:tc>
        <w:tc>
          <w:tcPr>
            <w:tcW w:w="1230" w:type="dxa"/>
          </w:tcPr>
          <w:p w:rsidR="00CC3BA4" w:rsidRPr="00AC54F2" w:rsidRDefault="00CC3BA4" w:rsidP="00D1356D">
            <w:pPr>
              <w:pStyle w:val="Tabletext"/>
              <w:rPr>
                <w:rFonts w:cs="Tahoma"/>
              </w:rPr>
            </w:pPr>
            <w:r>
              <w:rPr>
                <w:rFonts w:cs="Tahoma"/>
              </w:rPr>
              <w:t>None</w:t>
            </w:r>
          </w:p>
        </w:tc>
        <w:tc>
          <w:tcPr>
            <w:tcW w:w="1417" w:type="dxa"/>
          </w:tcPr>
          <w:p w:rsidR="00CC3BA4" w:rsidRDefault="00CC3BA4" w:rsidP="00D1356D">
            <w:pPr>
              <w:pStyle w:val="Tabletext"/>
              <w:rPr>
                <w:rFonts w:eastAsia="Times New Roman"/>
              </w:rPr>
            </w:pPr>
            <w:r>
              <w:rPr>
                <w:rFonts w:eastAsia="Times New Roman"/>
              </w:rPr>
              <w:t>0/32 (0.0%)</w:t>
            </w:r>
          </w:p>
        </w:tc>
        <w:tc>
          <w:tcPr>
            <w:tcW w:w="1134" w:type="dxa"/>
          </w:tcPr>
          <w:p w:rsidR="00CC3BA4" w:rsidRDefault="00CC3BA4" w:rsidP="00D1356D">
            <w:pPr>
              <w:pStyle w:val="Tabletext"/>
              <w:rPr>
                <w:rStyle w:val="cell-value"/>
                <w:rFonts w:asciiTheme="minorHAnsi" w:eastAsia="Times New Roman" w:hAnsiTheme="minorHAnsi"/>
              </w:rPr>
            </w:pPr>
            <w:r w:rsidRPr="00A72EDD">
              <w:rPr>
                <w:rFonts w:eastAsia="Times New Roman"/>
              </w:rPr>
              <w:t>1/33 (3.0%)</w:t>
            </w:r>
          </w:p>
        </w:tc>
        <w:tc>
          <w:tcPr>
            <w:tcW w:w="993" w:type="dxa"/>
          </w:tcPr>
          <w:p w:rsidR="00CC3BA4" w:rsidRPr="0077309F" w:rsidRDefault="00B21201" w:rsidP="00645E4A">
            <w:pPr>
              <w:pStyle w:val="Tabletext"/>
              <w:rPr>
                <w:rFonts w:eastAsia="Times New Roman"/>
                <w:bCs/>
              </w:rPr>
            </w:pPr>
            <w:r>
              <w:rPr>
                <w:rFonts w:eastAsia="Times New Roman"/>
              </w:rPr>
              <w:t>ARD</w:t>
            </w:r>
            <w:r w:rsidR="00CC3BA4" w:rsidRPr="00A72EDD">
              <w:rPr>
                <w:rFonts w:eastAsia="Times New Roman"/>
              </w:rPr>
              <w:t xml:space="preserve"> = </w:t>
            </w:r>
            <w:r w:rsidR="00645E4A">
              <w:rPr>
                <w:rFonts w:eastAsia="Times New Roman"/>
              </w:rPr>
              <w:t>−</w:t>
            </w:r>
            <w:r w:rsidR="00CC3BA4" w:rsidRPr="00A72EDD">
              <w:rPr>
                <w:rFonts w:eastAsia="Times New Roman"/>
              </w:rPr>
              <w:t xml:space="preserve">3.0% </w:t>
            </w:r>
            <w:r w:rsidR="00CC3BA4">
              <w:rPr>
                <w:rFonts w:eastAsia="Times New Roman"/>
              </w:rPr>
              <w:t>(</w:t>
            </w:r>
            <w:r w:rsidR="00CC3BA4" w:rsidRPr="00A72EDD">
              <w:rPr>
                <w:rFonts w:eastAsia="Times New Roman"/>
              </w:rPr>
              <w:t>−</w:t>
            </w:r>
            <w:r w:rsidR="00645E4A" w:rsidRPr="00A72EDD">
              <w:rPr>
                <w:rFonts w:eastAsia="Times New Roman"/>
              </w:rPr>
              <w:t>8.9</w:t>
            </w:r>
            <w:r w:rsidR="00645E4A">
              <w:rPr>
                <w:rFonts w:eastAsia="Times New Roman"/>
              </w:rPr>
              <w:t xml:space="preserve">, </w:t>
            </w:r>
            <w:r w:rsidR="00CC3BA4" w:rsidRPr="00A72EDD">
              <w:rPr>
                <w:rFonts w:eastAsia="Times New Roman"/>
              </w:rPr>
              <w:t>2.8</w:t>
            </w:r>
            <w:r w:rsidR="00CC3BA4">
              <w:rPr>
                <w:rFonts w:eastAsia="Times New Roman"/>
              </w:rPr>
              <w:t>)</w:t>
            </w:r>
          </w:p>
        </w:tc>
        <w:tc>
          <w:tcPr>
            <w:tcW w:w="2188" w:type="dxa"/>
          </w:tcPr>
          <w:p w:rsidR="00CC3BA4" w:rsidRDefault="00CC3BA4" w:rsidP="00734B37">
            <w:pPr>
              <w:pStyle w:val="Tabletext"/>
              <w:rPr>
                <w:rFonts w:cs="Tahoma"/>
              </w:rPr>
            </w:pPr>
            <w:r w:rsidRPr="00A72EDD">
              <w:rPr>
                <w:rFonts w:eastAsia="Times New Roman"/>
              </w:rPr>
              <w:t>30 fewer per 1,000</w:t>
            </w:r>
            <w:r>
              <w:rPr>
                <w:rFonts w:eastAsia="Times New Roman"/>
              </w:rPr>
              <w:br/>
            </w:r>
            <w:r w:rsidRPr="00A72EDD">
              <w:rPr>
                <w:rFonts w:eastAsia="Times New Roman"/>
              </w:rPr>
              <w:t xml:space="preserve">(from </w:t>
            </w:r>
            <w:r w:rsidR="00734B37">
              <w:rPr>
                <w:rFonts w:eastAsia="Times New Roman"/>
              </w:rPr>
              <w:t>2</w:t>
            </w:r>
            <w:r w:rsidRPr="00A72EDD">
              <w:rPr>
                <w:rFonts w:eastAsia="Times New Roman"/>
              </w:rPr>
              <w:t xml:space="preserve">8 </w:t>
            </w:r>
            <w:r w:rsidR="00734B37">
              <w:rPr>
                <w:rFonts w:eastAsia="Times New Roman"/>
              </w:rPr>
              <w:t xml:space="preserve">more </w:t>
            </w:r>
            <w:r w:rsidR="00645E4A" w:rsidRPr="00A72EDD">
              <w:rPr>
                <w:rFonts w:eastAsia="Times New Roman"/>
              </w:rPr>
              <w:t>to 8</w:t>
            </w:r>
            <w:r w:rsidR="00734B37">
              <w:rPr>
                <w:rFonts w:eastAsia="Times New Roman"/>
              </w:rPr>
              <w:t>9</w:t>
            </w:r>
            <w:r w:rsidR="00645E4A" w:rsidRPr="00A72EDD">
              <w:rPr>
                <w:rFonts w:eastAsia="Times New Roman"/>
              </w:rPr>
              <w:t xml:space="preserve"> </w:t>
            </w:r>
            <w:r w:rsidR="00734B37">
              <w:rPr>
                <w:rFonts w:eastAsia="Times New Roman"/>
              </w:rPr>
              <w:t>fewer</w:t>
            </w:r>
            <w:r w:rsidRPr="00A72EDD">
              <w:rPr>
                <w:rFonts w:eastAsia="Times New Roman"/>
              </w:rPr>
              <w:t>)</w:t>
            </w:r>
          </w:p>
        </w:tc>
        <w:tc>
          <w:tcPr>
            <w:tcW w:w="1214" w:type="dxa"/>
          </w:tcPr>
          <w:p w:rsidR="00E86FC8" w:rsidRDefault="00E86FC8" w:rsidP="00E86FC8">
            <w:pPr>
              <w:pStyle w:val="Tabletext"/>
              <w:rPr>
                <w:rFonts w:ascii="Cambria Math" w:eastAsia="Times New Roman" w:hAnsi="Cambria Math" w:cs="Cambria Math"/>
                <w:bCs/>
              </w:rPr>
            </w:pPr>
            <w:r w:rsidRPr="00E564DD">
              <w:rPr>
                <w:rFonts w:eastAsia="Times New Roman" w:cs="Tahoma"/>
                <w:bCs/>
              </w:rPr>
              <w:t>Moderate</w:t>
            </w:r>
            <w:r>
              <w:rPr>
                <w:rFonts w:eastAsia="Times New Roman" w:cs="Tahoma"/>
                <w:bCs/>
              </w:rPr>
              <w:br/>
            </w: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E564DD" w:rsidRDefault="00CC3BA4" w:rsidP="00D1356D">
            <w:pPr>
              <w:pStyle w:val="Tabletext"/>
              <w:rPr>
                <w:rFonts w:eastAsia="Times New Roman" w:cs="Tahoma"/>
                <w:bCs/>
              </w:rPr>
            </w:pPr>
            <w:r>
              <w:rPr>
                <w:rFonts w:eastAsia="Times New Roman" w:cs="Tahoma"/>
                <w:bCs/>
              </w:rPr>
              <w:t>Important</w:t>
            </w:r>
          </w:p>
        </w:tc>
      </w:tr>
      <w:tr w:rsidR="00B14FF5" w:rsidRPr="00D36FBC" w:rsidTr="002856B6">
        <w:trPr>
          <w:trHeight w:val="319"/>
        </w:trPr>
        <w:tc>
          <w:tcPr>
            <w:tcW w:w="1493" w:type="dxa"/>
          </w:tcPr>
          <w:p w:rsidR="00B14FF5" w:rsidRPr="000E67F8" w:rsidRDefault="00B14FF5" w:rsidP="00D1356D">
            <w:pPr>
              <w:pStyle w:val="Tabletext"/>
              <w:rPr>
                <w:rFonts w:cs="Tahoma"/>
              </w:rPr>
            </w:pPr>
            <w:r w:rsidRPr="000E67F8">
              <w:rPr>
                <w:rFonts w:cs="Tahoma"/>
              </w:rPr>
              <w:t>Change in 6MWD from baseline</w:t>
            </w:r>
            <w:r w:rsidRPr="000E67F8">
              <w:rPr>
                <w:rFonts w:cs="Tahoma"/>
              </w:rPr>
              <w:br/>
              <w:t xml:space="preserve">(12−16 weeks) </w:t>
            </w:r>
          </w:p>
        </w:tc>
        <w:tc>
          <w:tcPr>
            <w:tcW w:w="974" w:type="dxa"/>
          </w:tcPr>
          <w:p w:rsidR="00B14FF5" w:rsidRPr="00D36FBC" w:rsidRDefault="00B14FF5" w:rsidP="00D1356D">
            <w:pPr>
              <w:pStyle w:val="Tabletext"/>
              <w:rPr>
                <w:rFonts w:cs="Tahoma"/>
              </w:rPr>
            </w:pPr>
            <w:r>
              <w:rPr>
                <w:rFonts w:cs="Tahoma"/>
              </w:rPr>
              <w:t>2</w:t>
            </w:r>
            <w:r w:rsidRPr="00D36FBC">
              <w:rPr>
                <w:rFonts w:cs="Tahoma"/>
              </w:rPr>
              <w:t xml:space="preserve"> RCT</w:t>
            </w:r>
            <w:r>
              <w:rPr>
                <w:rFonts w:cs="Tahoma"/>
              </w:rPr>
              <w:t>s</w:t>
            </w:r>
          </w:p>
        </w:tc>
        <w:tc>
          <w:tcPr>
            <w:tcW w:w="851" w:type="dxa"/>
          </w:tcPr>
          <w:p w:rsidR="00B14FF5" w:rsidRPr="00D36FBC" w:rsidRDefault="00B14FF5" w:rsidP="00D1356D">
            <w:pPr>
              <w:pStyle w:val="Tabletext"/>
              <w:rPr>
                <w:rFonts w:cs="Tahoma"/>
              </w:rPr>
            </w:pPr>
            <w:r>
              <w:rPr>
                <w:rFonts w:cs="Tahoma"/>
              </w:rPr>
              <w:t>S</w:t>
            </w:r>
            <w:r w:rsidRPr="00D36FBC">
              <w:rPr>
                <w:rFonts w:cs="Tahoma"/>
              </w:rPr>
              <w:t>erious</w:t>
            </w:r>
            <w:r>
              <w:rPr>
                <w:rFonts w:cs="Tahoma"/>
              </w:rPr>
              <w:t xml:space="preserve"> </w:t>
            </w:r>
            <w:r w:rsidRPr="000E67F8">
              <w:rPr>
                <w:rFonts w:cs="Tahoma"/>
                <w:vertAlign w:val="superscript"/>
              </w:rPr>
              <w:t>c</w:t>
            </w:r>
          </w:p>
        </w:tc>
        <w:tc>
          <w:tcPr>
            <w:tcW w:w="1072" w:type="dxa"/>
          </w:tcPr>
          <w:p w:rsidR="00B14FF5" w:rsidRPr="00D36FBC" w:rsidRDefault="00B14FF5" w:rsidP="00D1356D">
            <w:pPr>
              <w:pStyle w:val="Tabletext"/>
              <w:rPr>
                <w:rFonts w:cs="Tahoma"/>
              </w:rPr>
            </w:pPr>
            <w:r w:rsidRPr="00D36FBC">
              <w:rPr>
                <w:rFonts w:cs="Tahoma"/>
              </w:rPr>
              <w:t>Not serious</w:t>
            </w:r>
          </w:p>
        </w:tc>
        <w:tc>
          <w:tcPr>
            <w:tcW w:w="992" w:type="dxa"/>
          </w:tcPr>
          <w:p w:rsidR="00B14FF5" w:rsidRPr="00F95747" w:rsidRDefault="00312FDE" w:rsidP="00D1356D">
            <w:pPr>
              <w:pStyle w:val="Tabletext"/>
              <w:rPr>
                <w:rFonts w:cs="Tahoma"/>
                <w:vertAlign w:val="superscript"/>
              </w:rPr>
            </w:pPr>
            <w:r>
              <w:rPr>
                <w:rFonts w:cs="Tahoma"/>
              </w:rPr>
              <w:t>S</w:t>
            </w:r>
            <w:r w:rsidR="00B14FF5" w:rsidRPr="00D36FBC">
              <w:rPr>
                <w:rFonts w:cs="Tahoma"/>
              </w:rPr>
              <w:t>erious</w:t>
            </w:r>
            <w:r>
              <w:rPr>
                <w:rFonts w:cs="Tahoma"/>
                <w:vertAlign w:val="superscript"/>
              </w:rPr>
              <w:t xml:space="preserve"> e</w:t>
            </w:r>
          </w:p>
        </w:tc>
        <w:tc>
          <w:tcPr>
            <w:tcW w:w="1038" w:type="dxa"/>
          </w:tcPr>
          <w:p w:rsidR="00B14FF5" w:rsidRPr="00D36FBC" w:rsidRDefault="00B14FF5" w:rsidP="00D1356D">
            <w:pPr>
              <w:pStyle w:val="Tabletext"/>
              <w:rPr>
                <w:rFonts w:cs="Tahoma"/>
              </w:rPr>
            </w:pPr>
            <w:r w:rsidRPr="00D36FBC">
              <w:rPr>
                <w:rFonts w:cs="Tahoma"/>
              </w:rPr>
              <w:t>Not serious</w:t>
            </w:r>
          </w:p>
        </w:tc>
        <w:tc>
          <w:tcPr>
            <w:tcW w:w="1230" w:type="dxa"/>
          </w:tcPr>
          <w:p w:rsidR="00B14FF5" w:rsidRPr="00D36FBC" w:rsidRDefault="00B14FF5" w:rsidP="00D1356D">
            <w:pPr>
              <w:pStyle w:val="Tabletext"/>
              <w:rPr>
                <w:rFonts w:cs="Tahoma"/>
              </w:rPr>
            </w:pPr>
            <w:r w:rsidRPr="00D36FBC">
              <w:rPr>
                <w:rFonts w:cs="Tahoma"/>
              </w:rPr>
              <w:t>None</w:t>
            </w:r>
          </w:p>
        </w:tc>
        <w:tc>
          <w:tcPr>
            <w:tcW w:w="1417" w:type="dxa"/>
          </w:tcPr>
          <w:p w:rsidR="00B14FF5" w:rsidRPr="00B14FF5" w:rsidRDefault="00B14FF5" w:rsidP="00D1356D">
            <w:pPr>
              <w:pStyle w:val="Tabletext"/>
              <w:rPr>
                <w:rFonts w:eastAsia="Times New Roman"/>
              </w:rPr>
            </w:pPr>
            <w:r>
              <w:rPr>
                <w:rFonts w:eastAsia="Times New Roman"/>
              </w:rPr>
              <w:t>51</w:t>
            </w:r>
            <w:r w:rsidRPr="00456F1B">
              <w:rPr>
                <w:rFonts w:eastAsia="Times New Roman"/>
              </w:rPr>
              <w:t xml:space="preserve"> patients tested</w:t>
            </w:r>
          </w:p>
        </w:tc>
        <w:tc>
          <w:tcPr>
            <w:tcW w:w="1134" w:type="dxa"/>
          </w:tcPr>
          <w:p w:rsidR="00B14FF5" w:rsidRPr="00B14FF5" w:rsidRDefault="00B14FF5" w:rsidP="00D1356D">
            <w:pPr>
              <w:pStyle w:val="Tabletext"/>
              <w:rPr>
                <w:rFonts w:eastAsia="Times New Roman"/>
              </w:rPr>
            </w:pPr>
            <w:r w:rsidRPr="00884F0A">
              <w:t>54</w:t>
            </w:r>
            <w:r w:rsidRPr="00456F1B">
              <w:rPr>
                <w:rFonts w:eastAsia="Times New Roman"/>
              </w:rPr>
              <w:t xml:space="preserve"> patients tested</w:t>
            </w:r>
          </w:p>
        </w:tc>
        <w:tc>
          <w:tcPr>
            <w:tcW w:w="993" w:type="dxa"/>
          </w:tcPr>
          <w:p w:rsidR="00B14FF5" w:rsidRPr="00B14FF5" w:rsidRDefault="00B14FF5" w:rsidP="00D1356D">
            <w:pPr>
              <w:pStyle w:val="Tabletext"/>
              <w:rPr>
                <w:rFonts w:eastAsia="Times New Roman"/>
              </w:rPr>
            </w:pPr>
            <w:r w:rsidRPr="00B14FF5">
              <w:rPr>
                <w:rFonts w:eastAsia="Times New Roman"/>
              </w:rPr>
              <w:t>-</w:t>
            </w:r>
          </w:p>
        </w:tc>
        <w:tc>
          <w:tcPr>
            <w:tcW w:w="2188" w:type="dxa"/>
          </w:tcPr>
          <w:p w:rsidR="00B14FF5" w:rsidRPr="00B14FF5" w:rsidRDefault="00B14FF5" w:rsidP="001F1FDD">
            <w:pPr>
              <w:pStyle w:val="Tabletext"/>
              <w:rPr>
                <w:rFonts w:eastAsia="Times New Roman"/>
              </w:rPr>
            </w:pPr>
            <w:r w:rsidRPr="00B14FF5">
              <w:rPr>
                <w:rFonts w:eastAsia="Times New Roman"/>
              </w:rPr>
              <w:t>Median</w:t>
            </w:r>
            <w:r w:rsidR="000E67F8">
              <w:rPr>
                <w:rFonts w:eastAsia="Times New Roman"/>
              </w:rPr>
              <w:t xml:space="preserve"> </w:t>
            </w:r>
            <w:r w:rsidR="001F1FDD">
              <w:rPr>
                <w:rFonts w:eastAsia="Times New Roman"/>
              </w:rPr>
              <w:t>MD</w:t>
            </w:r>
            <w:r w:rsidRPr="00B14FF5">
              <w:rPr>
                <w:rFonts w:eastAsia="Times New Roman"/>
              </w:rPr>
              <w:t xml:space="preserve"> 18 m further</w:t>
            </w:r>
            <w:r w:rsidRPr="00B14FF5">
              <w:rPr>
                <w:rFonts w:eastAsia="Times New Roman"/>
              </w:rPr>
              <w:br/>
              <w:t>(10 m further to 26 m further)</w:t>
            </w:r>
          </w:p>
        </w:tc>
        <w:tc>
          <w:tcPr>
            <w:tcW w:w="1214" w:type="dxa"/>
          </w:tcPr>
          <w:p w:rsidR="00B14FF5" w:rsidRDefault="00312FDE" w:rsidP="00D1356D">
            <w:pPr>
              <w:pStyle w:val="Tabletext"/>
              <w:rPr>
                <w:rFonts w:ascii="Cambria Math" w:eastAsia="Times New Roman" w:hAnsi="Cambria Math" w:cs="Cambria Math"/>
                <w:bCs/>
              </w:rPr>
            </w:pPr>
            <w:r>
              <w:rPr>
                <w:rFonts w:eastAsia="Times New Roman" w:cs="Tahoma"/>
                <w:bCs/>
              </w:rPr>
              <w:t>Low</w:t>
            </w:r>
            <w:r w:rsidR="00B14FF5">
              <w:rPr>
                <w:rFonts w:eastAsia="Times New Roman" w:cs="Tahoma"/>
                <w:bCs/>
              </w:rPr>
              <w:br/>
            </w:r>
            <w:r w:rsidR="00B14FF5"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r w:rsidR="00B14FF5" w:rsidRPr="00E564DD">
              <w:rPr>
                <w:rFonts w:ascii="Cambria Math" w:eastAsia="Times New Roman" w:hAnsi="Cambria Math" w:cs="Cambria Math"/>
                <w:bCs/>
                <w:color w:val="FF0000"/>
              </w:rPr>
              <w:t>⨀</w:t>
            </w:r>
          </w:p>
          <w:p w:rsidR="00B14FF5" w:rsidRPr="00B14FF5" w:rsidRDefault="00B14FF5" w:rsidP="00D1356D">
            <w:pPr>
              <w:pStyle w:val="Tabletext"/>
              <w:rPr>
                <w:rFonts w:eastAsia="Times New Roman" w:cs="Tahoma"/>
                <w:bCs/>
              </w:rPr>
            </w:pPr>
            <w:r>
              <w:rPr>
                <w:rFonts w:cs="Tahoma"/>
              </w:rPr>
              <w:t>I</w:t>
            </w:r>
            <w:r w:rsidRPr="00E564DD">
              <w:rPr>
                <w:rFonts w:cs="Tahoma"/>
              </w:rPr>
              <w:t>mportant</w:t>
            </w:r>
          </w:p>
        </w:tc>
      </w:tr>
      <w:tr w:rsidR="00B14FF5" w:rsidRPr="00D36FBC" w:rsidTr="002856B6">
        <w:trPr>
          <w:trHeight w:val="319"/>
        </w:trPr>
        <w:tc>
          <w:tcPr>
            <w:tcW w:w="1493" w:type="dxa"/>
          </w:tcPr>
          <w:p w:rsidR="00B14FF5" w:rsidRPr="000E67F8" w:rsidRDefault="00B14FF5" w:rsidP="00D1356D">
            <w:pPr>
              <w:pStyle w:val="Tabletext"/>
              <w:rPr>
                <w:rFonts w:cs="Tahoma"/>
              </w:rPr>
            </w:pPr>
            <w:r w:rsidRPr="000E67F8">
              <w:rPr>
                <w:rFonts w:cs="Tahoma"/>
              </w:rPr>
              <w:t>Change in QoL from baseline</w:t>
            </w:r>
            <w:r w:rsidRPr="000E67F8">
              <w:rPr>
                <w:rFonts w:cs="Tahoma"/>
              </w:rPr>
              <w:br/>
              <w:t xml:space="preserve">(16 weeks) </w:t>
            </w:r>
          </w:p>
        </w:tc>
        <w:tc>
          <w:tcPr>
            <w:tcW w:w="974" w:type="dxa"/>
          </w:tcPr>
          <w:p w:rsidR="00B14FF5" w:rsidRPr="00D36FBC" w:rsidRDefault="00B14FF5" w:rsidP="00D1356D">
            <w:pPr>
              <w:pStyle w:val="Tabletext"/>
              <w:rPr>
                <w:rFonts w:cs="Tahoma"/>
              </w:rPr>
            </w:pPr>
            <w:r w:rsidRPr="00D36FBC">
              <w:rPr>
                <w:rFonts w:cs="Tahoma"/>
              </w:rPr>
              <w:t>1 RCT</w:t>
            </w:r>
          </w:p>
        </w:tc>
        <w:tc>
          <w:tcPr>
            <w:tcW w:w="851" w:type="dxa"/>
          </w:tcPr>
          <w:p w:rsidR="00B14FF5" w:rsidRPr="00D36FBC" w:rsidRDefault="00B14FF5" w:rsidP="00D1356D">
            <w:pPr>
              <w:pStyle w:val="Tabletext"/>
              <w:rPr>
                <w:rFonts w:cs="Tahoma"/>
              </w:rPr>
            </w:pPr>
            <w:r>
              <w:rPr>
                <w:rFonts w:cs="Tahoma"/>
              </w:rPr>
              <w:t>Very s</w:t>
            </w:r>
            <w:r w:rsidRPr="00D36FBC">
              <w:rPr>
                <w:rFonts w:cs="Tahoma"/>
              </w:rPr>
              <w:t>erious</w:t>
            </w:r>
            <w:r>
              <w:rPr>
                <w:rFonts w:cs="Tahoma"/>
              </w:rPr>
              <w:t xml:space="preserve"> </w:t>
            </w:r>
            <w:r w:rsidRPr="000E67F8">
              <w:rPr>
                <w:rFonts w:cs="Tahoma"/>
                <w:vertAlign w:val="superscript"/>
              </w:rPr>
              <w:t>c</w:t>
            </w:r>
          </w:p>
        </w:tc>
        <w:tc>
          <w:tcPr>
            <w:tcW w:w="1072" w:type="dxa"/>
          </w:tcPr>
          <w:p w:rsidR="00B14FF5" w:rsidRPr="00D36FBC" w:rsidRDefault="00B14FF5" w:rsidP="00D1356D">
            <w:pPr>
              <w:pStyle w:val="Tabletext"/>
              <w:rPr>
                <w:rFonts w:cs="Tahoma"/>
              </w:rPr>
            </w:pPr>
            <w:r w:rsidRPr="00D36FBC">
              <w:rPr>
                <w:rFonts w:cs="Tahoma"/>
              </w:rPr>
              <w:t>Not serious</w:t>
            </w:r>
          </w:p>
        </w:tc>
        <w:tc>
          <w:tcPr>
            <w:tcW w:w="992" w:type="dxa"/>
          </w:tcPr>
          <w:p w:rsidR="00B14FF5" w:rsidRPr="00E86FC8" w:rsidRDefault="00E86FC8" w:rsidP="00E86FC8">
            <w:pPr>
              <w:pStyle w:val="Tabletext"/>
              <w:rPr>
                <w:rFonts w:cs="Tahoma"/>
                <w:vertAlign w:val="superscript"/>
              </w:rPr>
            </w:pPr>
            <w:r w:rsidRPr="00D36FBC">
              <w:rPr>
                <w:rFonts w:cs="Tahoma"/>
              </w:rPr>
              <w:t>Not serious</w:t>
            </w:r>
          </w:p>
        </w:tc>
        <w:tc>
          <w:tcPr>
            <w:tcW w:w="1038" w:type="dxa"/>
          </w:tcPr>
          <w:p w:rsidR="00B14FF5" w:rsidRPr="00D36FBC" w:rsidRDefault="00E86FC8" w:rsidP="00E86FC8">
            <w:pPr>
              <w:pStyle w:val="Tabletext"/>
              <w:rPr>
                <w:rFonts w:cs="Tahoma"/>
              </w:rPr>
            </w:pPr>
            <w:r>
              <w:rPr>
                <w:rFonts w:cs="Tahoma"/>
              </w:rPr>
              <w:t xml:space="preserve">Very </w:t>
            </w:r>
            <w:r w:rsidRPr="00D36FBC">
              <w:rPr>
                <w:rFonts w:cs="Tahoma"/>
              </w:rPr>
              <w:t>serious</w:t>
            </w:r>
            <w:r>
              <w:rPr>
                <w:rFonts w:cs="Tahoma"/>
                <w:vertAlign w:val="superscript"/>
              </w:rPr>
              <w:t xml:space="preserve"> g</w:t>
            </w:r>
            <w:r w:rsidRPr="00D36FBC">
              <w:rPr>
                <w:rFonts w:cs="Tahoma"/>
              </w:rPr>
              <w:t xml:space="preserve"> </w:t>
            </w:r>
          </w:p>
        </w:tc>
        <w:tc>
          <w:tcPr>
            <w:tcW w:w="1230" w:type="dxa"/>
          </w:tcPr>
          <w:p w:rsidR="00B14FF5" w:rsidRPr="00D36FBC" w:rsidRDefault="00B14FF5" w:rsidP="00D1356D">
            <w:pPr>
              <w:pStyle w:val="Tabletext"/>
              <w:rPr>
                <w:rFonts w:cs="Tahoma"/>
              </w:rPr>
            </w:pPr>
            <w:r w:rsidRPr="00D36FBC">
              <w:rPr>
                <w:rFonts w:cs="Tahoma"/>
              </w:rPr>
              <w:t>Strong association</w:t>
            </w:r>
          </w:p>
        </w:tc>
        <w:tc>
          <w:tcPr>
            <w:tcW w:w="1417" w:type="dxa"/>
          </w:tcPr>
          <w:p w:rsidR="00B14FF5" w:rsidRDefault="00B14FF5" w:rsidP="00D1356D">
            <w:pPr>
              <w:pStyle w:val="Tabletext"/>
              <w:rPr>
                <w:rFonts w:eastAsia="Times New Roman"/>
              </w:rPr>
            </w:pPr>
            <w:r>
              <w:rPr>
                <w:rFonts w:eastAsia="Times New Roman"/>
              </w:rPr>
              <w:t>19</w:t>
            </w:r>
            <w:r w:rsidRPr="00456F1B">
              <w:rPr>
                <w:rFonts w:eastAsia="Times New Roman"/>
              </w:rPr>
              <w:t xml:space="preserve"> patients tested</w:t>
            </w:r>
          </w:p>
        </w:tc>
        <w:tc>
          <w:tcPr>
            <w:tcW w:w="1134" w:type="dxa"/>
          </w:tcPr>
          <w:p w:rsidR="00B14FF5" w:rsidRPr="00884F0A" w:rsidRDefault="00B14FF5" w:rsidP="00D1356D">
            <w:pPr>
              <w:pStyle w:val="Tabletext"/>
            </w:pPr>
            <w:r w:rsidRPr="00884F0A">
              <w:t>21</w:t>
            </w:r>
            <w:r w:rsidRPr="00456F1B">
              <w:rPr>
                <w:rFonts w:eastAsia="Times New Roman"/>
              </w:rPr>
              <w:t xml:space="preserve"> patients tested</w:t>
            </w:r>
          </w:p>
        </w:tc>
        <w:tc>
          <w:tcPr>
            <w:tcW w:w="993" w:type="dxa"/>
          </w:tcPr>
          <w:p w:rsidR="00B14FF5" w:rsidRPr="00B14FF5" w:rsidRDefault="00B14FF5" w:rsidP="00D1356D">
            <w:pPr>
              <w:pStyle w:val="Tabletext"/>
              <w:rPr>
                <w:rFonts w:eastAsia="Times New Roman"/>
              </w:rPr>
            </w:pPr>
            <w:r w:rsidRPr="00B14FF5">
              <w:rPr>
                <w:rFonts w:eastAsia="Times New Roman"/>
              </w:rPr>
              <w:t>-</w:t>
            </w:r>
          </w:p>
        </w:tc>
        <w:tc>
          <w:tcPr>
            <w:tcW w:w="2188" w:type="dxa"/>
          </w:tcPr>
          <w:p w:rsidR="00B14FF5" w:rsidRPr="00B14FF5" w:rsidRDefault="00E25FAA" w:rsidP="00572AE9">
            <w:pPr>
              <w:pStyle w:val="Tabletext"/>
              <w:rPr>
                <w:rFonts w:eastAsia="Times New Roman"/>
              </w:rPr>
            </w:pPr>
            <w:r>
              <w:rPr>
                <w:rFonts w:eastAsia="Times New Roman"/>
              </w:rPr>
              <w:t>EQ-</w:t>
            </w:r>
            <w:r w:rsidR="00107963">
              <w:rPr>
                <w:rFonts w:eastAsia="Times New Roman"/>
              </w:rPr>
              <w:t>VAS</w:t>
            </w:r>
            <w:r w:rsidR="00B63B1D" w:rsidRPr="00B63B1D">
              <w:rPr>
                <w:rFonts w:eastAsia="Times New Roman"/>
                <w:vertAlign w:val="superscript"/>
              </w:rPr>
              <w:t>f</w:t>
            </w:r>
            <w:r>
              <w:rPr>
                <w:rFonts w:eastAsia="Times New Roman"/>
              </w:rPr>
              <w:br/>
              <w:t>MD</w:t>
            </w:r>
            <w:r w:rsidR="00B14FF5" w:rsidRPr="00B14FF5">
              <w:rPr>
                <w:rFonts w:eastAsia="Times New Roman"/>
              </w:rPr>
              <w:t xml:space="preserve"> 10 point improvement</w:t>
            </w:r>
          </w:p>
        </w:tc>
        <w:tc>
          <w:tcPr>
            <w:tcW w:w="1214" w:type="dxa"/>
          </w:tcPr>
          <w:p w:rsidR="00E86FC8" w:rsidRDefault="00E86FC8" w:rsidP="00E86FC8">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B14FF5" w:rsidRPr="00E564DD" w:rsidRDefault="00B14FF5" w:rsidP="00D1356D">
            <w:pPr>
              <w:pStyle w:val="Tabletext"/>
              <w:rPr>
                <w:rFonts w:eastAsia="Times New Roman" w:cs="Tahoma"/>
                <w:bCs/>
              </w:rPr>
            </w:pPr>
            <w:r>
              <w:rPr>
                <w:rFonts w:cs="Tahoma"/>
              </w:rPr>
              <w:t>I</w:t>
            </w:r>
            <w:r w:rsidRPr="00E564DD">
              <w:rPr>
                <w:rFonts w:cs="Tahoma"/>
              </w:rPr>
              <w:t>mportant</w:t>
            </w:r>
          </w:p>
        </w:tc>
      </w:tr>
      <w:tr w:rsidR="00CC3BA4" w:rsidRPr="00D36FBC" w:rsidTr="002856B6">
        <w:trPr>
          <w:trHeight w:val="319"/>
        </w:trPr>
        <w:tc>
          <w:tcPr>
            <w:tcW w:w="1493" w:type="dxa"/>
          </w:tcPr>
          <w:p w:rsidR="00CC3BA4" w:rsidRPr="00D36FBC" w:rsidRDefault="00CC3BA4" w:rsidP="00D1356D">
            <w:pPr>
              <w:pStyle w:val="Tabletext"/>
              <w:rPr>
                <w:rFonts w:cs="Tahoma"/>
              </w:rPr>
            </w:pPr>
            <w:r w:rsidRPr="00D36FBC">
              <w:rPr>
                <w:rFonts w:cs="Tahoma"/>
              </w:rPr>
              <w:lastRenderedPageBreak/>
              <w:t xml:space="preserve">Change in </w:t>
            </w:r>
            <w:r>
              <w:rPr>
                <w:rFonts w:cs="Tahoma"/>
              </w:rPr>
              <w:t xml:space="preserve">haemodynamic parameters </w:t>
            </w:r>
            <w:r w:rsidRPr="00D36FBC">
              <w:rPr>
                <w:rFonts w:cs="Tahoma"/>
              </w:rPr>
              <w:t>from baseline</w:t>
            </w:r>
            <w:r>
              <w:rPr>
                <w:rFonts w:cs="Tahoma"/>
              </w:rPr>
              <w:br/>
            </w:r>
            <w:r w:rsidRPr="00D36FBC">
              <w:rPr>
                <w:rFonts w:cs="Tahoma"/>
              </w:rPr>
              <w:t>(</w:t>
            </w:r>
            <w:r>
              <w:rPr>
                <w:rFonts w:cs="Tahoma"/>
              </w:rPr>
              <w:t>12</w:t>
            </w:r>
            <w:r w:rsidRPr="00D36FBC">
              <w:rPr>
                <w:rFonts w:cs="Tahoma"/>
              </w:rPr>
              <w:t xml:space="preserve"> weeks) </w:t>
            </w:r>
          </w:p>
        </w:tc>
        <w:tc>
          <w:tcPr>
            <w:tcW w:w="974" w:type="dxa"/>
          </w:tcPr>
          <w:p w:rsidR="00CC3BA4" w:rsidRPr="00D36FBC" w:rsidRDefault="00CC3BA4" w:rsidP="00D1356D">
            <w:pPr>
              <w:pStyle w:val="Tabletext"/>
              <w:rPr>
                <w:rFonts w:cs="Tahoma"/>
              </w:rPr>
            </w:pPr>
            <w:r w:rsidRPr="00D36FBC">
              <w:rPr>
                <w:rFonts w:cs="Tahoma"/>
              </w:rPr>
              <w:t>1 RCT</w:t>
            </w:r>
          </w:p>
        </w:tc>
        <w:tc>
          <w:tcPr>
            <w:tcW w:w="851" w:type="dxa"/>
          </w:tcPr>
          <w:p w:rsidR="00CC3BA4" w:rsidRPr="00D36FBC" w:rsidRDefault="00CC3BA4" w:rsidP="00D1356D">
            <w:pPr>
              <w:pStyle w:val="Tabletext"/>
              <w:rPr>
                <w:rFonts w:cs="Tahoma"/>
              </w:rPr>
            </w:pPr>
            <w:r w:rsidRPr="00D36FBC">
              <w:rPr>
                <w:rFonts w:cs="Tahoma"/>
              </w:rPr>
              <w:t>Not serious</w:t>
            </w:r>
          </w:p>
        </w:tc>
        <w:tc>
          <w:tcPr>
            <w:tcW w:w="1072" w:type="dxa"/>
          </w:tcPr>
          <w:p w:rsidR="00CC3BA4" w:rsidRPr="00D36FBC" w:rsidRDefault="00CC3BA4" w:rsidP="00D1356D">
            <w:pPr>
              <w:pStyle w:val="Tabletext"/>
              <w:rPr>
                <w:rFonts w:cs="Tahoma"/>
              </w:rPr>
            </w:pPr>
            <w:r w:rsidRPr="00D36FBC">
              <w:rPr>
                <w:rFonts w:cs="Tahoma"/>
              </w:rPr>
              <w:t>Not serious</w:t>
            </w:r>
          </w:p>
        </w:tc>
        <w:tc>
          <w:tcPr>
            <w:tcW w:w="992" w:type="dxa"/>
          </w:tcPr>
          <w:p w:rsidR="00CC3BA4" w:rsidRPr="00F95747" w:rsidRDefault="00312FDE" w:rsidP="00B63B1D">
            <w:pPr>
              <w:pStyle w:val="Tabletext"/>
              <w:rPr>
                <w:rFonts w:cs="Tahoma"/>
                <w:vertAlign w:val="superscript"/>
              </w:rPr>
            </w:pPr>
            <w:r>
              <w:rPr>
                <w:rFonts w:cs="Tahoma"/>
              </w:rPr>
              <w:t>Very</w:t>
            </w:r>
            <w:r w:rsidRPr="00D36FBC">
              <w:rPr>
                <w:rFonts w:cs="Tahoma"/>
              </w:rPr>
              <w:t xml:space="preserve"> </w:t>
            </w:r>
            <w:r w:rsidR="00CC3BA4" w:rsidRPr="00D36FBC">
              <w:rPr>
                <w:rFonts w:cs="Tahoma"/>
              </w:rPr>
              <w:t>serious</w:t>
            </w:r>
            <w:r>
              <w:rPr>
                <w:rFonts w:cs="Tahoma"/>
                <w:vertAlign w:val="superscript"/>
              </w:rPr>
              <w:t>e</w:t>
            </w:r>
          </w:p>
        </w:tc>
        <w:tc>
          <w:tcPr>
            <w:tcW w:w="1038" w:type="dxa"/>
          </w:tcPr>
          <w:p w:rsidR="00CC3BA4" w:rsidRPr="00E86FC8" w:rsidRDefault="00E86FC8" w:rsidP="00D1356D">
            <w:pPr>
              <w:pStyle w:val="Tabletext"/>
              <w:rPr>
                <w:rFonts w:cs="Tahoma"/>
                <w:vertAlign w:val="superscript"/>
              </w:rPr>
            </w:pPr>
            <w:r>
              <w:rPr>
                <w:rFonts w:cs="Tahoma"/>
              </w:rPr>
              <w:t>S</w:t>
            </w:r>
            <w:r w:rsidR="00CC3BA4" w:rsidRPr="00D36FBC">
              <w:rPr>
                <w:rFonts w:cs="Tahoma"/>
              </w:rPr>
              <w:t>erious</w:t>
            </w:r>
            <w:r>
              <w:rPr>
                <w:rFonts w:cs="Tahoma"/>
                <w:vertAlign w:val="superscript"/>
              </w:rPr>
              <w:t xml:space="preserve"> g</w:t>
            </w:r>
          </w:p>
        </w:tc>
        <w:tc>
          <w:tcPr>
            <w:tcW w:w="1230" w:type="dxa"/>
          </w:tcPr>
          <w:p w:rsidR="00CC3BA4" w:rsidRDefault="00CC3BA4" w:rsidP="00A7700C">
            <w:pPr>
              <w:pStyle w:val="Tabletext"/>
              <w:rPr>
                <w:rFonts w:cs="Tahoma"/>
              </w:rPr>
            </w:pPr>
            <w:r w:rsidRPr="00AC54F2">
              <w:rPr>
                <w:rFonts w:cs="Tahoma"/>
              </w:rPr>
              <w:t>Strong association</w:t>
            </w:r>
          </w:p>
          <w:p w:rsidR="00CC3BA4" w:rsidRPr="00D36FBC" w:rsidRDefault="00CC3BA4" w:rsidP="00A7700C">
            <w:pPr>
              <w:pStyle w:val="Tabletext"/>
              <w:rPr>
                <w:rFonts w:cs="Tahoma"/>
              </w:rPr>
            </w:pPr>
            <w:r w:rsidRPr="00D36FBC">
              <w:rPr>
                <w:rFonts w:cs="Tahoma"/>
              </w:rPr>
              <w:t>Strong association</w:t>
            </w:r>
          </w:p>
        </w:tc>
        <w:tc>
          <w:tcPr>
            <w:tcW w:w="1417" w:type="dxa"/>
          </w:tcPr>
          <w:p w:rsidR="00CC3BA4" w:rsidRPr="0077309F" w:rsidRDefault="00CC3BA4" w:rsidP="00D1356D">
            <w:pPr>
              <w:pStyle w:val="Tabletext"/>
              <w:rPr>
                <w:rFonts w:eastAsia="Times New Roman"/>
              </w:rPr>
            </w:pPr>
            <w:r>
              <w:rPr>
                <w:rFonts w:eastAsia="Times New Roman"/>
              </w:rPr>
              <w:t>32</w:t>
            </w:r>
            <w:r w:rsidRPr="00456F1B">
              <w:rPr>
                <w:rFonts w:eastAsia="Times New Roman"/>
              </w:rPr>
              <w:t xml:space="preserve"> patients tested</w:t>
            </w:r>
          </w:p>
        </w:tc>
        <w:tc>
          <w:tcPr>
            <w:tcW w:w="1134" w:type="dxa"/>
          </w:tcPr>
          <w:p w:rsidR="00CC3BA4" w:rsidRPr="0077309F" w:rsidRDefault="00CC3BA4" w:rsidP="00D1356D">
            <w:pPr>
              <w:pStyle w:val="Tabletext"/>
              <w:rPr>
                <w:rFonts w:eastAsia="Times New Roman"/>
              </w:rPr>
            </w:pPr>
            <w:r w:rsidRPr="00884F0A">
              <w:t>33</w:t>
            </w:r>
            <w:r w:rsidRPr="00456F1B">
              <w:rPr>
                <w:rFonts w:eastAsia="Times New Roman"/>
              </w:rPr>
              <w:t xml:space="preserve"> patients tested</w:t>
            </w:r>
          </w:p>
        </w:tc>
        <w:tc>
          <w:tcPr>
            <w:tcW w:w="993" w:type="dxa"/>
          </w:tcPr>
          <w:p w:rsidR="00CC3BA4" w:rsidRPr="0077309F" w:rsidRDefault="00CC3BA4" w:rsidP="00D1356D">
            <w:pPr>
              <w:pStyle w:val="Tabletext"/>
              <w:rPr>
                <w:rFonts w:eastAsia="Times New Roman"/>
                <w:bCs/>
              </w:rPr>
            </w:pPr>
            <w:r w:rsidRPr="0077309F">
              <w:rPr>
                <w:rFonts w:eastAsia="Times New Roman"/>
                <w:bCs/>
              </w:rPr>
              <w:t>-</w:t>
            </w:r>
          </w:p>
        </w:tc>
        <w:tc>
          <w:tcPr>
            <w:tcW w:w="2188" w:type="dxa"/>
          </w:tcPr>
          <w:p w:rsidR="00CC3BA4" w:rsidRDefault="00E25FAA" w:rsidP="00D1356D">
            <w:pPr>
              <w:pStyle w:val="Tabletext"/>
              <w:rPr>
                <w:rFonts w:cs="Tahoma"/>
              </w:rPr>
            </w:pPr>
            <w:r>
              <w:rPr>
                <w:rFonts w:cs="Tahoma"/>
              </w:rPr>
              <w:t>PVR</w:t>
            </w:r>
            <w:r>
              <w:rPr>
                <w:rFonts w:cs="Tahoma"/>
              </w:rPr>
              <w:br/>
              <w:t>MD</w:t>
            </w:r>
            <w:r w:rsidR="00CC3BA4">
              <w:rPr>
                <w:rFonts w:cs="Tahoma"/>
              </w:rPr>
              <w:t xml:space="preserve"> 30.4% improvement</w:t>
            </w:r>
          </w:p>
          <w:p w:rsidR="00CC3BA4" w:rsidRPr="0077309F" w:rsidRDefault="00E25FAA" w:rsidP="00D1356D">
            <w:pPr>
              <w:pStyle w:val="Tabletext"/>
              <w:rPr>
                <w:rFonts w:cs="Tahoma"/>
              </w:rPr>
            </w:pPr>
            <w:r>
              <w:rPr>
                <w:rFonts w:cs="Tahoma"/>
              </w:rPr>
              <w:t>mPAP</w:t>
            </w:r>
            <w:r>
              <w:rPr>
                <w:rFonts w:cs="Tahoma"/>
              </w:rPr>
              <w:br/>
              <w:t>MD</w:t>
            </w:r>
            <w:r w:rsidR="00CC3BA4">
              <w:rPr>
                <w:rFonts w:cs="Tahoma"/>
              </w:rPr>
              <w:t xml:space="preserve"> 15.6% improvement</w:t>
            </w:r>
          </w:p>
        </w:tc>
        <w:tc>
          <w:tcPr>
            <w:tcW w:w="1214" w:type="dxa"/>
          </w:tcPr>
          <w:p w:rsidR="00E86FC8" w:rsidRDefault="00E86FC8" w:rsidP="00E86FC8">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sidRPr="00E564DD">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77309F" w:rsidRDefault="00CC3BA4" w:rsidP="00D1356D">
            <w:pPr>
              <w:pStyle w:val="Tabletext"/>
              <w:rPr>
                <w:rFonts w:eastAsia="Times New Roman" w:cs="Tahoma"/>
                <w:bCs/>
              </w:rPr>
            </w:pPr>
            <w:r>
              <w:rPr>
                <w:rFonts w:cs="Tahoma"/>
              </w:rPr>
              <w:t>Not i</w:t>
            </w:r>
            <w:r w:rsidRPr="00E564DD">
              <w:rPr>
                <w:rFonts w:cs="Tahoma"/>
              </w:rPr>
              <w:t>mportant</w:t>
            </w:r>
          </w:p>
        </w:tc>
      </w:tr>
    </w:tbl>
    <w:p w:rsidR="00CC3BA4" w:rsidRPr="00AA018C" w:rsidRDefault="00CC3BA4" w:rsidP="00D1356D">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D1356D">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CC3BA4" w:rsidRDefault="00CC3BA4" w:rsidP="00D1356D">
      <w:pPr>
        <w:pStyle w:val="Tablenote"/>
      </w:pPr>
      <w:proofErr w:type="gramStart"/>
      <w:r>
        <w:rPr>
          <w:vertAlign w:val="superscript"/>
        </w:rPr>
        <w:t>c</w:t>
      </w:r>
      <w:proofErr w:type="gramEnd"/>
      <w:r w:rsidRPr="00E564DD">
        <w:t xml:space="preserve"> </w:t>
      </w:r>
      <w:r>
        <w:t>One RCT had a high risk of bias</w:t>
      </w:r>
    </w:p>
    <w:p w:rsidR="00CC3BA4" w:rsidRDefault="00CC3BA4" w:rsidP="00D1356D">
      <w:pPr>
        <w:pStyle w:val="Tablenote"/>
      </w:pPr>
      <w:proofErr w:type="gramStart"/>
      <w:r>
        <w:rPr>
          <w:vertAlign w:val="superscript"/>
        </w:rPr>
        <w:t>d</w:t>
      </w:r>
      <w:proofErr w:type="gramEnd"/>
      <w:r w:rsidRPr="00E564DD">
        <w:t xml:space="preserve"> </w:t>
      </w:r>
      <w:r>
        <w:t>Wide 95% CIs span 1</w:t>
      </w:r>
    </w:p>
    <w:p w:rsidR="00312FDE" w:rsidRPr="00312FDE" w:rsidRDefault="00312FDE" w:rsidP="00D1356D">
      <w:pPr>
        <w:pStyle w:val="Tablenote"/>
      </w:pPr>
      <w:proofErr w:type="gramStart"/>
      <w:r>
        <w:rPr>
          <w:vertAlign w:val="superscript"/>
        </w:rPr>
        <w:t>e</w:t>
      </w:r>
      <w:proofErr w:type="gramEnd"/>
      <w:r>
        <w:rPr>
          <w:vertAlign w:val="superscript"/>
        </w:rPr>
        <w:t xml:space="preserve"> </w:t>
      </w:r>
      <w:r>
        <w:t>Surrogate outcome</w:t>
      </w:r>
    </w:p>
    <w:p w:rsidR="00B63B1D" w:rsidRDefault="00B63B1D" w:rsidP="00B63B1D">
      <w:pPr>
        <w:pStyle w:val="Tablenote"/>
      </w:pPr>
      <w:proofErr w:type="gramStart"/>
      <w:r>
        <w:rPr>
          <w:vertAlign w:val="superscript"/>
        </w:rPr>
        <w:t>f</w:t>
      </w:r>
      <w:proofErr w:type="gramEnd"/>
      <w:r>
        <w:t xml:space="preserve"> </w:t>
      </w:r>
      <w:r w:rsidRPr="000054CF">
        <w:t xml:space="preserve">EQ-VAS scores range from 0 to 100. A higher score represents better </w:t>
      </w:r>
      <w:r>
        <w:t>QoL</w:t>
      </w:r>
      <w:r w:rsidRPr="000054CF">
        <w:t xml:space="preserve">. </w:t>
      </w:r>
    </w:p>
    <w:p w:rsidR="00E86FC8" w:rsidRPr="00E86FC8" w:rsidRDefault="00E86FC8" w:rsidP="00B63B1D">
      <w:pPr>
        <w:pStyle w:val="Tablenote"/>
      </w:pPr>
      <w:proofErr w:type="gramStart"/>
      <w:r>
        <w:rPr>
          <w:vertAlign w:val="superscript"/>
        </w:rPr>
        <w:t>g</w:t>
      </w:r>
      <w:proofErr w:type="gramEnd"/>
      <w:r>
        <w:rPr>
          <w:vertAlign w:val="superscript"/>
        </w:rPr>
        <w:t xml:space="preserve"> </w:t>
      </w:r>
      <w:r>
        <w:t>small study size</w:t>
      </w:r>
    </w:p>
    <w:p w:rsidR="00CC3BA4" w:rsidRPr="00E564DD" w:rsidRDefault="00CC3BA4" w:rsidP="00D1356D">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CC3BA4" w:rsidRPr="00E564DD" w:rsidRDefault="00CC3BA4" w:rsidP="00D1356D">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Low quality:</w:t>
      </w:r>
      <w:r w:rsidRPr="00E564DD">
        <w:t xml:space="preserve"> Our confidence in the effect estimate is limited: The true effect may be substantially different from the estimate of the effect</w:t>
      </w:r>
      <w:r w:rsidR="002E6E59" w:rsidRPr="002E6E59">
        <w:t xml:space="preserve"> </w:t>
      </w:r>
    </w:p>
    <w:p w:rsidR="00E86FC8" w:rsidRPr="00E564DD" w:rsidRDefault="00E86FC8" w:rsidP="00E86FC8">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2E6E59" w:rsidRDefault="00CC3BA4" w:rsidP="00D1356D">
      <w:pPr>
        <w:pStyle w:val="Tablenote"/>
      </w:pPr>
      <w:proofErr w:type="gramStart"/>
      <w:r>
        <w:t xml:space="preserve">6MWD = 6-minute </w:t>
      </w:r>
      <w:r w:rsidR="0082368E">
        <w:t>walk distance</w:t>
      </w:r>
      <w:r>
        <w:t>; AR</w:t>
      </w:r>
      <w:r w:rsidR="00B21201">
        <w:t>D</w:t>
      </w:r>
      <w:r>
        <w:t xml:space="preserve"> = absolute risk </w:t>
      </w:r>
      <w:r w:rsidR="00B21201">
        <w:t>difference</w:t>
      </w:r>
      <w:r>
        <w:t xml:space="preserve">; CI = confidence interval; </w:t>
      </w:r>
      <w:r w:rsidR="00107963" w:rsidRPr="00107963">
        <w:t xml:space="preserve">EQ-VAS = EuroQoL visual analogue scale; </w:t>
      </w:r>
      <w:r>
        <w:t>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2E6E59" w:rsidRPr="00F24B06">
        <w:t>;</w:t>
      </w:r>
      <w:r w:rsidR="002E6E59">
        <w:t xml:space="preserve"> </w:t>
      </w:r>
      <w:r>
        <w:t>MD = mean difference</w:t>
      </w:r>
      <w:r w:rsidR="004510DE">
        <w:t>; mPAP = mean pulmonary artery</w:t>
      </w:r>
      <w:r>
        <w:t xml:space="preserve"> pressure; </w:t>
      </w:r>
      <w:r w:rsidRPr="00C65B42">
        <w:t xml:space="preserve">PAH = pulmonary arterial hypertension; </w:t>
      </w:r>
      <w:r w:rsidRPr="009123E2">
        <w:t>PVR</w:t>
      </w:r>
      <w:r>
        <w:t xml:space="preserve"> = p</w:t>
      </w:r>
      <w:r w:rsidRPr="009123E2">
        <w:t xml:space="preserve">ulmonary </w:t>
      </w:r>
      <w:r>
        <w:t>v</w:t>
      </w:r>
      <w:r w:rsidRPr="009123E2">
        <w:t xml:space="preserve">ascular </w:t>
      </w:r>
      <w:r>
        <w:t>r</w:t>
      </w:r>
      <w:r w:rsidRPr="009123E2">
        <w:t>esistance</w:t>
      </w:r>
      <w:r>
        <w:t>; QoL = quality of life; RCT = randomised controlled trial; RR = relative risk; WHO = World Health Organization</w:t>
      </w:r>
      <w:proofErr w:type="gramEnd"/>
    </w:p>
    <w:p w:rsidR="002856B6" w:rsidRDefault="002856B6">
      <w:pPr>
        <w:spacing w:before="0" w:line="240" w:lineRule="auto"/>
        <w:rPr>
          <w:b/>
          <w:iCs/>
          <w:szCs w:val="18"/>
        </w:rPr>
      </w:pPr>
      <w:bookmarkStart w:id="537" w:name="_Ref505863086"/>
      <w:bookmarkStart w:id="538" w:name="_Toc38360461"/>
      <w:r>
        <w:br w:type="page"/>
      </w:r>
    </w:p>
    <w:p w:rsidR="00CC3BA4" w:rsidRPr="005D4CA0" w:rsidRDefault="00796F18" w:rsidP="00BC5A2B">
      <w:pPr>
        <w:pStyle w:val="Caption"/>
      </w:pPr>
      <w:r>
        <w:lastRenderedPageBreak/>
        <w:t>Table 4.</w:t>
      </w:r>
      <w:r w:rsidR="003951FA">
        <w:rPr>
          <w:noProof/>
        </w:rPr>
        <w:t>164</w:t>
      </w:r>
      <w:bookmarkEnd w:id="537"/>
      <w:r>
        <w:tab/>
      </w:r>
      <w:r w:rsidR="00CC3BA4" w:rsidRPr="005D4CA0">
        <w:t xml:space="preserve">Evidence profile table for </w:t>
      </w:r>
      <w:r w:rsidR="00CC3BA4">
        <w:t xml:space="preserve">comparative safety of </w:t>
      </w:r>
      <w:r w:rsidR="0017012F" w:rsidRPr="0043303C">
        <w:t>prostanoid</w:t>
      </w:r>
      <w:r w:rsidR="00CC3BA4" w:rsidRPr="0043303C">
        <w:t xml:space="preserve"> </w:t>
      </w:r>
      <w:r w:rsidR="002E6E59">
        <w:t>plus</w:t>
      </w:r>
      <w:r w:rsidR="00CC3BA4" w:rsidRPr="0043303C">
        <w:t xml:space="preserve"> ERA combination therapy compared to ERA monotherapy for patients with WHO FC III/IV PAH</w:t>
      </w:r>
      <w:bookmarkEnd w:id="538"/>
    </w:p>
    <w:tbl>
      <w:tblPr>
        <w:tblStyle w:val="TableGrid"/>
        <w:tblW w:w="14738" w:type="dxa"/>
        <w:tblLayout w:type="fixed"/>
        <w:tblLook w:val="04A0" w:firstRow="1" w:lastRow="0" w:firstColumn="1" w:lastColumn="0" w:noHBand="0" w:noVBand="1"/>
        <w:tblCaption w:val="Evidence profile table for comparative safety of prostanoid plus ERA combination therapy compared to ERA monotherapy for patients with WHO FC III/IV PAH"/>
      </w:tblPr>
      <w:tblGrid>
        <w:gridCol w:w="1493"/>
        <w:gridCol w:w="1054"/>
        <w:gridCol w:w="771"/>
        <w:gridCol w:w="1072"/>
        <w:gridCol w:w="992"/>
        <w:gridCol w:w="1134"/>
        <w:gridCol w:w="1276"/>
        <w:gridCol w:w="1417"/>
        <w:gridCol w:w="1134"/>
        <w:gridCol w:w="993"/>
        <w:gridCol w:w="2188"/>
        <w:gridCol w:w="1214"/>
      </w:tblGrid>
      <w:tr w:rsidR="00D1356D" w:rsidRPr="00D1356D" w:rsidTr="00F37FD2">
        <w:trPr>
          <w:cnfStyle w:val="100000000000" w:firstRow="1" w:lastRow="0" w:firstColumn="0" w:lastColumn="0" w:oddVBand="0" w:evenVBand="0" w:oddHBand="0" w:evenHBand="0" w:firstRowFirstColumn="0" w:firstRowLastColumn="0" w:lastRowFirstColumn="0" w:lastRowLastColumn="0"/>
          <w:trHeight w:val="416"/>
        </w:trPr>
        <w:tc>
          <w:tcPr>
            <w:tcW w:w="1493" w:type="dxa"/>
          </w:tcPr>
          <w:p w:rsidR="00476F09" w:rsidRPr="00D1356D" w:rsidRDefault="00476F09" w:rsidP="00D1356D">
            <w:pPr>
              <w:pStyle w:val="Tabletext"/>
              <w:rPr>
                <w:b/>
              </w:rPr>
            </w:pPr>
            <w:r w:rsidRPr="00D1356D">
              <w:rPr>
                <w:b/>
              </w:rPr>
              <w:t>Outcome (follow-up)</w:t>
            </w:r>
          </w:p>
        </w:tc>
        <w:tc>
          <w:tcPr>
            <w:tcW w:w="1054" w:type="dxa"/>
          </w:tcPr>
          <w:p w:rsidR="00476F09" w:rsidRPr="00D1356D" w:rsidRDefault="00476F09" w:rsidP="00D1356D">
            <w:pPr>
              <w:pStyle w:val="Tabletext"/>
              <w:rPr>
                <w:b/>
              </w:rPr>
            </w:pPr>
            <w:r w:rsidRPr="00D1356D">
              <w:rPr>
                <w:b/>
              </w:rPr>
              <w:t>No. of studies and study design</w:t>
            </w:r>
          </w:p>
        </w:tc>
        <w:tc>
          <w:tcPr>
            <w:tcW w:w="771" w:type="dxa"/>
          </w:tcPr>
          <w:p w:rsidR="00476F09" w:rsidRPr="00D1356D" w:rsidRDefault="00476F09" w:rsidP="00D1356D">
            <w:pPr>
              <w:pStyle w:val="Tabletext"/>
              <w:rPr>
                <w:b/>
              </w:rPr>
            </w:pPr>
            <w:r w:rsidRPr="00D1356D">
              <w:rPr>
                <w:b/>
              </w:rPr>
              <w:t>Risk of bias</w:t>
            </w:r>
          </w:p>
        </w:tc>
        <w:tc>
          <w:tcPr>
            <w:tcW w:w="1072" w:type="dxa"/>
          </w:tcPr>
          <w:p w:rsidR="00476F09" w:rsidRPr="00D1356D" w:rsidRDefault="00476F09" w:rsidP="00D1356D">
            <w:pPr>
              <w:pStyle w:val="Tabletext"/>
              <w:rPr>
                <w:b/>
              </w:rPr>
            </w:pPr>
            <w:r w:rsidRPr="00D1356D">
              <w:rPr>
                <w:b/>
              </w:rPr>
              <w:t>Inconsis</w:t>
            </w:r>
            <w:r w:rsidR="00F37FD2">
              <w:rPr>
                <w:b/>
              </w:rPr>
              <w:t>-</w:t>
            </w:r>
            <w:r w:rsidRPr="00D1356D">
              <w:rPr>
                <w:b/>
              </w:rPr>
              <w:t>tency</w:t>
            </w:r>
          </w:p>
        </w:tc>
        <w:tc>
          <w:tcPr>
            <w:tcW w:w="992" w:type="dxa"/>
          </w:tcPr>
          <w:p w:rsidR="00476F09" w:rsidRPr="00D1356D" w:rsidRDefault="00476F09" w:rsidP="00D1356D">
            <w:pPr>
              <w:pStyle w:val="Tabletext"/>
              <w:rPr>
                <w:b/>
              </w:rPr>
            </w:pPr>
            <w:r w:rsidRPr="00D1356D">
              <w:rPr>
                <w:b/>
              </w:rPr>
              <w:t>Indirect</w:t>
            </w:r>
            <w:r w:rsidR="00F37FD2">
              <w:rPr>
                <w:b/>
              </w:rPr>
              <w:t>-</w:t>
            </w:r>
            <w:r w:rsidRPr="00D1356D">
              <w:rPr>
                <w:b/>
              </w:rPr>
              <w:t>ness</w:t>
            </w:r>
          </w:p>
        </w:tc>
        <w:tc>
          <w:tcPr>
            <w:tcW w:w="1134" w:type="dxa"/>
          </w:tcPr>
          <w:p w:rsidR="00476F09" w:rsidRPr="00D1356D" w:rsidRDefault="00476F09" w:rsidP="00D1356D">
            <w:pPr>
              <w:pStyle w:val="Tabletext"/>
              <w:rPr>
                <w:b/>
              </w:rPr>
            </w:pPr>
            <w:r w:rsidRPr="00D1356D">
              <w:rPr>
                <w:b/>
              </w:rPr>
              <w:t>Impre</w:t>
            </w:r>
            <w:r w:rsidR="00F37FD2">
              <w:rPr>
                <w:b/>
              </w:rPr>
              <w:t>-</w:t>
            </w:r>
            <w:r w:rsidRPr="00D1356D">
              <w:rPr>
                <w:b/>
              </w:rPr>
              <w:t>cision</w:t>
            </w:r>
          </w:p>
        </w:tc>
        <w:tc>
          <w:tcPr>
            <w:tcW w:w="1276" w:type="dxa"/>
          </w:tcPr>
          <w:p w:rsidR="00476F09" w:rsidRPr="00D1356D" w:rsidRDefault="00476F09" w:rsidP="00D1356D">
            <w:pPr>
              <w:pStyle w:val="Tabletext"/>
              <w:rPr>
                <w:b/>
              </w:rPr>
            </w:pPr>
            <w:r w:rsidRPr="00D1356D">
              <w:rPr>
                <w:b/>
              </w:rPr>
              <w:t>Other conside</w:t>
            </w:r>
            <w:r w:rsidR="00F37FD2">
              <w:rPr>
                <w:b/>
              </w:rPr>
              <w:t>-</w:t>
            </w:r>
            <w:r w:rsidRPr="00D1356D">
              <w:rPr>
                <w:b/>
              </w:rPr>
              <w:t>rations</w:t>
            </w:r>
            <w:r w:rsidRPr="00D1356D">
              <w:rPr>
                <w:b/>
                <w:vertAlign w:val="superscript"/>
              </w:rPr>
              <w:t>a</w:t>
            </w:r>
          </w:p>
        </w:tc>
        <w:tc>
          <w:tcPr>
            <w:tcW w:w="1417" w:type="dxa"/>
          </w:tcPr>
          <w:p w:rsidR="00476F09" w:rsidRPr="00D1356D" w:rsidRDefault="00476F09" w:rsidP="00D1356D">
            <w:pPr>
              <w:pStyle w:val="Tabletext"/>
              <w:rPr>
                <w:b/>
              </w:rPr>
            </w:pPr>
            <w:r w:rsidRPr="00D1356D">
              <w:rPr>
                <w:b/>
              </w:rPr>
              <w:t>Study event rates (%) with prostanoid + ERA</w:t>
            </w:r>
          </w:p>
        </w:tc>
        <w:tc>
          <w:tcPr>
            <w:tcW w:w="1134" w:type="dxa"/>
          </w:tcPr>
          <w:p w:rsidR="00476F09" w:rsidRPr="00D1356D" w:rsidRDefault="00476F09" w:rsidP="00D1356D">
            <w:pPr>
              <w:pStyle w:val="Tabletext"/>
              <w:rPr>
                <w:b/>
              </w:rPr>
            </w:pPr>
            <w:r w:rsidRPr="00D1356D">
              <w:rPr>
                <w:b/>
              </w:rPr>
              <w:t>Study event rates (%) with ERA</w:t>
            </w:r>
          </w:p>
        </w:tc>
        <w:tc>
          <w:tcPr>
            <w:tcW w:w="993" w:type="dxa"/>
          </w:tcPr>
          <w:p w:rsidR="00476F09" w:rsidRPr="00D1356D" w:rsidRDefault="00476F09" w:rsidP="00D1356D">
            <w:pPr>
              <w:pStyle w:val="Tabletext"/>
              <w:rPr>
                <w:b/>
              </w:rPr>
            </w:pPr>
            <w:r w:rsidRPr="00D1356D">
              <w:rPr>
                <w:b/>
              </w:rPr>
              <w:t>Effect measure (95%CI)</w:t>
            </w:r>
          </w:p>
        </w:tc>
        <w:tc>
          <w:tcPr>
            <w:tcW w:w="2188" w:type="dxa"/>
          </w:tcPr>
          <w:p w:rsidR="00476F09" w:rsidRPr="00D1356D" w:rsidRDefault="00476F09" w:rsidP="00D1356D">
            <w:pPr>
              <w:pStyle w:val="Tabletext"/>
              <w:rPr>
                <w:b/>
              </w:rPr>
            </w:pPr>
            <w:r w:rsidRPr="00D1356D">
              <w:rPr>
                <w:b/>
              </w:rPr>
              <w:t>Absolute effect (95%CI)</w:t>
            </w:r>
          </w:p>
        </w:tc>
        <w:tc>
          <w:tcPr>
            <w:tcW w:w="1214" w:type="dxa"/>
          </w:tcPr>
          <w:p w:rsidR="002E6E59" w:rsidRDefault="002E6E59" w:rsidP="00D1356D">
            <w:pPr>
              <w:pStyle w:val="Tabletext"/>
              <w:rPr>
                <w:b/>
              </w:rPr>
            </w:pPr>
            <w:r>
              <w:rPr>
                <w:b/>
              </w:rPr>
              <w:t>GRADE</w:t>
            </w:r>
            <w:r w:rsidRPr="002E6E59">
              <w:rPr>
                <w:b/>
                <w:vertAlign w:val="superscript"/>
              </w:rPr>
              <w:t>b</w:t>
            </w:r>
          </w:p>
          <w:p w:rsidR="00476F09" w:rsidRPr="00D1356D" w:rsidRDefault="00476F09" w:rsidP="00D1356D">
            <w:pPr>
              <w:pStyle w:val="Tabletext"/>
              <w:rPr>
                <w:b/>
                <w:vertAlign w:val="superscript"/>
              </w:rPr>
            </w:pPr>
            <w:r w:rsidRPr="00D1356D">
              <w:rPr>
                <w:b/>
              </w:rPr>
              <w:t>Quality</w:t>
            </w:r>
          </w:p>
          <w:p w:rsidR="00476F09" w:rsidRPr="00D1356D" w:rsidRDefault="00476F09" w:rsidP="00D1356D">
            <w:pPr>
              <w:pStyle w:val="Tabletext"/>
              <w:rPr>
                <w:b/>
              </w:rPr>
            </w:pPr>
            <w:r w:rsidRPr="00D1356D">
              <w:rPr>
                <w:b/>
              </w:rPr>
              <w:t>Importance</w:t>
            </w:r>
          </w:p>
        </w:tc>
      </w:tr>
      <w:tr w:rsidR="00CC3BA4" w:rsidRPr="00596E2E" w:rsidTr="00F37FD2">
        <w:trPr>
          <w:trHeight w:val="319"/>
        </w:trPr>
        <w:tc>
          <w:tcPr>
            <w:tcW w:w="1493" w:type="dxa"/>
          </w:tcPr>
          <w:p w:rsidR="00CC3BA4" w:rsidRPr="00596E2E" w:rsidRDefault="00CC3BA4" w:rsidP="00D1356D">
            <w:pPr>
              <w:pStyle w:val="Tabletext"/>
              <w:rPr>
                <w:rFonts w:cs="Tahoma"/>
              </w:rPr>
            </w:pPr>
            <w:r w:rsidRPr="00596E2E">
              <w:rPr>
                <w:rFonts w:cs="Tahoma"/>
              </w:rPr>
              <w:t>Any AE</w:t>
            </w:r>
            <w:r w:rsidRPr="00596E2E">
              <w:rPr>
                <w:rFonts w:cs="Tahoma"/>
              </w:rPr>
              <w:br/>
              <w:t>(1</w:t>
            </w:r>
            <w:r>
              <w:rPr>
                <w:rFonts w:cs="Tahoma"/>
              </w:rPr>
              <w:t>2−16</w:t>
            </w:r>
            <w:r w:rsidRPr="00596E2E">
              <w:rPr>
                <w:rFonts w:cs="Tahoma"/>
              </w:rPr>
              <w:t xml:space="preserve"> weeks)</w:t>
            </w:r>
          </w:p>
        </w:tc>
        <w:tc>
          <w:tcPr>
            <w:tcW w:w="1054" w:type="dxa"/>
          </w:tcPr>
          <w:p w:rsidR="00CC3BA4" w:rsidRPr="00596E2E" w:rsidRDefault="00CC3BA4" w:rsidP="00D1356D">
            <w:pPr>
              <w:pStyle w:val="Tabletext"/>
              <w:rPr>
                <w:rFonts w:cs="Tahoma"/>
              </w:rPr>
            </w:pPr>
            <w:r>
              <w:rPr>
                <w:rFonts w:cs="Tahoma"/>
              </w:rPr>
              <w:t>2</w:t>
            </w:r>
            <w:r w:rsidRPr="00596E2E">
              <w:rPr>
                <w:rFonts w:cs="Tahoma"/>
              </w:rPr>
              <w:t xml:space="preserve"> RCT</w:t>
            </w:r>
            <w:r>
              <w:rPr>
                <w:rFonts w:cs="Tahoma"/>
              </w:rPr>
              <w:t>s</w:t>
            </w:r>
          </w:p>
        </w:tc>
        <w:tc>
          <w:tcPr>
            <w:tcW w:w="771" w:type="dxa"/>
          </w:tcPr>
          <w:p w:rsidR="00CC3BA4" w:rsidRPr="00596E2E" w:rsidRDefault="00CC3BA4" w:rsidP="00D1356D">
            <w:pPr>
              <w:pStyle w:val="Tabletext"/>
              <w:rPr>
                <w:rFonts w:cs="Tahoma"/>
              </w:rPr>
            </w:pPr>
            <w:r>
              <w:rPr>
                <w:rFonts w:cs="Tahoma"/>
              </w:rPr>
              <w:t>S</w:t>
            </w:r>
            <w:r w:rsidRPr="00D36FBC">
              <w:rPr>
                <w:rFonts w:cs="Tahoma"/>
              </w:rPr>
              <w:t>erious</w:t>
            </w:r>
            <w:r>
              <w:rPr>
                <w:rFonts w:cs="Tahoma"/>
              </w:rPr>
              <w:t xml:space="preserve"> </w:t>
            </w:r>
            <w:r w:rsidRPr="00B5424D">
              <w:rPr>
                <w:rFonts w:cs="Tahoma"/>
                <w:vertAlign w:val="superscript"/>
              </w:rPr>
              <w:t>c</w:t>
            </w:r>
          </w:p>
        </w:tc>
        <w:tc>
          <w:tcPr>
            <w:tcW w:w="1072" w:type="dxa"/>
          </w:tcPr>
          <w:p w:rsidR="00CC3BA4" w:rsidRPr="00596E2E" w:rsidRDefault="00CC3BA4" w:rsidP="00D1356D">
            <w:pPr>
              <w:pStyle w:val="Tabletext"/>
              <w:rPr>
                <w:rFonts w:cs="Tahoma"/>
              </w:rPr>
            </w:pPr>
            <w:r w:rsidRPr="00596E2E">
              <w:rPr>
                <w:rFonts w:cs="Tahoma"/>
              </w:rPr>
              <w:t>Not serious</w:t>
            </w:r>
          </w:p>
        </w:tc>
        <w:tc>
          <w:tcPr>
            <w:tcW w:w="992" w:type="dxa"/>
          </w:tcPr>
          <w:p w:rsidR="00CC3BA4" w:rsidRPr="00596E2E" w:rsidRDefault="00CC3BA4" w:rsidP="00D1356D">
            <w:pPr>
              <w:pStyle w:val="Tabletext"/>
              <w:rPr>
                <w:rFonts w:cs="Tahoma"/>
              </w:rPr>
            </w:pPr>
            <w:r w:rsidRPr="00596E2E">
              <w:rPr>
                <w:rFonts w:cs="Tahoma"/>
              </w:rPr>
              <w:t>Not serious</w:t>
            </w:r>
          </w:p>
        </w:tc>
        <w:tc>
          <w:tcPr>
            <w:tcW w:w="1134" w:type="dxa"/>
          </w:tcPr>
          <w:p w:rsidR="00CC3BA4" w:rsidRPr="00596E2E" w:rsidRDefault="00F95747" w:rsidP="00260588">
            <w:pPr>
              <w:pStyle w:val="Tabletext"/>
              <w:rPr>
                <w:rFonts w:cs="Tahoma"/>
              </w:rPr>
            </w:pPr>
            <w:r>
              <w:rPr>
                <w:rFonts w:cs="Tahoma"/>
              </w:rPr>
              <w:t>Very s</w:t>
            </w:r>
            <w:r w:rsidR="00CC3BA4" w:rsidRPr="00D36FBC">
              <w:rPr>
                <w:rFonts w:cs="Tahoma"/>
              </w:rPr>
              <w:t>erious</w:t>
            </w:r>
            <w:r w:rsidR="00CC3BA4">
              <w:rPr>
                <w:rFonts w:cs="Tahoma"/>
                <w:vertAlign w:val="superscript"/>
              </w:rPr>
              <w:t>d</w:t>
            </w:r>
          </w:p>
        </w:tc>
        <w:tc>
          <w:tcPr>
            <w:tcW w:w="1276" w:type="dxa"/>
          </w:tcPr>
          <w:p w:rsidR="00CC3BA4" w:rsidRPr="00596E2E" w:rsidRDefault="00CC3BA4" w:rsidP="00D1356D">
            <w:pPr>
              <w:pStyle w:val="Tabletext"/>
              <w:rPr>
                <w:rFonts w:cs="Tahoma"/>
              </w:rPr>
            </w:pPr>
            <w:r w:rsidRPr="00596E2E">
              <w:rPr>
                <w:rFonts w:cs="Tahoma"/>
              </w:rPr>
              <w:t>None</w:t>
            </w:r>
          </w:p>
        </w:tc>
        <w:tc>
          <w:tcPr>
            <w:tcW w:w="1417" w:type="dxa"/>
          </w:tcPr>
          <w:p w:rsidR="00CC3BA4" w:rsidRPr="00596E2E" w:rsidRDefault="00CC3BA4" w:rsidP="00D1356D">
            <w:pPr>
              <w:pStyle w:val="Tabletext"/>
              <w:rPr>
                <w:rFonts w:cs="Tahoma"/>
              </w:rPr>
            </w:pPr>
            <w:r>
              <w:rPr>
                <w:rFonts w:cs="Tahoma"/>
              </w:rPr>
              <w:t>41/54 (75.9%)</w:t>
            </w:r>
          </w:p>
        </w:tc>
        <w:tc>
          <w:tcPr>
            <w:tcW w:w="1134" w:type="dxa"/>
          </w:tcPr>
          <w:p w:rsidR="00CC3BA4" w:rsidRPr="00596E2E" w:rsidRDefault="00CC3BA4" w:rsidP="00D1356D">
            <w:pPr>
              <w:pStyle w:val="Tabletext"/>
              <w:rPr>
                <w:rFonts w:cs="Tahoma"/>
              </w:rPr>
            </w:pPr>
            <w:r w:rsidRPr="0043303C">
              <w:rPr>
                <w:rFonts w:cs="Tahoma"/>
              </w:rPr>
              <w:t>30/53 (56.6%)</w:t>
            </w:r>
          </w:p>
        </w:tc>
        <w:tc>
          <w:tcPr>
            <w:tcW w:w="993" w:type="dxa"/>
          </w:tcPr>
          <w:p w:rsidR="00CC3BA4" w:rsidRPr="00596E2E" w:rsidRDefault="00CC3BA4" w:rsidP="00D1356D">
            <w:pPr>
              <w:pStyle w:val="Tabletext"/>
              <w:rPr>
                <w:rFonts w:cs="Tahoma"/>
              </w:rPr>
            </w:pPr>
            <w:r w:rsidRPr="0043303C">
              <w:rPr>
                <w:rFonts w:cs="Tahoma"/>
              </w:rPr>
              <w:t xml:space="preserve">RR </w:t>
            </w:r>
            <w:r>
              <w:rPr>
                <w:rFonts w:cs="Tahoma"/>
              </w:rPr>
              <w:t xml:space="preserve">= </w:t>
            </w:r>
            <w:r w:rsidRPr="0043303C">
              <w:rPr>
                <w:rFonts w:cs="Tahoma"/>
              </w:rPr>
              <w:t>2.40</w:t>
            </w:r>
            <w:r>
              <w:rPr>
                <w:rFonts w:cs="Tahoma"/>
              </w:rPr>
              <w:t xml:space="preserve"> </w:t>
            </w:r>
            <w:r w:rsidRPr="0043303C">
              <w:rPr>
                <w:rFonts w:cs="Tahoma"/>
              </w:rPr>
              <w:t>(0.15</w:t>
            </w:r>
            <w:r>
              <w:rPr>
                <w:rFonts w:cs="Tahoma"/>
              </w:rPr>
              <w:t>,</w:t>
            </w:r>
            <w:r w:rsidRPr="0043303C">
              <w:rPr>
                <w:rFonts w:cs="Tahoma"/>
              </w:rPr>
              <w:t xml:space="preserve"> </w:t>
            </w:r>
            <w:r>
              <w:rPr>
                <w:rFonts w:cs="Tahoma"/>
              </w:rPr>
              <w:t>37.41)</w:t>
            </w:r>
          </w:p>
        </w:tc>
        <w:tc>
          <w:tcPr>
            <w:tcW w:w="2188" w:type="dxa"/>
          </w:tcPr>
          <w:p w:rsidR="00CC3BA4" w:rsidRPr="00596E2E" w:rsidRDefault="00CC3BA4" w:rsidP="00D1356D">
            <w:pPr>
              <w:pStyle w:val="Tabletext"/>
              <w:rPr>
                <w:rFonts w:cs="Tahoma"/>
              </w:rPr>
            </w:pPr>
            <w:r w:rsidRPr="0043303C">
              <w:rPr>
                <w:rFonts w:cs="Tahoma"/>
              </w:rPr>
              <w:t>792 more per 1,000</w:t>
            </w:r>
            <w:r>
              <w:rPr>
                <w:rFonts w:cs="Tahoma"/>
              </w:rPr>
              <w:br/>
            </w:r>
            <w:r w:rsidRPr="0043303C">
              <w:rPr>
                <w:rFonts w:cs="Tahoma"/>
              </w:rPr>
              <w:t>(from 481 fewer to 1,000 more)</w:t>
            </w:r>
          </w:p>
        </w:tc>
        <w:tc>
          <w:tcPr>
            <w:tcW w:w="1214" w:type="dxa"/>
          </w:tcPr>
          <w:p w:rsidR="00CC3BA4" w:rsidRDefault="00F95747" w:rsidP="00D1356D">
            <w:pPr>
              <w:pStyle w:val="Tabletext"/>
              <w:rPr>
                <w:rFonts w:ascii="Cambria Math" w:eastAsia="Times New Roman" w:hAnsi="Cambria Math" w:cs="Cambria Math"/>
                <w:bCs/>
              </w:rPr>
            </w:pPr>
            <w:r>
              <w:rPr>
                <w:rFonts w:eastAsia="Times New Roman" w:cs="Tahoma"/>
                <w:bCs/>
              </w:rPr>
              <w:t>Very l</w:t>
            </w:r>
            <w:r w:rsidR="00CC3BA4">
              <w:rPr>
                <w:rFonts w:eastAsia="Times New Roman" w:cs="Tahoma"/>
                <w:bCs/>
              </w:rPr>
              <w:t>ow</w:t>
            </w:r>
            <w:r w:rsidR="00CC3BA4">
              <w:rPr>
                <w:rFonts w:eastAsia="Times New Roman" w:cs="Tahoma"/>
                <w:bCs/>
              </w:rPr>
              <w:br/>
            </w:r>
            <w:r w:rsidR="00CC3BA4">
              <w:rPr>
                <w:rFonts w:ascii="Cambria Math" w:eastAsia="Times New Roman" w:hAnsi="Cambria Math" w:cs="Cambria Math"/>
                <w:bCs/>
                <w:color w:val="00B050"/>
              </w:rPr>
              <w:t>⨁</w:t>
            </w:r>
            <w:r w:rsidRPr="00E564DD">
              <w:rPr>
                <w:rFonts w:ascii="Cambria Math" w:eastAsia="Times New Roman" w:hAnsi="Cambria Math" w:cs="Cambria Math"/>
                <w:bCs/>
                <w:color w:val="FF0000"/>
              </w:rPr>
              <w:t>⨀</w:t>
            </w:r>
            <w:r w:rsidR="00CC3BA4" w:rsidRPr="00E564DD">
              <w:rPr>
                <w:rFonts w:ascii="Cambria Math" w:eastAsia="Times New Roman" w:hAnsi="Cambria Math" w:cs="Cambria Math"/>
                <w:bCs/>
                <w:color w:val="FF0000"/>
              </w:rPr>
              <w:t>⨀⨀</w:t>
            </w:r>
          </w:p>
          <w:p w:rsidR="00CC3BA4" w:rsidRPr="00596E2E" w:rsidRDefault="00CC3BA4" w:rsidP="00D1356D">
            <w:pPr>
              <w:pStyle w:val="Tabletext"/>
              <w:rPr>
                <w:rFonts w:cs="Tahoma"/>
              </w:rPr>
            </w:pPr>
            <w:r w:rsidRPr="00596E2E">
              <w:rPr>
                <w:rFonts w:cs="Tahoma"/>
              </w:rPr>
              <w:t>Important</w:t>
            </w:r>
          </w:p>
        </w:tc>
      </w:tr>
      <w:tr w:rsidR="00CC3BA4" w:rsidRPr="00596E2E" w:rsidTr="00F37FD2">
        <w:trPr>
          <w:trHeight w:val="319"/>
        </w:trPr>
        <w:tc>
          <w:tcPr>
            <w:tcW w:w="1493" w:type="dxa"/>
          </w:tcPr>
          <w:p w:rsidR="00CC3BA4" w:rsidRPr="00596E2E" w:rsidRDefault="00CC3BA4" w:rsidP="00D1356D">
            <w:pPr>
              <w:pStyle w:val="Tabletext"/>
              <w:rPr>
                <w:rFonts w:cs="Tahoma"/>
              </w:rPr>
            </w:pPr>
            <w:r w:rsidRPr="00596E2E">
              <w:rPr>
                <w:rFonts w:cs="Tahoma"/>
              </w:rPr>
              <w:t>Serious AEs</w:t>
            </w:r>
            <w:r w:rsidRPr="00596E2E">
              <w:rPr>
                <w:rFonts w:cs="Tahoma"/>
              </w:rPr>
              <w:br/>
              <w:t>(</w:t>
            </w:r>
            <w:r>
              <w:rPr>
                <w:rFonts w:cs="Tahoma"/>
              </w:rPr>
              <w:t>1</w:t>
            </w:r>
            <w:r w:rsidRPr="00596E2E">
              <w:rPr>
                <w:rFonts w:cs="Tahoma"/>
              </w:rPr>
              <w:t>2 weeks)</w:t>
            </w:r>
          </w:p>
        </w:tc>
        <w:tc>
          <w:tcPr>
            <w:tcW w:w="1054" w:type="dxa"/>
          </w:tcPr>
          <w:p w:rsidR="00CC3BA4" w:rsidRPr="00596E2E" w:rsidRDefault="00CC3BA4" w:rsidP="00D1356D">
            <w:pPr>
              <w:pStyle w:val="Tabletext"/>
              <w:rPr>
                <w:rFonts w:cs="Tahoma"/>
              </w:rPr>
            </w:pPr>
            <w:r>
              <w:rPr>
                <w:rFonts w:cs="Tahoma"/>
              </w:rPr>
              <w:t>1</w:t>
            </w:r>
            <w:r w:rsidRPr="00596E2E">
              <w:rPr>
                <w:rFonts w:cs="Tahoma"/>
              </w:rPr>
              <w:t xml:space="preserve"> RCT</w:t>
            </w:r>
          </w:p>
        </w:tc>
        <w:tc>
          <w:tcPr>
            <w:tcW w:w="771" w:type="dxa"/>
          </w:tcPr>
          <w:p w:rsidR="00CC3BA4" w:rsidRPr="00596E2E" w:rsidRDefault="00CC3BA4" w:rsidP="00D1356D">
            <w:pPr>
              <w:pStyle w:val="Tabletext"/>
              <w:rPr>
                <w:rFonts w:cs="Tahoma"/>
              </w:rPr>
            </w:pPr>
            <w:r w:rsidRPr="00596E2E">
              <w:rPr>
                <w:rFonts w:cs="Tahoma"/>
              </w:rPr>
              <w:t>Not serious</w:t>
            </w:r>
          </w:p>
        </w:tc>
        <w:tc>
          <w:tcPr>
            <w:tcW w:w="1072" w:type="dxa"/>
          </w:tcPr>
          <w:p w:rsidR="00CC3BA4" w:rsidRPr="00596E2E" w:rsidRDefault="00CC3BA4" w:rsidP="00D1356D">
            <w:pPr>
              <w:pStyle w:val="Tabletext"/>
              <w:rPr>
                <w:rFonts w:cs="Tahoma"/>
              </w:rPr>
            </w:pPr>
            <w:r w:rsidRPr="00596E2E">
              <w:rPr>
                <w:rFonts w:cs="Tahoma"/>
              </w:rPr>
              <w:t>Not serious</w:t>
            </w:r>
          </w:p>
        </w:tc>
        <w:tc>
          <w:tcPr>
            <w:tcW w:w="992" w:type="dxa"/>
          </w:tcPr>
          <w:p w:rsidR="00CC3BA4" w:rsidRPr="00596E2E" w:rsidRDefault="00CC3BA4" w:rsidP="00D1356D">
            <w:pPr>
              <w:pStyle w:val="Tabletext"/>
              <w:rPr>
                <w:rFonts w:cs="Tahoma"/>
              </w:rPr>
            </w:pPr>
            <w:r w:rsidRPr="00596E2E">
              <w:rPr>
                <w:rFonts w:cs="Tahoma"/>
              </w:rPr>
              <w:t>Not serious</w:t>
            </w:r>
          </w:p>
        </w:tc>
        <w:tc>
          <w:tcPr>
            <w:tcW w:w="1134" w:type="dxa"/>
          </w:tcPr>
          <w:p w:rsidR="00CC3BA4" w:rsidRPr="00596E2E" w:rsidRDefault="00E86FC8" w:rsidP="00E86FC8">
            <w:pPr>
              <w:pStyle w:val="Tabletext"/>
              <w:rPr>
                <w:rFonts w:cs="Tahoma"/>
              </w:rPr>
            </w:pPr>
            <w:r>
              <w:rPr>
                <w:rFonts w:cs="Tahoma"/>
              </w:rPr>
              <w:t>Very s</w:t>
            </w:r>
            <w:r w:rsidR="00CC3BA4" w:rsidRPr="00D36FBC">
              <w:rPr>
                <w:rFonts w:cs="Tahoma"/>
              </w:rPr>
              <w:t>erious</w:t>
            </w:r>
            <w:r w:rsidR="00CC3BA4">
              <w:rPr>
                <w:rFonts w:cs="Tahoma"/>
                <w:vertAlign w:val="superscript"/>
              </w:rPr>
              <w:t>d</w:t>
            </w:r>
            <w:r>
              <w:rPr>
                <w:rFonts w:cs="Tahoma"/>
                <w:vertAlign w:val="superscript"/>
              </w:rPr>
              <w:t>, e</w:t>
            </w:r>
          </w:p>
        </w:tc>
        <w:tc>
          <w:tcPr>
            <w:tcW w:w="1276" w:type="dxa"/>
          </w:tcPr>
          <w:p w:rsidR="00CC3BA4" w:rsidRPr="00596E2E" w:rsidRDefault="00CC3BA4" w:rsidP="00D1356D">
            <w:pPr>
              <w:pStyle w:val="Tabletext"/>
              <w:rPr>
                <w:rFonts w:cs="Tahoma"/>
              </w:rPr>
            </w:pPr>
            <w:r w:rsidRPr="00596E2E">
              <w:rPr>
                <w:rFonts w:cs="Tahoma"/>
              </w:rPr>
              <w:t>None</w:t>
            </w:r>
          </w:p>
        </w:tc>
        <w:tc>
          <w:tcPr>
            <w:tcW w:w="1417" w:type="dxa"/>
          </w:tcPr>
          <w:p w:rsidR="00CC3BA4" w:rsidRPr="00596E2E" w:rsidRDefault="00CC3BA4" w:rsidP="00D1356D">
            <w:pPr>
              <w:pStyle w:val="Tabletext"/>
              <w:rPr>
                <w:rFonts w:cs="Tahoma"/>
              </w:rPr>
            </w:pPr>
            <w:r>
              <w:rPr>
                <w:rFonts w:cs="Tahoma"/>
              </w:rPr>
              <w:t>5/35 (14.3%)</w:t>
            </w:r>
          </w:p>
        </w:tc>
        <w:tc>
          <w:tcPr>
            <w:tcW w:w="1134" w:type="dxa"/>
          </w:tcPr>
          <w:p w:rsidR="00CC3BA4" w:rsidRPr="00596E2E" w:rsidRDefault="00CC3BA4" w:rsidP="00D1356D">
            <w:pPr>
              <w:pStyle w:val="Tabletext"/>
              <w:rPr>
                <w:rFonts w:cs="Tahoma"/>
              </w:rPr>
            </w:pPr>
            <w:r w:rsidRPr="0043303C">
              <w:rPr>
                <w:rFonts w:cs="Tahoma"/>
              </w:rPr>
              <w:t>7/32 (21.9%)</w:t>
            </w:r>
          </w:p>
        </w:tc>
        <w:tc>
          <w:tcPr>
            <w:tcW w:w="993" w:type="dxa"/>
          </w:tcPr>
          <w:p w:rsidR="00CC3BA4" w:rsidRPr="00596E2E" w:rsidRDefault="00CC3BA4" w:rsidP="00D1356D">
            <w:pPr>
              <w:pStyle w:val="Tabletext"/>
              <w:rPr>
                <w:rFonts w:cs="Tahoma"/>
              </w:rPr>
            </w:pPr>
            <w:r w:rsidRPr="0043303C">
              <w:rPr>
                <w:rFonts w:cs="Tahoma"/>
              </w:rPr>
              <w:t xml:space="preserve">RR </w:t>
            </w:r>
            <w:r>
              <w:rPr>
                <w:rFonts w:cs="Tahoma"/>
              </w:rPr>
              <w:t xml:space="preserve">= </w:t>
            </w:r>
            <w:r w:rsidRPr="0043303C">
              <w:rPr>
                <w:rFonts w:cs="Tahoma"/>
              </w:rPr>
              <w:t>0.65</w:t>
            </w:r>
            <w:r>
              <w:rPr>
                <w:rFonts w:cs="Tahoma"/>
              </w:rPr>
              <w:t xml:space="preserve"> </w:t>
            </w:r>
            <w:r w:rsidRPr="0043303C">
              <w:rPr>
                <w:rFonts w:cs="Tahoma"/>
              </w:rPr>
              <w:t>(0.23</w:t>
            </w:r>
            <w:r>
              <w:rPr>
                <w:rFonts w:cs="Tahoma"/>
              </w:rPr>
              <w:t>,</w:t>
            </w:r>
            <w:r w:rsidRPr="0043303C">
              <w:rPr>
                <w:rFonts w:cs="Tahoma"/>
              </w:rPr>
              <w:t xml:space="preserve"> 1.85)</w:t>
            </w:r>
          </w:p>
        </w:tc>
        <w:tc>
          <w:tcPr>
            <w:tcW w:w="2188" w:type="dxa"/>
          </w:tcPr>
          <w:p w:rsidR="00CC3BA4" w:rsidRPr="00596E2E" w:rsidRDefault="00CC3BA4" w:rsidP="00D1356D">
            <w:pPr>
              <w:pStyle w:val="Tabletext"/>
              <w:rPr>
                <w:rFonts w:cs="Tahoma"/>
              </w:rPr>
            </w:pPr>
            <w:r w:rsidRPr="0043303C">
              <w:rPr>
                <w:rFonts w:cs="Tahoma"/>
              </w:rPr>
              <w:t>77 fewer per 1,000</w:t>
            </w:r>
            <w:r>
              <w:rPr>
                <w:rFonts w:cs="Tahoma"/>
              </w:rPr>
              <w:br/>
            </w:r>
            <w:r w:rsidRPr="0043303C">
              <w:rPr>
                <w:rFonts w:cs="Tahoma"/>
              </w:rPr>
              <w:t>(from 168 fewer to 186 more)</w:t>
            </w:r>
          </w:p>
        </w:tc>
        <w:tc>
          <w:tcPr>
            <w:tcW w:w="1214" w:type="dxa"/>
          </w:tcPr>
          <w:p w:rsidR="00E86FC8" w:rsidRDefault="00E86FC8" w:rsidP="00E86FC8">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596E2E" w:rsidRDefault="00CC3BA4" w:rsidP="00D1356D">
            <w:pPr>
              <w:pStyle w:val="Tabletext"/>
              <w:rPr>
                <w:rFonts w:cs="Tahoma"/>
              </w:rPr>
            </w:pPr>
            <w:r w:rsidRPr="00596E2E">
              <w:rPr>
                <w:rFonts w:cs="Tahoma"/>
              </w:rPr>
              <w:t>Important</w:t>
            </w:r>
          </w:p>
        </w:tc>
      </w:tr>
      <w:tr w:rsidR="00E86FC8" w:rsidRPr="00596E2E" w:rsidTr="00F37FD2">
        <w:trPr>
          <w:trHeight w:val="319"/>
        </w:trPr>
        <w:tc>
          <w:tcPr>
            <w:tcW w:w="1493" w:type="dxa"/>
          </w:tcPr>
          <w:p w:rsidR="00E86FC8" w:rsidRPr="00527A70" w:rsidRDefault="00E86FC8" w:rsidP="00E86FC8">
            <w:pPr>
              <w:pStyle w:val="Tabletext"/>
              <w:rPr>
                <w:rFonts w:cs="Tahoma"/>
                <w:highlight w:val="yellow"/>
              </w:rPr>
            </w:pPr>
            <w:r w:rsidRPr="000E67F8">
              <w:rPr>
                <w:rFonts w:cs="Tahoma"/>
              </w:rPr>
              <w:t>AEs leading to treatment discontinuation</w:t>
            </w:r>
            <w:r w:rsidRPr="000E67F8">
              <w:rPr>
                <w:rFonts w:cs="Tahoma"/>
              </w:rPr>
              <w:br/>
              <w:t>(16 weeks)</w:t>
            </w:r>
          </w:p>
        </w:tc>
        <w:tc>
          <w:tcPr>
            <w:tcW w:w="1054" w:type="dxa"/>
          </w:tcPr>
          <w:p w:rsidR="00E86FC8" w:rsidRPr="00596E2E" w:rsidRDefault="00E86FC8" w:rsidP="00E86FC8">
            <w:pPr>
              <w:pStyle w:val="Tabletext"/>
              <w:rPr>
                <w:rFonts w:cs="Tahoma"/>
              </w:rPr>
            </w:pPr>
            <w:r>
              <w:rPr>
                <w:rFonts w:cs="Tahoma"/>
              </w:rPr>
              <w:t>1</w:t>
            </w:r>
            <w:r w:rsidRPr="00596E2E">
              <w:rPr>
                <w:rFonts w:cs="Tahoma"/>
              </w:rPr>
              <w:t xml:space="preserve"> RCT</w:t>
            </w:r>
          </w:p>
        </w:tc>
        <w:tc>
          <w:tcPr>
            <w:tcW w:w="771" w:type="dxa"/>
          </w:tcPr>
          <w:p w:rsidR="00E86FC8" w:rsidRPr="00596E2E" w:rsidRDefault="00E86FC8" w:rsidP="00E86FC8">
            <w:pPr>
              <w:pStyle w:val="Tabletext"/>
              <w:rPr>
                <w:rFonts w:cs="Tahoma"/>
              </w:rPr>
            </w:pPr>
            <w:r>
              <w:rPr>
                <w:rFonts w:cs="Tahoma"/>
              </w:rPr>
              <w:t>Very s</w:t>
            </w:r>
            <w:r w:rsidRPr="00D36FBC">
              <w:rPr>
                <w:rFonts w:cs="Tahoma"/>
              </w:rPr>
              <w:t>erious</w:t>
            </w:r>
            <w:r>
              <w:rPr>
                <w:rFonts w:cs="Tahoma"/>
              </w:rPr>
              <w:t xml:space="preserve"> </w:t>
            </w:r>
            <w:r w:rsidRPr="00B5424D">
              <w:rPr>
                <w:rFonts w:cs="Tahoma"/>
                <w:vertAlign w:val="superscript"/>
              </w:rPr>
              <w:t>c</w:t>
            </w:r>
          </w:p>
        </w:tc>
        <w:tc>
          <w:tcPr>
            <w:tcW w:w="1072" w:type="dxa"/>
          </w:tcPr>
          <w:p w:rsidR="00E86FC8" w:rsidRPr="00596E2E" w:rsidRDefault="00E86FC8" w:rsidP="00E86FC8">
            <w:pPr>
              <w:pStyle w:val="Tabletext"/>
              <w:rPr>
                <w:rFonts w:cs="Tahoma"/>
              </w:rPr>
            </w:pPr>
            <w:r w:rsidRPr="00596E2E">
              <w:rPr>
                <w:rFonts w:cs="Tahoma"/>
              </w:rPr>
              <w:t>Not serious</w:t>
            </w:r>
          </w:p>
        </w:tc>
        <w:tc>
          <w:tcPr>
            <w:tcW w:w="992" w:type="dxa"/>
          </w:tcPr>
          <w:p w:rsidR="00E86FC8" w:rsidRPr="00596E2E" w:rsidRDefault="00E86FC8" w:rsidP="00E86FC8">
            <w:pPr>
              <w:pStyle w:val="Tabletext"/>
              <w:rPr>
                <w:rFonts w:cs="Tahoma"/>
              </w:rPr>
            </w:pPr>
            <w:r w:rsidRPr="00596E2E">
              <w:rPr>
                <w:rFonts w:cs="Tahoma"/>
              </w:rPr>
              <w:t>Not serious</w:t>
            </w:r>
          </w:p>
        </w:tc>
        <w:tc>
          <w:tcPr>
            <w:tcW w:w="1134" w:type="dxa"/>
          </w:tcPr>
          <w:p w:rsidR="00E86FC8" w:rsidRPr="00596E2E" w:rsidRDefault="00E86FC8" w:rsidP="00E86FC8">
            <w:pPr>
              <w:pStyle w:val="Tabletext"/>
              <w:rPr>
                <w:rFonts w:cs="Tahoma"/>
              </w:rPr>
            </w:pPr>
            <w:r>
              <w:rPr>
                <w:rFonts w:cs="Tahoma"/>
              </w:rPr>
              <w:t>Very s</w:t>
            </w:r>
            <w:r w:rsidRPr="00D36FBC">
              <w:rPr>
                <w:rFonts w:cs="Tahoma"/>
              </w:rPr>
              <w:t>erious</w:t>
            </w:r>
            <w:r>
              <w:rPr>
                <w:rFonts w:cs="Tahoma"/>
              </w:rPr>
              <w:t xml:space="preserve"> </w:t>
            </w:r>
            <w:r>
              <w:rPr>
                <w:rFonts w:cs="Tahoma"/>
                <w:vertAlign w:val="superscript"/>
              </w:rPr>
              <w:t>e</w:t>
            </w:r>
          </w:p>
        </w:tc>
        <w:tc>
          <w:tcPr>
            <w:tcW w:w="1276" w:type="dxa"/>
          </w:tcPr>
          <w:p w:rsidR="00E86FC8" w:rsidRPr="00596E2E" w:rsidRDefault="00E86FC8" w:rsidP="00E86FC8">
            <w:pPr>
              <w:pStyle w:val="Tabletext"/>
              <w:rPr>
                <w:rFonts w:cs="Tahoma"/>
              </w:rPr>
            </w:pPr>
            <w:r w:rsidRPr="00596E2E">
              <w:rPr>
                <w:rFonts w:cs="Tahoma"/>
              </w:rPr>
              <w:t>None</w:t>
            </w:r>
          </w:p>
        </w:tc>
        <w:tc>
          <w:tcPr>
            <w:tcW w:w="1417" w:type="dxa"/>
          </w:tcPr>
          <w:p w:rsidR="00E86FC8" w:rsidRPr="00596E2E" w:rsidRDefault="00E86FC8" w:rsidP="00E86FC8">
            <w:pPr>
              <w:pStyle w:val="Tabletext"/>
              <w:rPr>
                <w:rFonts w:cs="Tahoma"/>
              </w:rPr>
            </w:pPr>
            <w:r>
              <w:rPr>
                <w:rFonts w:cs="Tahoma"/>
              </w:rPr>
              <w:t>1/19 (5.3%)</w:t>
            </w:r>
          </w:p>
        </w:tc>
        <w:tc>
          <w:tcPr>
            <w:tcW w:w="1134" w:type="dxa"/>
          </w:tcPr>
          <w:p w:rsidR="00E86FC8" w:rsidRPr="00596E2E" w:rsidRDefault="00E86FC8" w:rsidP="00E86FC8">
            <w:pPr>
              <w:pStyle w:val="Tabletext"/>
              <w:rPr>
                <w:rFonts w:cs="Tahoma"/>
              </w:rPr>
            </w:pPr>
            <w:r w:rsidRPr="008D14BB">
              <w:rPr>
                <w:rFonts w:cs="Tahoma"/>
              </w:rPr>
              <w:t>0/21 (0.0%)</w:t>
            </w:r>
          </w:p>
        </w:tc>
        <w:tc>
          <w:tcPr>
            <w:tcW w:w="993" w:type="dxa"/>
          </w:tcPr>
          <w:p w:rsidR="00E86FC8" w:rsidRPr="00596E2E" w:rsidRDefault="00E86FC8" w:rsidP="00E86FC8">
            <w:pPr>
              <w:pStyle w:val="Tabletext"/>
              <w:rPr>
                <w:rFonts w:cs="Tahoma"/>
              </w:rPr>
            </w:pPr>
            <w:r>
              <w:rPr>
                <w:rFonts w:cs="Tahoma"/>
              </w:rPr>
              <w:t>ARD</w:t>
            </w:r>
            <w:r w:rsidRPr="008D14BB">
              <w:rPr>
                <w:rFonts w:cs="Tahoma"/>
              </w:rPr>
              <w:t xml:space="preserve"> = 5.2% </w:t>
            </w:r>
            <w:r>
              <w:rPr>
                <w:rFonts w:cs="Tahoma"/>
              </w:rPr>
              <w:t>(</w:t>
            </w:r>
            <w:r w:rsidRPr="008D14BB">
              <w:rPr>
                <w:rFonts w:cs="Tahoma"/>
              </w:rPr>
              <w:t>−4.8</w:t>
            </w:r>
            <w:r>
              <w:rPr>
                <w:rFonts w:cs="Tahoma"/>
              </w:rPr>
              <w:t xml:space="preserve">, </w:t>
            </w:r>
            <w:r w:rsidRPr="008D14BB">
              <w:rPr>
                <w:rFonts w:cs="Tahoma"/>
              </w:rPr>
              <w:t>15.3)</w:t>
            </w:r>
          </w:p>
        </w:tc>
        <w:tc>
          <w:tcPr>
            <w:tcW w:w="2188" w:type="dxa"/>
          </w:tcPr>
          <w:p w:rsidR="00E86FC8" w:rsidRPr="00596E2E" w:rsidRDefault="00E86FC8" w:rsidP="00E86FC8">
            <w:pPr>
              <w:pStyle w:val="Tabletext"/>
              <w:rPr>
                <w:rFonts w:cs="Tahoma"/>
              </w:rPr>
            </w:pPr>
            <w:r w:rsidRPr="008D14BB">
              <w:rPr>
                <w:rFonts w:cs="Tahoma"/>
              </w:rPr>
              <w:t>52 more per 1,000</w:t>
            </w:r>
            <w:r>
              <w:rPr>
                <w:rFonts w:cs="Tahoma"/>
              </w:rPr>
              <w:br/>
            </w:r>
            <w:r w:rsidRPr="008D14BB">
              <w:rPr>
                <w:rFonts w:cs="Tahoma"/>
              </w:rPr>
              <w:t>(from 48 fewer to 153 more)</w:t>
            </w:r>
          </w:p>
        </w:tc>
        <w:tc>
          <w:tcPr>
            <w:tcW w:w="1214" w:type="dxa"/>
          </w:tcPr>
          <w:p w:rsidR="00E86FC8" w:rsidRDefault="00E86FC8" w:rsidP="00E86FC8">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E86FC8" w:rsidRPr="00596E2E" w:rsidRDefault="00E86FC8" w:rsidP="00E86FC8">
            <w:pPr>
              <w:pStyle w:val="Tabletext"/>
              <w:rPr>
                <w:rFonts w:ascii="Cambria Math" w:eastAsia="Times New Roman" w:hAnsi="Cambria Math" w:cs="Cambria Math"/>
                <w:bCs/>
                <w:color w:val="00B050"/>
              </w:rPr>
            </w:pPr>
            <w:r w:rsidRPr="00596E2E">
              <w:rPr>
                <w:rFonts w:cs="Tahoma"/>
              </w:rPr>
              <w:t>Important</w:t>
            </w:r>
          </w:p>
        </w:tc>
      </w:tr>
    </w:tbl>
    <w:p w:rsidR="00CC3BA4" w:rsidRPr="00AA018C" w:rsidRDefault="00CC3BA4" w:rsidP="00D1356D">
      <w:pPr>
        <w:pStyle w:val="Tablenote"/>
      </w:pPr>
      <w:proofErr w:type="gramStart"/>
      <w:r w:rsidRPr="00596E2E">
        <w:rPr>
          <w:vertAlign w:val="superscript"/>
        </w:rPr>
        <w:t>a</w:t>
      </w:r>
      <w:proofErr w:type="gramEnd"/>
      <w:r w:rsidRPr="00596E2E">
        <w:rPr>
          <w:vertAlign w:val="superscript"/>
        </w:rPr>
        <w:t xml:space="preserve"> </w:t>
      </w:r>
      <w:r w:rsidRPr="00596E2E">
        <w:t>Other considerations such as publication bias and effect size</w:t>
      </w:r>
    </w:p>
    <w:p w:rsidR="00CC3BA4" w:rsidRDefault="00CC3BA4" w:rsidP="00D1356D">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CC3BA4" w:rsidRDefault="00CC3BA4" w:rsidP="00D1356D">
      <w:pPr>
        <w:pStyle w:val="Tablenote"/>
      </w:pPr>
      <w:proofErr w:type="gramStart"/>
      <w:r>
        <w:rPr>
          <w:vertAlign w:val="superscript"/>
        </w:rPr>
        <w:t>c</w:t>
      </w:r>
      <w:proofErr w:type="gramEnd"/>
      <w:r w:rsidRPr="00E564DD">
        <w:t xml:space="preserve"> </w:t>
      </w:r>
      <w:r>
        <w:t>One RCT had a high risk of bias</w:t>
      </w:r>
    </w:p>
    <w:p w:rsidR="00CC3BA4" w:rsidRDefault="00CC3BA4" w:rsidP="00D1356D">
      <w:pPr>
        <w:pStyle w:val="Tablenote"/>
      </w:pPr>
      <w:proofErr w:type="gramStart"/>
      <w:r>
        <w:rPr>
          <w:vertAlign w:val="superscript"/>
        </w:rPr>
        <w:t>d</w:t>
      </w:r>
      <w:proofErr w:type="gramEnd"/>
      <w:r w:rsidRPr="00E564DD">
        <w:t xml:space="preserve"> </w:t>
      </w:r>
      <w:r>
        <w:t>Wide 95% CIs</w:t>
      </w:r>
    </w:p>
    <w:p w:rsidR="00E86FC8" w:rsidRPr="00E86FC8" w:rsidRDefault="00E86FC8" w:rsidP="00D1356D">
      <w:pPr>
        <w:pStyle w:val="Tablenote"/>
      </w:pPr>
      <w:proofErr w:type="gramStart"/>
      <w:r>
        <w:rPr>
          <w:vertAlign w:val="superscript"/>
        </w:rPr>
        <w:t>e</w:t>
      </w:r>
      <w:proofErr w:type="gramEnd"/>
      <w:r>
        <w:rPr>
          <w:vertAlign w:val="superscript"/>
        </w:rPr>
        <w:t xml:space="preserve"> </w:t>
      </w:r>
      <w:r>
        <w:t>Small study size</w:t>
      </w:r>
    </w:p>
    <w:p w:rsidR="00CC3BA4" w:rsidRPr="00E564DD" w:rsidRDefault="00CC3BA4" w:rsidP="00D1356D">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Moderate quality:</w:t>
      </w:r>
      <w:r w:rsidRPr="00E564DD">
        <w:t xml:space="preserve"> We are moderately confident in the effect estimate: The true effect is likely to be close to the estimate of the effect, but there is a possibility that it is substantially different</w:t>
      </w:r>
    </w:p>
    <w:p w:rsidR="00CC3BA4" w:rsidRPr="00E564DD" w:rsidRDefault="00CC3BA4" w:rsidP="00D1356D">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Low quality:</w:t>
      </w:r>
      <w:r w:rsidRPr="00E564DD">
        <w:t xml:space="preserve"> Our confidence in the effect estimate is limited: The true effect may be substantially different from the estimate of the effect</w:t>
      </w:r>
    </w:p>
    <w:p w:rsidR="00F95747" w:rsidRPr="00E564DD" w:rsidRDefault="00F95747" w:rsidP="00F95747">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2E6E59" w:rsidRDefault="00CC3BA4" w:rsidP="00D1356D">
      <w:pPr>
        <w:pStyle w:val="Tablenote"/>
      </w:pPr>
      <w:r>
        <w:t>AE = adverse event; CI = confidence interval; ERA = e</w:t>
      </w:r>
      <w:r w:rsidRPr="00107676">
        <w:t xml:space="preserve">ndothelin </w:t>
      </w:r>
      <w:r>
        <w:t>r</w:t>
      </w:r>
      <w:r w:rsidRPr="00107676">
        <w:t xml:space="preserve">eceptor </w:t>
      </w:r>
      <w:r>
        <w:t>a</w:t>
      </w:r>
      <w:r w:rsidRPr="00107676">
        <w:t>ntagonist</w:t>
      </w:r>
      <w:r>
        <w:t xml:space="preserve">; FC = functional class; </w:t>
      </w:r>
      <w:r w:rsidR="00385E5A">
        <w:t>GRADE = grading of recommendations assessment, development and evaluation</w:t>
      </w:r>
      <w:r w:rsidR="001D34EE" w:rsidRPr="001D34EE">
        <w:rPr>
          <w:noProof/>
          <w:vertAlign w:val="superscript"/>
        </w:rPr>
        <w:t>1</w:t>
      </w:r>
      <w:r w:rsidR="002E6E59" w:rsidRPr="00F24B06">
        <w:t xml:space="preserve">; </w:t>
      </w:r>
      <w:r w:rsidRPr="00C65B42">
        <w:t xml:space="preserve">PAH = pulmonary arterial hypertension; </w:t>
      </w:r>
      <w:r>
        <w:t>RCT = randomised controlled trial; RR = relative risk; WHO = World Health Organization</w:t>
      </w:r>
    </w:p>
    <w:p w:rsidR="00CC3BA4" w:rsidRPr="006632FB" w:rsidRDefault="00CC3BA4" w:rsidP="00BF48DF">
      <w:pPr>
        <w:pStyle w:val="Heading4"/>
      </w:pPr>
      <w:proofErr w:type="gramStart"/>
      <w:r>
        <w:lastRenderedPageBreak/>
        <w:t>sGC</w:t>
      </w:r>
      <w:proofErr w:type="gramEnd"/>
      <w:r>
        <w:t xml:space="preserve"> stimulator</w:t>
      </w:r>
      <w:r w:rsidRPr="006632FB">
        <w:t xml:space="preserve"> in addition to </w:t>
      </w:r>
      <w:r>
        <w:t>an ERA</w:t>
      </w:r>
    </w:p>
    <w:p w:rsidR="00CC3BA4" w:rsidRPr="002046A0" w:rsidRDefault="002046A0" w:rsidP="00BC5A2B">
      <w:pPr>
        <w:pStyle w:val="Caption"/>
        <w:rPr>
          <w:highlight w:val="black"/>
        </w:rPr>
      </w:pPr>
      <w:r>
        <w:rPr>
          <w:noProof/>
          <w:color w:val="000000"/>
          <w:highlight w:val="black"/>
        </w:rPr>
        <w:t>'''''''''' ''''''''''''''''''''''''' '''''''''''' ''''''''' '''''' '''''''''''''''''''''' '''' ''''''' ''''''''''''''''''''' ''' ''''''' '''''''''''''''''''''''' ''''''''''''''' '''''''''''''''''' '''' ''''''' ''''''''''''''''''''''' '''''' ''''' ''''''' ''''''''''''''''</w:t>
      </w:r>
    </w:p>
    <w:tbl>
      <w:tblPr>
        <w:tblStyle w:val="TableGrid"/>
        <w:tblW w:w="14596" w:type="dxa"/>
        <w:tblLayout w:type="fixed"/>
        <w:tblLook w:val="04A0" w:firstRow="1" w:lastRow="0" w:firstColumn="1" w:lastColumn="0" w:noHBand="0" w:noVBand="1"/>
        <w:tblCaption w:val="Evidence profile table for effectiveness of sGC stimulator + ERA combination therapy compared to ERA monotherapy for all PAH patients"/>
      </w:tblPr>
      <w:tblGrid>
        <w:gridCol w:w="1493"/>
        <w:gridCol w:w="1054"/>
        <w:gridCol w:w="771"/>
        <w:gridCol w:w="1072"/>
        <w:gridCol w:w="992"/>
        <w:gridCol w:w="992"/>
        <w:gridCol w:w="1276"/>
        <w:gridCol w:w="1417"/>
        <w:gridCol w:w="1134"/>
        <w:gridCol w:w="993"/>
        <w:gridCol w:w="2188"/>
        <w:gridCol w:w="1214"/>
      </w:tblGrid>
      <w:tr w:rsidR="00D1356D" w:rsidRPr="006406B0" w:rsidTr="00F37FD2">
        <w:trPr>
          <w:cnfStyle w:val="100000000000" w:firstRow="1" w:lastRow="0" w:firstColumn="0" w:lastColumn="0" w:oddVBand="0" w:evenVBand="0" w:oddHBand="0" w:evenHBand="0" w:firstRowFirstColumn="0" w:firstRowLastColumn="0" w:lastRowFirstColumn="0" w:lastRowLastColumn="0"/>
          <w:trHeight w:val="498"/>
        </w:trPr>
        <w:tc>
          <w:tcPr>
            <w:tcW w:w="1493" w:type="dxa"/>
          </w:tcPr>
          <w:p w:rsidR="00476F09" w:rsidRPr="002046A0" w:rsidRDefault="002046A0" w:rsidP="00D1356D">
            <w:pPr>
              <w:pStyle w:val="Tabletext"/>
              <w:rPr>
                <w:b/>
                <w:highlight w:val="black"/>
              </w:rPr>
            </w:pPr>
            <w:r>
              <w:rPr>
                <w:b/>
                <w:noProof/>
                <w:color w:val="000000"/>
                <w:highlight w:val="black"/>
              </w:rPr>
              <w:t>''''''''''''''''' ''''''''''''''''''''</w:t>
            </w:r>
          </w:p>
        </w:tc>
        <w:tc>
          <w:tcPr>
            <w:tcW w:w="1054" w:type="dxa"/>
          </w:tcPr>
          <w:p w:rsidR="00476F09" w:rsidRPr="002046A0" w:rsidRDefault="002046A0" w:rsidP="00D1356D">
            <w:pPr>
              <w:pStyle w:val="Tabletext"/>
              <w:rPr>
                <w:b/>
                <w:highlight w:val="black"/>
              </w:rPr>
            </w:pPr>
            <w:r>
              <w:rPr>
                <w:b/>
                <w:noProof/>
                <w:color w:val="000000"/>
                <w:highlight w:val="black"/>
              </w:rPr>
              <w:t>''''''' ''''' ''''''''''''''' ''''''' '''''''''''' ''''''''''''''</w:t>
            </w:r>
          </w:p>
        </w:tc>
        <w:tc>
          <w:tcPr>
            <w:tcW w:w="771" w:type="dxa"/>
          </w:tcPr>
          <w:p w:rsidR="00476F09" w:rsidRPr="002046A0" w:rsidRDefault="002046A0" w:rsidP="00D1356D">
            <w:pPr>
              <w:pStyle w:val="Tabletext"/>
              <w:rPr>
                <w:b/>
                <w:highlight w:val="black"/>
              </w:rPr>
            </w:pPr>
            <w:r>
              <w:rPr>
                <w:b/>
                <w:noProof/>
                <w:color w:val="000000"/>
                <w:highlight w:val="black"/>
              </w:rPr>
              <w:t>'''''''' ''''' ''''''''</w:t>
            </w:r>
          </w:p>
        </w:tc>
        <w:tc>
          <w:tcPr>
            <w:tcW w:w="1072" w:type="dxa"/>
          </w:tcPr>
          <w:p w:rsidR="00476F09" w:rsidRPr="002046A0" w:rsidRDefault="002046A0" w:rsidP="00D1356D">
            <w:pPr>
              <w:pStyle w:val="Tabletext"/>
              <w:rPr>
                <w:b/>
                <w:highlight w:val="black"/>
              </w:rPr>
            </w:pPr>
            <w:r>
              <w:rPr>
                <w:b/>
                <w:noProof/>
                <w:color w:val="000000"/>
                <w:highlight w:val="black"/>
              </w:rPr>
              <w:t>'''''''''''''''''''''''''''''''''</w:t>
            </w:r>
          </w:p>
        </w:tc>
        <w:tc>
          <w:tcPr>
            <w:tcW w:w="992" w:type="dxa"/>
          </w:tcPr>
          <w:p w:rsidR="00476F09" w:rsidRPr="002046A0" w:rsidRDefault="002046A0" w:rsidP="00D1356D">
            <w:pPr>
              <w:pStyle w:val="Tabletext"/>
              <w:rPr>
                <w:b/>
                <w:highlight w:val="black"/>
              </w:rPr>
            </w:pPr>
            <w:r>
              <w:rPr>
                <w:b/>
                <w:noProof/>
                <w:color w:val="000000"/>
                <w:highlight w:val="black"/>
              </w:rPr>
              <w:t>''''''''''''''''''''''''''</w:t>
            </w:r>
          </w:p>
        </w:tc>
        <w:tc>
          <w:tcPr>
            <w:tcW w:w="992" w:type="dxa"/>
          </w:tcPr>
          <w:p w:rsidR="00476F09" w:rsidRPr="002046A0" w:rsidRDefault="002046A0" w:rsidP="00F37FD2">
            <w:pPr>
              <w:pStyle w:val="Tabletext"/>
              <w:rPr>
                <w:b/>
                <w:highlight w:val="black"/>
              </w:rPr>
            </w:pPr>
            <w:r>
              <w:rPr>
                <w:b/>
                <w:noProof/>
                <w:color w:val="000000"/>
                <w:highlight w:val="black"/>
              </w:rPr>
              <w:t>''''''''''''''''''''''''</w:t>
            </w:r>
          </w:p>
        </w:tc>
        <w:tc>
          <w:tcPr>
            <w:tcW w:w="1276" w:type="dxa"/>
          </w:tcPr>
          <w:p w:rsidR="00476F09" w:rsidRPr="002046A0" w:rsidRDefault="002046A0" w:rsidP="00D1356D">
            <w:pPr>
              <w:pStyle w:val="Tabletext"/>
              <w:rPr>
                <w:b/>
                <w:highlight w:val="black"/>
              </w:rPr>
            </w:pPr>
            <w:r>
              <w:rPr>
                <w:b/>
                <w:noProof/>
                <w:color w:val="000000"/>
                <w:highlight w:val="black"/>
              </w:rPr>
              <w:t>''''''''''' ''''''''''''''''''''''''''''''''''''</w:t>
            </w:r>
          </w:p>
        </w:tc>
        <w:tc>
          <w:tcPr>
            <w:tcW w:w="1417" w:type="dxa"/>
          </w:tcPr>
          <w:p w:rsidR="00476F09" w:rsidRPr="002046A0" w:rsidRDefault="002046A0" w:rsidP="00D1356D">
            <w:pPr>
              <w:pStyle w:val="Tabletext"/>
              <w:rPr>
                <w:b/>
                <w:highlight w:val="black"/>
              </w:rPr>
            </w:pPr>
            <w:r>
              <w:rPr>
                <w:b/>
                <w:noProof/>
                <w:color w:val="000000"/>
                <w:highlight w:val="black"/>
              </w:rPr>
              <w:t>'''''''''''' ''''''''''' '''''''''' '''''' ''''''''' ''''''''' ''' '''''''''</w:t>
            </w:r>
          </w:p>
        </w:tc>
        <w:tc>
          <w:tcPr>
            <w:tcW w:w="1134" w:type="dxa"/>
          </w:tcPr>
          <w:p w:rsidR="00476F09" w:rsidRPr="002046A0" w:rsidRDefault="002046A0" w:rsidP="00D1356D">
            <w:pPr>
              <w:pStyle w:val="Tabletext"/>
              <w:rPr>
                <w:b/>
                <w:highlight w:val="black"/>
              </w:rPr>
            </w:pPr>
            <w:r>
              <w:rPr>
                <w:b/>
                <w:noProof/>
                <w:color w:val="000000"/>
                <w:highlight w:val="black"/>
              </w:rPr>
              <w:t>''''''''''' '''''''''' '''''''''' '''''' '''''''' ''''''''''</w:t>
            </w:r>
          </w:p>
        </w:tc>
        <w:tc>
          <w:tcPr>
            <w:tcW w:w="993" w:type="dxa"/>
          </w:tcPr>
          <w:p w:rsidR="00476F09" w:rsidRPr="002046A0" w:rsidRDefault="002046A0" w:rsidP="00D1356D">
            <w:pPr>
              <w:pStyle w:val="Tabletext"/>
              <w:rPr>
                <w:b/>
                <w:highlight w:val="black"/>
              </w:rPr>
            </w:pPr>
            <w:r>
              <w:rPr>
                <w:b/>
                <w:noProof/>
                <w:color w:val="000000"/>
                <w:highlight w:val="black"/>
              </w:rPr>
              <w:t>''''''''''''' ''''''''''''''''''' '''''''''''''''</w:t>
            </w:r>
          </w:p>
        </w:tc>
        <w:tc>
          <w:tcPr>
            <w:tcW w:w="2188" w:type="dxa"/>
          </w:tcPr>
          <w:p w:rsidR="00476F09" w:rsidRPr="002046A0" w:rsidRDefault="002046A0" w:rsidP="00D1356D">
            <w:pPr>
              <w:pStyle w:val="Tabletext"/>
              <w:rPr>
                <w:b/>
                <w:highlight w:val="black"/>
              </w:rPr>
            </w:pPr>
            <w:r>
              <w:rPr>
                <w:b/>
                <w:noProof/>
                <w:color w:val="000000"/>
                <w:highlight w:val="black"/>
              </w:rPr>
              <w:t>''''''''''''''''' ''''''''''' '''''''''''''''''</w:t>
            </w:r>
          </w:p>
        </w:tc>
        <w:tc>
          <w:tcPr>
            <w:tcW w:w="1214" w:type="dxa"/>
          </w:tcPr>
          <w:p w:rsidR="00814438" w:rsidRPr="002046A0" w:rsidRDefault="002046A0" w:rsidP="00D1356D">
            <w:pPr>
              <w:pStyle w:val="Tabletext"/>
              <w:rPr>
                <w:b/>
                <w:highlight w:val="black"/>
              </w:rPr>
            </w:pPr>
            <w:r>
              <w:rPr>
                <w:b/>
                <w:noProof/>
                <w:color w:val="000000"/>
                <w:highlight w:val="black"/>
              </w:rPr>
              <w:t>'''''''''''''''''</w:t>
            </w:r>
          </w:p>
          <w:p w:rsidR="00476F09" w:rsidRPr="002046A0" w:rsidRDefault="002046A0" w:rsidP="00D1356D">
            <w:pPr>
              <w:pStyle w:val="Tabletext"/>
              <w:rPr>
                <w:b/>
                <w:highlight w:val="black"/>
                <w:vertAlign w:val="superscript"/>
              </w:rPr>
            </w:pPr>
            <w:r>
              <w:rPr>
                <w:b/>
                <w:noProof/>
                <w:color w:val="000000"/>
                <w:highlight w:val="black"/>
              </w:rPr>
              <w:t>'''''''''''''''</w:t>
            </w:r>
          </w:p>
          <w:p w:rsidR="00476F09" w:rsidRPr="002046A0" w:rsidRDefault="002046A0" w:rsidP="00D1356D">
            <w:pPr>
              <w:pStyle w:val="Tabletext"/>
              <w:rPr>
                <w:b/>
                <w:highlight w:val="black"/>
              </w:rPr>
            </w:pPr>
            <w:r>
              <w:rPr>
                <w:b/>
                <w:noProof/>
                <w:color w:val="000000"/>
                <w:highlight w:val="black"/>
              </w:rPr>
              <w:t>''''''''''''''''''''''''</w:t>
            </w:r>
          </w:p>
        </w:tc>
      </w:tr>
      <w:tr w:rsidR="00CC3BA4" w:rsidRPr="006406B0" w:rsidTr="00F37FD2">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F95747" w:rsidRPr="002046A0" w:rsidRDefault="002046A0" w:rsidP="00F95747">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cs="Tahoma"/>
                <w:highlight w:val="black"/>
              </w:rPr>
            </w:pPr>
            <w:r>
              <w:rPr>
                <w:rFonts w:cs="Tahoma"/>
                <w:noProof/>
                <w:color w:val="000000"/>
                <w:highlight w:val="black"/>
              </w:rPr>
              <w:t>'''''''''''''''</w:t>
            </w:r>
          </w:p>
        </w:tc>
      </w:tr>
      <w:tr w:rsidR="00CC3BA4" w:rsidRPr="006406B0" w:rsidTr="00F37FD2">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2301D9">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2301D9">
            <w:pPr>
              <w:pStyle w:val="Tabletext"/>
              <w:rPr>
                <w:rFonts w:cs="Tahoma"/>
                <w:highlight w:val="black"/>
              </w:rPr>
            </w:pPr>
            <w:r>
              <w:rPr>
                <w:rFonts w:cs="Tahoma"/>
                <w:noProof/>
                <w:color w:val="000000"/>
                <w:highlight w:val="black"/>
              </w:rPr>
              <w:t>'''''' '''''''''''' '''''''' '''''''''''''</w:t>
            </w:r>
            <w:r>
              <w:rPr>
                <w:rFonts w:cs="Tahoma"/>
                <w:noProof/>
                <w:color w:val="000000"/>
                <w:highlight w:val="black"/>
              </w:rPr>
              <w:br/>
              <w:t>''''''''''''' '''''' ''''''''''''' ''''''''''' '''''''''''''</w:t>
            </w:r>
          </w:p>
        </w:tc>
        <w:tc>
          <w:tcPr>
            <w:tcW w:w="1214" w:type="dxa"/>
          </w:tcPr>
          <w:p w:rsidR="00CC3BA4" w:rsidRPr="002046A0" w:rsidRDefault="002046A0" w:rsidP="00D1356D">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cs="Tahoma"/>
                <w:highlight w:val="black"/>
              </w:rPr>
            </w:pPr>
            <w:r>
              <w:rPr>
                <w:rFonts w:cs="Tahoma"/>
                <w:noProof/>
                <w:color w:val="000000"/>
                <w:highlight w:val="black"/>
              </w:rPr>
              <w:t>''''''''''''''''''</w:t>
            </w:r>
          </w:p>
        </w:tc>
      </w:tr>
      <w:tr w:rsidR="00CC3BA4" w:rsidRPr="006406B0" w:rsidTr="00F37FD2">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BE799B" w:rsidRPr="002046A0" w:rsidRDefault="002046A0" w:rsidP="00BE799B">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eastAsia="Times New Roman" w:cs="Cambria Math"/>
                <w:bCs/>
                <w:color w:val="00B050"/>
                <w:highlight w:val="black"/>
              </w:rPr>
            </w:pPr>
            <w:r>
              <w:rPr>
                <w:rFonts w:cs="Tahoma"/>
                <w:noProof/>
                <w:color w:val="000000"/>
                <w:highlight w:val="black"/>
              </w:rPr>
              <w:t>'''''''''''''''''''''</w:t>
            </w:r>
          </w:p>
        </w:tc>
      </w:tr>
      <w:tr w:rsidR="00CC3BA4" w:rsidRPr="006406B0" w:rsidTr="00F37FD2">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 '''''''</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BE799B" w:rsidRPr="002046A0" w:rsidRDefault="002046A0" w:rsidP="00BE799B">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eastAsia="Times New Roman" w:cs="Cambria Math"/>
                <w:bCs/>
                <w:color w:val="00B050"/>
                <w:highlight w:val="black"/>
              </w:rPr>
            </w:pPr>
            <w:r>
              <w:rPr>
                <w:rFonts w:cs="Tahoma"/>
                <w:noProof/>
                <w:color w:val="000000"/>
                <w:highlight w:val="black"/>
              </w:rPr>
              <w:t>'''''''''''''''''''''</w:t>
            </w:r>
          </w:p>
        </w:tc>
      </w:tr>
      <w:tr w:rsidR="00CC3BA4" w:rsidRPr="00636E0F" w:rsidTr="00F37FD2">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 '''''''</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BE799B" w:rsidRPr="002046A0" w:rsidRDefault="002046A0" w:rsidP="00BE799B">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eastAsia="Times New Roman" w:cs="Cambria Math"/>
                <w:bCs/>
                <w:color w:val="00B050"/>
                <w:highlight w:val="black"/>
              </w:rPr>
            </w:pPr>
            <w:r>
              <w:rPr>
                <w:rFonts w:cs="Tahoma"/>
                <w:noProof/>
                <w:color w:val="000000"/>
                <w:highlight w:val="black"/>
              </w:rPr>
              <w:t>'''''''''''''''''''''''''</w:t>
            </w:r>
          </w:p>
        </w:tc>
      </w:tr>
      <w:tr w:rsidR="00B14FF5" w:rsidRPr="006406B0" w:rsidTr="00F37FD2">
        <w:trPr>
          <w:trHeight w:val="319"/>
        </w:trPr>
        <w:tc>
          <w:tcPr>
            <w:tcW w:w="1493" w:type="dxa"/>
          </w:tcPr>
          <w:p w:rsidR="00B14FF5" w:rsidRPr="002046A0" w:rsidRDefault="002046A0" w:rsidP="00D1356D">
            <w:pPr>
              <w:pStyle w:val="Tabletext"/>
              <w:rPr>
                <w:rFonts w:cs="Tahoma"/>
                <w:highlight w:val="black"/>
              </w:rPr>
            </w:pPr>
            <w:r>
              <w:rPr>
                <w:rFonts w:cs="Tahoma"/>
                <w:noProof/>
                <w:color w:val="000000"/>
                <w:highlight w:val="black"/>
              </w:rPr>
              <w:t>''''''''''''''''''' ''''' '''''''''''''''' ''''''''''' '''''''''''''''''''''</w:t>
            </w:r>
            <w:r>
              <w:rPr>
                <w:rFonts w:cs="Tahoma"/>
                <w:noProof/>
                <w:color w:val="000000"/>
                <w:highlight w:val="black"/>
              </w:rPr>
              <w:br/>
              <w:t xml:space="preserve">''''''''' '''''''''''''''' </w:t>
            </w:r>
          </w:p>
        </w:tc>
        <w:tc>
          <w:tcPr>
            <w:tcW w:w="1054"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771"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1072"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992" w:type="dxa"/>
          </w:tcPr>
          <w:p w:rsidR="00B14FF5" w:rsidRPr="002046A0" w:rsidRDefault="002046A0" w:rsidP="00D1356D">
            <w:pPr>
              <w:pStyle w:val="Tabletext"/>
              <w:rPr>
                <w:rFonts w:cs="Tahoma"/>
                <w:highlight w:val="black"/>
                <w:vertAlign w:val="superscript"/>
              </w:rPr>
            </w:pPr>
            <w:r>
              <w:rPr>
                <w:rFonts w:cs="Tahoma"/>
                <w:noProof/>
                <w:color w:val="000000"/>
                <w:highlight w:val="black"/>
              </w:rPr>
              <w:t>'''''''''''''''''''' '''</w:t>
            </w:r>
          </w:p>
        </w:tc>
        <w:tc>
          <w:tcPr>
            <w:tcW w:w="992"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1276" w:type="dxa"/>
          </w:tcPr>
          <w:p w:rsidR="00B14FF5" w:rsidRPr="002046A0" w:rsidRDefault="002046A0" w:rsidP="00D1356D">
            <w:pPr>
              <w:pStyle w:val="Tabletext"/>
              <w:rPr>
                <w:rFonts w:cs="Tahoma"/>
                <w:highlight w:val="black"/>
              </w:rPr>
            </w:pPr>
            <w:r>
              <w:rPr>
                <w:rFonts w:cs="Tahoma"/>
                <w:noProof/>
                <w:color w:val="000000"/>
                <w:highlight w:val="black"/>
              </w:rPr>
              <w:t>''''''''''''''</w:t>
            </w:r>
          </w:p>
        </w:tc>
        <w:tc>
          <w:tcPr>
            <w:tcW w:w="1417" w:type="dxa"/>
          </w:tcPr>
          <w:p w:rsidR="00B14FF5" w:rsidRPr="002046A0" w:rsidRDefault="002046A0" w:rsidP="00D1356D">
            <w:pPr>
              <w:pStyle w:val="Tabletext"/>
              <w:rPr>
                <w:rFonts w:cs="Tahoma"/>
                <w:highlight w:val="black"/>
              </w:rPr>
            </w:pPr>
            <w:r>
              <w:rPr>
                <w:rFonts w:cs="Tahoma"/>
                <w:noProof/>
                <w:color w:val="000000"/>
                <w:highlight w:val="black"/>
              </w:rPr>
              <w:t>''''''''' ''''''''''''''''''' ''''''''''''''''</w:t>
            </w:r>
          </w:p>
        </w:tc>
        <w:tc>
          <w:tcPr>
            <w:tcW w:w="1134" w:type="dxa"/>
          </w:tcPr>
          <w:p w:rsidR="00B14FF5" w:rsidRPr="002046A0" w:rsidRDefault="002046A0" w:rsidP="00D1356D">
            <w:pPr>
              <w:pStyle w:val="Tabletext"/>
              <w:rPr>
                <w:rFonts w:cs="Tahoma"/>
                <w:highlight w:val="black"/>
              </w:rPr>
            </w:pPr>
            <w:r>
              <w:rPr>
                <w:noProof/>
                <w:color w:val="000000"/>
                <w:highlight w:val="black"/>
              </w:rPr>
              <w:t>'''''' ''''''''''''''''''' '''''''''''''</w:t>
            </w:r>
          </w:p>
        </w:tc>
        <w:tc>
          <w:tcPr>
            <w:tcW w:w="993" w:type="dxa"/>
          </w:tcPr>
          <w:p w:rsidR="00B14FF5" w:rsidRPr="002046A0" w:rsidRDefault="002046A0" w:rsidP="00D1356D">
            <w:pPr>
              <w:pStyle w:val="Tabletext"/>
              <w:rPr>
                <w:rFonts w:cs="Tahoma"/>
                <w:highlight w:val="black"/>
              </w:rPr>
            </w:pPr>
            <w:r>
              <w:rPr>
                <w:rFonts w:cs="Tahoma"/>
                <w:noProof/>
                <w:color w:val="000000"/>
                <w:highlight w:val="black"/>
              </w:rPr>
              <w:t>''</w:t>
            </w:r>
          </w:p>
        </w:tc>
        <w:tc>
          <w:tcPr>
            <w:tcW w:w="2188" w:type="dxa"/>
          </w:tcPr>
          <w:p w:rsidR="00B14FF5"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 '''''''''''''''''''</w:t>
            </w:r>
          </w:p>
        </w:tc>
        <w:tc>
          <w:tcPr>
            <w:tcW w:w="1214" w:type="dxa"/>
          </w:tcPr>
          <w:p w:rsidR="00B14FF5" w:rsidRPr="002046A0" w:rsidRDefault="002046A0" w:rsidP="00D1356D">
            <w:pPr>
              <w:pStyle w:val="Tabletext"/>
              <w:rPr>
                <w:rFonts w:ascii="Cambria Math" w:eastAsia="Times New Roman" w:hAnsi="Cambria Math" w:cs="Cambria Math"/>
                <w:bCs/>
              </w:rPr>
            </w:pPr>
            <w:r>
              <w:rPr>
                <w:rFonts w:eastAsia="Times New Roman" w:cs="Tahoma"/>
                <w:bCs/>
                <w:noProof/>
                <w:color w:val="000000"/>
                <w:highlight w:val="black"/>
              </w:rPr>
              <w:t>'''''''''''''''''''''</w:t>
            </w:r>
            <w:r>
              <w:rPr>
                <w:rFonts w:eastAsia="Times New Roman" w:cs="Tahoma"/>
                <w:bCs/>
                <w:noProof/>
                <w:color w:val="000000"/>
                <w:highlight w:val="black"/>
              </w:rPr>
              <w:br/>
              <w:t>'''''''''''''''</w:t>
            </w:r>
          </w:p>
          <w:p w:rsidR="00B14FF5" w:rsidRPr="002046A0" w:rsidRDefault="002046A0" w:rsidP="00D1356D">
            <w:pPr>
              <w:pStyle w:val="Tabletext"/>
              <w:rPr>
                <w:rFonts w:eastAsia="Times New Roman" w:cs="Tahoma"/>
                <w:bCs/>
                <w:highlight w:val="black"/>
              </w:rPr>
            </w:pPr>
            <w:r>
              <w:rPr>
                <w:rFonts w:cs="Tahoma"/>
                <w:noProof/>
                <w:color w:val="000000"/>
                <w:highlight w:val="black"/>
              </w:rPr>
              <w:t>'''''''''''''''''''''''''</w:t>
            </w:r>
          </w:p>
        </w:tc>
      </w:tr>
      <w:tr w:rsidR="00B14FF5" w:rsidRPr="006406B0" w:rsidTr="00F37FD2">
        <w:trPr>
          <w:trHeight w:val="319"/>
        </w:trPr>
        <w:tc>
          <w:tcPr>
            <w:tcW w:w="1493" w:type="dxa"/>
          </w:tcPr>
          <w:p w:rsidR="00B14FF5" w:rsidRPr="002046A0" w:rsidRDefault="002046A0" w:rsidP="00D1356D">
            <w:pPr>
              <w:pStyle w:val="Tabletext"/>
              <w:rPr>
                <w:rFonts w:cs="Tahoma"/>
                <w:highlight w:val="black"/>
              </w:rPr>
            </w:pPr>
            <w:r>
              <w:rPr>
                <w:rFonts w:cs="Tahoma"/>
                <w:noProof/>
                <w:color w:val="000000"/>
                <w:highlight w:val="black"/>
              </w:rPr>
              <w:lastRenderedPageBreak/>
              <w:t xml:space="preserve">'''''''''''''''''' ''''' ''''''''' ''''''''''' '''''''''''''''''' '''''''' '''''''''''''''''' </w:t>
            </w:r>
          </w:p>
        </w:tc>
        <w:tc>
          <w:tcPr>
            <w:tcW w:w="1054"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771"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1072"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992"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992" w:type="dxa"/>
          </w:tcPr>
          <w:p w:rsidR="00B14FF5" w:rsidRPr="002046A0" w:rsidRDefault="002046A0" w:rsidP="00D1356D">
            <w:pPr>
              <w:pStyle w:val="Tabletext"/>
              <w:rPr>
                <w:rFonts w:cs="Tahoma"/>
                <w:highlight w:val="black"/>
              </w:rPr>
            </w:pPr>
            <w:r>
              <w:rPr>
                <w:rFonts w:cs="Tahoma"/>
                <w:noProof/>
                <w:color w:val="000000"/>
                <w:highlight w:val="black"/>
              </w:rPr>
              <w:t>''''''''' '''''''''''''''''''</w:t>
            </w:r>
          </w:p>
        </w:tc>
        <w:tc>
          <w:tcPr>
            <w:tcW w:w="1276" w:type="dxa"/>
          </w:tcPr>
          <w:p w:rsidR="00B14FF5" w:rsidRPr="002046A0" w:rsidRDefault="002046A0" w:rsidP="00FF14C8">
            <w:pPr>
              <w:pStyle w:val="Tabletext"/>
              <w:rPr>
                <w:rFonts w:cs="Tahoma"/>
                <w:highlight w:val="black"/>
              </w:rPr>
            </w:pPr>
            <w:r>
              <w:rPr>
                <w:rFonts w:cs="Tahoma"/>
                <w:noProof/>
                <w:color w:val="000000"/>
                <w:highlight w:val="black"/>
              </w:rPr>
              <w:t>''''''''''''''''' '''''''''''''''''''''''''''''</w:t>
            </w:r>
          </w:p>
          <w:p w:rsidR="00B14FF5" w:rsidRPr="002046A0" w:rsidRDefault="002046A0" w:rsidP="00FF14C8">
            <w:pPr>
              <w:pStyle w:val="Tabletext"/>
              <w:rPr>
                <w:rFonts w:cs="Tahoma"/>
                <w:highlight w:val="black"/>
              </w:rPr>
            </w:pPr>
            <w:r>
              <w:rPr>
                <w:rFonts w:cs="Tahoma"/>
                <w:noProof/>
                <w:color w:val="000000"/>
                <w:highlight w:val="black"/>
              </w:rPr>
              <w:t>''''''''''''''</w:t>
            </w:r>
          </w:p>
        </w:tc>
        <w:tc>
          <w:tcPr>
            <w:tcW w:w="1417" w:type="dxa"/>
          </w:tcPr>
          <w:p w:rsidR="00B14FF5" w:rsidRPr="002046A0" w:rsidRDefault="002046A0" w:rsidP="00D1356D">
            <w:pPr>
              <w:pStyle w:val="Tabletext"/>
              <w:rPr>
                <w:rFonts w:cs="Tahoma"/>
                <w:highlight w:val="black"/>
              </w:rPr>
            </w:pPr>
            <w:r>
              <w:rPr>
                <w:rFonts w:cs="Tahoma"/>
                <w:noProof/>
                <w:color w:val="000000"/>
                <w:highlight w:val="black"/>
              </w:rPr>
              <w:t>'''''''''' ''''''''''''''''' ''''''''''''''</w:t>
            </w:r>
          </w:p>
        </w:tc>
        <w:tc>
          <w:tcPr>
            <w:tcW w:w="1134" w:type="dxa"/>
          </w:tcPr>
          <w:p w:rsidR="00B14FF5" w:rsidRPr="002046A0" w:rsidRDefault="002046A0" w:rsidP="00D1356D">
            <w:pPr>
              <w:pStyle w:val="Tabletext"/>
              <w:rPr>
                <w:rFonts w:cs="Tahoma"/>
                <w:highlight w:val="black"/>
              </w:rPr>
            </w:pPr>
            <w:r>
              <w:rPr>
                <w:noProof/>
                <w:color w:val="000000"/>
                <w:highlight w:val="black"/>
              </w:rPr>
              <w:t>'''''' '''''''''''''''''''' '''''''''''''</w:t>
            </w:r>
          </w:p>
        </w:tc>
        <w:tc>
          <w:tcPr>
            <w:tcW w:w="993" w:type="dxa"/>
          </w:tcPr>
          <w:p w:rsidR="00B14FF5" w:rsidRPr="002046A0" w:rsidRDefault="002046A0" w:rsidP="00D1356D">
            <w:pPr>
              <w:pStyle w:val="Tabletext"/>
              <w:rPr>
                <w:rFonts w:cs="Tahoma"/>
                <w:highlight w:val="black"/>
              </w:rPr>
            </w:pPr>
            <w:r>
              <w:rPr>
                <w:rFonts w:cs="Tahoma"/>
                <w:noProof/>
                <w:color w:val="000000"/>
                <w:highlight w:val="black"/>
              </w:rPr>
              <w:t>'''</w:t>
            </w:r>
          </w:p>
        </w:tc>
        <w:tc>
          <w:tcPr>
            <w:tcW w:w="2188" w:type="dxa"/>
          </w:tcPr>
          <w:p w:rsidR="00B14FF5" w:rsidRPr="002046A0" w:rsidRDefault="002046A0" w:rsidP="00D1356D">
            <w:pPr>
              <w:pStyle w:val="Tabletext"/>
              <w:rPr>
                <w:rFonts w:cs="Tahoma"/>
                <w:highlight w:val="black"/>
              </w:rPr>
            </w:pPr>
            <w:r>
              <w:rPr>
                <w:rFonts w:cs="Tahoma"/>
                <w:noProof/>
                <w:color w:val="000000"/>
                <w:highlight w:val="black"/>
              </w:rPr>
              <w:t>'''''''''''''''''''''</w:t>
            </w:r>
            <w:r>
              <w:rPr>
                <w:rFonts w:cs="Tahoma"/>
                <w:noProof/>
                <w:color w:val="000000"/>
                <w:highlight w:val="black"/>
              </w:rPr>
              <w:br/>
              <w:t>''''''''' ''''''''''' ''''''''''' '''''''''''''''''''''''''''''''''</w:t>
            </w:r>
          </w:p>
          <w:p w:rsidR="00B14FF5" w:rsidRPr="002046A0" w:rsidRDefault="002046A0" w:rsidP="00D1356D">
            <w:pPr>
              <w:pStyle w:val="Tabletext"/>
              <w:rPr>
                <w:rFonts w:cs="Tahoma"/>
                <w:highlight w:val="black"/>
              </w:rPr>
            </w:pPr>
            <w:r>
              <w:rPr>
                <w:rFonts w:cs="Tahoma"/>
                <w:noProof/>
                <w:color w:val="000000"/>
                <w:highlight w:val="black"/>
              </w:rPr>
              <w:t>''''''''''''</w:t>
            </w:r>
            <w:r>
              <w:rPr>
                <w:rFonts w:cs="Tahoma"/>
                <w:noProof/>
                <w:color w:val="000000"/>
                <w:highlight w:val="black"/>
              </w:rPr>
              <w:br/>
              <w:t>''''''''' '''''''''' '''''''''''' '''''''''''''''''''''''''''''''''</w:t>
            </w:r>
          </w:p>
        </w:tc>
        <w:tc>
          <w:tcPr>
            <w:tcW w:w="1214" w:type="dxa"/>
          </w:tcPr>
          <w:p w:rsidR="00B14FF5" w:rsidRPr="002046A0" w:rsidRDefault="002046A0" w:rsidP="00D1356D">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B14FF5" w:rsidRPr="002046A0" w:rsidRDefault="002046A0" w:rsidP="00D1356D">
            <w:pPr>
              <w:pStyle w:val="Tabletext"/>
              <w:rPr>
                <w:rFonts w:eastAsia="Times New Roman" w:cs="Tahoma"/>
                <w:bCs/>
                <w:highlight w:val="black"/>
              </w:rPr>
            </w:pPr>
            <w:r>
              <w:rPr>
                <w:rFonts w:cs="Tahoma"/>
                <w:noProof/>
                <w:color w:val="000000"/>
                <w:highlight w:val="black"/>
              </w:rPr>
              <w:t>''''''''''''''''''''''''</w:t>
            </w:r>
          </w:p>
        </w:tc>
      </w:tr>
      <w:tr w:rsidR="00CC3BA4" w:rsidRPr="00636E0F" w:rsidTr="00F37FD2">
        <w:trPr>
          <w:trHeight w:val="902"/>
        </w:trPr>
        <w:tc>
          <w:tcPr>
            <w:tcW w:w="1493" w:type="dxa"/>
          </w:tcPr>
          <w:p w:rsidR="00CC3BA4" w:rsidRPr="002046A0" w:rsidRDefault="002046A0" w:rsidP="00D1356D">
            <w:pPr>
              <w:pStyle w:val="Tabletext"/>
              <w:rPr>
                <w:rFonts w:cs="Tahoma"/>
                <w:highlight w:val="black"/>
              </w:rPr>
            </w:pPr>
            <w:r>
              <w:rPr>
                <w:rFonts w:cs="Tahoma"/>
                <w:noProof/>
                <w:color w:val="000000"/>
                <w:highlight w:val="black"/>
              </w:rPr>
              <w:t>'''''''''''''''''''' '''' ''''''''''''''''''''''''''''''''''''''' '''''''''''''''''''''''''' '''''''''''' ''''''''''''''''''''</w:t>
            </w:r>
            <w:r>
              <w:rPr>
                <w:rFonts w:cs="Tahoma"/>
                <w:noProof/>
                <w:color w:val="000000"/>
                <w:highlight w:val="black"/>
              </w:rPr>
              <w:br/>
              <w:t xml:space="preserve">''''''' '''''''''''''''''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260588">
            <w:pPr>
              <w:pStyle w:val="Tabletext"/>
              <w:rPr>
                <w:rFonts w:cs="Tahoma"/>
                <w:highlight w:val="black"/>
                <w:vertAlign w:val="superscript"/>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eastAsia="Times New Roman"/>
                <w:highlight w:val="black"/>
              </w:rPr>
            </w:pPr>
            <w:r>
              <w:rPr>
                <w:rFonts w:eastAsia="Times New Roman"/>
                <w:noProof/>
                <w:color w:val="000000"/>
                <w:highlight w:val="black"/>
              </w:rPr>
              <w:t>'''''''' '''''''''''''''''''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w:t>
            </w:r>
            <w:r>
              <w:rPr>
                <w:rFonts w:cs="Tahoma"/>
                <w:noProof/>
                <w:color w:val="000000"/>
                <w:highlight w:val="black"/>
              </w:rPr>
              <w:br/>
              <w:t>''''''''' ''''''''''''''''' '''''''''''''''''''''''''''''''''</w:t>
            </w:r>
          </w:p>
        </w:tc>
        <w:tc>
          <w:tcPr>
            <w:tcW w:w="1214" w:type="dxa"/>
          </w:tcPr>
          <w:p w:rsidR="00CC3BA4" w:rsidRPr="002046A0" w:rsidRDefault="002046A0" w:rsidP="00D1356D">
            <w:pPr>
              <w:pStyle w:val="Tabletext"/>
              <w:rPr>
                <w:rFonts w:ascii="Cambria Math" w:eastAsia="Times New Roman" w:hAnsi="Cambria Math" w:cs="Cambria Math"/>
                <w:bCs/>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eastAsia="Times New Roman" w:cs="Tahoma"/>
                <w:bCs/>
                <w:highlight w:val="black"/>
              </w:rPr>
            </w:pPr>
            <w:r>
              <w:rPr>
                <w:rFonts w:cs="Tahoma"/>
                <w:noProof/>
                <w:color w:val="000000"/>
                <w:highlight w:val="black"/>
              </w:rPr>
              <w:t>''''''''' ''''''''''''''''''''''</w:t>
            </w:r>
          </w:p>
        </w:tc>
      </w:tr>
    </w:tbl>
    <w:p w:rsidR="00CC3BA4" w:rsidRPr="002046A0" w:rsidRDefault="002046A0" w:rsidP="00D1356D">
      <w:pPr>
        <w:pStyle w:val="Tablenote"/>
        <w:rPr>
          <w:highlight w:val="black"/>
        </w:rPr>
      </w:pPr>
      <w:r>
        <w:rPr>
          <w:noProof/>
          <w:color w:val="000000"/>
          <w:highlight w:val="black"/>
          <w:vertAlign w:val="superscript"/>
        </w:rPr>
        <w:t>''' '''''''''''' '''''''''''''''''''''''''''''''''''' ''''''''''''' '''''' ''''''''''''''''''''''''''' '''''''''' '''''''' '''''''''''''' '''''''''</w:t>
      </w:r>
    </w:p>
    <w:p w:rsidR="00CC3BA4" w:rsidRPr="002046A0" w:rsidRDefault="002046A0" w:rsidP="00D1356D">
      <w:pPr>
        <w:pStyle w:val="Tablenote"/>
        <w:rPr>
          <w:highlight w:val="black"/>
        </w:rPr>
      </w:pPr>
      <w:r>
        <w:rPr>
          <w:noProof/>
          <w:color w:val="000000"/>
          <w:highlight w:val="black"/>
          <w:vertAlign w:val="superscript"/>
        </w:rPr>
        <w:t>''' ''''''''''''''''''' ''''''''''''''''''' '''''''''''''' ''''''''''''''''' '''''' '''''''''''''''''''''''''</w:t>
      </w:r>
    </w:p>
    <w:p w:rsidR="00CC3BA4" w:rsidRPr="002046A0" w:rsidRDefault="002046A0" w:rsidP="00D1356D">
      <w:pPr>
        <w:pStyle w:val="Tablenote"/>
        <w:rPr>
          <w:highlight w:val="black"/>
        </w:rPr>
      </w:pPr>
      <w:r>
        <w:rPr>
          <w:noProof/>
          <w:color w:val="000000"/>
          <w:highlight w:val="black"/>
          <w:vertAlign w:val="superscript"/>
        </w:rPr>
        <w:t>''' '''''''''''' '''''''''''' ''''''''' ''''''''' ''''''''''''' '''</w:t>
      </w:r>
    </w:p>
    <w:p w:rsidR="004104D8" w:rsidRPr="002046A0" w:rsidRDefault="002046A0" w:rsidP="00D1356D">
      <w:pPr>
        <w:pStyle w:val="Tablenote"/>
        <w:rPr>
          <w:highlight w:val="black"/>
        </w:rPr>
      </w:pPr>
      <w:r>
        <w:rPr>
          <w:noProof/>
          <w:color w:val="000000"/>
          <w:highlight w:val="black"/>
          <w:vertAlign w:val="superscript"/>
        </w:rPr>
        <w:t>''' '''''''''''''''''''''' ''''''''''''''''''''</w:t>
      </w:r>
    </w:p>
    <w:p w:rsidR="00A76779" w:rsidRPr="002046A0" w:rsidRDefault="002046A0" w:rsidP="00A76779">
      <w:pPr>
        <w:pStyle w:val="Tablenote"/>
        <w:rPr>
          <w:highlight w:val="black"/>
        </w:rPr>
      </w:pPr>
      <w:r>
        <w:rPr>
          <w:noProof/>
          <w:color w:val="000000"/>
          <w:highlight w:val="black"/>
          <w:vertAlign w:val="superscript"/>
        </w:rPr>
        <w:t>''' '''''''''''''''' '''''''''''' '''''''''''''''' ''''''''''''' '''''''''''' '''''''''''''' ''''' '''''''''''' ''' '''''''''''''' ''''''''''''''' ''''''''''''''''''''''' '''''''''''''' ''''''''''''</w:t>
      </w:r>
    </w:p>
    <w:p w:rsidR="00A76779" w:rsidRPr="002046A0" w:rsidRDefault="002046A0" w:rsidP="00A76779">
      <w:pPr>
        <w:pStyle w:val="Tablenote"/>
        <w:rPr>
          <w:highlight w:val="black"/>
        </w:rPr>
      </w:pPr>
      <w:r>
        <w:rPr>
          <w:noProof/>
          <w:color w:val="000000"/>
          <w:highlight w:val="black"/>
          <w:vertAlign w:val="superscript"/>
        </w:rPr>
        <w:t>'' ''''''''''' ''''''''' '''''''''''''' '''''''''''''' '''''''''''' ''' ''''' '''''''''''' '''' ''''''''''''''' '''''''''''' '''''''''''''''''''' ''''''''''''''''' '''''''''''''</w:t>
      </w:r>
    </w:p>
    <w:p w:rsidR="00CC3BA4" w:rsidRPr="002046A0" w:rsidRDefault="002046A0" w:rsidP="00D1356D">
      <w:pPr>
        <w:pStyle w:val="Tablenote"/>
      </w:pPr>
      <w:r>
        <w:rPr>
          <w:rFonts w:ascii="Cambria Math" w:hAnsi="Cambria Math" w:cs="Cambria Math"/>
          <w:noProof/>
          <w:color w:val="000000"/>
          <w:highlight w:val="black"/>
        </w:rPr>
        <w:t>'''''''''''''''</w:t>
      </w:r>
      <w:r>
        <w:rPr>
          <w:noProof/>
          <w:color w:val="000000"/>
          <w:highlight w:val="black"/>
        </w:rPr>
        <w:t xml:space="preserve"> </w:t>
      </w:r>
      <w:r>
        <w:rPr>
          <w:b/>
          <w:noProof/>
          <w:color w:val="000000"/>
          <w:highlight w:val="black"/>
        </w:rPr>
        <w:t>'''''''''' '''''''''''''''</w:t>
      </w:r>
      <w:r>
        <w:rPr>
          <w:noProof/>
          <w:color w:val="000000"/>
          <w:highlight w:val="black"/>
        </w:rPr>
        <w:t xml:space="preserve"> '''''''' ''''''' ''''''''''' ''''''''''''''''''''' '''''''''' ''''''' ''''''''' '''''''''''' ''''''' '''''''''''''' '''' '''''''''' '''''' '''''''' ''''''''''''''''''''' '''''' '''''''''''''</w:t>
      </w:r>
    </w:p>
    <w:p w:rsidR="004104D8" w:rsidRPr="002046A0" w:rsidRDefault="002046A0" w:rsidP="004104D8">
      <w:pPr>
        <w:pStyle w:val="Tablenote"/>
      </w:pPr>
      <w:r>
        <w:rPr>
          <w:rFonts w:ascii="Cambria Math" w:hAnsi="Cambria Math" w:cs="Cambria Math"/>
          <w:noProof/>
          <w:color w:val="000000"/>
          <w:highlight w:val="black"/>
        </w:rPr>
        <w:t>''''''''''''''''</w:t>
      </w:r>
      <w:r>
        <w:rPr>
          <w:rFonts w:cs="Cambria Math"/>
          <w:noProof/>
          <w:color w:val="000000"/>
          <w:highlight w:val="black"/>
        </w:rPr>
        <w:t xml:space="preserve"> </w:t>
      </w:r>
      <w:r>
        <w:rPr>
          <w:b/>
          <w:noProof/>
          <w:color w:val="000000"/>
          <w:highlight w:val="black"/>
        </w:rPr>
        <w:t>'''''''''''''''''' ''''''''''''''</w:t>
      </w:r>
      <w:r>
        <w:rPr>
          <w:noProof/>
          <w:color w:val="000000"/>
          <w:highlight w:val="black"/>
        </w:rPr>
        <w:t xml:space="preserve"> '''''''' '''''''' '''''''''''''''''''''''''''' ''''''''''''''''''''''' ''''' ''''''' ''''''''''''' '''''''''''''''''''''''' ''''''''' '''''''''' '''''''''''''' '''' ''''''''''''' ''''' '''''' ''''''''''''' '''''' ''''''' '''''''''''''''''' '''''' '''''''' '''''''''''''' '''''''' ''''''''''''' ''' ''' '''''''''''''''''''''''' ''''''''' ''' '''' ''''''''''''''''''''''''''''' '''''''''''''''''''''</w:t>
      </w:r>
    </w:p>
    <w:p w:rsidR="004104D8" w:rsidRPr="002046A0" w:rsidRDefault="002046A0" w:rsidP="004104D8">
      <w:pPr>
        <w:pStyle w:val="Tablenote"/>
      </w:pPr>
      <w:r>
        <w:rPr>
          <w:rFonts w:ascii="Cambria Math" w:hAnsi="Cambria Math" w:cs="Cambria Math"/>
          <w:noProof/>
          <w:color w:val="000000"/>
          <w:highlight w:val="black"/>
        </w:rPr>
        <w:t>''''''''''''''</w:t>
      </w:r>
      <w:r>
        <w:rPr>
          <w:rFonts w:cs="Cambria Math"/>
          <w:noProof/>
          <w:color w:val="000000"/>
          <w:highlight w:val="black"/>
        </w:rPr>
        <w:t xml:space="preserve"> </w:t>
      </w:r>
      <w:r>
        <w:rPr>
          <w:b/>
          <w:noProof/>
          <w:color w:val="000000"/>
          <w:highlight w:val="black"/>
        </w:rPr>
        <w:t>''''''''' ''''''''''''''</w:t>
      </w:r>
      <w:r>
        <w:rPr>
          <w:noProof/>
          <w:color w:val="000000"/>
          <w:highlight w:val="black"/>
        </w:rPr>
        <w:t xml:space="preserve"> ''''''''' '''''''''''''''''''''''''''' ''''' ''''''''' ''''''''''''' ''''''''''''''''''' '''' '''''''''''''''' ''''''''' '''''''''' ''''''''''''''' ''''''''''' '''''' '''''''''''''''''''''''''''''' ''''''''''''''''''''' '''''''''' '''''''' '''''''''''''''''''''' ''''' ''''''''' ''''''''''''''</w:t>
      </w:r>
    </w:p>
    <w:p w:rsidR="00814438" w:rsidRPr="002046A0" w:rsidRDefault="002046A0" w:rsidP="00D1356D">
      <w:pPr>
        <w:pStyle w:val="Tablenote"/>
        <w:rPr>
          <w:highlight w:val="black"/>
        </w:rPr>
      </w:pPr>
      <w:r>
        <w:rPr>
          <w:noProof/>
          <w:color w:val="000000"/>
          <w:highlight w:val="black"/>
        </w:rPr>
        <w:t>'''''''''''''''' '''' ''''''''''''''''''''''' '''''''''' ''''''''''''''''''''''' ''''' ''' '''''''''''''''''''''''''' ''''''''''''''''' '''''''''''''''' '''' ''''''''''''''''''''' ''' ''''''''''''''''''''''' ''''''''''' '''' ''''''''''''''''''''''''''' '''''''''''''''''''' '''''''''''''''''''''''' '''''''' '''' ''''''''''''''''''''''' '''''''''''' '''''''''''''''''''' '''' '''''''''''''''''''' ''''' ''''''''''''''''''''''''''''''''''''''''''''' ''''''''''''''''''''''''''' ''''''''''''''''''''''''''' ''''''''' ''''''''''''''''''''''''''''''' '''''''''' ''' '''''''''''' '''''''''' '''''''''''''''''''''''''' ''''''''''''''''''''''''''''''''''' ''''''''' ''' ''''''''''''''' ''''''''''''''''''''''''' '''''''''''' '''' ''''''''''''''''''''''' '''''''''''''''' ''''''''''''''''''''''''''''''''''' '''''''''''' ''' ''''''''''''''''''''''' ''''''''''''''''''''' '''''''''''''''''''''''''''' '''''''''' ''' '''''''''''''' ''''' ''''''''' '''''''''''' ''' ''''''''''''''''''''''''' ''''''''''''''''''''''' ''''''''''' '''''''' ''' '''''''''''''''''' ''''''''''' '''''''''' ''' ''''''''''''''''' ''''''''''''''''''''''' '''''''''''''''' ''''''''''''''''''''''''''' '''''''''''''' '''' ''''''''''''''' '''''''''''''' ''''''''''''''''''''''''''''''</w:t>
      </w:r>
    </w:p>
    <w:p w:rsidR="002856B6" w:rsidRPr="002046A0" w:rsidRDefault="002046A0">
      <w:pPr>
        <w:spacing w:before="0" w:line="240" w:lineRule="auto"/>
        <w:rPr>
          <w:b/>
          <w:iCs/>
          <w:szCs w:val="18"/>
          <w:highlight w:val="black"/>
        </w:rPr>
      </w:pPr>
      <w:bookmarkStart w:id="539" w:name="_Ref505865927"/>
      <w:bookmarkStart w:id="540" w:name="_Toc38360463"/>
      <w:r>
        <w:rPr>
          <w:noProof/>
          <w:color w:val="000000"/>
          <w:highlight w:val="black"/>
        </w:rPr>
        <w:br w:type="page"/>
      </w:r>
    </w:p>
    <w:bookmarkEnd w:id="539"/>
    <w:bookmarkEnd w:id="540"/>
    <w:p w:rsidR="00CC3BA4" w:rsidRPr="002046A0" w:rsidRDefault="002046A0" w:rsidP="00BC5A2B">
      <w:pPr>
        <w:pStyle w:val="Caption"/>
        <w:rPr>
          <w:highlight w:val="black"/>
        </w:rPr>
      </w:pPr>
      <w:r>
        <w:rPr>
          <w:noProof/>
          <w:color w:val="000000"/>
          <w:highlight w:val="black"/>
        </w:rPr>
        <w:lastRenderedPageBreak/>
        <w:t>'''''''''' '''''''''''''''''''''''''' ''''''''''' '''''''''' ''''' ''''''''''''''''''''''''' '''' '''''''' '''''''''''''''''''' '' ''''''' ''''''''''''''''''''' '''''''''''''''' ''''''''''''''''' '''' '''''''' ''''''''''''''''''''''''''' '''''' ''''''''''''''' '''''''' ''''''''' ''''' '''''''' '''''''</w:t>
      </w:r>
    </w:p>
    <w:tbl>
      <w:tblPr>
        <w:tblStyle w:val="TableGrid"/>
        <w:tblW w:w="14596" w:type="dxa"/>
        <w:tblLayout w:type="fixed"/>
        <w:tblLook w:val="04A0" w:firstRow="1" w:lastRow="0" w:firstColumn="1" w:lastColumn="0" w:noHBand="0" w:noVBand="1"/>
        <w:tblCaption w:val="Evidence profile table for effectiveness of sGC stimulator + ERA combination therapy compared to ERA monotherapy for patients with WHO FC III/IV PAH"/>
      </w:tblPr>
      <w:tblGrid>
        <w:gridCol w:w="1493"/>
        <w:gridCol w:w="1054"/>
        <w:gridCol w:w="771"/>
        <w:gridCol w:w="1072"/>
        <w:gridCol w:w="992"/>
        <w:gridCol w:w="992"/>
        <w:gridCol w:w="1276"/>
        <w:gridCol w:w="1417"/>
        <w:gridCol w:w="1134"/>
        <w:gridCol w:w="993"/>
        <w:gridCol w:w="2188"/>
        <w:gridCol w:w="1214"/>
      </w:tblGrid>
      <w:tr w:rsidR="00D1356D" w:rsidRPr="00636E0F" w:rsidTr="00BE3319">
        <w:trPr>
          <w:cnfStyle w:val="100000000000" w:firstRow="1" w:lastRow="0" w:firstColumn="0" w:lastColumn="0" w:oddVBand="0" w:evenVBand="0" w:oddHBand="0" w:evenHBand="0" w:firstRowFirstColumn="0" w:firstRowLastColumn="0" w:lastRowFirstColumn="0" w:lastRowLastColumn="0"/>
          <w:trHeight w:val="523"/>
        </w:trPr>
        <w:tc>
          <w:tcPr>
            <w:tcW w:w="1493" w:type="dxa"/>
          </w:tcPr>
          <w:p w:rsidR="00476F09" w:rsidRPr="002046A0" w:rsidRDefault="002046A0" w:rsidP="00D1356D">
            <w:pPr>
              <w:pStyle w:val="Tabletext"/>
              <w:rPr>
                <w:b/>
                <w:highlight w:val="black"/>
              </w:rPr>
            </w:pPr>
            <w:r>
              <w:rPr>
                <w:b/>
                <w:noProof/>
                <w:color w:val="000000"/>
                <w:highlight w:val="black"/>
              </w:rPr>
              <w:t>'''''''''''''''''''' '''''''''''''''''''''''</w:t>
            </w:r>
          </w:p>
        </w:tc>
        <w:tc>
          <w:tcPr>
            <w:tcW w:w="1054" w:type="dxa"/>
          </w:tcPr>
          <w:p w:rsidR="00476F09" w:rsidRPr="002046A0" w:rsidRDefault="002046A0" w:rsidP="00D1356D">
            <w:pPr>
              <w:pStyle w:val="Tabletext"/>
              <w:rPr>
                <w:b/>
                <w:highlight w:val="black"/>
              </w:rPr>
            </w:pPr>
            <w:r>
              <w:rPr>
                <w:b/>
                <w:noProof/>
                <w:color w:val="000000"/>
                <w:highlight w:val="black"/>
              </w:rPr>
              <w:t>''''''' '''' '''''''''''''''' '''''''' ''''''''''' ''''''''''''''</w:t>
            </w:r>
          </w:p>
        </w:tc>
        <w:tc>
          <w:tcPr>
            <w:tcW w:w="771" w:type="dxa"/>
          </w:tcPr>
          <w:p w:rsidR="00476F09" w:rsidRPr="002046A0" w:rsidRDefault="002046A0" w:rsidP="00D1356D">
            <w:pPr>
              <w:pStyle w:val="Tabletext"/>
              <w:rPr>
                <w:b/>
                <w:highlight w:val="black"/>
              </w:rPr>
            </w:pPr>
            <w:r>
              <w:rPr>
                <w:b/>
                <w:noProof/>
                <w:color w:val="000000"/>
                <w:highlight w:val="black"/>
              </w:rPr>
              <w:t>''''''''' '''' ''''''''''</w:t>
            </w:r>
          </w:p>
        </w:tc>
        <w:tc>
          <w:tcPr>
            <w:tcW w:w="1072" w:type="dxa"/>
          </w:tcPr>
          <w:p w:rsidR="00476F09" w:rsidRPr="002046A0" w:rsidRDefault="002046A0" w:rsidP="00D1356D">
            <w:pPr>
              <w:pStyle w:val="Tabletext"/>
              <w:rPr>
                <w:b/>
                <w:highlight w:val="black"/>
              </w:rPr>
            </w:pPr>
            <w:r>
              <w:rPr>
                <w:b/>
                <w:noProof/>
                <w:color w:val="000000"/>
                <w:highlight w:val="black"/>
              </w:rPr>
              <w:t>'''''''''''''''''''''''''''''</w:t>
            </w:r>
          </w:p>
        </w:tc>
        <w:tc>
          <w:tcPr>
            <w:tcW w:w="992" w:type="dxa"/>
          </w:tcPr>
          <w:p w:rsidR="00476F09" w:rsidRPr="002046A0" w:rsidRDefault="002046A0" w:rsidP="00D1356D">
            <w:pPr>
              <w:pStyle w:val="Tabletext"/>
              <w:rPr>
                <w:b/>
                <w:highlight w:val="black"/>
              </w:rPr>
            </w:pPr>
            <w:r>
              <w:rPr>
                <w:b/>
                <w:noProof/>
                <w:color w:val="000000"/>
                <w:highlight w:val="black"/>
              </w:rPr>
              <w:t>'''''''''''''''''''''''''</w:t>
            </w:r>
          </w:p>
        </w:tc>
        <w:tc>
          <w:tcPr>
            <w:tcW w:w="992" w:type="dxa"/>
          </w:tcPr>
          <w:p w:rsidR="00476F09" w:rsidRPr="002046A0" w:rsidRDefault="002046A0" w:rsidP="00D1356D">
            <w:pPr>
              <w:pStyle w:val="Tabletext"/>
              <w:rPr>
                <w:b/>
                <w:highlight w:val="black"/>
              </w:rPr>
            </w:pPr>
            <w:r>
              <w:rPr>
                <w:b/>
                <w:noProof/>
                <w:color w:val="000000"/>
                <w:highlight w:val="black"/>
              </w:rPr>
              <w:t>'''''''''''''''''''''''''</w:t>
            </w:r>
          </w:p>
        </w:tc>
        <w:tc>
          <w:tcPr>
            <w:tcW w:w="1276" w:type="dxa"/>
          </w:tcPr>
          <w:p w:rsidR="00476F09" w:rsidRPr="002046A0" w:rsidRDefault="002046A0" w:rsidP="00D1356D">
            <w:pPr>
              <w:pStyle w:val="Tabletext"/>
              <w:rPr>
                <w:b/>
                <w:highlight w:val="black"/>
              </w:rPr>
            </w:pPr>
            <w:r>
              <w:rPr>
                <w:b/>
                <w:noProof/>
                <w:color w:val="000000"/>
                <w:highlight w:val="black"/>
              </w:rPr>
              <w:t>''''''''''' '''''''''''''''''''''''''''''''''''''</w:t>
            </w:r>
          </w:p>
        </w:tc>
        <w:tc>
          <w:tcPr>
            <w:tcW w:w="1417" w:type="dxa"/>
          </w:tcPr>
          <w:p w:rsidR="00476F09" w:rsidRPr="002046A0" w:rsidRDefault="002046A0" w:rsidP="00D1356D">
            <w:pPr>
              <w:pStyle w:val="Tabletext"/>
              <w:rPr>
                <w:b/>
                <w:highlight w:val="black"/>
              </w:rPr>
            </w:pPr>
            <w:r>
              <w:rPr>
                <w:b/>
                <w:noProof/>
                <w:color w:val="000000"/>
                <w:highlight w:val="black"/>
              </w:rPr>
              <w:t>'''''''''''' ''''''''''' '''''''''' ''''''' ''''''''' '''''''' ''' '''''''''</w:t>
            </w:r>
          </w:p>
        </w:tc>
        <w:tc>
          <w:tcPr>
            <w:tcW w:w="1134" w:type="dxa"/>
          </w:tcPr>
          <w:p w:rsidR="00476F09" w:rsidRPr="002046A0" w:rsidRDefault="002046A0" w:rsidP="00D1356D">
            <w:pPr>
              <w:pStyle w:val="Tabletext"/>
              <w:rPr>
                <w:b/>
                <w:highlight w:val="black"/>
              </w:rPr>
            </w:pPr>
            <w:r>
              <w:rPr>
                <w:b/>
                <w:noProof/>
                <w:color w:val="000000"/>
                <w:highlight w:val="black"/>
              </w:rPr>
              <w:t>'''''''''''' ''''''''''' ''''''''''' '''''' ''''''''' '''''''''</w:t>
            </w:r>
          </w:p>
        </w:tc>
        <w:tc>
          <w:tcPr>
            <w:tcW w:w="993" w:type="dxa"/>
          </w:tcPr>
          <w:p w:rsidR="00476F09" w:rsidRPr="002046A0" w:rsidRDefault="002046A0" w:rsidP="00D1356D">
            <w:pPr>
              <w:pStyle w:val="Tabletext"/>
              <w:rPr>
                <w:b/>
                <w:highlight w:val="black"/>
              </w:rPr>
            </w:pPr>
            <w:r>
              <w:rPr>
                <w:b/>
                <w:noProof/>
                <w:color w:val="000000"/>
                <w:highlight w:val="black"/>
              </w:rPr>
              <w:t>'''''''''''' '''''''''''''''''' '''''''''''''''</w:t>
            </w:r>
          </w:p>
        </w:tc>
        <w:tc>
          <w:tcPr>
            <w:tcW w:w="2188" w:type="dxa"/>
          </w:tcPr>
          <w:p w:rsidR="00476F09" w:rsidRPr="002046A0" w:rsidRDefault="002046A0" w:rsidP="00D1356D">
            <w:pPr>
              <w:pStyle w:val="Tabletext"/>
              <w:rPr>
                <w:b/>
                <w:highlight w:val="black"/>
              </w:rPr>
            </w:pPr>
            <w:r>
              <w:rPr>
                <w:b/>
                <w:noProof/>
                <w:color w:val="000000"/>
                <w:highlight w:val="black"/>
              </w:rPr>
              <w:t>''''''''''''''''''' ''''''''''' '''''''''''''''</w:t>
            </w:r>
          </w:p>
        </w:tc>
        <w:tc>
          <w:tcPr>
            <w:tcW w:w="1214" w:type="dxa"/>
          </w:tcPr>
          <w:p w:rsidR="00814438" w:rsidRPr="002046A0" w:rsidRDefault="002046A0" w:rsidP="00D1356D">
            <w:pPr>
              <w:pStyle w:val="Tabletext"/>
              <w:rPr>
                <w:b/>
                <w:highlight w:val="black"/>
              </w:rPr>
            </w:pPr>
            <w:r>
              <w:rPr>
                <w:b/>
                <w:noProof/>
                <w:color w:val="000000"/>
                <w:highlight w:val="black"/>
              </w:rPr>
              <w:t>''''''''''''''''</w:t>
            </w:r>
          </w:p>
          <w:p w:rsidR="00476F09" w:rsidRPr="002046A0" w:rsidRDefault="002046A0" w:rsidP="00D1356D">
            <w:pPr>
              <w:pStyle w:val="Tabletext"/>
              <w:rPr>
                <w:b/>
                <w:highlight w:val="black"/>
                <w:vertAlign w:val="superscript"/>
              </w:rPr>
            </w:pPr>
            <w:r>
              <w:rPr>
                <w:b/>
                <w:noProof/>
                <w:color w:val="000000"/>
                <w:highlight w:val="black"/>
              </w:rPr>
              <w:t>''''''''''''''</w:t>
            </w:r>
          </w:p>
          <w:p w:rsidR="00476F09" w:rsidRPr="002046A0" w:rsidRDefault="002046A0" w:rsidP="00D1356D">
            <w:pPr>
              <w:pStyle w:val="Tabletext"/>
              <w:rPr>
                <w:b/>
                <w:highlight w:val="black"/>
              </w:rPr>
            </w:pPr>
            <w:r>
              <w:rPr>
                <w:b/>
                <w:noProof/>
                <w:color w:val="000000"/>
                <w:highlight w:val="black"/>
              </w:rPr>
              <w:t>''''''''''''''''''''''</w:t>
            </w:r>
          </w:p>
        </w:tc>
      </w:tr>
      <w:tr w:rsidR="00CC3BA4" w:rsidRPr="006406B0" w:rsidTr="00BE3319">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BE799B" w:rsidRPr="002046A0" w:rsidRDefault="002046A0" w:rsidP="00BE799B">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cs="Tahoma"/>
                <w:highlight w:val="black"/>
              </w:rPr>
            </w:pPr>
            <w:r>
              <w:rPr>
                <w:rFonts w:cs="Tahoma"/>
                <w:noProof/>
                <w:color w:val="000000"/>
                <w:highlight w:val="black"/>
              </w:rPr>
              <w:t>'''''''''''''''''</w:t>
            </w:r>
          </w:p>
        </w:tc>
      </w:tr>
      <w:tr w:rsidR="00CC3BA4" w:rsidRPr="006406B0" w:rsidTr="00BE3319">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88536B">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88536B">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CC3BA4" w:rsidRPr="002046A0" w:rsidRDefault="002046A0" w:rsidP="00D1356D">
            <w:pPr>
              <w:pStyle w:val="Tabletext"/>
              <w:rPr>
                <w:rFonts w:ascii="Cambria Math" w:eastAsia="Times New Roman" w:hAnsi="Cambria Math" w:cs="Cambria Math"/>
                <w:bCs/>
              </w:rPr>
            </w:pPr>
            <w:r>
              <w:rPr>
                <w:rFonts w:eastAsia="Times New Roman" w:cs="Cambria Math"/>
                <w:bCs/>
                <w:noProof/>
                <w:color w:val="000000"/>
                <w:highlight w:val="black"/>
              </w:rPr>
              <w:t>''''''''''''</w:t>
            </w:r>
            <w:r>
              <w:rPr>
                <w:rFonts w:eastAsia="Times New Roman" w:cs="Cambria Math"/>
                <w:bCs/>
                <w:noProof/>
                <w:color w:val="000000"/>
                <w:highlight w:val="black"/>
              </w:rPr>
              <w:br/>
              <w:t>''''''''''''''</w:t>
            </w:r>
          </w:p>
          <w:p w:rsidR="00CC3BA4" w:rsidRPr="002046A0" w:rsidRDefault="002046A0" w:rsidP="00D1356D">
            <w:pPr>
              <w:pStyle w:val="Tabletext"/>
              <w:rPr>
                <w:rFonts w:cs="Tahoma"/>
                <w:highlight w:val="black"/>
              </w:rPr>
            </w:pPr>
            <w:r>
              <w:rPr>
                <w:rFonts w:cs="Tahoma"/>
                <w:noProof/>
                <w:color w:val="000000"/>
                <w:highlight w:val="black"/>
              </w:rPr>
              <w:t>''''''''''''''''</w:t>
            </w:r>
          </w:p>
        </w:tc>
      </w:tr>
      <w:tr w:rsidR="00CC3BA4" w:rsidRPr="006406B0" w:rsidTr="00BE3319">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BE799B" w:rsidRPr="002046A0" w:rsidRDefault="002046A0" w:rsidP="00BE799B">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eastAsia="Times New Roman" w:cs="Cambria Math"/>
                <w:bCs/>
                <w:color w:val="00B050"/>
                <w:highlight w:val="black"/>
              </w:rPr>
            </w:pPr>
            <w:r>
              <w:rPr>
                <w:rFonts w:cs="Tahoma"/>
                <w:noProof/>
                <w:color w:val="000000"/>
                <w:highlight w:val="black"/>
              </w:rPr>
              <w:t>'''''''''''''''''''''''</w:t>
            </w:r>
          </w:p>
        </w:tc>
      </w:tr>
      <w:tr w:rsidR="00CC3BA4" w:rsidRPr="006406B0" w:rsidTr="00BE3319">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 ''''''''</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BE799B" w:rsidRPr="002046A0" w:rsidRDefault="002046A0" w:rsidP="00BE799B">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eastAsia="Times New Roman" w:cs="Cambria Math"/>
                <w:bCs/>
                <w:color w:val="00B050"/>
                <w:highlight w:val="black"/>
              </w:rPr>
            </w:pPr>
            <w:r>
              <w:rPr>
                <w:rFonts w:cs="Tahoma"/>
                <w:noProof/>
                <w:color w:val="000000"/>
                <w:highlight w:val="black"/>
              </w:rPr>
              <w:t>''''''''''''''''''''''''</w:t>
            </w:r>
          </w:p>
        </w:tc>
      </w:tr>
      <w:tr w:rsidR="00CC3BA4" w:rsidRPr="006406B0" w:rsidTr="00BE3319">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 ''''''''</w:t>
            </w:r>
            <w:r>
              <w:rPr>
                <w:rFonts w:cs="Tahoma"/>
                <w:noProof/>
                <w:color w:val="000000"/>
                <w:highlight w:val="black"/>
              </w:rPr>
              <w:br/>
              <w:t>'''''''''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E86FC8">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1417"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3" w:type="dxa"/>
          </w:tcPr>
          <w:p w:rsidR="00CC3BA4" w:rsidRPr="002046A0" w:rsidRDefault="002046A0" w:rsidP="00645E4A">
            <w:pPr>
              <w:pStyle w:val="Tabletext"/>
              <w:rPr>
                <w:rFonts w:cs="Tahoma"/>
                <w:highlight w:val="black"/>
              </w:rPr>
            </w:pPr>
            <w:r>
              <w:rPr>
                <w:rFonts w:cs="Tahoma"/>
                <w:noProof/>
                <w:color w:val="000000"/>
                <w:highlight w:val="black"/>
              </w:rPr>
              <w:t>''''''''''''' ''' '''''''''''''' ''''''''''''''''' '''''''''</w:t>
            </w:r>
          </w:p>
        </w:tc>
        <w:tc>
          <w:tcPr>
            <w:tcW w:w="2188" w:type="dxa"/>
          </w:tcPr>
          <w:p w:rsidR="00CC3BA4" w:rsidRPr="002046A0" w:rsidRDefault="002046A0" w:rsidP="00157440">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E86FC8" w:rsidRPr="002046A0" w:rsidRDefault="002046A0" w:rsidP="00E86FC8">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eastAsia="Times New Roman" w:cs="Cambria Math"/>
                <w:bCs/>
                <w:color w:val="00B050"/>
                <w:highlight w:val="black"/>
              </w:rPr>
            </w:pPr>
            <w:r>
              <w:rPr>
                <w:rFonts w:cs="Tahoma"/>
                <w:noProof/>
                <w:color w:val="000000"/>
                <w:highlight w:val="black"/>
              </w:rPr>
              <w:t>''''''''''''''''''''''</w:t>
            </w:r>
          </w:p>
        </w:tc>
      </w:tr>
      <w:tr w:rsidR="00981BDF" w:rsidRPr="006406B0" w:rsidTr="00BE3319">
        <w:trPr>
          <w:trHeight w:val="319"/>
        </w:trPr>
        <w:tc>
          <w:tcPr>
            <w:tcW w:w="1493" w:type="dxa"/>
          </w:tcPr>
          <w:p w:rsidR="00981BDF" w:rsidRPr="002046A0" w:rsidRDefault="002046A0" w:rsidP="00D1356D">
            <w:pPr>
              <w:pStyle w:val="Tabletext"/>
              <w:rPr>
                <w:rFonts w:cs="Tahoma"/>
                <w:highlight w:val="black"/>
              </w:rPr>
            </w:pPr>
            <w:r>
              <w:rPr>
                <w:rFonts w:cs="Tahoma"/>
                <w:noProof/>
                <w:color w:val="000000"/>
                <w:highlight w:val="black"/>
              </w:rPr>
              <w:t>''''''''''''''''''' ''''' '''''''''''''''' ''''''''''' ''''''''''''''''''</w:t>
            </w:r>
            <w:r>
              <w:rPr>
                <w:rFonts w:cs="Tahoma"/>
                <w:noProof/>
                <w:color w:val="000000"/>
                <w:highlight w:val="black"/>
              </w:rPr>
              <w:br/>
              <w:t xml:space="preserve">'''''''' ''''''''''''''''' </w:t>
            </w:r>
          </w:p>
        </w:tc>
        <w:tc>
          <w:tcPr>
            <w:tcW w:w="1054"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771"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1072"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992" w:type="dxa"/>
          </w:tcPr>
          <w:p w:rsidR="00981BDF" w:rsidRPr="002046A0" w:rsidRDefault="002046A0" w:rsidP="00D1356D">
            <w:pPr>
              <w:pStyle w:val="Tabletext"/>
              <w:rPr>
                <w:rFonts w:cs="Tahoma"/>
                <w:highlight w:val="black"/>
                <w:vertAlign w:val="superscript"/>
              </w:rPr>
            </w:pPr>
            <w:r>
              <w:rPr>
                <w:rFonts w:cs="Tahoma"/>
                <w:noProof/>
                <w:color w:val="000000"/>
                <w:highlight w:val="black"/>
              </w:rPr>
              <w:t>''''''''''''''''' '''</w:t>
            </w:r>
          </w:p>
        </w:tc>
        <w:tc>
          <w:tcPr>
            <w:tcW w:w="992"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1276"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1417" w:type="dxa"/>
          </w:tcPr>
          <w:p w:rsidR="00981BDF" w:rsidRPr="002046A0" w:rsidRDefault="002046A0" w:rsidP="00D1356D">
            <w:pPr>
              <w:pStyle w:val="Tabletext"/>
              <w:rPr>
                <w:rFonts w:cs="Tahoma"/>
                <w:highlight w:val="black"/>
              </w:rPr>
            </w:pPr>
            <w:r>
              <w:rPr>
                <w:rFonts w:cs="Tahoma"/>
                <w:noProof/>
                <w:color w:val="000000"/>
                <w:highlight w:val="black"/>
              </w:rPr>
              <w:t>''''''' '''''''''''''''''' '''''''''''''</w:t>
            </w:r>
          </w:p>
        </w:tc>
        <w:tc>
          <w:tcPr>
            <w:tcW w:w="1134" w:type="dxa"/>
          </w:tcPr>
          <w:p w:rsidR="00981BDF" w:rsidRPr="002046A0" w:rsidRDefault="002046A0" w:rsidP="00D1356D">
            <w:pPr>
              <w:pStyle w:val="Tabletext"/>
              <w:rPr>
                <w:rFonts w:cs="Tahoma"/>
                <w:highlight w:val="black"/>
              </w:rPr>
            </w:pPr>
            <w:r>
              <w:rPr>
                <w:noProof/>
                <w:color w:val="000000"/>
                <w:highlight w:val="black"/>
              </w:rPr>
              <w:t>'''''' ''''''''''''''''''' ''''''''''''''</w:t>
            </w:r>
          </w:p>
        </w:tc>
        <w:tc>
          <w:tcPr>
            <w:tcW w:w="993" w:type="dxa"/>
          </w:tcPr>
          <w:p w:rsidR="00981BDF" w:rsidRPr="002046A0" w:rsidRDefault="002046A0" w:rsidP="00D1356D">
            <w:pPr>
              <w:pStyle w:val="Tabletext"/>
              <w:rPr>
                <w:rFonts w:cs="Tahoma"/>
                <w:highlight w:val="black"/>
              </w:rPr>
            </w:pPr>
            <w:r>
              <w:rPr>
                <w:rFonts w:cs="Tahoma"/>
                <w:noProof/>
                <w:color w:val="000000"/>
                <w:highlight w:val="black"/>
              </w:rPr>
              <w:t>'''</w:t>
            </w:r>
          </w:p>
        </w:tc>
        <w:tc>
          <w:tcPr>
            <w:tcW w:w="2188" w:type="dxa"/>
          </w:tcPr>
          <w:p w:rsidR="00981BDF" w:rsidRPr="002046A0" w:rsidRDefault="002046A0" w:rsidP="00D1356D">
            <w:pPr>
              <w:pStyle w:val="Tabletext"/>
              <w:rPr>
                <w:rFonts w:cs="Tahoma"/>
                <w:highlight w:val="black"/>
              </w:rPr>
            </w:pPr>
            <w:r>
              <w:rPr>
                <w:rFonts w:cs="Tahoma"/>
                <w:noProof/>
                <w:color w:val="000000"/>
                <w:highlight w:val="black"/>
              </w:rPr>
              <w:t>'''''''' ''''''''''' ''''' ''''''''''''''</w:t>
            </w:r>
            <w:r>
              <w:rPr>
                <w:rFonts w:cs="Tahoma"/>
                <w:noProof/>
                <w:color w:val="000000"/>
                <w:highlight w:val="black"/>
              </w:rPr>
              <w:br/>
              <w:t>''''''''''' ''''' ''''''''''''''''' ''''' ''''''''''' ''''' '''''''''''''''''</w:t>
            </w:r>
          </w:p>
        </w:tc>
        <w:tc>
          <w:tcPr>
            <w:tcW w:w="1214" w:type="dxa"/>
          </w:tcPr>
          <w:p w:rsidR="00981BDF" w:rsidRPr="002046A0" w:rsidRDefault="002046A0" w:rsidP="00D1356D">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981BDF" w:rsidRPr="002046A0" w:rsidRDefault="002046A0" w:rsidP="00D1356D">
            <w:pPr>
              <w:pStyle w:val="Tabletext"/>
              <w:rPr>
                <w:rFonts w:eastAsia="Times New Roman" w:cs="Tahoma"/>
                <w:bCs/>
                <w:highlight w:val="black"/>
              </w:rPr>
            </w:pPr>
            <w:r>
              <w:rPr>
                <w:rFonts w:cs="Tahoma"/>
                <w:noProof/>
                <w:color w:val="000000"/>
                <w:highlight w:val="black"/>
              </w:rPr>
              <w:t>'''''''''''''''''''''</w:t>
            </w:r>
          </w:p>
        </w:tc>
      </w:tr>
      <w:tr w:rsidR="00981BDF" w:rsidRPr="00636E0F" w:rsidTr="00BE3319">
        <w:trPr>
          <w:trHeight w:val="319"/>
        </w:trPr>
        <w:tc>
          <w:tcPr>
            <w:tcW w:w="1493" w:type="dxa"/>
          </w:tcPr>
          <w:p w:rsidR="00981BDF" w:rsidRPr="002046A0" w:rsidRDefault="002046A0" w:rsidP="00D1356D">
            <w:pPr>
              <w:pStyle w:val="Tabletext"/>
              <w:rPr>
                <w:rFonts w:cs="Tahoma"/>
                <w:highlight w:val="black"/>
              </w:rPr>
            </w:pPr>
            <w:r>
              <w:rPr>
                <w:rFonts w:cs="Tahoma"/>
                <w:noProof/>
                <w:color w:val="000000"/>
                <w:highlight w:val="black"/>
              </w:rPr>
              <w:lastRenderedPageBreak/>
              <w:t xml:space="preserve">''''''''''''''''''' ''''' ''''''''''' '''''''''' ''''''''''''''''''''' '''''''' '''''''''''''''' </w:t>
            </w:r>
          </w:p>
        </w:tc>
        <w:tc>
          <w:tcPr>
            <w:tcW w:w="1054"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771"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1072"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992"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992" w:type="dxa"/>
          </w:tcPr>
          <w:p w:rsidR="00981BDF" w:rsidRPr="002046A0" w:rsidRDefault="002046A0" w:rsidP="00D1356D">
            <w:pPr>
              <w:pStyle w:val="Tabletext"/>
              <w:rPr>
                <w:rFonts w:cs="Tahoma"/>
                <w:highlight w:val="black"/>
              </w:rPr>
            </w:pPr>
            <w:r>
              <w:rPr>
                <w:rFonts w:cs="Tahoma"/>
                <w:noProof/>
                <w:color w:val="000000"/>
                <w:highlight w:val="black"/>
              </w:rPr>
              <w:t>'''''''' '''''''''''''''''''</w:t>
            </w:r>
          </w:p>
        </w:tc>
        <w:tc>
          <w:tcPr>
            <w:tcW w:w="1276" w:type="dxa"/>
          </w:tcPr>
          <w:p w:rsidR="00981BDF" w:rsidRPr="002046A0" w:rsidRDefault="002046A0" w:rsidP="00D1356D">
            <w:pPr>
              <w:pStyle w:val="Tabletext"/>
              <w:rPr>
                <w:rFonts w:cs="Tahoma"/>
                <w:highlight w:val="black"/>
              </w:rPr>
            </w:pPr>
            <w:r>
              <w:rPr>
                <w:rFonts w:cs="Tahoma"/>
                <w:noProof/>
                <w:color w:val="000000"/>
                <w:highlight w:val="black"/>
              </w:rPr>
              <w:t>'''''''''''''''' ''''''''''''''''''''''''''''</w:t>
            </w:r>
          </w:p>
          <w:p w:rsidR="00981BDF" w:rsidRPr="002046A0" w:rsidRDefault="002046A0" w:rsidP="00D1356D">
            <w:pPr>
              <w:pStyle w:val="Tabletext"/>
              <w:rPr>
                <w:rFonts w:cs="Tahoma"/>
                <w:highlight w:val="black"/>
              </w:rPr>
            </w:pPr>
            <w:r>
              <w:rPr>
                <w:rFonts w:cs="Tahoma"/>
                <w:noProof/>
                <w:color w:val="000000"/>
                <w:highlight w:val="black"/>
              </w:rPr>
              <w:t>''''''''''''</w:t>
            </w:r>
          </w:p>
        </w:tc>
        <w:tc>
          <w:tcPr>
            <w:tcW w:w="1417" w:type="dxa"/>
          </w:tcPr>
          <w:p w:rsidR="00981BDF" w:rsidRPr="002046A0" w:rsidRDefault="002046A0" w:rsidP="00D1356D">
            <w:pPr>
              <w:pStyle w:val="Tabletext"/>
              <w:rPr>
                <w:rFonts w:cs="Tahoma"/>
                <w:highlight w:val="black"/>
              </w:rPr>
            </w:pPr>
            <w:r>
              <w:rPr>
                <w:rFonts w:cs="Tahoma"/>
                <w:noProof/>
                <w:color w:val="000000"/>
                <w:highlight w:val="black"/>
              </w:rPr>
              <w:t>'''''' '''''''''''''''''''' ''''''''''''''</w:t>
            </w:r>
          </w:p>
        </w:tc>
        <w:tc>
          <w:tcPr>
            <w:tcW w:w="1134" w:type="dxa"/>
          </w:tcPr>
          <w:p w:rsidR="00981BDF" w:rsidRPr="002046A0" w:rsidRDefault="002046A0" w:rsidP="00D1356D">
            <w:pPr>
              <w:pStyle w:val="Tabletext"/>
              <w:rPr>
                <w:rFonts w:cs="Tahoma"/>
                <w:highlight w:val="black"/>
              </w:rPr>
            </w:pPr>
            <w:r>
              <w:rPr>
                <w:noProof/>
                <w:color w:val="000000"/>
                <w:highlight w:val="black"/>
              </w:rPr>
              <w:t>'''''' ''''''''''''''''''' '''''''''''''''</w:t>
            </w:r>
          </w:p>
        </w:tc>
        <w:tc>
          <w:tcPr>
            <w:tcW w:w="993" w:type="dxa"/>
          </w:tcPr>
          <w:p w:rsidR="00981BDF" w:rsidRPr="002046A0" w:rsidRDefault="002046A0" w:rsidP="00D1356D">
            <w:pPr>
              <w:pStyle w:val="Tabletext"/>
              <w:rPr>
                <w:rFonts w:cs="Tahoma"/>
                <w:highlight w:val="black"/>
              </w:rPr>
            </w:pPr>
            <w:r>
              <w:rPr>
                <w:rFonts w:cs="Tahoma"/>
                <w:noProof/>
                <w:color w:val="000000"/>
                <w:highlight w:val="black"/>
              </w:rPr>
              <w:t>'''</w:t>
            </w:r>
          </w:p>
        </w:tc>
        <w:tc>
          <w:tcPr>
            <w:tcW w:w="2188" w:type="dxa"/>
          </w:tcPr>
          <w:p w:rsidR="00981BDF" w:rsidRPr="002046A0" w:rsidRDefault="002046A0" w:rsidP="00D1356D">
            <w:pPr>
              <w:pStyle w:val="Tabletext"/>
              <w:rPr>
                <w:rFonts w:cs="Tahoma"/>
                <w:highlight w:val="black"/>
              </w:rPr>
            </w:pPr>
            <w:r>
              <w:rPr>
                <w:rFonts w:cs="Tahoma"/>
                <w:noProof/>
                <w:color w:val="000000"/>
                <w:highlight w:val="black"/>
              </w:rPr>
              <w:t>''''''''''''''''''''</w:t>
            </w:r>
            <w:r>
              <w:rPr>
                <w:rFonts w:cs="Tahoma"/>
                <w:noProof/>
                <w:color w:val="000000"/>
                <w:highlight w:val="black"/>
              </w:rPr>
              <w:br/>
              <w:t>'''''''' '''''''''''''' ''''''''''' ''''''''''''''''''''''''''''''''</w:t>
            </w:r>
          </w:p>
          <w:p w:rsidR="00981BDF" w:rsidRPr="002046A0" w:rsidRDefault="002046A0" w:rsidP="00D1356D">
            <w:pPr>
              <w:pStyle w:val="Tabletext"/>
              <w:rPr>
                <w:rFonts w:cs="Tahoma"/>
                <w:highlight w:val="black"/>
              </w:rPr>
            </w:pPr>
            <w:r>
              <w:rPr>
                <w:rFonts w:cs="Tahoma"/>
                <w:noProof/>
                <w:color w:val="000000"/>
                <w:highlight w:val="black"/>
              </w:rPr>
              <w:t>'''''''''''''</w:t>
            </w:r>
            <w:r>
              <w:rPr>
                <w:rFonts w:cs="Tahoma"/>
                <w:noProof/>
                <w:color w:val="000000"/>
                <w:highlight w:val="black"/>
              </w:rPr>
              <w:br/>
              <w:t>''''''''' ''''''''''' '''''''''''' '''''''''''''''''''''''''''''</w:t>
            </w:r>
          </w:p>
        </w:tc>
        <w:tc>
          <w:tcPr>
            <w:tcW w:w="1214" w:type="dxa"/>
          </w:tcPr>
          <w:p w:rsidR="00981BDF" w:rsidRPr="002046A0" w:rsidRDefault="002046A0" w:rsidP="00D1356D">
            <w:pPr>
              <w:pStyle w:val="Tabletext"/>
              <w:rPr>
                <w:rFonts w:ascii="Cambria Math" w:eastAsia="Times New Roman" w:hAnsi="Cambria Math" w:cs="Cambria Math"/>
                <w:bCs/>
                <w:highlight w:val="black"/>
              </w:rPr>
            </w:pPr>
            <w:r>
              <w:rPr>
                <w:rFonts w:eastAsia="Times New Roman" w:cs="Tahoma"/>
                <w:bCs/>
                <w:noProof/>
                <w:color w:val="000000"/>
                <w:highlight w:val="black"/>
              </w:rPr>
              <w:t>'''''''''</w:t>
            </w:r>
            <w:r>
              <w:rPr>
                <w:rFonts w:eastAsia="Times New Roman" w:cs="Tahoma"/>
                <w:bCs/>
                <w:noProof/>
                <w:color w:val="000000"/>
                <w:highlight w:val="black"/>
              </w:rPr>
              <w:br/>
              <w:t>'''''''''''''''''</w:t>
            </w:r>
          </w:p>
          <w:p w:rsidR="00981BDF" w:rsidRPr="002046A0" w:rsidRDefault="002046A0" w:rsidP="00D1356D">
            <w:pPr>
              <w:pStyle w:val="Tabletext"/>
              <w:rPr>
                <w:rFonts w:eastAsia="Times New Roman" w:cs="Tahoma"/>
                <w:bCs/>
                <w:highlight w:val="black"/>
              </w:rPr>
            </w:pPr>
            <w:r>
              <w:rPr>
                <w:rFonts w:cs="Tahoma"/>
                <w:noProof/>
                <w:color w:val="000000"/>
                <w:highlight w:val="black"/>
              </w:rPr>
              <w:t>'''''''''''''''''''''''</w:t>
            </w:r>
          </w:p>
        </w:tc>
      </w:tr>
      <w:tr w:rsidR="00CC3BA4" w:rsidRPr="00636E0F" w:rsidTr="00BE3319">
        <w:trPr>
          <w:trHeight w:val="319"/>
        </w:trPr>
        <w:tc>
          <w:tcPr>
            <w:tcW w:w="1493" w:type="dxa"/>
          </w:tcPr>
          <w:p w:rsidR="00CC3BA4" w:rsidRPr="002046A0" w:rsidRDefault="002046A0" w:rsidP="00D1356D">
            <w:pPr>
              <w:pStyle w:val="Tabletext"/>
              <w:rPr>
                <w:rFonts w:cs="Tahoma"/>
                <w:highlight w:val="black"/>
              </w:rPr>
            </w:pPr>
            <w:r>
              <w:rPr>
                <w:rFonts w:cs="Tahoma"/>
                <w:noProof/>
                <w:color w:val="000000"/>
                <w:highlight w:val="black"/>
              </w:rPr>
              <w:t>''''''''''''''''' ''''' ''''''''''''''''''''''''''''''''' ''''''''''''''''''''''''''''' '''''''''''' ''''''''''''''''''</w:t>
            </w:r>
            <w:r>
              <w:rPr>
                <w:rFonts w:cs="Tahoma"/>
                <w:noProof/>
                <w:color w:val="000000"/>
                <w:highlight w:val="black"/>
              </w:rPr>
              <w:br/>
              <w:t xml:space="preserve">'''''''' ''''''''''''''''' </w:t>
            </w:r>
          </w:p>
        </w:tc>
        <w:tc>
          <w:tcPr>
            <w:tcW w:w="1054"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771"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07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992" w:type="dxa"/>
          </w:tcPr>
          <w:p w:rsidR="00CC3BA4" w:rsidRPr="002046A0" w:rsidRDefault="002046A0" w:rsidP="00A76779">
            <w:pPr>
              <w:pStyle w:val="Tabletext"/>
              <w:rPr>
                <w:rFonts w:cs="Tahoma"/>
                <w:highlight w:val="black"/>
                <w:vertAlign w:val="superscript"/>
              </w:rPr>
            </w:pPr>
            <w:r>
              <w:rPr>
                <w:rFonts w:cs="Tahoma"/>
                <w:noProof/>
                <w:color w:val="000000"/>
                <w:highlight w:val="black"/>
              </w:rPr>
              <w:t>''''''''''' '''''''''''''''''''''</w:t>
            </w:r>
          </w:p>
        </w:tc>
        <w:tc>
          <w:tcPr>
            <w:tcW w:w="992"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276" w:type="dxa"/>
          </w:tcPr>
          <w:p w:rsidR="00CC3BA4" w:rsidRPr="002046A0" w:rsidRDefault="002046A0" w:rsidP="00D1356D">
            <w:pPr>
              <w:pStyle w:val="Tabletext"/>
              <w:rPr>
                <w:rFonts w:cs="Tahoma"/>
                <w:highlight w:val="black"/>
              </w:rPr>
            </w:pPr>
            <w:r>
              <w:rPr>
                <w:rFonts w:cs="Tahoma"/>
                <w:noProof/>
                <w:color w:val="000000"/>
                <w:highlight w:val="black"/>
              </w:rPr>
              <w:t>'''''''''''''''' ''''''''''''''''''''''''</w:t>
            </w:r>
          </w:p>
        </w:tc>
        <w:tc>
          <w:tcPr>
            <w:tcW w:w="1417" w:type="dxa"/>
          </w:tcPr>
          <w:p w:rsidR="00CC3BA4" w:rsidRPr="002046A0" w:rsidRDefault="002046A0" w:rsidP="00D1356D">
            <w:pPr>
              <w:pStyle w:val="Tabletext"/>
              <w:rPr>
                <w:rFonts w:eastAsia="Times New Roman"/>
                <w:highlight w:val="black"/>
              </w:rPr>
            </w:pPr>
            <w:r>
              <w:rPr>
                <w:rFonts w:eastAsia="Times New Roman"/>
                <w:noProof/>
                <w:color w:val="000000"/>
                <w:highlight w:val="black"/>
              </w:rPr>
              <w:t>''''''' ''''''''''''''''' ''''''''''''''</w:t>
            </w:r>
          </w:p>
        </w:tc>
        <w:tc>
          <w:tcPr>
            <w:tcW w:w="1134" w:type="dxa"/>
          </w:tcPr>
          <w:p w:rsidR="00CC3BA4" w:rsidRPr="002046A0" w:rsidRDefault="002046A0" w:rsidP="00D1356D">
            <w:pPr>
              <w:pStyle w:val="Tabletext"/>
              <w:rPr>
                <w:rFonts w:cs="Tahoma"/>
                <w:highlight w:val="black"/>
              </w:rPr>
            </w:pPr>
            <w:r>
              <w:rPr>
                <w:rFonts w:cs="Tahoma"/>
                <w:noProof/>
                <w:color w:val="000000"/>
                <w:highlight w:val="black"/>
              </w:rPr>
              <w:t>'''''' ''''''''''''''''' ''''''''''''''''</w:t>
            </w:r>
          </w:p>
        </w:tc>
        <w:tc>
          <w:tcPr>
            <w:tcW w:w="993" w:type="dxa"/>
          </w:tcPr>
          <w:p w:rsidR="00CC3BA4" w:rsidRPr="002046A0" w:rsidRDefault="002046A0" w:rsidP="00D1356D">
            <w:pPr>
              <w:pStyle w:val="Tabletext"/>
              <w:rPr>
                <w:rFonts w:cs="Tahoma"/>
                <w:highlight w:val="black"/>
              </w:rPr>
            </w:pPr>
            <w:r>
              <w:rPr>
                <w:rFonts w:cs="Tahoma"/>
                <w:noProof/>
                <w:color w:val="000000"/>
                <w:highlight w:val="black"/>
              </w:rPr>
              <w:t>'''</w:t>
            </w:r>
          </w:p>
        </w:tc>
        <w:tc>
          <w:tcPr>
            <w:tcW w:w="2188" w:type="dxa"/>
          </w:tcPr>
          <w:p w:rsidR="00CC3BA4" w:rsidRPr="002046A0" w:rsidRDefault="002046A0" w:rsidP="00D1356D">
            <w:pPr>
              <w:pStyle w:val="Tabletext"/>
              <w:rPr>
                <w:rFonts w:cs="Tahoma"/>
                <w:highlight w:val="black"/>
              </w:rPr>
            </w:pPr>
            <w:r>
              <w:rPr>
                <w:rFonts w:cs="Tahoma"/>
                <w:noProof/>
                <w:color w:val="000000"/>
                <w:highlight w:val="black"/>
              </w:rPr>
              <w:t>'''''''''''</w:t>
            </w:r>
            <w:r>
              <w:rPr>
                <w:rFonts w:cs="Tahoma"/>
                <w:noProof/>
                <w:color w:val="000000"/>
                <w:highlight w:val="black"/>
              </w:rPr>
              <w:br/>
              <w:t>''''''''' '''''''''''''''' ''''''''''''''''''''''''''''''''</w:t>
            </w:r>
          </w:p>
        </w:tc>
        <w:tc>
          <w:tcPr>
            <w:tcW w:w="1214" w:type="dxa"/>
          </w:tcPr>
          <w:p w:rsidR="00CC3BA4" w:rsidRPr="002046A0" w:rsidRDefault="002046A0" w:rsidP="00D1356D">
            <w:pPr>
              <w:pStyle w:val="Tabletext"/>
              <w:rPr>
                <w:rFonts w:ascii="Cambria Math" w:eastAsia="Times New Roman" w:hAnsi="Cambria Math" w:cs="Cambria Math"/>
                <w:bCs/>
              </w:rPr>
            </w:pPr>
            <w:r>
              <w:rPr>
                <w:rFonts w:eastAsia="Times New Roman" w:cs="Tahoma"/>
                <w:bCs/>
                <w:noProof/>
                <w:color w:val="000000"/>
                <w:highlight w:val="black"/>
              </w:rPr>
              <w:t>''''''''''''''''''''''</w:t>
            </w:r>
            <w:r>
              <w:rPr>
                <w:rFonts w:eastAsia="Times New Roman" w:cs="Tahoma"/>
                <w:bCs/>
                <w:noProof/>
                <w:color w:val="000000"/>
                <w:highlight w:val="black"/>
              </w:rPr>
              <w:br/>
              <w:t>'''''''''''''''</w:t>
            </w:r>
          </w:p>
          <w:p w:rsidR="00CC3BA4" w:rsidRPr="002046A0" w:rsidRDefault="002046A0" w:rsidP="00D1356D">
            <w:pPr>
              <w:pStyle w:val="Tabletext"/>
              <w:rPr>
                <w:rFonts w:eastAsia="Times New Roman" w:cs="Tahoma"/>
                <w:bCs/>
                <w:highlight w:val="black"/>
              </w:rPr>
            </w:pPr>
            <w:r>
              <w:rPr>
                <w:rFonts w:cs="Tahoma"/>
                <w:noProof/>
                <w:color w:val="000000"/>
                <w:highlight w:val="black"/>
              </w:rPr>
              <w:t>''''''''' '''''''''''''''''''''''</w:t>
            </w:r>
          </w:p>
        </w:tc>
      </w:tr>
    </w:tbl>
    <w:p w:rsidR="00CC3BA4" w:rsidRPr="002046A0" w:rsidRDefault="002046A0" w:rsidP="00D1356D">
      <w:pPr>
        <w:pStyle w:val="Tablenote"/>
        <w:rPr>
          <w:highlight w:val="black"/>
        </w:rPr>
      </w:pPr>
      <w:r>
        <w:rPr>
          <w:noProof/>
          <w:color w:val="000000"/>
          <w:highlight w:val="black"/>
          <w:vertAlign w:val="superscript"/>
        </w:rPr>
        <w:t>''' '''''''''''' ''''''''''''''''''''''''''''''''' '''''''''''' '''''' '''''''''''''''''''''''''''' ''''''''''' ''''''''' '''''''''''''' '''''''''</w:t>
      </w:r>
    </w:p>
    <w:p w:rsidR="00CC3BA4" w:rsidRPr="002046A0" w:rsidRDefault="002046A0" w:rsidP="00D1356D">
      <w:pPr>
        <w:pStyle w:val="Tablenote"/>
        <w:rPr>
          <w:highlight w:val="black"/>
        </w:rPr>
      </w:pPr>
      <w:r>
        <w:rPr>
          <w:noProof/>
          <w:color w:val="000000"/>
          <w:highlight w:val="black"/>
          <w:vertAlign w:val="superscript"/>
        </w:rPr>
        <w:t>''' ''''''''''''''''''' '''''''''''''''''' ''''''''''''''''' '''''''''''''''' ''''' '''''''''''''''''''''''''</w:t>
      </w:r>
    </w:p>
    <w:p w:rsidR="00CC3BA4" w:rsidRPr="002046A0" w:rsidRDefault="002046A0" w:rsidP="00D1356D">
      <w:pPr>
        <w:pStyle w:val="Tablenote"/>
        <w:rPr>
          <w:highlight w:val="black"/>
        </w:rPr>
      </w:pPr>
      <w:r>
        <w:rPr>
          <w:noProof/>
          <w:color w:val="000000"/>
          <w:highlight w:val="black"/>
          <w:vertAlign w:val="superscript"/>
        </w:rPr>
        <w:t>''' '''''''''''' ''''''''''' '''''''' '''''''''' ''''''''''' '''</w:t>
      </w:r>
    </w:p>
    <w:p w:rsidR="004104D8" w:rsidRPr="002046A0" w:rsidRDefault="002046A0" w:rsidP="00D1356D">
      <w:pPr>
        <w:pStyle w:val="Tablenote"/>
        <w:rPr>
          <w:highlight w:val="black"/>
        </w:rPr>
      </w:pPr>
      <w:r>
        <w:rPr>
          <w:noProof/>
          <w:color w:val="000000"/>
          <w:highlight w:val="black"/>
          <w:vertAlign w:val="superscript"/>
        </w:rPr>
        <w:t>''' ''''''''''''''''''''' ''''''''''''''''''''</w:t>
      </w:r>
    </w:p>
    <w:p w:rsidR="00A76779" w:rsidRPr="002046A0" w:rsidRDefault="002046A0" w:rsidP="00A76779">
      <w:pPr>
        <w:pStyle w:val="Tablenote"/>
        <w:rPr>
          <w:highlight w:val="black"/>
        </w:rPr>
      </w:pPr>
      <w:r>
        <w:rPr>
          <w:noProof/>
          <w:color w:val="000000"/>
          <w:highlight w:val="black"/>
          <w:vertAlign w:val="superscript"/>
        </w:rPr>
        <w:t>''' '''''''''''''''' '''''''''''''' ''''''''''''''' '''''''''''''' '''''''''' ''''''''''''' '''' '''''''''''' '''' '''''''''''''''' '''''''''''''' ''''''''''''''''''''''' '''''''''''''' '''''''''''''</w:t>
      </w:r>
    </w:p>
    <w:p w:rsidR="00A76779" w:rsidRPr="002046A0" w:rsidRDefault="002046A0" w:rsidP="00A76779">
      <w:pPr>
        <w:pStyle w:val="Tablenote"/>
        <w:rPr>
          <w:highlight w:val="black"/>
        </w:rPr>
      </w:pPr>
      <w:r>
        <w:rPr>
          <w:noProof/>
          <w:color w:val="000000"/>
          <w:highlight w:val="black"/>
          <w:vertAlign w:val="superscript"/>
        </w:rPr>
        <w:t>'' '''''''''' '''''''''' ''''''''''''''' ''''''''''''' '''''''''''' ''' ''''' ''''''''''' '''' '''''''''''''''' '''''''''''''' '''''''''''''''''''''' '''''''''''''''' ''''''''''''</w:t>
      </w:r>
    </w:p>
    <w:p w:rsidR="00CC3BA4" w:rsidRPr="002046A0" w:rsidRDefault="002046A0" w:rsidP="00D1356D">
      <w:pPr>
        <w:pStyle w:val="Tablenote"/>
      </w:pPr>
      <w:r>
        <w:rPr>
          <w:rFonts w:ascii="Cambria Math" w:hAnsi="Cambria Math" w:cs="Cambria Math"/>
          <w:noProof/>
          <w:color w:val="000000"/>
          <w:highlight w:val="black"/>
        </w:rPr>
        <w:t>''''''''''''''''</w:t>
      </w:r>
      <w:r>
        <w:rPr>
          <w:noProof/>
          <w:color w:val="000000"/>
          <w:highlight w:val="black"/>
        </w:rPr>
        <w:t xml:space="preserve"> </w:t>
      </w:r>
      <w:r>
        <w:rPr>
          <w:b/>
          <w:noProof/>
          <w:color w:val="000000"/>
          <w:highlight w:val="black"/>
        </w:rPr>
        <w:t>''''''''' ''''''''''''''</w:t>
      </w:r>
      <w:r>
        <w:rPr>
          <w:noProof/>
          <w:color w:val="000000"/>
          <w:highlight w:val="black"/>
        </w:rPr>
        <w:t xml:space="preserve"> ''''''''' ''''''''' '''''''''' '''''''''''''''''''''' '''''''''' '''''''' ''''''''' ''''''''''''' ''''''''' '''''''''''' ''''' '''''''''' ''''' ''''''' ''''''''''''''''''''' ''''' ''''''''''''</w:t>
      </w:r>
    </w:p>
    <w:p w:rsidR="00CC3BA4" w:rsidRPr="002046A0" w:rsidRDefault="002046A0" w:rsidP="00D1356D">
      <w:pPr>
        <w:pStyle w:val="Tablenote"/>
      </w:pPr>
      <w:r>
        <w:rPr>
          <w:rFonts w:ascii="Cambria Math" w:hAnsi="Cambria Math" w:cs="Cambria Math"/>
          <w:noProof/>
          <w:color w:val="000000"/>
          <w:highlight w:val="black"/>
        </w:rPr>
        <w:t>'''''''''''''''</w:t>
      </w:r>
      <w:r>
        <w:rPr>
          <w:rFonts w:cs="Cambria Math"/>
          <w:noProof/>
          <w:color w:val="000000"/>
          <w:highlight w:val="black"/>
        </w:rPr>
        <w:t xml:space="preserve"> </w:t>
      </w:r>
      <w:r>
        <w:rPr>
          <w:b/>
          <w:noProof/>
          <w:color w:val="000000"/>
          <w:highlight w:val="black"/>
        </w:rPr>
        <w:t>'''''''''''''''''''' ''''''''''''''''</w:t>
      </w:r>
      <w:r>
        <w:rPr>
          <w:noProof/>
          <w:color w:val="000000"/>
          <w:highlight w:val="black"/>
        </w:rPr>
        <w:t xml:space="preserve"> ''''''' '''''''' ''''''''''''''''''''''''''' ''''''''''''''''''''''' '''' ''''''''' ''''''''''''''' ''''''''''''''''''''' ''''''''''' ''''''''' ''''''''''''''' '''' ''''''''''' ''''' '''''' ''''''''''''' '''' ''''''' '''''''''''''''''' '''' ''''''' ''''''''''''' '''''''' '''''''''''' '''' ''' ''''''''''''''''''''''' ''''''''' ''' '''' ''''''''''''''''''''''''''''''' '''''''''''''''''''</w:t>
      </w:r>
    </w:p>
    <w:p w:rsidR="00814438" w:rsidRPr="002046A0" w:rsidRDefault="002046A0" w:rsidP="00D1356D">
      <w:pPr>
        <w:pStyle w:val="Tablenote"/>
        <w:rPr>
          <w:highlight w:val="black"/>
        </w:rPr>
      </w:pPr>
      <w:r>
        <w:rPr>
          <w:noProof/>
          <w:color w:val="000000"/>
          <w:highlight w:val="black"/>
        </w:rPr>
        <w:t>''''''''''''''''' ''' ''''''''''''''''''''' '''''''''''' ''''''''''''''''''''''' '''''''''''' ''' '''''''''''''''''' ''''''''' '''''''''''''''''''''''' '''''' ''' '''''''''''''''''''''''' '''''''''''''''''''' '''''''''''''''' ''' '''''''''''''''''''' ''' ''''''''''''''''''''''''' '''''''''' '''' ''''''''''''''''''''''' ''''''''''''''''''''' '''''''''''''''''''''''''''' '''''''' '''' '''''''''''''''''''''' '''''''''''''' '''''''''''''''''''' ''' ''''''''''''''''' ''''' ''''''''''''''''''''''''''''''''''''''' '''''''''''''''''''''''''''' '''''''''''''''''''''''''''' '''''''''' '''''''''''''''''''''''''''' ''''''''''' ''' '''''''''''' ''''''''' '''''''''''''''''''''''' '''''''''''''''''''''''''''''''''' ''''''''' ''' '''''''''''''' ''''''''''''''''''''''' ''''''''''' ''' '''''''''''''''''''''''' ''''''''''''''' ''''''''''''''''''''''''''''''' ''''''''''' '''' ''''''''''''''''''''''''''' '''''''''''''''''''' ''''''''''''''''''''''''' ''''''''''' '''' '''''''''''''' '''''' ''''''''' '''''''''' '''' ''''''''''''''''''''''''' ''''''''''''''''''''''' ''''''''''' ''''''''' '''' ''''''''''''''''' ''''''''' '''''''''' ''' '''''''''''''''' ''''''''''''''''''''' ''''''''''''''''' '''''''''''''''''''''''' ''''''''''''' '''' ''''''''''''' '''''''''''''''' ''''''''''''''''''''''''''''</w:t>
      </w:r>
    </w:p>
    <w:p w:rsidR="00CC3BA4" w:rsidRPr="006632FB" w:rsidRDefault="00CC3BA4" w:rsidP="00BF48DF">
      <w:pPr>
        <w:pStyle w:val="Heading4"/>
      </w:pPr>
      <w:proofErr w:type="gramStart"/>
      <w:r>
        <w:lastRenderedPageBreak/>
        <w:t>sGC</w:t>
      </w:r>
      <w:proofErr w:type="gramEnd"/>
      <w:r>
        <w:t xml:space="preserve"> stimulator</w:t>
      </w:r>
      <w:r w:rsidRPr="006632FB">
        <w:t xml:space="preserve"> in addition to PDE-5</w:t>
      </w:r>
      <w:r>
        <w:t xml:space="preserve"> </w:t>
      </w:r>
      <w:r w:rsidRPr="006632FB">
        <w:t>i</w:t>
      </w:r>
      <w:r>
        <w:t>nhibitor</w:t>
      </w:r>
    </w:p>
    <w:p w:rsidR="00CC3BA4" w:rsidRPr="005D4CA0" w:rsidRDefault="00796F18" w:rsidP="00BC5A2B">
      <w:pPr>
        <w:pStyle w:val="Caption"/>
      </w:pPr>
      <w:bookmarkStart w:id="541" w:name="_Ref506477740"/>
      <w:bookmarkStart w:id="542" w:name="_Toc38360464"/>
      <w:r>
        <w:t>Table 4.</w:t>
      </w:r>
      <w:r w:rsidR="003951FA">
        <w:rPr>
          <w:noProof/>
        </w:rPr>
        <w:t>167</w:t>
      </w:r>
      <w:bookmarkEnd w:id="541"/>
      <w:r>
        <w:tab/>
      </w:r>
      <w:r w:rsidR="00CC3BA4" w:rsidRPr="005D4CA0">
        <w:t xml:space="preserve">Evidence profile table for </w:t>
      </w:r>
      <w:r w:rsidR="00CC3BA4">
        <w:t xml:space="preserve">effectiveness of </w:t>
      </w:r>
      <w:r w:rsidR="00CC3BA4" w:rsidRPr="00471ED8">
        <w:t xml:space="preserve">sGC stimulator </w:t>
      </w:r>
      <w:r w:rsidR="00CC3BA4">
        <w:t xml:space="preserve">+ PDE-5 inhibitor combination therapy </w:t>
      </w:r>
      <w:r w:rsidR="00CC3BA4" w:rsidRPr="005D4CA0">
        <w:t xml:space="preserve">compared to </w:t>
      </w:r>
      <w:r w:rsidR="00CC3BA4">
        <w:t>PDE-5 inhibitor</w:t>
      </w:r>
      <w:r w:rsidR="00CC3BA4" w:rsidRPr="005D4CA0">
        <w:t xml:space="preserve"> </w:t>
      </w:r>
      <w:r w:rsidR="00CC3BA4">
        <w:t xml:space="preserve">monotherapy </w:t>
      </w:r>
      <w:r w:rsidR="00CC3BA4" w:rsidRPr="005D4CA0">
        <w:t xml:space="preserve">for </w:t>
      </w:r>
      <w:r w:rsidR="00CC3BA4">
        <w:t>all PAH patients</w:t>
      </w:r>
      <w:bookmarkEnd w:id="542"/>
    </w:p>
    <w:tbl>
      <w:tblPr>
        <w:tblStyle w:val="TableGrid"/>
        <w:tblW w:w="14738" w:type="dxa"/>
        <w:tblLayout w:type="fixed"/>
        <w:tblLook w:val="04A0" w:firstRow="1" w:lastRow="0" w:firstColumn="1" w:lastColumn="0" w:noHBand="0" w:noVBand="1"/>
        <w:tblCaption w:val="Evidence profile table for effectiveness of sGC stimulator + PDE-5 inhibitor combination therapy compared to PDE-5 inhibitor monotherapy for all PAH patients"/>
      </w:tblPr>
      <w:tblGrid>
        <w:gridCol w:w="1493"/>
        <w:gridCol w:w="1054"/>
        <w:gridCol w:w="771"/>
        <w:gridCol w:w="1072"/>
        <w:gridCol w:w="992"/>
        <w:gridCol w:w="1134"/>
        <w:gridCol w:w="1276"/>
        <w:gridCol w:w="1417"/>
        <w:gridCol w:w="1134"/>
        <w:gridCol w:w="993"/>
        <w:gridCol w:w="2188"/>
        <w:gridCol w:w="1214"/>
      </w:tblGrid>
      <w:tr w:rsidR="00D1356D" w:rsidRPr="00D1356D" w:rsidTr="00BE3319">
        <w:trPr>
          <w:cnfStyle w:val="100000000000" w:firstRow="1" w:lastRow="0" w:firstColumn="0" w:lastColumn="0" w:oddVBand="0" w:evenVBand="0" w:oddHBand="0" w:evenHBand="0" w:firstRowFirstColumn="0" w:firstRowLastColumn="0" w:lastRowFirstColumn="0" w:lastRowLastColumn="0"/>
          <w:trHeight w:val="657"/>
        </w:trPr>
        <w:tc>
          <w:tcPr>
            <w:tcW w:w="1493" w:type="dxa"/>
          </w:tcPr>
          <w:p w:rsidR="00476F09" w:rsidRPr="00D1356D" w:rsidRDefault="00476F09" w:rsidP="00D1356D">
            <w:pPr>
              <w:pStyle w:val="Tabletext"/>
              <w:rPr>
                <w:b/>
              </w:rPr>
            </w:pPr>
            <w:r w:rsidRPr="00D1356D">
              <w:rPr>
                <w:b/>
              </w:rPr>
              <w:t>Outcome (follow-up)</w:t>
            </w:r>
          </w:p>
        </w:tc>
        <w:tc>
          <w:tcPr>
            <w:tcW w:w="1054" w:type="dxa"/>
          </w:tcPr>
          <w:p w:rsidR="00476F09" w:rsidRPr="00D1356D" w:rsidRDefault="00476F09" w:rsidP="00D1356D">
            <w:pPr>
              <w:pStyle w:val="Tabletext"/>
              <w:rPr>
                <w:b/>
              </w:rPr>
            </w:pPr>
            <w:r w:rsidRPr="00D1356D">
              <w:rPr>
                <w:b/>
              </w:rPr>
              <w:t>No. of studies and study design</w:t>
            </w:r>
          </w:p>
        </w:tc>
        <w:tc>
          <w:tcPr>
            <w:tcW w:w="771" w:type="dxa"/>
          </w:tcPr>
          <w:p w:rsidR="00476F09" w:rsidRPr="00D1356D" w:rsidRDefault="00476F09" w:rsidP="00D1356D">
            <w:pPr>
              <w:pStyle w:val="Tabletext"/>
              <w:rPr>
                <w:b/>
              </w:rPr>
            </w:pPr>
            <w:r w:rsidRPr="00D1356D">
              <w:rPr>
                <w:b/>
              </w:rPr>
              <w:t>Risk of bias</w:t>
            </w:r>
          </w:p>
        </w:tc>
        <w:tc>
          <w:tcPr>
            <w:tcW w:w="1072" w:type="dxa"/>
          </w:tcPr>
          <w:p w:rsidR="00476F09" w:rsidRPr="00D1356D" w:rsidRDefault="00476F09" w:rsidP="00D1356D">
            <w:pPr>
              <w:pStyle w:val="Tabletext"/>
              <w:rPr>
                <w:b/>
              </w:rPr>
            </w:pPr>
            <w:r w:rsidRPr="00D1356D">
              <w:rPr>
                <w:b/>
              </w:rPr>
              <w:t>Inconsis</w:t>
            </w:r>
            <w:r w:rsidR="00BE3319">
              <w:rPr>
                <w:b/>
              </w:rPr>
              <w:t>-</w:t>
            </w:r>
            <w:r w:rsidRPr="00D1356D">
              <w:rPr>
                <w:b/>
              </w:rPr>
              <w:t>tency</w:t>
            </w:r>
          </w:p>
        </w:tc>
        <w:tc>
          <w:tcPr>
            <w:tcW w:w="992" w:type="dxa"/>
          </w:tcPr>
          <w:p w:rsidR="00476F09" w:rsidRPr="00D1356D" w:rsidRDefault="00476F09" w:rsidP="00D1356D">
            <w:pPr>
              <w:pStyle w:val="Tabletext"/>
              <w:rPr>
                <w:b/>
              </w:rPr>
            </w:pPr>
            <w:r w:rsidRPr="00D1356D">
              <w:rPr>
                <w:b/>
              </w:rPr>
              <w:t>Indirect</w:t>
            </w:r>
            <w:r w:rsidR="00BE3319">
              <w:rPr>
                <w:b/>
              </w:rPr>
              <w:t>-</w:t>
            </w:r>
            <w:r w:rsidRPr="00D1356D">
              <w:rPr>
                <w:b/>
              </w:rPr>
              <w:t>ness</w:t>
            </w:r>
          </w:p>
        </w:tc>
        <w:tc>
          <w:tcPr>
            <w:tcW w:w="1134" w:type="dxa"/>
          </w:tcPr>
          <w:p w:rsidR="00476F09" w:rsidRPr="00D1356D" w:rsidRDefault="00476F09" w:rsidP="00D1356D">
            <w:pPr>
              <w:pStyle w:val="Tabletext"/>
              <w:rPr>
                <w:b/>
              </w:rPr>
            </w:pPr>
            <w:r w:rsidRPr="00D1356D">
              <w:rPr>
                <w:b/>
              </w:rPr>
              <w:t>Impre</w:t>
            </w:r>
            <w:r w:rsidR="00BE3319">
              <w:rPr>
                <w:b/>
              </w:rPr>
              <w:t>-</w:t>
            </w:r>
            <w:r w:rsidRPr="00D1356D">
              <w:rPr>
                <w:b/>
              </w:rPr>
              <w:t>cision</w:t>
            </w:r>
          </w:p>
        </w:tc>
        <w:tc>
          <w:tcPr>
            <w:tcW w:w="1276" w:type="dxa"/>
          </w:tcPr>
          <w:p w:rsidR="00476F09" w:rsidRPr="00D1356D" w:rsidRDefault="00476F09" w:rsidP="00D1356D">
            <w:pPr>
              <w:pStyle w:val="Tabletext"/>
              <w:rPr>
                <w:b/>
              </w:rPr>
            </w:pPr>
            <w:r w:rsidRPr="00D1356D">
              <w:rPr>
                <w:b/>
              </w:rPr>
              <w:t>Other conside</w:t>
            </w:r>
            <w:r w:rsidR="00BE3319">
              <w:rPr>
                <w:b/>
              </w:rPr>
              <w:t>-</w:t>
            </w:r>
            <w:r w:rsidRPr="00D1356D">
              <w:rPr>
                <w:b/>
              </w:rPr>
              <w:t>rations</w:t>
            </w:r>
            <w:r w:rsidRPr="00D1356D">
              <w:rPr>
                <w:b/>
                <w:vertAlign w:val="superscript"/>
              </w:rPr>
              <w:t>a</w:t>
            </w:r>
          </w:p>
        </w:tc>
        <w:tc>
          <w:tcPr>
            <w:tcW w:w="1417" w:type="dxa"/>
          </w:tcPr>
          <w:p w:rsidR="00476F09" w:rsidRPr="00D1356D" w:rsidRDefault="00476F09" w:rsidP="00D1356D">
            <w:pPr>
              <w:pStyle w:val="Tabletext"/>
              <w:rPr>
                <w:b/>
              </w:rPr>
            </w:pPr>
            <w:r w:rsidRPr="00D1356D">
              <w:rPr>
                <w:b/>
              </w:rPr>
              <w:t>Study event rates (%) with sGC + PDE-5i</w:t>
            </w:r>
          </w:p>
        </w:tc>
        <w:tc>
          <w:tcPr>
            <w:tcW w:w="1134" w:type="dxa"/>
          </w:tcPr>
          <w:p w:rsidR="00476F09" w:rsidRPr="00D1356D" w:rsidRDefault="00476F09" w:rsidP="00D1356D">
            <w:pPr>
              <w:pStyle w:val="Tabletext"/>
              <w:rPr>
                <w:b/>
              </w:rPr>
            </w:pPr>
            <w:r w:rsidRPr="00D1356D">
              <w:rPr>
                <w:b/>
              </w:rPr>
              <w:t>Study event rates (%) with PDE-5i</w:t>
            </w:r>
          </w:p>
        </w:tc>
        <w:tc>
          <w:tcPr>
            <w:tcW w:w="993" w:type="dxa"/>
          </w:tcPr>
          <w:p w:rsidR="00476F09" w:rsidRPr="00D1356D" w:rsidRDefault="00476F09" w:rsidP="00D1356D">
            <w:pPr>
              <w:pStyle w:val="Tabletext"/>
              <w:rPr>
                <w:b/>
              </w:rPr>
            </w:pPr>
            <w:r w:rsidRPr="00D1356D">
              <w:rPr>
                <w:b/>
              </w:rPr>
              <w:t>Effect measure (95%CI)</w:t>
            </w:r>
          </w:p>
        </w:tc>
        <w:tc>
          <w:tcPr>
            <w:tcW w:w="2188" w:type="dxa"/>
          </w:tcPr>
          <w:p w:rsidR="00476F09" w:rsidRPr="00D1356D" w:rsidRDefault="00476F09" w:rsidP="00D1356D">
            <w:pPr>
              <w:pStyle w:val="Tabletext"/>
              <w:rPr>
                <w:b/>
              </w:rPr>
            </w:pPr>
            <w:r w:rsidRPr="00D1356D">
              <w:rPr>
                <w:b/>
              </w:rPr>
              <w:t>Absolute effect (95%CI)</w:t>
            </w:r>
          </w:p>
        </w:tc>
        <w:tc>
          <w:tcPr>
            <w:tcW w:w="1214" w:type="dxa"/>
          </w:tcPr>
          <w:p w:rsidR="00814438" w:rsidRDefault="00814438" w:rsidP="00D1356D">
            <w:pPr>
              <w:pStyle w:val="Tabletext"/>
              <w:rPr>
                <w:b/>
              </w:rPr>
            </w:pPr>
            <w:r>
              <w:rPr>
                <w:b/>
              </w:rPr>
              <w:t>GRADE</w:t>
            </w:r>
            <w:r w:rsidRPr="00814438">
              <w:rPr>
                <w:b/>
                <w:vertAlign w:val="superscript"/>
              </w:rPr>
              <w:t>b</w:t>
            </w:r>
          </w:p>
          <w:p w:rsidR="00476F09" w:rsidRPr="00D1356D" w:rsidRDefault="00476F09" w:rsidP="00D1356D">
            <w:pPr>
              <w:pStyle w:val="Tabletext"/>
              <w:rPr>
                <w:b/>
                <w:vertAlign w:val="superscript"/>
              </w:rPr>
            </w:pPr>
            <w:r w:rsidRPr="00D1356D">
              <w:rPr>
                <w:b/>
              </w:rPr>
              <w:t>Quality</w:t>
            </w:r>
          </w:p>
          <w:p w:rsidR="00476F09" w:rsidRPr="00D1356D" w:rsidRDefault="00476F09" w:rsidP="00D1356D">
            <w:pPr>
              <w:pStyle w:val="Tabletext"/>
              <w:rPr>
                <w:b/>
              </w:rPr>
            </w:pPr>
            <w:r w:rsidRPr="00D1356D">
              <w:rPr>
                <w:b/>
              </w:rPr>
              <w:t>Importance</w:t>
            </w:r>
          </w:p>
        </w:tc>
      </w:tr>
      <w:tr w:rsidR="00CC3BA4" w:rsidRPr="00D36FBC" w:rsidTr="00BE3319">
        <w:trPr>
          <w:trHeight w:val="319"/>
        </w:trPr>
        <w:tc>
          <w:tcPr>
            <w:tcW w:w="1493" w:type="dxa"/>
          </w:tcPr>
          <w:p w:rsidR="00CC3BA4" w:rsidRPr="00D36FBC" w:rsidRDefault="00CC3BA4" w:rsidP="00D1356D">
            <w:pPr>
              <w:pStyle w:val="Tabletext"/>
              <w:rPr>
                <w:rFonts w:cs="Tahoma"/>
              </w:rPr>
            </w:pPr>
            <w:r w:rsidRPr="00D36FBC">
              <w:rPr>
                <w:rFonts w:cs="Tahoma"/>
              </w:rPr>
              <w:t>Mortality</w:t>
            </w:r>
            <w:r>
              <w:rPr>
                <w:rFonts w:cs="Tahoma"/>
              </w:rPr>
              <w:br/>
            </w:r>
            <w:r w:rsidRPr="00D36FBC">
              <w:rPr>
                <w:rFonts w:cs="Tahoma"/>
              </w:rPr>
              <w:t>(12 weeks)</w:t>
            </w:r>
          </w:p>
        </w:tc>
        <w:tc>
          <w:tcPr>
            <w:tcW w:w="1054" w:type="dxa"/>
          </w:tcPr>
          <w:p w:rsidR="00CC3BA4" w:rsidRPr="00D36FBC" w:rsidRDefault="00CC3BA4" w:rsidP="00D1356D">
            <w:pPr>
              <w:pStyle w:val="Tabletext"/>
              <w:rPr>
                <w:rFonts w:cs="Tahoma"/>
              </w:rPr>
            </w:pPr>
            <w:r w:rsidRPr="00D36FBC">
              <w:rPr>
                <w:rFonts w:cs="Tahoma"/>
              </w:rPr>
              <w:t>1 RCT</w:t>
            </w:r>
          </w:p>
        </w:tc>
        <w:tc>
          <w:tcPr>
            <w:tcW w:w="771" w:type="dxa"/>
          </w:tcPr>
          <w:p w:rsidR="00CC3BA4" w:rsidRPr="00D36FBC" w:rsidRDefault="00CC3BA4" w:rsidP="00D1356D">
            <w:pPr>
              <w:pStyle w:val="Tabletext"/>
              <w:rPr>
                <w:rFonts w:cs="Tahoma"/>
              </w:rPr>
            </w:pPr>
            <w:r w:rsidRPr="00D36FBC">
              <w:rPr>
                <w:rFonts w:cs="Tahoma"/>
              </w:rPr>
              <w:t>Not serious</w:t>
            </w:r>
          </w:p>
        </w:tc>
        <w:tc>
          <w:tcPr>
            <w:tcW w:w="1072" w:type="dxa"/>
          </w:tcPr>
          <w:p w:rsidR="00CC3BA4" w:rsidRPr="00D36FBC" w:rsidRDefault="00CC3BA4" w:rsidP="00D1356D">
            <w:pPr>
              <w:pStyle w:val="Tabletext"/>
              <w:rPr>
                <w:rFonts w:cs="Tahoma"/>
              </w:rPr>
            </w:pPr>
            <w:r w:rsidRPr="00D36FBC">
              <w:rPr>
                <w:rFonts w:cs="Tahoma"/>
              </w:rPr>
              <w:t>Not serious</w:t>
            </w:r>
          </w:p>
        </w:tc>
        <w:tc>
          <w:tcPr>
            <w:tcW w:w="992" w:type="dxa"/>
          </w:tcPr>
          <w:p w:rsidR="00CC3BA4" w:rsidRPr="00D36FBC" w:rsidRDefault="00CC3BA4" w:rsidP="00D1356D">
            <w:pPr>
              <w:pStyle w:val="Tabletext"/>
              <w:rPr>
                <w:rFonts w:cs="Tahoma"/>
              </w:rPr>
            </w:pPr>
            <w:r w:rsidRPr="00D36FBC">
              <w:rPr>
                <w:rFonts w:cs="Tahoma"/>
              </w:rPr>
              <w:t>Not serious</w:t>
            </w:r>
          </w:p>
        </w:tc>
        <w:tc>
          <w:tcPr>
            <w:tcW w:w="1134" w:type="dxa"/>
          </w:tcPr>
          <w:p w:rsidR="00CC3BA4" w:rsidRPr="00A867D8" w:rsidRDefault="00E86FC8" w:rsidP="00A867D8">
            <w:pPr>
              <w:pStyle w:val="Tabletext"/>
              <w:rPr>
                <w:rFonts w:cs="Tahoma"/>
                <w:vertAlign w:val="superscript"/>
              </w:rPr>
            </w:pPr>
            <w:r>
              <w:rPr>
                <w:rFonts w:cs="Tahoma"/>
              </w:rPr>
              <w:t>Very s</w:t>
            </w:r>
            <w:r w:rsidR="00CC3BA4">
              <w:rPr>
                <w:rFonts w:cs="Tahoma"/>
              </w:rPr>
              <w:t>erious</w:t>
            </w:r>
            <w:r w:rsidR="00A867D8">
              <w:rPr>
                <w:rFonts w:cs="Tahoma"/>
              </w:rPr>
              <w:t xml:space="preserve"> </w:t>
            </w:r>
            <w:r w:rsidR="00A867D8">
              <w:rPr>
                <w:rFonts w:cs="Tahoma"/>
                <w:vertAlign w:val="superscript"/>
              </w:rPr>
              <w:t>c</w:t>
            </w:r>
          </w:p>
        </w:tc>
        <w:tc>
          <w:tcPr>
            <w:tcW w:w="1276" w:type="dxa"/>
          </w:tcPr>
          <w:p w:rsidR="00CC3BA4" w:rsidRPr="00D36FBC" w:rsidRDefault="00CC3BA4" w:rsidP="00D1356D">
            <w:pPr>
              <w:pStyle w:val="Tabletext"/>
              <w:rPr>
                <w:rFonts w:cs="Tahoma"/>
              </w:rPr>
            </w:pPr>
            <w:r w:rsidRPr="00D36FBC">
              <w:rPr>
                <w:rFonts w:cs="Tahoma"/>
              </w:rPr>
              <w:t>None</w:t>
            </w:r>
          </w:p>
        </w:tc>
        <w:tc>
          <w:tcPr>
            <w:tcW w:w="1417" w:type="dxa"/>
          </w:tcPr>
          <w:p w:rsidR="00CC3BA4" w:rsidRPr="00485061" w:rsidRDefault="00CC3BA4" w:rsidP="00D1356D">
            <w:pPr>
              <w:pStyle w:val="Tabletext"/>
              <w:rPr>
                <w:rFonts w:cs="Tahoma"/>
              </w:rPr>
            </w:pPr>
            <w:r>
              <w:rPr>
                <w:rFonts w:cs="Tahoma"/>
              </w:rPr>
              <w:t>0/12 (0.0%)</w:t>
            </w:r>
          </w:p>
        </w:tc>
        <w:tc>
          <w:tcPr>
            <w:tcW w:w="1134" w:type="dxa"/>
          </w:tcPr>
          <w:p w:rsidR="00CC3BA4" w:rsidRPr="001D2AD7" w:rsidRDefault="00CC3BA4" w:rsidP="00D1356D">
            <w:pPr>
              <w:pStyle w:val="Tabletext"/>
              <w:rPr>
                <w:rFonts w:cs="Tahoma"/>
                <w:highlight w:val="cyan"/>
              </w:rPr>
            </w:pPr>
            <w:r w:rsidRPr="00B72870">
              <w:rPr>
                <w:rFonts w:cs="Tahoma"/>
              </w:rPr>
              <w:t>0/6 (0.0%)</w:t>
            </w:r>
          </w:p>
        </w:tc>
        <w:tc>
          <w:tcPr>
            <w:tcW w:w="993" w:type="dxa"/>
          </w:tcPr>
          <w:p w:rsidR="00CC3BA4" w:rsidRPr="001D2AD7" w:rsidRDefault="00CC3BA4" w:rsidP="00D1356D">
            <w:pPr>
              <w:pStyle w:val="Tabletext"/>
              <w:rPr>
                <w:rFonts w:cs="Tahoma"/>
                <w:highlight w:val="cyan"/>
              </w:rPr>
            </w:pPr>
            <w:r w:rsidRPr="00B72870">
              <w:rPr>
                <w:rFonts w:cs="Tahoma"/>
              </w:rPr>
              <w:t>Not estimable</w:t>
            </w:r>
          </w:p>
        </w:tc>
        <w:tc>
          <w:tcPr>
            <w:tcW w:w="2188" w:type="dxa"/>
          </w:tcPr>
          <w:p w:rsidR="00CC3BA4" w:rsidRPr="00D36FBC" w:rsidRDefault="00CC3BA4" w:rsidP="00D1356D">
            <w:pPr>
              <w:pStyle w:val="Tabletext"/>
              <w:rPr>
                <w:rFonts w:cs="Tahoma"/>
                <w:highlight w:val="cyan"/>
              </w:rPr>
            </w:pPr>
            <w:r w:rsidRPr="00B72870">
              <w:rPr>
                <w:rFonts w:cs="Tahoma"/>
              </w:rPr>
              <w:t>No</w:t>
            </w:r>
            <w:r>
              <w:rPr>
                <w:rFonts w:cs="Tahoma"/>
              </w:rPr>
              <w:t>t</w:t>
            </w:r>
            <w:r w:rsidRPr="00B72870">
              <w:rPr>
                <w:rFonts w:cs="Tahoma"/>
              </w:rPr>
              <w:t xml:space="preserve"> estimable</w:t>
            </w:r>
          </w:p>
        </w:tc>
        <w:tc>
          <w:tcPr>
            <w:tcW w:w="1214" w:type="dxa"/>
          </w:tcPr>
          <w:p w:rsidR="00A867D8" w:rsidRDefault="00A867D8" w:rsidP="00A867D8">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D36FBC" w:rsidRDefault="00CC3BA4" w:rsidP="00D1356D">
            <w:pPr>
              <w:pStyle w:val="Tabletext"/>
              <w:rPr>
                <w:rFonts w:cs="Tahoma"/>
              </w:rPr>
            </w:pPr>
            <w:r w:rsidRPr="00E564DD">
              <w:rPr>
                <w:rFonts w:cs="Tahoma"/>
              </w:rPr>
              <w:t>Critical</w:t>
            </w:r>
          </w:p>
        </w:tc>
      </w:tr>
      <w:tr w:rsidR="00A867D8" w:rsidRPr="00D36FBC" w:rsidTr="00BE3319">
        <w:trPr>
          <w:trHeight w:val="319"/>
        </w:trPr>
        <w:tc>
          <w:tcPr>
            <w:tcW w:w="1493" w:type="dxa"/>
          </w:tcPr>
          <w:p w:rsidR="00A867D8" w:rsidRPr="00D36FBC" w:rsidRDefault="00A867D8" w:rsidP="00A867D8">
            <w:pPr>
              <w:pStyle w:val="Tabletext"/>
              <w:rPr>
                <w:rFonts w:cs="Tahoma"/>
              </w:rPr>
            </w:pPr>
            <w:r w:rsidRPr="00D36FBC">
              <w:rPr>
                <w:rFonts w:cs="Tahoma"/>
              </w:rPr>
              <w:t>Improved WHO FC</w:t>
            </w:r>
            <w:r>
              <w:rPr>
                <w:rFonts w:cs="Tahoma"/>
              </w:rPr>
              <w:br/>
            </w:r>
            <w:r w:rsidRPr="00D36FBC">
              <w:rPr>
                <w:rFonts w:cs="Tahoma"/>
              </w:rPr>
              <w:t>(12 weeks)</w:t>
            </w:r>
          </w:p>
        </w:tc>
        <w:tc>
          <w:tcPr>
            <w:tcW w:w="1054" w:type="dxa"/>
          </w:tcPr>
          <w:p w:rsidR="00A867D8" w:rsidRPr="00D36FBC" w:rsidRDefault="00A867D8" w:rsidP="00A867D8">
            <w:pPr>
              <w:pStyle w:val="Tabletext"/>
              <w:rPr>
                <w:rFonts w:cs="Tahoma"/>
              </w:rPr>
            </w:pPr>
            <w:r w:rsidRPr="00D36FBC">
              <w:rPr>
                <w:rFonts w:cs="Tahoma"/>
              </w:rPr>
              <w:t>1 RCT</w:t>
            </w:r>
          </w:p>
        </w:tc>
        <w:tc>
          <w:tcPr>
            <w:tcW w:w="771" w:type="dxa"/>
          </w:tcPr>
          <w:p w:rsidR="00A867D8" w:rsidRPr="00D36FBC" w:rsidRDefault="00A867D8" w:rsidP="00A867D8">
            <w:pPr>
              <w:pStyle w:val="Tabletext"/>
              <w:rPr>
                <w:rFonts w:cs="Tahoma"/>
              </w:rPr>
            </w:pPr>
            <w:r w:rsidRPr="00D36FBC">
              <w:rPr>
                <w:rFonts w:cs="Tahoma"/>
              </w:rPr>
              <w:t>Not serious</w:t>
            </w:r>
          </w:p>
        </w:tc>
        <w:tc>
          <w:tcPr>
            <w:tcW w:w="1072" w:type="dxa"/>
          </w:tcPr>
          <w:p w:rsidR="00A867D8" w:rsidRPr="00D36FBC" w:rsidRDefault="00A867D8" w:rsidP="00A867D8">
            <w:pPr>
              <w:pStyle w:val="Tabletext"/>
              <w:rPr>
                <w:rFonts w:cs="Tahoma"/>
              </w:rPr>
            </w:pPr>
            <w:r w:rsidRPr="00D36FBC">
              <w:rPr>
                <w:rFonts w:cs="Tahoma"/>
              </w:rPr>
              <w:t>Not serious</w:t>
            </w:r>
          </w:p>
        </w:tc>
        <w:tc>
          <w:tcPr>
            <w:tcW w:w="992" w:type="dxa"/>
          </w:tcPr>
          <w:p w:rsidR="00A867D8" w:rsidRPr="00D36FBC" w:rsidRDefault="00A867D8" w:rsidP="00A867D8">
            <w:pPr>
              <w:pStyle w:val="Tabletext"/>
              <w:rPr>
                <w:rFonts w:cs="Tahoma"/>
              </w:rPr>
            </w:pPr>
            <w:r w:rsidRPr="00D36FBC">
              <w:rPr>
                <w:rFonts w:cs="Tahoma"/>
              </w:rPr>
              <w:t>Not serious</w:t>
            </w:r>
          </w:p>
        </w:tc>
        <w:tc>
          <w:tcPr>
            <w:tcW w:w="1134" w:type="dxa"/>
          </w:tcPr>
          <w:p w:rsidR="00A867D8" w:rsidRPr="00A867D8" w:rsidRDefault="00A94116" w:rsidP="00A867D8">
            <w:pPr>
              <w:pStyle w:val="Tabletext"/>
              <w:rPr>
                <w:rFonts w:cs="Tahoma"/>
                <w:vertAlign w:val="superscript"/>
              </w:rPr>
            </w:pPr>
            <w:r>
              <w:rPr>
                <w:rFonts w:cs="Tahoma"/>
              </w:rPr>
              <w:t>Very serious</w:t>
            </w:r>
            <w:r w:rsidR="00A867D8">
              <w:rPr>
                <w:rFonts w:cs="Tahoma"/>
                <w:vertAlign w:val="superscript"/>
              </w:rPr>
              <w:t>c, d</w:t>
            </w:r>
          </w:p>
        </w:tc>
        <w:tc>
          <w:tcPr>
            <w:tcW w:w="1276" w:type="dxa"/>
          </w:tcPr>
          <w:p w:rsidR="00A867D8" w:rsidRPr="00D36FBC" w:rsidRDefault="00A867D8" w:rsidP="00A867D8">
            <w:pPr>
              <w:pStyle w:val="Tabletext"/>
              <w:rPr>
                <w:rFonts w:cs="Tahoma"/>
              </w:rPr>
            </w:pPr>
            <w:r w:rsidRPr="00D36FBC">
              <w:rPr>
                <w:rFonts w:cs="Tahoma"/>
              </w:rPr>
              <w:t>None</w:t>
            </w:r>
          </w:p>
        </w:tc>
        <w:tc>
          <w:tcPr>
            <w:tcW w:w="1417" w:type="dxa"/>
          </w:tcPr>
          <w:p w:rsidR="00A867D8" w:rsidRPr="00456F1B" w:rsidRDefault="00A867D8" w:rsidP="00A867D8">
            <w:pPr>
              <w:pStyle w:val="Tabletext"/>
              <w:rPr>
                <w:rFonts w:cs="Tahoma"/>
              </w:rPr>
            </w:pPr>
            <w:r>
              <w:rPr>
                <w:rFonts w:cs="Tahoma"/>
              </w:rPr>
              <w:t>2/12 (16.7%)</w:t>
            </w:r>
          </w:p>
        </w:tc>
        <w:tc>
          <w:tcPr>
            <w:tcW w:w="1134" w:type="dxa"/>
          </w:tcPr>
          <w:p w:rsidR="00A867D8" w:rsidRPr="00456F1B" w:rsidRDefault="00A867D8" w:rsidP="00A867D8">
            <w:pPr>
              <w:pStyle w:val="Tabletext"/>
              <w:rPr>
                <w:rFonts w:cs="Tahoma"/>
              </w:rPr>
            </w:pPr>
            <w:r w:rsidRPr="00485061">
              <w:rPr>
                <w:rFonts w:cs="Tahoma"/>
              </w:rPr>
              <w:t>2/6 (33.3%)</w:t>
            </w:r>
          </w:p>
        </w:tc>
        <w:tc>
          <w:tcPr>
            <w:tcW w:w="993" w:type="dxa"/>
          </w:tcPr>
          <w:p w:rsidR="00A867D8" w:rsidRPr="00456F1B" w:rsidRDefault="00A867D8" w:rsidP="00A867D8">
            <w:pPr>
              <w:pStyle w:val="Tabletext"/>
              <w:rPr>
                <w:rFonts w:cs="Tahoma"/>
              </w:rPr>
            </w:pPr>
            <w:r w:rsidRPr="00485061">
              <w:rPr>
                <w:rFonts w:cs="Tahoma"/>
              </w:rPr>
              <w:t xml:space="preserve">RR </w:t>
            </w:r>
            <w:r>
              <w:rPr>
                <w:rFonts w:cs="Tahoma"/>
              </w:rPr>
              <w:t xml:space="preserve">= </w:t>
            </w:r>
            <w:r w:rsidRPr="00485061">
              <w:rPr>
                <w:rFonts w:cs="Tahoma"/>
              </w:rPr>
              <w:t>0.50</w:t>
            </w:r>
            <w:r>
              <w:rPr>
                <w:rFonts w:cs="Tahoma"/>
              </w:rPr>
              <w:t xml:space="preserve"> </w:t>
            </w:r>
            <w:r w:rsidRPr="00485061">
              <w:rPr>
                <w:rFonts w:cs="Tahoma"/>
              </w:rPr>
              <w:t>(0.09</w:t>
            </w:r>
            <w:r>
              <w:rPr>
                <w:rFonts w:cs="Tahoma"/>
              </w:rPr>
              <w:t>, 2.73)</w:t>
            </w:r>
          </w:p>
        </w:tc>
        <w:tc>
          <w:tcPr>
            <w:tcW w:w="2188" w:type="dxa"/>
          </w:tcPr>
          <w:p w:rsidR="00A867D8" w:rsidRPr="00D36FBC" w:rsidRDefault="00A867D8" w:rsidP="00A867D8">
            <w:pPr>
              <w:pStyle w:val="Tabletext"/>
              <w:rPr>
                <w:rFonts w:cs="Tahoma"/>
              </w:rPr>
            </w:pPr>
            <w:r w:rsidRPr="00485061">
              <w:rPr>
                <w:rFonts w:cs="Tahoma"/>
              </w:rPr>
              <w:t>167 fewer per 1,000</w:t>
            </w:r>
            <w:r>
              <w:rPr>
                <w:rFonts w:cs="Tahoma"/>
              </w:rPr>
              <w:br/>
            </w:r>
            <w:r w:rsidRPr="00485061">
              <w:rPr>
                <w:rFonts w:cs="Tahoma"/>
              </w:rPr>
              <w:t>(from 303 fewer to 577 more)</w:t>
            </w:r>
          </w:p>
        </w:tc>
        <w:tc>
          <w:tcPr>
            <w:tcW w:w="1214" w:type="dxa"/>
          </w:tcPr>
          <w:p w:rsidR="00A867D8" w:rsidRDefault="00A867D8" w:rsidP="00A867D8">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A867D8" w:rsidRPr="00D36FBC" w:rsidRDefault="00A867D8" w:rsidP="00A867D8">
            <w:pPr>
              <w:pStyle w:val="Tabletext"/>
              <w:rPr>
                <w:rFonts w:eastAsia="Times New Roman" w:cs="Cambria Math"/>
                <w:bCs/>
                <w:color w:val="00B050"/>
              </w:rPr>
            </w:pPr>
            <w:r w:rsidRPr="00E564DD">
              <w:rPr>
                <w:rFonts w:cs="Tahoma"/>
              </w:rPr>
              <w:t>Important</w:t>
            </w:r>
          </w:p>
        </w:tc>
      </w:tr>
      <w:tr w:rsidR="00A867D8" w:rsidRPr="00D36FBC" w:rsidTr="00BE3319">
        <w:trPr>
          <w:trHeight w:val="319"/>
        </w:trPr>
        <w:tc>
          <w:tcPr>
            <w:tcW w:w="1493" w:type="dxa"/>
          </w:tcPr>
          <w:p w:rsidR="00A867D8" w:rsidRPr="00D36FBC" w:rsidRDefault="00A867D8" w:rsidP="00A867D8">
            <w:pPr>
              <w:pStyle w:val="Tabletext"/>
              <w:rPr>
                <w:rFonts w:cs="Tahoma"/>
              </w:rPr>
            </w:pPr>
            <w:r w:rsidRPr="00D36FBC">
              <w:rPr>
                <w:rFonts w:cs="Tahoma"/>
              </w:rPr>
              <w:t>Worsened WHO FC</w:t>
            </w:r>
            <w:r>
              <w:rPr>
                <w:rFonts w:cs="Tahoma"/>
              </w:rPr>
              <w:br/>
            </w:r>
            <w:r w:rsidRPr="00D36FBC">
              <w:rPr>
                <w:rFonts w:cs="Tahoma"/>
              </w:rPr>
              <w:t>(12 weeks)</w:t>
            </w:r>
          </w:p>
        </w:tc>
        <w:tc>
          <w:tcPr>
            <w:tcW w:w="1054" w:type="dxa"/>
          </w:tcPr>
          <w:p w:rsidR="00A867D8" w:rsidRPr="00D36FBC" w:rsidRDefault="00A867D8" w:rsidP="00A867D8">
            <w:pPr>
              <w:pStyle w:val="Tabletext"/>
              <w:rPr>
                <w:rFonts w:cs="Tahoma"/>
              </w:rPr>
            </w:pPr>
            <w:r w:rsidRPr="00D36FBC">
              <w:rPr>
                <w:rFonts w:cs="Tahoma"/>
              </w:rPr>
              <w:t>1 RCT</w:t>
            </w:r>
          </w:p>
        </w:tc>
        <w:tc>
          <w:tcPr>
            <w:tcW w:w="771" w:type="dxa"/>
          </w:tcPr>
          <w:p w:rsidR="00A867D8" w:rsidRPr="00D36FBC" w:rsidRDefault="00A867D8" w:rsidP="00A867D8">
            <w:pPr>
              <w:pStyle w:val="Tabletext"/>
              <w:rPr>
                <w:rFonts w:cs="Tahoma"/>
              </w:rPr>
            </w:pPr>
            <w:r w:rsidRPr="00D36FBC">
              <w:rPr>
                <w:rFonts w:cs="Tahoma"/>
              </w:rPr>
              <w:t>Not serious</w:t>
            </w:r>
          </w:p>
        </w:tc>
        <w:tc>
          <w:tcPr>
            <w:tcW w:w="1072" w:type="dxa"/>
          </w:tcPr>
          <w:p w:rsidR="00A867D8" w:rsidRPr="00D36FBC" w:rsidRDefault="00A867D8" w:rsidP="00A867D8">
            <w:pPr>
              <w:pStyle w:val="Tabletext"/>
              <w:rPr>
                <w:rFonts w:cs="Tahoma"/>
              </w:rPr>
            </w:pPr>
            <w:r w:rsidRPr="00D36FBC">
              <w:rPr>
                <w:rFonts w:cs="Tahoma"/>
              </w:rPr>
              <w:t>Not serious</w:t>
            </w:r>
          </w:p>
        </w:tc>
        <w:tc>
          <w:tcPr>
            <w:tcW w:w="992" w:type="dxa"/>
          </w:tcPr>
          <w:p w:rsidR="00A867D8" w:rsidRPr="00D36FBC" w:rsidRDefault="00A867D8" w:rsidP="00A867D8">
            <w:pPr>
              <w:pStyle w:val="Tabletext"/>
              <w:rPr>
                <w:rFonts w:cs="Tahoma"/>
              </w:rPr>
            </w:pPr>
            <w:r w:rsidRPr="00D36FBC">
              <w:rPr>
                <w:rFonts w:cs="Tahoma"/>
              </w:rPr>
              <w:t>Not serious</w:t>
            </w:r>
          </w:p>
        </w:tc>
        <w:tc>
          <w:tcPr>
            <w:tcW w:w="1134" w:type="dxa"/>
          </w:tcPr>
          <w:p w:rsidR="00A867D8" w:rsidRPr="00A867D8" w:rsidRDefault="00A867D8" w:rsidP="00A867D8">
            <w:pPr>
              <w:pStyle w:val="Tabletext"/>
              <w:rPr>
                <w:rFonts w:cs="Tahoma"/>
                <w:vertAlign w:val="superscript"/>
              </w:rPr>
            </w:pPr>
            <w:r>
              <w:rPr>
                <w:rFonts w:cs="Tahoma"/>
              </w:rPr>
              <w:t>Very serious</w:t>
            </w:r>
            <w:r>
              <w:rPr>
                <w:rFonts w:cs="Tahoma"/>
                <w:vertAlign w:val="superscript"/>
              </w:rPr>
              <w:t xml:space="preserve"> c</w:t>
            </w:r>
          </w:p>
        </w:tc>
        <w:tc>
          <w:tcPr>
            <w:tcW w:w="1276" w:type="dxa"/>
          </w:tcPr>
          <w:p w:rsidR="00A867D8" w:rsidRPr="00D36FBC" w:rsidRDefault="00A867D8" w:rsidP="00A867D8">
            <w:pPr>
              <w:pStyle w:val="Tabletext"/>
              <w:rPr>
                <w:rFonts w:cs="Tahoma"/>
              </w:rPr>
            </w:pPr>
            <w:r w:rsidRPr="00D36FBC">
              <w:rPr>
                <w:rFonts w:cs="Tahoma"/>
              </w:rPr>
              <w:t>None</w:t>
            </w:r>
          </w:p>
        </w:tc>
        <w:tc>
          <w:tcPr>
            <w:tcW w:w="1417" w:type="dxa"/>
          </w:tcPr>
          <w:p w:rsidR="00A867D8" w:rsidRPr="00456F1B" w:rsidRDefault="00A867D8" w:rsidP="00A867D8">
            <w:pPr>
              <w:pStyle w:val="Tabletext"/>
              <w:rPr>
                <w:rFonts w:cs="Tahoma"/>
              </w:rPr>
            </w:pPr>
            <w:r>
              <w:rPr>
                <w:rFonts w:cs="Tahoma"/>
              </w:rPr>
              <w:t>0/12 (0.0%)</w:t>
            </w:r>
          </w:p>
        </w:tc>
        <w:tc>
          <w:tcPr>
            <w:tcW w:w="1134" w:type="dxa"/>
          </w:tcPr>
          <w:p w:rsidR="00A867D8" w:rsidRPr="00456F1B" w:rsidRDefault="00A867D8" w:rsidP="00A867D8">
            <w:pPr>
              <w:pStyle w:val="Tabletext"/>
              <w:rPr>
                <w:rFonts w:cs="Tahoma"/>
              </w:rPr>
            </w:pPr>
            <w:r w:rsidRPr="00B72870">
              <w:rPr>
                <w:rFonts w:cs="Tahoma"/>
              </w:rPr>
              <w:t>0/6 (0.0%)</w:t>
            </w:r>
          </w:p>
        </w:tc>
        <w:tc>
          <w:tcPr>
            <w:tcW w:w="993" w:type="dxa"/>
          </w:tcPr>
          <w:p w:rsidR="00A867D8" w:rsidRPr="00456F1B" w:rsidRDefault="00A867D8" w:rsidP="00A867D8">
            <w:pPr>
              <w:pStyle w:val="Tabletext"/>
              <w:rPr>
                <w:rFonts w:cs="Tahoma"/>
              </w:rPr>
            </w:pPr>
            <w:r w:rsidRPr="00B72870">
              <w:rPr>
                <w:rFonts w:cs="Tahoma"/>
              </w:rPr>
              <w:t>Not estimable</w:t>
            </w:r>
          </w:p>
        </w:tc>
        <w:tc>
          <w:tcPr>
            <w:tcW w:w="2188" w:type="dxa"/>
          </w:tcPr>
          <w:p w:rsidR="00A867D8" w:rsidRPr="00D36FBC" w:rsidRDefault="00A867D8" w:rsidP="00A867D8">
            <w:pPr>
              <w:pStyle w:val="Tabletext"/>
              <w:rPr>
                <w:rFonts w:cs="Tahoma"/>
              </w:rPr>
            </w:pPr>
            <w:r w:rsidRPr="00B72870">
              <w:rPr>
                <w:rFonts w:cs="Tahoma"/>
              </w:rPr>
              <w:t>No</w:t>
            </w:r>
            <w:r>
              <w:rPr>
                <w:rFonts w:cs="Tahoma"/>
              </w:rPr>
              <w:t>t</w:t>
            </w:r>
            <w:r w:rsidRPr="00B72870">
              <w:rPr>
                <w:rFonts w:cs="Tahoma"/>
              </w:rPr>
              <w:t xml:space="preserve"> estimable</w:t>
            </w:r>
          </w:p>
        </w:tc>
        <w:tc>
          <w:tcPr>
            <w:tcW w:w="1214" w:type="dxa"/>
          </w:tcPr>
          <w:p w:rsidR="00A867D8" w:rsidRDefault="00A867D8" w:rsidP="00A867D8">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A867D8" w:rsidRPr="00D36FBC" w:rsidRDefault="00A867D8" w:rsidP="00A867D8">
            <w:pPr>
              <w:pStyle w:val="Tabletext"/>
              <w:rPr>
                <w:rFonts w:eastAsia="Times New Roman" w:cs="Cambria Math"/>
                <w:bCs/>
                <w:color w:val="00B050"/>
              </w:rPr>
            </w:pPr>
            <w:r>
              <w:rPr>
                <w:rFonts w:cs="Tahoma"/>
              </w:rPr>
              <w:t>I</w:t>
            </w:r>
            <w:r w:rsidRPr="00E564DD">
              <w:rPr>
                <w:rFonts w:cs="Tahoma"/>
              </w:rPr>
              <w:t>mportant</w:t>
            </w:r>
          </w:p>
        </w:tc>
      </w:tr>
      <w:tr w:rsidR="00A867D8" w:rsidRPr="00D36FBC" w:rsidTr="00BE3319">
        <w:trPr>
          <w:trHeight w:val="319"/>
        </w:trPr>
        <w:tc>
          <w:tcPr>
            <w:tcW w:w="1493" w:type="dxa"/>
          </w:tcPr>
          <w:p w:rsidR="00A867D8" w:rsidRPr="00D36FBC" w:rsidRDefault="00A867D8" w:rsidP="00A867D8">
            <w:pPr>
              <w:pStyle w:val="Tabletext"/>
              <w:rPr>
                <w:rFonts w:cs="Tahoma"/>
              </w:rPr>
            </w:pPr>
            <w:r w:rsidRPr="00D36FBC">
              <w:rPr>
                <w:rFonts w:cs="Tahoma"/>
              </w:rPr>
              <w:t>Change in 6MWD from baseline</w:t>
            </w:r>
            <w:r>
              <w:rPr>
                <w:rFonts w:cs="Tahoma"/>
              </w:rPr>
              <w:br/>
            </w:r>
            <w:r w:rsidRPr="00D36FBC">
              <w:rPr>
                <w:rFonts w:cs="Tahoma"/>
              </w:rPr>
              <w:t>(</w:t>
            </w:r>
            <w:r>
              <w:rPr>
                <w:rFonts w:cs="Tahoma"/>
              </w:rPr>
              <w:t>1</w:t>
            </w:r>
            <w:r w:rsidRPr="00D36FBC">
              <w:rPr>
                <w:rFonts w:cs="Tahoma"/>
              </w:rPr>
              <w:t xml:space="preserve">2 weeks) </w:t>
            </w:r>
          </w:p>
        </w:tc>
        <w:tc>
          <w:tcPr>
            <w:tcW w:w="1054" w:type="dxa"/>
          </w:tcPr>
          <w:p w:rsidR="00A867D8" w:rsidRPr="00D36FBC" w:rsidRDefault="00A867D8" w:rsidP="00A867D8">
            <w:pPr>
              <w:pStyle w:val="Tabletext"/>
              <w:rPr>
                <w:rFonts w:cs="Tahoma"/>
              </w:rPr>
            </w:pPr>
            <w:r w:rsidRPr="00D36FBC">
              <w:rPr>
                <w:rFonts w:cs="Tahoma"/>
              </w:rPr>
              <w:t>1 RCT</w:t>
            </w:r>
          </w:p>
        </w:tc>
        <w:tc>
          <w:tcPr>
            <w:tcW w:w="771" w:type="dxa"/>
          </w:tcPr>
          <w:p w:rsidR="00A867D8" w:rsidRPr="00D36FBC" w:rsidRDefault="00A867D8" w:rsidP="00A867D8">
            <w:pPr>
              <w:pStyle w:val="Tabletext"/>
              <w:rPr>
                <w:rFonts w:cs="Tahoma"/>
              </w:rPr>
            </w:pPr>
            <w:r w:rsidRPr="00D36FBC">
              <w:rPr>
                <w:rFonts w:cs="Tahoma"/>
              </w:rPr>
              <w:t>Not serious</w:t>
            </w:r>
          </w:p>
        </w:tc>
        <w:tc>
          <w:tcPr>
            <w:tcW w:w="1072" w:type="dxa"/>
          </w:tcPr>
          <w:p w:rsidR="00A867D8" w:rsidRPr="00D36FBC" w:rsidRDefault="00A867D8" w:rsidP="00A867D8">
            <w:pPr>
              <w:pStyle w:val="Tabletext"/>
              <w:rPr>
                <w:rFonts w:cs="Tahoma"/>
              </w:rPr>
            </w:pPr>
            <w:r w:rsidRPr="00D36FBC">
              <w:rPr>
                <w:rFonts w:cs="Tahoma"/>
              </w:rPr>
              <w:t>Not serious</w:t>
            </w:r>
          </w:p>
        </w:tc>
        <w:tc>
          <w:tcPr>
            <w:tcW w:w="992" w:type="dxa"/>
          </w:tcPr>
          <w:p w:rsidR="00A867D8" w:rsidRPr="00BE799B" w:rsidRDefault="00A867D8" w:rsidP="00A867D8">
            <w:pPr>
              <w:pStyle w:val="Tabletext"/>
              <w:rPr>
                <w:rFonts w:cs="Tahoma"/>
                <w:vertAlign w:val="superscript"/>
              </w:rPr>
            </w:pPr>
            <w:r>
              <w:rPr>
                <w:rFonts w:cs="Tahoma"/>
              </w:rPr>
              <w:t>S</w:t>
            </w:r>
            <w:r w:rsidRPr="00D36FBC">
              <w:rPr>
                <w:rFonts w:cs="Tahoma"/>
              </w:rPr>
              <w:t>erious</w:t>
            </w:r>
            <w:r>
              <w:rPr>
                <w:rFonts w:cs="Tahoma"/>
                <w:vertAlign w:val="superscript"/>
              </w:rPr>
              <w:t xml:space="preserve"> e</w:t>
            </w:r>
          </w:p>
        </w:tc>
        <w:tc>
          <w:tcPr>
            <w:tcW w:w="1134" w:type="dxa"/>
          </w:tcPr>
          <w:p w:rsidR="00A867D8" w:rsidRPr="00A867D8" w:rsidRDefault="00A867D8" w:rsidP="00A867D8">
            <w:pPr>
              <w:pStyle w:val="Tabletext"/>
              <w:rPr>
                <w:rFonts w:cs="Tahoma"/>
                <w:vertAlign w:val="superscript"/>
              </w:rPr>
            </w:pPr>
            <w:r>
              <w:rPr>
                <w:rFonts w:cs="Tahoma"/>
              </w:rPr>
              <w:t>Very serious</w:t>
            </w:r>
            <w:r>
              <w:rPr>
                <w:rFonts w:cs="Tahoma"/>
                <w:vertAlign w:val="superscript"/>
              </w:rPr>
              <w:t xml:space="preserve"> c</w:t>
            </w:r>
          </w:p>
        </w:tc>
        <w:tc>
          <w:tcPr>
            <w:tcW w:w="1276" w:type="dxa"/>
          </w:tcPr>
          <w:p w:rsidR="00A867D8" w:rsidRPr="00D36FBC" w:rsidRDefault="00A867D8" w:rsidP="00A867D8">
            <w:pPr>
              <w:pStyle w:val="Tabletext"/>
              <w:rPr>
                <w:rFonts w:cs="Tahoma"/>
              </w:rPr>
            </w:pPr>
            <w:r w:rsidRPr="00D36FBC">
              <w:rPr>
                <w:rFonts w:cs="Tahoma"/>
              </w:rPr>
              <w:t>None</w:t>
            </w:r>
          </w:p>
        </w:tc>
        <w:tc>
          <w:tcPr>
            <w:tcW w:w="1417" w:type="dxa"/>
          </w:tcPr>
          <w:p w:rsidR="00A867D8" w:rsidRPr="00456F1B" w:rsidRDefault="00A867D8" w:rsidP="00A867D8">
            <w:pPr>
              <w:pStyle w:val="Tabletext"/>
              <w:rPr>
                <w:rFonts w:cs="Tahoma"/>
              </w:rPr>
            </w:pPr>
            <w:r w:rsidRPr="00456F1B">
              <w:rPr>
                <w:rFonts w:eastAsia="Times New Roman"/>
              </w:rPr>
              <w:t>1</w:t>
            </w:r>
            <w:r>
              <w:rPr>
                <w:rFonts w:eastAsia="Times New Roman"/>
              </w:rPr>
              <w:t>2</w:t>
            </w:r>
            <w:r w:rsidRPr="00456F1B">
              <w:rPr>
                <w:rFonts w:eastAsia="Times New Roman"/>
              </w:rPr>
              <w:t xml:space="preserve"> patients tested</w:t>
            </w:r>
          </w:p>
        </w:tc>
        <w:tc>
          <w:tcPr>
            <w:tcW w:w="1134" w:type="dxa"/>
          </w:tcPr>
          <w:p w:rsidR="00A867D8" w:rsidRPr="00456F1B" w:rsidRDefault="00A867D8" w:rsidP="00A867D8">
            <w:pPr>
              <w:pStyle w:val="Tabletext"/>
              <w:rPr>
                <w:rFonts w:cs="Tahoma"/>
              </w:rPr>
            </w:pPr>
            <w:r w:rsidRPr="00456F1B">
              <w:rPr>
                <w:rStyle w:val="cell-value"/>
                <w:rFonts w:asciiTheme="minorHAnsi" w:eastAsia="Times New Roman" w:hAnsiTheme="minorHAnsi"/>
              </w:rPr>
              <w:t>6</w:t>
            </w:r>
            <w:r w:rsidRPr="00456F1B">
              <w:rPr>
                <w:rFonts w:eastAsia="Times New Roman"/>
              </w:rPr>
              <w:t xml:space="preserve"> patients tested</w:t>
            </w:r>
          </w:p>
        </w:tc>
        <w:tc>
          <w:tcPr>
            <w:tcW w:w="993" w:type="dxa"/>
          </w:tcPr>
          <w:p w:rsidR="00A867D8" w:rsidRPr="001D2AD7" w:rsidRDefault="00A867D8" w:rsidP="00A867D8">
            <w:pPr>
              <w:pStyle w:val="Tabletext"/>
              <w:rPr>
                <w:rFonts w:cs="Tahoma"/>
              </w:rPr>
            </w:pPr>
            <w:r>
              <w:rPr>
                <w:rFonts w:cs="Tahoma"/>
              </w:rPr>
              <w:t>-</w:t>
            </w:r>
          </w:p>
        </w:tc>
        <w:tc>
          <w:tcPr>
            <w:tcW w:w="2188" w:type="dxa"/>
          </w:tcPr>
          <w:p w:rsidR="00A867D8" w:rsidRPr="00D36FBC" w:rsidRDefault="00A867D8" w:rsidP="00A867D8">
            <w:pPr>
              <w:pStyle w:val="Tabletext"/>
              <w:rPr>
                <w:rFonts w:cs="Tahoma"/>
                <w:highlight w:val="cyan"/>
              </w:rPr>
            </w:pPr>
            <w:r>
              <w:rPr>
                <w:rFonts w:cs="Tahoma"/>
              </w:rPr>
              <w:t>MD 23 m less</w:t>
            </w:r>
          </w:p>
        </w:tc>
        <w:tc>
          <w:tcPr>
            <w:tcW w:w="1214" w:type="dxa"/>
          </w:tcPr>
          <w:p w:rsidR="00A867D8" w:rsidRDefault="00A867D8" w:rsidP="00A867D8">
            <w:pPr>
              <w:pStyle w:val="Tabletext"/>
              <w:rPr>
                <w:rFonts w:ascii="Cambria Math" w:eastAsia="Times New Roman" w:hAnsi="Cambria Math" w:cs="Cambria Math"/>
                <w:bCs/>
              </w:rPr>
            </w:pPr>
            <w:r>
              <w:rPr>
                <w:rFonts w:eastAsia="Times New Roman" w:cs="Tahoma"/>
                <w:bCs/>
              </w:rPr>
              <w:t>Very 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A867D8" w:rsidRPr="00D36FBC" w:rsidRDefault="00A867D8" w:rsidP="00A867D8">
            <w:pPr>
              <w:pStyle w:val="Tabletext"/>
              <w:rPr>
                <w:rFonts w:cs="Tahoma"/>
              </w:rPr>
            </w:pPr>
            <w:r>
              <w:rPr>
                <w:rFonts w:cs="Tahoma"/>
              </w:rPr>
              <w:t>I</w:t>
            </w:r>
            <w:r w:rsidRPr="00E564DD">
              <w:rPr>
                <w:rFonts w:cs="Tahoma"/>
              </w:rPr>
              <w:t>mportant</w:t>
            </w:r>
          </w:p>
        </w:tc>
      </w:tr>
    </w:tbl>
    <w:p w:rsidR="00CC3BA4" w:rsidRPr="00AA018C" w:rsidRDefault="00CC3BA4" w:rsidP="00D1356D">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D1356D">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A867D8" w:rsidRPr="00A867D8" w:rsidRDefault="00A867D8" w:rsidP="00D1356D">
      <w:pPr>
        <w:pStyle w:val="Tablenote"/>
      </w:pPr>
      <w:proofErr w:type="gramStart"/>
      <w:r>
        <w:rPr>
          <w:vertAlign w:val="superscript"/>
        </w:rPr>
        <w:t>c</w:t>
      </w:r>
      <w:proofErr w:type="gramEnd"/>
      <w:r>
        <w:rPr>
          <w:vertAlign w:val="superscript"/>
        </w:rPr>
        <w:t xml:space="preserve"> </w:t>
      </w:r>
      <w:r>
        <w:t>Small study size</w:t>
      </w:r>
    </w:p>
    <w:p w:rsidR="00CC3BA4" w:rsidRDefault="00A867D8" w:rsidP="00D1356D">
      <w:pPr>
        <w:pStyle w:val="Tablenote"/>
      </w:pPr>
      <w:proofErr w:type="gramStart"/>
      <w:r>
        <w:rPr>
          <w:vertAlign w:val="superscript"/>
        </w:rPr>
        <w:t>d</w:t>
      </w:r>
      <w:proofErr w:type="gramEnd"/>
      <w:r w:rsidR="00CC3BA4" w:rsidRPr="00E564DD">
        <w:t xml:space="preserve"> </w:t>
      </w:r>
      <w:r w:rsidR="00CC3BA4">
        <w:t>Wide 95% CIs that span 1</w:t>
      </w:r>
    </w:p>
    <w:p w:rsidR="004104D8" w:rsidRPr="004104D8" w:rsidRDefault="00A867D8" w:rsidP="00D1356D">
      <w:pPr>
        <w:pStyle w:val="Tablenote"/>
      </w:pPr>
      <w:proofErr w:type="gramStart"/>
      <w:r>
        <w:rPr>
          <w:vertAlign w:val="superscript"/>
        </w:rPr>
        <w:t>e</w:t>
      </w:r>
      <w:proofErr w:type="gramEnd"/>
      <w:r w:rsidR="004104D8">
        <w:rPr>
          <w:vertAlign w:val="superscript"/>
        </w:rPr>
        <w:t xml:space="preserve"> </w:t>
      </w:r>
      <w:r w:rsidR="004104D8">
        <w:t>Surrogate outcome</w:t>
      </w:r>
    </w:p>
    <w:p w:rsidR="00A867D8" w:rsidRPr="006316DF" w:rsidRDefault="00A867D8" w:rsidP="00A867D8">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A867D8" w:rsidRPr="00E564DD" w:rsidRDefault="00A867D8" w:rsidP="00A867D8">
      <w:pPr>
        <w:pStyle w:val="Tablenote"/>
      </w:pPr>
      <w:r w:rsidRPr="00E564DD">
        <w:rPr>
          <w:rFonts w:ascii="Cambria Math" w:hAnsi="Cambria Math" w:cs="Cambria Math"/>
          <w:color w:val="00B050"/>
        </w:rPr>
        <w:t>⨁</w:t>
      </w:r>
      <w:r w:rsidRPr="00E564DD">
        <w:rPr>
          <w:rFonts w:ascii="Cambria Math" w:hAnsi="Cambria Math" w:cs="Cambria Math"/>
          <w:color w:val="C00000"/>
        </w:rPr>
        <w:t>⨀⨀⨀</w:t>
      </w:r>
      <w:r w:rsidRPr="00E564DD">
        <w:rPr>
          <w:rFonts w:cs="Cambria Math"/>
          <w:color w:val="C00000"/>
        </w:rPr>
        <w:t xml:space="preserve"> </w:t>
      </w:r>
      <w:r w:rsidRPr="00E564DD">
        <w:rPr>
          <w:b/>
        </w:rPr>
        <w:t>Very low quality:</w:t>
      </w:r>
      <w:r w:rsidRPr="00E564DD">
        <w:t xml:space="preserve"> We have very little confidence in the effect estimate: The true effect is likely to be substantially different from the estimate of effect</w:t>
      </w:r>
    </w:p>
    <w:p w:rsidR="00814438" w:rsidRDefault="00CC3BA4" w:rsidP="00D1356D">
      <w:pPr>
        <w:pStyle w:val="Tablenote"/>
      </w:pPr>
      <w:r>
        <w:t xml:space="preserve">6MWD = 6-minute </w:t>
      </w:r>
      <w:r w:rsidR="0082368E">
        <w:t>walk distance</w:t>
      </w:r>
      <w:r>
        <w:t xml:space="preserve">; CI = confidence interval; FC = functional class; </w:t>
      </w:r>
      <w:r w:rsidR="00385E5A">
        <w:t>GRADE = grading of recommendations assessment, development and evaluation</w:t>
      </w:r>
      <w:r w:rsidR="001D34EE" w:rsidRPr="001D34EE">
        <w:rPr>
          <w:noProof/>
          <w:vertAlign w:val="superscript"/>
        </w:rPr>
        <w:t>1</w:t>
      </w:r>
      <w:r w:rsidR="00814438" w:rsidRPr="00F24B06">
        <w:t xml:space="preserve">; </w:t>
      </w:r>
      <w:r>
        <w:t xml:space="preserve">MD = mean difference; </w:t>
      </w:r>
      <w:r w:rsidRPr="00C65B42">
        <w:t xml:space="preserve">PAH = pulmonary arterial hypertension; </w:t>
      </w:r>
      <w:r w:rsidRPr="009B5AB3">
        <w:t>PDE-5</w:t>
      </w:r>
      <w:r w:rsidR="00814438">
        <w:t>i</w:t>
      </w:r>
      <w:r w:rsidRPr="009B5AB3">
        <w:t xml:space="preserve"> = phosphodiesterase type-5</w:t>
      </w:r>
      <w:r w:rsidR="00814438">
        <w:t xml:space="preserve"> inhibitor</w:t>
      </w:r>
      <w:r>
        <w:t>;</w:t>
      </w:r>
      <w:r w:rsidRPr="009B5AB3">
        <w:t xml:space="preserve"> </w:t>
      </w:r>
      <w:r>
        <w:t xml:space="preserve">RCT = randomised controlled trial; RR = relative risk; </w:t>
      </w:r>
      <w:r w:rsidRPr="006C6F7B">
        <w:t xml:space="preserve">sGC = soluble guanylate cyclase stimulator; </w:t>
      </w:r>
      <w:r>
        <w:t>WHO = World Health Organization</w:t>
      </w:r>
    </w:p>
    <w:p w:rsidR="00CC3BA4" w:rsidRPr="005D4CA0" w:rsidRDefault="00796F18" w:rsidP="00BC5A2B">
      <w:pPr>
        <w:pStyle w:val="Caption"/>
      </w:pPr>
      <w:bookmarkStart w:id="543" w:name="_Ref505869980"/>
      <w:bookmarkStart w:id="544" w:name="_Toc38360465"/>
      <w:r>
        <w:lastRenderedPageBreak/>
        <w:t>Table 4.</w:t>
      </w:r>
      <w:r w:rsidR="003951FA">
        <w:rPr>
          <w:noProof/>
        </w:rPr>
        <w:t>168</w:t>
      </w:r>
      <w:bookmarkEnd w:id="543"/>
      <w:r>
        <w:tab/>
      </w:r>
      <w:r w:rsidR="00CC3BA4" w:rsidRPr="005D4CA0">
        <w:t xml:space="preserve">Evidence profile table for </w:t>
      </w:r>
      <w:r w:rsidR="00CC3BA4">
        <w:t xml:space="preserve">comparative safety of </w:t>
      </w:r>
      <w:r w:rsidR="00CC3BA4" w:rsidRPr="0045259F">
        <w:t xml:space="preserve">sGC stimulator + PDE-5 inhibitor combination therapy compared to PDE-5 inhibitor </w:t>
      </w:r>
      <w:r w:rsidR="00CC3BA4">
        <w:t xml:space="preserve">monotherapy </w:t>
      </w:r>
      <w:r w:rsidR="00CC3BA4" w:rsidRPr="005D4CA0">
        <w:t xml:space="preserve">for </w:t>
      </w:r>
      <w:r w:rsidR="00CC3BA4">
        <w:t>all PAH patients</w:t>
      </w:r>
      <w:bookmarkEnd w:id="544"/>
    </w:p>
    <w:tbl>
      <w:tblPr>
        <w:tblStyle w:val="TableGrid"/>
        <w:tblW w:w="14738" w:type="dxa"/>
        <w:tblLayout w:type="fixed"/>
        <w:tblLook w:val="04A0" w:firstRow="1" w:lastRow="0" w:firstColumn="1" w:lastColumn="0" w:noHBand="0" w:noVBand="1"/>
        <w:tblCaption w:val="Evidence profile table for comparative safety of sGC stimulator + PDE-5 inhibitor combination therapy compared to PDE-5 inhibitor monotherapy for all PAH patients"/>
      </w:tblPr>
      <w:tblGrid>
        <w:gridCol w:w="1493"/>
        <w:gridCol w:w="1054"/>
        <w:gridCol w:w="771"/>
        <w:gridCol w:w="1072"/>
        <w:gridCol w:w="992"/>
        <w:gridCol w:w="1134"/>
        <w:gridCol w:w="1276"/>
        <w:gridCol w:w="1417"/>
        <w:gridCol w:w="1134"/>
        <w:gridCol w:w="993"/>
        <w:gridCol w:w="2188"/>
        <w:gridCol w:w="1214"/>
      </w:tblGrid>
      <w:tr w:rsidR="00D1356D" w:rsidRPr="00D1356D" w:rsidTr="00BE3319">
        <w:trPr>
          <w:cnfStyle w:val="100000000000" w:firstRow="1" w:lastRow="0" w:firstColumn="0" w:lastColumn="0" w:oddVBand="0" w:evenVBand="0" w:oddHBand="0" w:evenHBand="0" w:firstRowFirstColumn="0" w:firstRowLastColumn="0" w:lastRowFirstColumn="0" w:lastRowLastColumn="0"/>
          <w:trHeight w:val="555"/>
        </w:trPr>
        <w:tc>
          <w:tcPr>
            <w:tcW w:w="1493" w:type="dxa"/>
          </w:tcPr>
          <w:p w:rsidR="00476F09" w:rsidRPr="00D1356D" w:rsidRDefault="00476F09" w:rsidP="00D1356D">
            <w:pPr>
              <w:pStyle w:val="Tabletext"/>
              <w:rPr>
                <w:b/>
              </w:rPr>
            </w:pPr>
            <w:r w:rsidRPr="00D1356D">
              <w:rPr>
                <w:b/>
              </w:rPr>
              <w:t>Outcome (follow-up)</w:t>
            </w:r>
          </w:p>
        </w:tc>
        <w:tc>
          <w:tcPr>
            <w:tcW w:w="1054" w:type="dxa"/>
          </w:tcPr>
          <w:p w:rsidR="00476F09" w:rsidRPr="00D1356D" w:rsidRDefault="00476F09" w:rsidP="00D1356D">
            <w:pPr>
              <w:pStyle w:val="Tabletext"/>
              <w:rPr>
                <w:b/>
              </w:rPr>
            </w:pPr>
            <w:r w:rsidRPr="00D1356D">
              <w:rPr>
                <w:b/>
              </w:rPr>
              <w:t>No. of studies and study design</w:t>
            </w:r>
          </w:p>
        </w:tc>
        <w:tc>
          <w:tcPr>
            <w:tcW w:w="771" w:type="dxa"/>
          </w:tcPr>
          <w:p w:rsidR="00476F09" w:rsidRPr="00D1356D" w:rsidRDefault="00476F09" w:rsidP="00D1356D">
            <w:pPr>
              <w:pStyle w:val="Tabletext"/>
              <w:rPr>
                <w:b/>
              </w:rPr>
            </w:pPr>
            <w:r w:rsidRPr="00D1356D">
              <w:rPr>
                <w:b/>
              </w:rPr>
              <w:t>Risk of bias</w:t>
            </w:r>
          </w:p>
        </w:tc>
        <w:tc>
          <w:tcPr>
            <w:tcW w:w="1072" w:type="dxa"/>
          </w:tcPr>
          <w:p w:rsidR="00476F09" w:rsidRPr="00D1356D" w:rsidRDefault="00476F09" w:rsidP="00D1356D">
            <w:pPr>
              <w:pStyle w:val="Tabletext"/>
              <w:rPr>
                <w:b/>
              </w:rPr>
            </w:pPr>
            <w:r w:rsidRPr="00D1356D">
              <w:rPr>
                <w:b/>
              </w:rPr>
              <w:t>Inconsis</w:t>
            </w:r>
            <w:r w:rsidR="00BE3319">
              <w:rPr>
                <w:b/>
              </w:rPr>
              <w:t>-</w:t>
            </w:r>
            <w:r w:rsidRPr="00D1356D">
              <w:rPr>
                <w:b/>
              </w:rPr>
              <w:t>tency</w:t>
            </w:r>
          </w:p>
        </w:tc>
        <w:tc>
          <w:tcPr>
            <w:tcW w:w="992" w:type="dxa"/>
          </w:tcPr>
          <w:p w:rsidR="00476F09" w:rsidRPr="00D1356D" w:rsidRDefault="00476F09" w:rsidP="00D1356D">
            <w:pPr>
              <w:pStyle w:val="Tabletext"/>
              <w:rPr>
                <w:b/>
              </w:rPr>
            </w:pPr>
            <w:r w:rsidRPr="00D1356D">
              <w:rPr>
                <w:b/>
              </w:rPr>
              <w:t>Indirect</w:t>
            </w:r>
            <w:r w:rsidR="00BE3319">
              <w:rPr>
                <w:b/>
              </w:rPr>
              <w:t>-</w:t>
            </w:r>
            <w:r w:rsidRPr="00D1356D">
              <w:rPr>
                <w:b/>
              </w:rPr>
              <w:t>ness</w:t>
            </w:r>
          </w:p>
        </w:tc>
        <w:tc>
          <w:tcPr>
            <w:tcW w:w="1134" w:type="dxa"/>
          </w:tcPr>
          <w:p w:rsidR="00476F09" w:rsidRPr="00D1356D" w:rsidRDefault="00476F09" w:rsidP="00D1356D">
            <w:pPr>
              <w:pStyle w:val="Tabletext"/>
              <w:rPr>
                <w:b/>
              </w:rPr>
            </w:pPr>
            <w:r w:rsidRPr="00D1356D">
              <w:rPr>
                <w:b/>
              </w:rPr>
              <w:t>Impre</w:t>
            </w:r>
            <w:r w:rsidR="00BE3319">
              <w:rPr>
                <w:b/>
              </w:rPr>
              <w:t>-</w:t>
            </w:r>
            <w:r w:rsidRPr="00D1356D">
              <w:rPr>
                <w:b/>
              </w:rPr>
              <w:t>cision</w:t>
            </w:r>
          </w:p>
        </w:tc>
        <w:tc>
          <w:tcPr>
            <w:tcW w:w="1276" w:type="dxa"/>
          </w:tcPr>
          <w:p w:rsidR="00476F09" w:rsidRPr="00D1356D" w:rsidRDefault="00476F09" w:rsidP="00D1356D">
            <w:pPr>
              <w:pStyle w:val="Tabletext"/>
              <w:rPr>
                <w:b/>
              </w:rPr>
            </w:pPr>
            <w:r w:rsidRPr="00D1356D">
              <w:rPr>
                <w:b/>
              </w:rPr>
              <w:t>Other conside</w:t>
            </w:r>
            <w:r w:rsidR="00BE3319">
              <w:rPr>
                <w:b/>
              </w:rPr>
              <w:t>-</w:t>
            </w:r>
            <w:r w:rsidRPr="00D1356D">
              <w:rPr>
                <w:b/>
              </w:rPr>
              <w:t>rations</w:t>
            </w:r>
            <w:r w:rsidRPr="00D1356D">
              <w:rPr>
                <w:b/>
                <w:vertAlign w:val="superscript"/>
              </w:rPr>
              <w:t>a</w:t>
            </w:r>
          </w:p>
        </w:tc>
        <w:tc>
          <w:tcPr>
            <w:tcW w:w="1417" w:type="dxa"/>
          </w:tcPr>
          <w:p w:rsidR="00476F09" w:rsidRPr="00D1356D" w:rsidRDefault="00476F09" w:rsidP="00D1356D">
            <w:pPr>
              <w:pStyle w:val="Tabletext"/>
              <w:rPr>
                <w:b/>
              </w:rPr>
            </w:pPr>
            <w:r w:rsidRPr="00D1356D">
              <w:rPr>
                <w:b/>
              </w:rPr>
              <w:t>Study event rates (%) with sGC + PDE-5i</w:t>
            </w:r>
          </w:p>
        </w:tc>
        <w:tc>
          <w:tcPr>
            <w:tcW w:w="1134" w:type="dxa"/>
          </w:tcPr>
          <w:p w:rsidR="00476F09" w:rsidRPr="00D1356D" w:rsidRDefault="00476F09" w:rsidP="00D1356D">
            <w:pPr>
              <w:pStyle w:val="Tabletext"/>
              <w:rPr>
                <w:b/>
              </w:rPr>
            </w:pPr>
            <w:r w:rsidRPr="00D1356D">
              <w:rPr>
                <w:b/>
              </w:rPr>
              <w:t>Study event rates (%) with PDE-5i</w:t>
            </w:r>
          </w:p>
        </w:tc>
        <w:tc>
          <w:tcPr>
            <w:tcW w:w="993" w:type="dxa"/>
          </w:tcPr>
          <w:p w:rsidR="00476F09" w:rsidRPr="00D1356D" w:rsidRDefault="00476F09" w:rsidP="00D1356D">
            <w:pPr>
              <w:pStyle w:val="Tabletext"/>
              <w:rPr>
                <w:b/>
              </w:rPr>
            </w:pPr>
            <w:r w:rsidRPr="00D1356D">
              <w:rPr>
                <w:b/>
              </w:rPr>
              <w:t>Effect measure (95%CI)</w:t>
            </w:r>
          </w:p>
        </w:tc>
        <w:tc>
          <w:tcPr>
            <w:tcW w:w="2188" w:type="dxa"/>
          </w:tcPr>
          <w:p w:rsidR="00476F09" w:rsidRPr="00D1356D" w:rsidRDefault="00476F09" w:rsidP="00D1356D">
            <w:pPr>
              <w:pStyle w:val="Tabletext"/>
              <w:rPr>
                <w:b/>
              </w:rPr>
            </w:pPr>
            <w:r w:rsidRPr="00D1356D">
              <w:rPr>
                <w:b/>
              </w:rPr>
              <w:t>Absolute effect (95%CI)</w:t>
            </w:r>
          </w:p>
        </w:tc>
        <w:tc>
          <w:tcPr>
            <w:tcW w:w="1214" w:type="dxa"/>
          </w:tcPr>
          <w:p w:rsidR="00814438" w:rsidRDefault="00814438" w:rsidP="00D1356D">
            <w:pPr>
              <w:pStyle w:val="Tabletext"/>
              <w:rPr>
                <w:b/>
              </w:rPr>
            </w:pPr>
            <w:r>
              <w:rPr>
                <w:b/>
              </w:rPr>
              <w:t>GRADE</w:t>
            </w:r>
            <w:r w:rsidRPr="00814438">
              <w:rPr>
                <w:b/>
                <w:vertAlign w:val="superscript"/>
              </w:rPr>
              <w:t>b</w:t>
            </w:r>
          </w:p>
          <w:p w:rsidR="00476F09" w:rsidRPr="00D1356D" w:rsidRDefault="00476F09" w:rsidP="00D1356D">
            <w:pPr>
              <w:pStyle w:val="Tabletext"/>
              <w:rPr>
                <w:b/>
                <w:vertAlign w:val="superscript"/>
              </w:rPr>
            </w:pPr>
            <w:r w:rsidRPr="00D1356D">
              <w:rPr>
                <w:b/>
              </w:rPr>
              <w:t>Quality</w:t>
            </w:r>
          </w:p>
          <w:p w:rsidR="00476F09" w:rsidRPr="00D1356D" w:rsidRDefault="00476F09" w:rsidP="00D1356D">
            <w:pPr>
              <w:pStyle w:val="Tabletext"/>
              <w:rPr>
                <w:b/>
              </w:rPr>
            </w:pPr>
            <w:r w:rsidRPr="00D1356D">
              <w:rPr>
                <w:b/>
              </w:rPr>
              <w:t>Importance</w:t>
            </w:r>
          </w:p>
        </w:tc>
      </w:tr>
      <w:tr w:rsidR="00CC3BA4" w:rsidRPr="00E564DD" w:rsidTr="00BE3319">
        <w:trPr>
          <w:trHeight w:val="319"/>
        </w:trPr>
        <w:tc>
          <w:tcPr>
            <w:tcW w:w="1493" w:type="dxa"/>
          </w:tcPr>
          <w:p w:rsidR="00CC3BA4" w:rsidRPr="00E564DD" w:rsidRDefault="00CC3BA4" w:rsidP="00D1356D">
            <w:pPr>
              <w:pStyle w:val="Tabletext"/>
              <w:rPr>
                <w:rFonts w:cs="Tahoma"/>
              </w:rPr>
            </w:pPr>
            <w:r>
              <w:rPr>
                <w:rFonts w:cs="Tahoma"/>
              </w:rPr>
              <w:t>Any AE</w:t>
            </w:r>
            <w:r>
              <w:rPr>
                <w:rFonts w:cs="Tahoma"/>
              </w:rPr>
              <w:br/>
              <w:t>(104 weeks)</w:t>
            </w:r>
          </w:p>
        </w:tc>
        <w:tc>
          <w:tcPr>
            <w:tcW w:w="1054" w:type="dxa"/>
          </w:tcPr>
          <w:p w:rsidR="00CC3BA4" w:rsidRPr="00E564DD" w:rsidRDefault="00CC3BA4" w:rsidP="00D1356D">
            <w:pPr>
              <w:pStyle w:val="Tabletext"/>
              <w:rPr>
                <w:rFonts w:cs="Tahoma"/>
              </w:rPr>
            </w:pPr>
            <w:r>
              <w:rPr>
                <w:rFonts w:cs="Tahoma"/>
              </w:rPr>
              <w:t>1</w:t>
            </w:r>
            <w:r w:rsidRPr="00E564DD">
              <w:rPr>
                <w:rFonts w:cs="Tahoma"/>
              </w:rPr>
              <w:t xml:space="preserve"> RCT</w:t>
            </w:r>
          </w:p>
        </w:tc>
        <w:tc>
          <w:tcPr>
            <w:tcW w:w="771" w:type="dxa"/>
          </w:tcPr>
          <w:p w:rsidR="00CC3BA4" w:rsidRPr="00E564DD" w:rsidRDefault="00CC3BA4" w:rsidP="00D1356D">
            <w:pPr>
              <w:pStyle w:val="Tabletext"/>
              <w:rPr>
                <w:rFonts w:cs="Tahoma"/>
              </w:rPr>
            </w:pPr>
            <w:r w:rsidRPr="00E564DD">
              <w:rPr>
                <w:rFonts w:cs="Tahoma"/>
              </w:rPr>
              <w:t>Not serious</w:t>
            </w:r>
          </w:p>
        </w:tc>
        <w:tc>
          <w:tcPr>
            <w:tcW w:w="1072" w:type="dxa"/>
          </w:tcPr>
          <w:p w:rsidR="00CC3BA4" w:rsidRPr="00E564DD" w:rsidRDefault="00CC3BA4" w:rsidP="00D1356D">
            <w:pPr>
              <w:pStyle w:val="Tabletext"/>
              <w:rPr>
                <w:rFonts w:cs="Tahoma"/>
              </w:rPr>
            </w:pPr>
            <w:r w:rsidRPr="00E564DD">
              <w:rPr>
                <w:rFonts w:cs="Tahoma"/>
              </w:rPr>
              <w:t>Not serious</w:t>
            </w:r>
          </w:p>
        </w:tc>
        <w:tc>
          <w:tcPr>
            <w:tcW w:w="992" w:type="dxa"/>
          </w:tcPr>
          <w:p w:rsidR="00CC3BA4" w:rsidRPr="00E564DD" w:rsidRDefault="00CC3BA4" w:rsidP="00D1356D">
            <w:pPr>
              <w:pStyle w:val="Tabletext"/>
              <w:rPr>
                <w:rFonts w:cs="Tahoma"/>
              </w:rPr>
            </w:pPr>
            <w:r w:rsidRPr="00E564DD">
              <w:rPr>
                <w:rFonts w:cs="Tahoma"/>
              </w:rPr>
              <w:t>Not serious</w:t>
            </w:r>
          </w:p>
        </w:tc>
        <w:tc>
          <w:tcPr>
            <w:tcW w:w="1134" w:type="dxa"/>
          </w:tcPr>
          <w:p w:rsidR="00CC3BA4" w:rsidRPr="00A867D8" w:rsidRDefault="00A867D8" w:rsidP="00A867D8">
            <w:pPr>
              <w:pStyle w:val="Tabletext"/>
              <w:rPr>
                <w:rFonts w:cs="Tahoma"/>
                <w:vertAlign w:val="superscript"/>
              </w:rPr>
            </w:pPr>
            <w:r>
              <w:rPr>
                <w:rFonts w:cs="Tahoma"/>
              </w:rPr>
              <w:t>Very s</w:t>
            </w:r>
            <w:r w:rsidR="00CC3BA4" w:rsidRPr="00E564DD">
              <w:rPr>
                <w:rFonts w:cs="Tahoma"/>
              </w:rPr>
              <w:t>erious</w:t>
            </w:r>
            <w:r>
              <w:rPr>
                <w:rFonts w:cs="Tahoma"/>
                <w:vertAlign w:val="superscript"/>
              </w:rPr>
              <w:t xml:space="preserve"> c</w:t>
            </w:r>
          </w:p>
        </w:tc>
        <w:tc>
          <w:tcPr>
            <w:tcW w:w="1276" w:type="dxa"/>
          </w:tcPr>
          <w:p w:rsidR="00CC3BA4" w:rsidRPr="00E564DD" w:rsidRDefault="00CC3BA4" w:rsidP="00D1356D">
            <w:pPr>
              <w:pStyle w:val="Tabletext"/>
              <w:rPr>
                <w:rFonts w:cs="Tahoma"/>
              </w:rPr>
            </w:pPr>
            <w:r w:rsidRPr="00E564DD">
              <w:rPr>
                <w:rFonts w:cs="Tahoma"/>
              </w:rPr>
              <w:t>None</w:t>
            </w:r>
          </w:p>
        </w:tc>
        <w:tc>
          <w:tcPr>
            <w:tcW w:w="1417" w:type="dxa"/>
          </w:tcPr>
          <w:p w:rsidR="00CC3BA4" w:rsidRPr="00485061" w:rsidRDefault="00CC3BA4" w:rsidP="00D1356D">
            <w:pPr>
              <w:pStyle w:val="Tabletext"/>
              <w:rPr>
                <w:rFonts w:cs="Tahoma"/>
              </w:rPr>
            </w:pPr>
            <w:r>
              <w:rPr>
                <w:rFonts w:cs="Tahoma"/>
              </w:rPr>
              <w:t>12/12 (100%)</w:t>
            </w:r>
          </w:p>
        </w:tc>
        <w:tc>
          <w:tcPr>
            <w:tcW w:w="1134" w:type="dxa"/>
          </w:tcPr>
          <w:p w:rsidR="00CC3BA4" w:rsidRPr="00456F1B" w:rsidRDefault="00CC3BA4" w:rsidP="00D1356D">
            <w:pPr>
              <w:pStyle w:val="Tabletext"/>
              <w:rPr>
                <w:rFonts w:cs="Tahoma"/>
                <w:highlight w:val="cyan"/>
              </w:rPr>
            </w:pPr>
            <w:r w:rsidRPr="00485061">
              <w:rPr>
                <w:rFonts w:cs="Tahoma"/>
              </w:rPr>
              <w:t>4/6 (66.7%)</w:t>
            </w:r>
          </w:p>
        </w:tc>
        <w:tc>
          <w:tcPr>
            <w:tcW w:w="993" w:type="dxa"/>
          </w:tcPr>
          <w:p w:rsidR="00CC3BA4" w:rsidRPr="00456F1B" w:rsidRDefault="00CC3BA4" w:rsidP="00D1356D">
            <w:pPr>
              <w:pStyle w:val="Tabletext"/>
              <w:rPr>
                <w:rFonts w:cs="Tahoma"/>
                <w:highlight w:val="cyan"/>
              </w:rPr>
            </w:pPr>
            <w:r w:rsidRPr="00485061">
              <w:rPr>
                <w:rFonts w:cs="Tahoma"/>
              </w:rPr>
              <w:t xml:space="preserve">RR </w:t>
            </w:r>
            <w:r>
              <w:rPr>
                <w:rFonts w:cs="Tahoma"/>
              </w:rPr>
              <w:t xml:space="preserve">= </w:t>
            </w:r>
            <w:r w:rsidRPr="00485061">
              <w:rPr>
                <w:rFonts w:cs="Tahoma"/>
              </w:rPr>
              <w:t>1.50</w:t>
            </w:r>
            <w:r>
              <w:rPr>
                <w:rFonts w:cs="Tahoma"/>
              </w:rPr>
              <w:t xml:space="preserve"> </w:t>
            </w:r>
            <w:r w:rsidRPr="00485061">
              <w:rPr>
                <w:rFonts w:cs="Tahoma"/>
              </w:rPr>
              <w:t>(0.85</w:t>
            </w:r>
            <w:r>
              <w:rPr>
                <w:rFonts w:cs="Tahoma"/>
              </w:rPr>
              <w:t>,</w:t>
            </w:r>
            <w:r w:rsidRPr="00485061">
              <w:rPr>
                <w:rFonts w:cs="Tahoma"/>
              </w:rPr>
              <w:t xml:space="preserve"> 2.64)</w:t>
            </w:r>
          </w:p>
        </w:tc>
        <w:tc>
          <w:tcPr>
            <w:tcW w:w="2188" w:type="dxa"/>
          </w:tcPr>
          <w:p w:rsidR="00CC3BA4" w:rsidRPr="00456F1B" w:rsidRDefault="00CC3BA4" w:rsidP="00D1356D">
            <w:pPr>
              <w:pStyle w:val="Tabletext"/>
              <w:rPr>
                <w:rFonts w:cs="Tahoma"/>
                <w:highlight w:val="cyan"/>
              </w:rPr>
            </w:pPr>
            <w:r w:rsidRPr="00485061">
              <w:rPr>
                <w:rFonts w:cs="Tahoma"/>
              </w:rPr>
              <w:t>333 more per 1,000</w:t>
            </w:r>
            <w:r>
              <w:rPr>
                <w:rFonts w:cs="Tahoma"/>
              </w:rPr>
              <w:br/>
            </w:r>
            <w:r w:rsidRPr="00485061">
              <w:rPr>
                <w:rFonts w:cs="Tahoma"/>
              </w:rPr>
              <w:t>(from 100 fewer to 1,000 more)</w:t>
            </w:r>
          </w:p>
        </w:tc>
        <w:tc>
          <w:tcPr>
            <w:tcW w:w="1214" w:type="dxa"/>
          </w:tcPr>
          <w:p w:rsidR="00A867D8" w:rsidRDefault="00A867D8" w:rsidP="00A867D8">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CC3BA4" w:rsidRPr="00E564DD" w:rsidRDefault="00CC3BA4" w:rsidP="00D1356D">
            <w:pPr>
              <w:pStyle w:val="Tabletext"/>
              <w:rPr>
                <w:rFonts w:cs="Tahoma"/>
              </w:rPr>
            </w:pPr>
            <w:r w:rsidRPr="00E564DD">
              <w:rPr>
                <w:rFonts w:cs="Tahoma"/>
              </w:rPr>
              <w:t>Important</w:t>
            </w:r>
          </w:p>
        </w:tc>
      </w:tr>
      <w:tr w:rsidR="00A867D8" w:rsidRPr="00E564DD" w:rsidTr="00BE3319">
        <w:trPr>
          <w:trHeight w:val="319"/>
        </w:trPr>
        <w:tc>
          <w:tcPr>
            <w:tcW w:w="1493" w:type="dxa"/>
          </w:tcPr>
          <w:p w:rsidR="00A867D8" w:rsidRPr="00BE59C4" w:rsidRDefault="00A867D8" w:rsidP="00A867D8">
            <w:pPr>
              <w:pStyle w:val="Tabletext"/>
              <w:rPr>
                <w:rFonts w:cs="Tahoma"/>
              </w:rPr>
            </w:pPr>
            <w:r w:rsidRPr="00BE59C4">
              <w:rPr>
                <w:rFonts w:cs="Tahoma"/>
              </w:rPr>
              <w:t>Serious AEs</w:t>
            </w:r>
            <w:r w:rsidRPr="00BE59C4">
              <w:rPr>
                <w:rFonts w:cs="Tahoma"/>
              </w:rPr>
              <w:br/>
              <w:t>(24−104 weeks)</w:t>
            </w:r>
          </w:p>
        </w:tc>
        <w:tc>
          <w:tcPr>
            <w:tcW w:w="1054" w:type="dxa"/>
          </w:tcPr>
          <w:p w:rsidR="00A867D8" w:rsidRPr="00E564DD" w:rsidRDefault="00A867D8" w:rsidP="00A867D8">
            <w:pPr>
              <w:pStyle w:val="Tabletext"/>
              <w:rPr>
                <w:rFonts w:cs="Tahoma"/>
              </w:rPr>
            </w:pPr>
            <w:r>
              <w:rPr>
                <w:rFonts w:cs="Tahoma"/>
              </w:rPr>
              <w:t>1</w:t>
            </w:r>
            <w:r w:rsidRPr="00E564DD">
              <w:rPr>
                <w:rFonts w:cs="Tahoma"/>
              </w:rPr>
              <w:t xml:space="preserve"> RCT</w:t>
            </w:r>
          </w:p>
        </w:tc>
        <w:tc>
          <w:tcPr>
            <w:tcW w:w="771" w:type="dxa"/>
          </w:tcPr>
          <w:p w:rsidR="00A867D8" w:rsidRPr="00E564DD" w:rsidRDefault="00A867D8" w:rsidP="00A867D8">
            <w:pPr>
              <w:pStyle w:val="Tabletext"/>
              <w:rPr>
                <w:rFonts w:cs="Tahoma"/>
              </w:rPr>
            </w:pPr>
            <w:r w:rsidRPr="00E564DD">
              <w:rPr>
                <w:rFonts w:cs="Tahoma"/>
              </w:rPr>
              <w:t>Not serious</w:t>
            </w:r>
          </w:p>
        </w:tc>
        <w:tc>
          <w:tcPr>
            <w:tcW w:w="1072" w:type="dxa"/>
          </w:tcPr>
          <w:p w:rsidR="00A867D8" w:rsidRPr="00E564DD" w:rsidRDefault="00A867D8" w:rsidP="00A867D8">
            <w:pPr>
              <w:pStyle w:val="Tabletext"/>
              <w:rPr>
                <w:rFonts w:cs="Tahoma"/>
              </w:rPr>
            </w:pPr>
            <w:r w:rsidRPr="00E564DD">
              <w:rPr>
                <w:rFonts w:cs="Tahoma"/>
              </w:rPr>
              <w:t>Not serious</w:t>
            </w:r>
          </w:p>
        </w:tc>
        <w:tc>
          <w:tcPr>
            <w:tcW w:w="992" w:type="dxa"/>
          </w:tcPr>
          <w:p w:rsidR="00A867D8" w:rsidRPr="00E564DD" w:rsidRDefault="00A867D8" w:rsidP="00A867D8">
            <w:pPr>
              <w:pStyle w:val="Tabletext"/>
              <w:rPr>
                <w:rFonts w:cs="Tahoma"/>
              </w:rPr>
            </w:pPr>
            <w:r w:rsidRPr="00E564DD">
              <w:rPr>
                <w:rFonts w:cs="Tahoma"/>
              </w:rPr>
              <w:t>Not serious</w:t>
            </w:r>
          </w:p>
        </w:tc>
        <w:tc>
          <w:tcPr>
            <w:tcW w:w="1134" w:type="dxa"/>
          </w:tcPr>
          <w:p w:rsidR="00A867D8" w:rsidRPr="00E564DD" w:rsidRDefault="00A867D8" w:rsidP="00A867D8">
            <w:pPr>
              <w:pStyle w:val="Tabletext"/>
              <w:rPr>
                <w:rFonts w:cs="Tahoma"/>
              </w:rPr>
            </w:pPr>
            <w:r>
              <w:rPr>
                <w:rFonts w:cs="Tahoma"/>
              </w:rPr>
              <w:t>Very s</w:t>
            </w:r>
            <w:r w:rsidRPr="00E564DD">
              <w:rPr>
                <w:rFonts w:cs="Tahoma"/>
              </w:rPr>
              <w:t>erious</w:t>
            </w:r>
            <w:r>
              <w:rPr>
                <w:rFonts w:cs="Tahoma"/>
                <w:vertAlign w:val="superscript"/>
              </w:rPr>
              <w:t xml:space="preserve"> c</w:t>
            </w:r>
          </w:p>
        </w:tc>
        <w:tc>
          <w:tcPr>
            <w:tcW w:w="1276" w:type="dxa"/>
          </w:tcPr>
          <w:p w:rsidR="00A867D8" w:rsidRPr="00E564DD" w:rsidRDefault="00A867D8" w:rsidP="00A867D8">
            <w:pPr>
              <w:pStyle w:val="Tabletext"/>
              <w:rPr>
                <w:rFonts w:cs="Tahoma"/>
              </w:rPr>
            </w:pPr>
            <w:r>
              <w:rPr>
                <w:rFonts w:cs="Tahoma"/>
              </w:rPr>
              <w:t>None</w:t>
            </w:r>
          </w:p>
        </w:tc>
        <w:tc>
          <w:tcPr>
            <w:tcW w:w="1417" w:type="dxa"/>
          </w:tcPr>
          <w:p w:rsidR="00A867D8" w:rsidRPr="00485061" w:rsidRDefault="00A867D8" w:rsidP="00A867D8">
            <w:pPr>
              <w:pStyle w:val="Tabletext"/>
              <w:rPr>
                <w:rFonts w:cs="Tahoma"/>
              </w:rPr>
            </w:pPr>
            <w:r>
              <w:rPr>
                <w:rFonts w:cs="Tahoma"/>
              </w:rPr>
              <w:t>2/12 (16.7%)</w:t>
            </w:r>
          </w:p>
        </w:tc>
        <w:tc>
          <w:tcPr>
            <w:tcW w:w="1134" w:type="dxa"/>
          </w:tcPr>
          <w:p w:rsidR="00A867D8" w:rsidRPr="00456F1B" w:rsidRDefault="00A867D8" w:rsidP="00A867D8">
            <w:pPr>
              <w:pStyle w:val="Tabletext"/>
              <w:rPr>
                <w:rFonts w:cs="Tahoma"/>
                <w:highlight w:val="cyan"/>
              </w:rPr>
            </w:pPr>
            <w:r w:rsidRPr="00485061">
              <w:rPr>
                <w:rFonts w:cs="Tahoma"/>
              </w:rPr>
              <w:t>0/6 (0.0%)</w:t>
            </w:r>
          </w:p>
        </w:tc>
        <w:tc>
          <w:tcPr>
            <w:tcW w:w="993" w:type="dxa"/>
          </w:tcPr>
          <w:p w:rsidR="00A867D8" w:rsidRPr="00485061" w:rsidRDefault="00A867D8" w:rsidP="00A867D8">
            <w:pPr>
              <w:pStyle w:val="Tabletext"/>
              <w:rPr>
                <w:rFonts w:cs="Tahoma"/>
              </w:rPr>
            </w:pPr>
            <w:r>
              <w:rPr>
                <w:rFonts w:cs="Tahoma"/>
              </w:rPr>
              <w:t>ARD</w:t>
            </w:r>
            <w:r w:rsidRPr="00485061">
              <w:rPr>
                <w:rFonts w:cs="Tahoma"/>
              </w:rPr>
              <w:t xml:space="preserve"> = </w:t>
            </w:r>
            <w:r>
              <w:rPr>
                <w:rFonts w:cs="Tahoma"/>
              </w:rPr>
              <w:t>16.7% (−4.4, 37.8)</w:t>
            </w:r>
          </w:p>
        </w:tc>
        <w:tc>
          <w:tcPr>
            <w:tcW w:w="2188" w:type="dxa"/>
          </w:tcPr>
          <w:p w:rsidR="00A867D8" w:rsidRPr="00456F1B" w:rsidRDefault="00A867D8" w:rsidP="00A867D8">
            <w:pPr>
              <w:pStyle w:val="Tabletext"/>
              <w:rPr>
                <w:rFonts w:cs="Tahoma"/>
                <w:highlight w:val="cyan"/>
              </w:rPr>
            </w:pPr>
            <w:r w:rsidRPr="00485061">
              <w:rPr>
                <w:rFonts w:cs="Tahoma"/>
              </w:rPr>
              <w:t>16</w:t>
            </w:r>
            <w:r>
              <w:rPr>
                <w:rFonts w:cs="Tahoma"/>
              </w:rPr>
              <w:t>7</w:t>
            </w:r>
            <w:r w:rsidRPr="00485061">
              <w:rPr>
                <w:rFonts w:cs="Tahoma"/>
              </w:rPr>
              <w:t xml:space="preserve"> more per 1,000</w:t>
            </w:r>
            <w:r>
              <w:rPr>
                <w:rFonts w:cs="Tahoma"/>
              </w:rPr>
              <w:br/>
            </w:r>
            <w:r w:rsidRPr="00485061">
              <w:rPr>
                <w:rFonts w:cs="Tahoma"/>
              </w:rPr>
              <w:t>(from 44 fewer to 378 more)</w:t>
            </w:r>
          </w:p>
        </w:tc>
        <w:tc>
          <w:tcPr>
            <w:tcW w:w="1214" w:type="dxa"/>
          </w:tcPr>
          <w:p w:rsidR="00A867D8" w:rsidRDefault="00A867D8" w:rsidP="00A867D8">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A867D8" w:rsidRPr="00E564DD" w:rsidRDefault="00A867D8" w:rsidP="00A867D8">
            <w:pPr>
              <w:pStyle w:val="Tabletext"/>
              <w:rPr>
                <w:rFonts w:cs="Tahoma"/>
              </w:rPr>
            </w:pPr>
            <w:r w:rsidRPr="00E564DD">
              <w:rPr>
                <w:rFonts w:cs="Tahoma"/>
              </w:rPr>
              <w:t>Important</w:t>
            </w:r>
          </w:p>
        </w:tc>
      </w:tr>
      <w:tr w:rsidR="00A867D8" w:rsidRPr="00E564DD" w:rsidTr="00BE3319">
        <w:trPr>
          <w:trHeight w:val="319"/>
        </w:trPr>
        <w:tc>
          <w:tcPr>
            <w:tcW w:w="1493" w:type="dxa"/>
          </w:tcPr>
          <w:p w:rsidR="00A867D8" w:rsidRPr="00BE59C4" w:rsidRDefault="00A867D8" w:rsidP="00A867D8">
            <w:pPr>
              <w:pStyle w:val="Tabletext"/>
              <w:rPr>
                <w:rFonts w:cs="Tahoma"/>
              </w:rPr>
            </w:pPr>
            <w:r w:rsidRPr="00BE59C4">
              <w:rPr>
                <w:rFonts w:cs="Tahoma"/>
              </w:rPr>
              <w:t>AEs leading to treatment discontinuation</w:t>
            </w:r>
            <w:r w:rsidRPr="00BE59C4">
              <w:rPr>
                <w:rFonts w:cs="Tahoma"/>
              </w:rPr>
              <w:br/>
              <w:t>(24−104 weeks)</w:t>
            </w:r>
          </w:p>
        </w:tc>
        <w:tc>
          <w:tcPr>
            <w:tcW w:w="1054" w:type="dxa"/>
          </w:tcPr>
          <w:p w:rsidR="00A867D8" w:rsidRPr="00E564DD" w:rsidRDefault="00A867D8" w:rsidP="00A867D8">
            <w:pPr>
              <w:pStyle w:val="Tabletext"/>
              <w:rPr>
                <w:rFonts w:cs="Tahoma"/>
              </w:rPr>
            </w:pPr>
            <w:r>
              <w:rPr>
                <w:rFonts w:cs="Tahoma"/>
              </w:rPr>
              <w:t>1</w:t>
            </w:r>
            <w:r w:rsidRPr="00E564DD">
              <w:rPr>
                <w:rFonts w:cs="Tahoma"/>
              </w:rPr>
              <w:t xml:space="preserve"> RCT</w:t>
            </w:r>
          </w:p>
        </w:tc>
        <w:tc>
          <w:tcPr>
            <w:tcW w:w="771" w:type="dxa"/>
          </w:tcPr>
          <w:p w:rsidR="00A867D8" w:rsidRPr="00E564DD" w:rsidRDefault="00A867D8" w:rsidP="00A867D8">
            <w:pPr>
              <w:pStyle w:val="Tabletext"/>
              <w:rPr>
                <w:rFonts w:cs="Tahoma"/>
              </w:rPr>
            </w:pPr>
            <w:r w:rsidRPr="00E564DD">
              <w:rPr>
                <w:rFonts w:cs="Tahoma"/>
              </w:rPr>
              <w:t>Not serious</w:t>
            </w:r>
          </w:p>
        </w:tc>
        <w:tc>
          <w:tcPr>
            <w:tcW w:w="1072" w:type="dxa"/>
          </w:tcPr>
          <w:p w:rsidR="00A867D8" w:rsidRPr="00E564DD" w:rsidRDefault="00A867D8" w:rsidP="00A867D8">
            <w:pPr>
              <w:pStyle w:val="Tabletext"/>
              <w:rPr>
                <w:rFonts w:cs="Tahoma"/>
              </w:rPr>
            </w:pPr>
            <w:r w:rsidRPr="00E564DD">
              <w:rPr>
                <w:rFonts w:cs="Tahoma"/>
              </w:rPr>
              <w:t>Not serious</w:t>
            </w:r>
          </w:p>
        </w:tc>
        <w:tc>
          <w:tcPr>
            <w:tcW w:w="992" w:type="dxa"/>
          </w:tcPr>
          <w:p w:rsidR="00A867D8" w:rsidRPr="00E564DD" w:rsidRDefault="00A867D8" w:rsidP="00A867D8">
            <w:pPr>
              <w:pStyle w:val="Tabletext"/>
              <w:rPr>
                <w:rFonts w:cs="Tahoma"/>
              </w:rPr>
            </w:pPr>
            <w:r w:rsidRPr="00E564DD">
              <w:rPr>
                <w:rFonts w:cs="Tahoma"/>
              </w:rPr>
              <w:t>Not serious</w:t>
            </w:r>
          </w:p>
        </w:tc>
        <w:tc>
          <w:tcPr>
            <w:tcW w:w="1134" w:type="dxa"/>
          </w:tcPr>
          <w:p w:rsidR="00A867D8" w:rsidRPr="00E564DD" w:rsidRDefault="00A867D8" w:rsidP="00A867D8">
            <w:pPr>
              <w:pStyle w:val="Tabletext"/>
              <w:rPr>
                <w:rFonts w:cs="Tahoma"/>
              </w:rPr>
            </w:pPr>
            <w:r>
              <w:rPr>
                <w:rFonts w:cs="Tahoma"/>
              </w:rPr>
              <w:t>Very s</w:t>
            </w:r>
            <w:r w:rsidRPr="00E564DD">
              <w:rPr>
                <w:rFonts w:cs="Tahoma"/>
              </w:rPr>
              <w:t>erious</w:t>
            </w:r>
            <w:r>
              <w:rPr>
                <w:rFonts w:cs="Tahoma"/>
                <w:vertAlign w:val="superscript"/>
              </w:rPr>
              <w:t xml:space="preserve"> c</w:t>
            </w:r>
          </w:p>
        </w:tc>
        <w:tc>
          <w:tcPr>
            <w:tcW w:w="1276" w:type="dxa"/>
          </w:tcPr>
          <w:p w:rsidR="00A867D8" w:rsidRPr="00E564DD" w:rsidRDefault="00A867D8" w:rsidP="00A867D8">
            <w:pPr>
              <w:pStyle w:val="Tabletext"/>
              <w:rPr>
                <w:rFonts w:cs="Tahoma"/>
              </w:rPr>
            </w:pPr>
            <w:r>
              <w:rPr>
                <w:rFonts w:cs="Tahoma"/>
              </w:rPr>
              <w:t>None</w:t>
            </w:r>
          </w:p>
        </w:tc>
        <w:tc>
          <w:tcPr>
            <w:tcW w:w="1417" w:type="dxa"/>
          </w:tcPr>
          <w:p w:rsidR="00A867D8" w:rsidRPr="00485061" w:rsidRDefault="00A867D8" w:rsidP="00A867D8">
            <w:pPr>
              <w:pStyle w:val="Tabletext"/>
              <w:rPr>
                <w:rFonts w:cs="Tahoma"/>
              </w:rPr>
            </w:pPr>
            <w:r>
              <w:rPr>
                <w:rFonts w:cs="Tahoma"/>
              </w:rPr>
              <w:t>1/12 (8.3%)</w:t>
            </w:r>
          </w:p>
        </w:tc>
        <w:tc>
          <w:tcPr>
            <w:tcW w:w="1134" w:type="dxa"/>
          </w:tcPr>
          <w:p w:rsidR="00A867D8" w:rsidRPr="00456F1B" w:rsidRDefault="00A867D8" w:rsidP="00A867D8">
            <w:pPr>
              <w:pStyle w:val="Tabletext"/>
              <w:rPr>
                <w:rFonts w:cs="Tahoma"/>
                <w:highlight w:val="cyan"/>
              </w:rPr>
            </w:pPr>
            <w:r w:rsidRPr="00485061">
              <w:rPr>
                <w:rFonts w:cs="Tahoma"/>
              </w:rPr>
              <w:t>0/6 (0.0%)</w:t>
            </w:r>
          </w:p>
        </w:tc>
        <w:tc>
          <w:tcPr>
            <w:tcW w:w="993" w:type="dxa"/>
          </w:tcPr>
          <w:p w:rsidR="00A867D8" w:rsidRPr="00456F1B" w:rsidRDefault="00A867D8" w:rsidP="00A867D8">
            <w:pPr>
              <w:pStyle w:val="Tabletext"/>
              <w:rPr>
                <w:rFonts w:cs="Tahoma"/>
                <w:highlight w:val="cyan"/>
              </w:rPr>
            </w:pPr>
            <w:r>
              <w:rPr>
                <w:rFonts w:cs="Tahoma"/>
              </w:rPr>
              <w:t>ARD</w:t>
            </w:r>
            <w:r w:rsidRPr="00485061">
              <w:rPr>
                <w:rFonts w:cs="Tahoma"/>
              </w:rPr>
              <w:t xml:space="preserve"> = </w:t>
            </w:r>
            <w:r>
              <w:rPr>
                <w:rFonts w:cs="Tahoma"/>
              </w:rPr>
              <w:t>8</w:t>
            </w:r>
            <w:r w:rsidRPr="00485061">
              <w:rPr>
                <w:rFonts w:cs="Tahoma"/>
              </w:rPr>
              <w:t>.</w:t>
            </w:r>
            <w:r>
              <w:rPr>
                <w:rFonts w:cs="Tahoma"/>
              </w:rPr>
              <w:t>3</w:t>
            </w:r>
            <w:r w:rsidRPr="00485061">
              <w:rPr>
                <w:rFonts w:cs="Tahoma"/>
              </w:rPr>
              <w:t>% (−</w:t>
            </w:r>
            <w:r>
              <w:rPr>
                <w:rFonts w:cs="Tahoma"/>
              </w:rPr>
              <w:t>7</w:t>
            </w:r>
            <w:r w:rsidRPr="00485061">
              <w:rPr>
                <w:rFonts w:cs="Tahoma"/>
              </w:rPr>
              <w:t>.</w:t>
            </w:r>
            <w:r>
              <w:rPr>
                <w:rFonts w:cs="Tahoma"/>
              </w:rPr>
              <w:t>3</w:t>
            </w:r>
            <w:r w:rsidRPr="00485061">
              <w:rPr>
                <w:rFonts w:cs="Tahoma"/>
              </w:rPr>
              <w:t xml:space="preserve">, </w:t>
            </w:r>
            <w:r>
              <w:rPr>
                <w:rFonts w:cs="Tahoma"/>
              </w:rPr>
              <w:t>24</w:t>
            </w:r>
            <w:r w:rsidRPr="00485061">
              <w:rPr>
                <w:rFonts w:cs="Tahoma"/>
              </w:rPr>
              <w:t>.</w:t>
            </w:r>
            <w:r>
              <w:rPr>
                <w:rFonts w:cs="Tahoma"/>
              </w:rPr>
              <w:t>0</w:t>
            </w:r>
            <w:r w:rsidRPr="00485061">
              <w:rPr>
                <w:rFonts w:cs="Tahoma"/>
              </w:rPr>
              <w:t>)</w:t>
            </w:r>
          </w:p>
        </w:tc>
        <w:tc>
          <w:tcPr>
            <w:tcW w:w="2188" w:type="dxa"/>
          </w:tcPr>
          <w:p w:rsidR="00A867D8" w:rsidRPr="00456F1B" w:rsidRDefault="00A867D8" w:rsidP="00A867D8">
            <w:pPr>
              <w:pStyle w:val="Tabletext"/>
              <w:rPr>
                <w:rFonts w:cs="Tahoma"/>
                <w:highlight w:val="cyan"/>
              </w:rPr>
            </w:pPr>
            <w:r w:rsidRPr="00485061">
              <w:rPr>
                <w:rFonts w:cs="Tahoma"/>
              </w:rPr>
              <w:t>83 more per 1,000</w:t>
            </w:r>
            <w:r>
              <w:rPr>
                <w:rFonts w:cs="Tahoma"/>
              </w:rPr>
              <w:br/>
            </w:r>
            <w:r w:rsidRPr="00485061">
              <w:rPr>
                <w:rFonts w:cs="Tahoma"/>
              </w:rPr>
              <w:t>(from 73 fewer to 240 more)</w:t>
            </w:r>
          </w:p>
        </w:tc>
        <w:tc>
          <w:tcPr>
            <w:tcW w:w="1214" w:type="dxa"/>
          </w:tcPr>
          <w:p w:rsidR="00A867D8" w:rsidRDefault="00A867D8" w:rsidP="00A867D8">
            <w:pPr>
              <w:pStyle w:val="Tabletext"/>
              <w:rPr>
                <w:rFonts w:ascii="Cambria Math" w:eastAsia="Times New Roman" w:hAnsi="Cambria Math" w:cs="Cambria Math"/>
                <w:bCs/>
              </w:rPr>
            </w:pPr>
            <w:r>
              <w:rPr>
                <w:rFonts w:eastAsia="Times New Roman" w:cs="Tahoma"/>
                <w:bCs/>
              </w:rPr>
              <w:t>Low</w:t>
            </w:r>
            <w:r>
              <w:rPr>
                <w:rFonts w:eastAsia="Times New Roman" w:cs="Tahoma"/>
                <w:bCs/>
              </w:rPr>
              <w:br/>
            </w:r>
            <w:r>
              <w:rPr>
                <w:rFonts w:ascii="Cambria Math" w:eastAsia="Times New Roman" w:hAnsi="Cambria Math" w:cs="Cambria Math"/>
                <w:bCs/>
                <w:color w:val="00B050"/>
              </w:rPr>
              <w:t>⨁⨁</w:t>
            </w:r>
            <w:r w:rsidRPr="00E564DD">
              <w:rPr>
                <w:rFonts w:ascii="Cambria Math" w:eastAsia="Times New Roman" w:hAnsi="Cambria Math" w:cs="Cambria Math"/>
                <w:bCs/>
                <w:color w:val="FF0000"/>
              </w:rPr>
              <w:t>⨀⨀</w:t>
            </w:r>
          </w:p>
          <w:p w:rsidR="00A867D8" w:rsidRPr="007E63F8" w:rsidRDefault="00A867D8" w:rsidP="00A867D8">
            <w:pPr>
              <w:pStyle w:val="Tabletext"/>
              <w:rPr>
                <w:rFonts w:ascii="Cambria Math" w:eastAsia="Times New Roman" w:hAnsi="Cambria Math" w:cs="Cambria Math"/>
                <w:bCs/>
                <w:color w:val="00B050"/>
              </w:rPr>
            </w:pPr>
            <w:r w:rsidRPr="00E564DD">
              <w:rPr>
                <w:rFonts w:cs="Tahoma"/>
              </w:rPr>
              <w:t>Important</w:t>
            </w:r>
          </w:p>
        </w:tc>
      </w:tr>
    </w:tbl>
    <w:p w:rsidR="00CC3BA4" w:rsidRPr="00AA018C" w:rsidRDefault="00CC3BA4" w:rsidP="00A93200">
      <w:pPr>
        <w:pStyle w:val="Tablenote"/>
      </w:pPr>
      <w:proofErr w:type="gramStart"/>
      <w:r w:rsidRPr="00E564DD">
        <w:rPr>
          <w:vertAlign w:val="superscript"/>
        </w:rPr>
        <w:t>a</w:t>
      </w:r>
      <w:proofErr w:type="gramEnd"/>
      <w:r w:rsidRPr="00E564DD">
        <w:rPr>
          <w:vertAlign w:val="superscript"/>
        </w:rPr>
        <w:t xml:space="preserve"> </w:t>
      </w:r>
      <w:r w:rsidRPr="00AA018C">
        <w:t>O</w:t>
      </w:r>
      <w:r>
        <w:t>ther considerations such as publication bias and effect size</w:t>
      </w:r>
    </w:p>
    <w:p w:rsidR="00CC3BA4" w:rsidRDefault="00CC3BA4" w:rsidP="00A93200">
      <w:pPr>
        <w:pStyle w:val="Tablenote"/>
      </w:pPr>
      <w:proofErr w:type="gramStart"/>
      <w:r>
        <w:rPr>
          <w:vertAlign w:val="superscript"/>
        </w:rPr>
        <w:t>b</w:t>
      </w:r>
      <w:proofErr w:type="gramEnd"/>
      <w:r>
        <w:rPr>
          <w:vertAlign w:val="superscript"/>
        </w:rPr>
        <w:t xml:space="preserve"> </w:t>
      </w:r>
      <w:r w:rsidRPr="00E564DD">
        <w:t>GRADE W</w:t>
      </w:r>
      <w:r>
        <w:t>orking Group grades of evidence</w:t>
      </w:r>
      <w:r w:rsidR="001D34EE" w:rsidRPr="001D34EE">
        <w:rPr>
          <w:noProof/>
          <w:vertAlign w:val="superscript"/>
        </w:rPr>
        <w:t>1</w:t>
      </w:r>
    </w:p>
    <w:p w:rsidR="00A867D8" w:rsidRPr="00A867D8" w:rsidRDefault="00A867D8" w:rsidP="00A93200">
      <w:pPr>
        <w:pStyle w:val="Tablenote"/>
      </w:pPr>
      <w:proofErr w:type="gramStart"/>
      <w:r>
        <w:rPr>
          <w:vertAlign w:val="superscript"/>
        </w:rPr>
        <w:t>c</w:t>
      </w:r>
      <w:proofErr w:type="gramEnd"/>
      <w:r>
        <w:rPr>
          <w:vertAlign w:val="superscript"/>
        </w:rPr>
        <w:t xml:space="preserve"> </w:t>
      </w:r>
      <w:r>
        <w:t>Small study size</w:t>
      </w:r>
    </w:p>
    <w:p w:rsidR="00A867D8" w:rsidRPr="006316DF" w:rsidRDefault="00A867D8" w:rsidP="00A867D8">
      <w:pPr>
        <w:pStyle w:val="Tablenote"/>
      </w:pPr>
      <w:r w:rsidRPr="006316DF">
        <w:rPr>
          <w:rFonts w:ascii="Cambria Math" w:hAnsi="Cambria Math" w:cs="Cambria Math"/>
          <w:color w:val="00B050"/>
        </w:rPr>
        <w:t>⨁⨁</w:t>
      </w:r>
      <w:r w:rsidRPr="006316DF">
        <w:rPr>
          <w:rFonts w:ascii="Cambria Math" w:hAnsi="Cambria Math" w:cs="Cambria Math"/>
          <w:color w:val="C00000"/>
        </w:rPr>
        <w:t>⨀⨀</w:t>
      </w:r>
      <w:r w:rsidRPr="006316DF">
        <w:rPr>
          <w:rFonts w:cs="Cambria Math"/>
          <w:color w:val="C00000"/>
        </w:rPr>
        <w:t xml:space="preserve"> </w:t>
      </w:r>
      <w:r w:rsidRPr="006316DF">
        <w:rPr>
          <w:b/>
        </w:rPr>
        <w:t>Low quality:</w:t>
      </w:r>
      <w:r w:rsidRPr="006316DF">
        <w:t xml:space="preserve"> Our confidence in the effect estimate is limited: The true effect may be substantially different from the estimate of the effect</w:t>
      </w:r>
    </w:p>
    <w:p w:rsidR="00814438" w:rsidRDefault="00D3348D" w:rsidP="00A93200">
      <w:pPr>
        <w:pStyle w:val="Tablenote"/>
      </w:pPr>
      <w:r>
        <w:t>AE = adverse event</w:t>
      </w:r>
      <w:r w:rsidR="00CC3BA4">
        <w:t xml:space="preserve">; </w:t>
      </w:r>
      <w:r w:rsidR="00B21201">
        <w:t>ARD</w:t>
      </w:r>
      <w:r w:rsidR="00CC3BA4">
        <w:t xml:space="preserve"> = absolute risk </w:t>
      </w:r>
      <w:r w:rsidR="00B21201">
        <w:t>difference</w:t>
      </w:r>
      <w:r w:rsidR="00CC3BA4">
        <w:t xml:space="preserve">; CI = confidence interval; </w:t>
      </w:r>
      <w:r w:rsidR="00385E5A">
        <w:t>GRADE = grading of recommendations assessment, development and evaluation</w:t>
      </w:r>
      <w:r w:rsidR="001D34EE" w:rsidRPr="001D34EE">
        <w:rPr>
          <w:noProof/>
          <w:vertAlign w:val="superscript"/>
        </w:rPr>
        <w:t>1</w:t>
      </w:r>
      <w:r w:rsidR="00814438" w:rsidRPr="00F24B06">
        <w:t xml:space="preserve">; </w:t>
      </w:r>
      <w:r w:rsidR="00CC3BA4" w:rsidRPr="00C65B42">
        <w:t xml:space="preserve">PAH = pulmonary arterial hypertension; </w:t>
      </w:r>
      <w:r w:rsidR="00CC3BA4" w:rsidRPr="009B5AB3">
        <w:t>PDE-5</w:t>
      </w:r>
      <w:r w:rsidR="00814438">
        <w:t>i</w:t>
      </w:r>
      <w:r w:rsidR="00CC3BA4" w:rsidRPr="009B5AB3">
        <w:t xml:space="preserve"> = phosphodiesterase type-5</w:t>
      </w:r>
      <w:r w:rsidR="00814438">
        <w:t xml:space="preserve"> inhibitor</w:t>
      </w:r>
      <w:r w:rsidR="00CC3BA4">
        <w:t>;</w:t>
      </w:r>
      <w:r w:rsidR="00CC3BA4" w:rsidRPr="009B5AB3">
        <w:t xml:space="preserve"> </w:t>
      </w:r>
      <w:r w:rsidR="00CC3BA4">
        <w:t>RCT = randomised controlled trial; RR = relative risk</w:t>
      </w:r>
      <w:r w:rsidR="00074B5F">
        <w:t>;</w:t>
      </w:r>
      <w:r w:rsidR="00074B5F" w:rsidRPr="00074B5F">
        <w:t xml:space="preserve"> sGC = soluble guanylate cyclase stimulator</w:t>
      </w:r>
    </w:p>
    <w:p w:rsidR="00CC3BA4" w:rsidRPr="006632FB" w:rsidRDefault="00CC3BA4" w:rsidP="00BF48DF">
      <w:pPr>
        <w:pStyle w:val="Heading4"/>
      </w:pPr>
      <w:proofErr w:type="gramStart"/>
      <w:r>
        <w:lastRenderedPageBreak/>
        <w:t>sGC</w:t>
      </w:r>
      <w:proofErr w:type="gramEnd"/>
      <w:r>
        <w:t xml:space="preserve"> stimulator</w:t>
      </w:r>
      <w:r w:rsidRPr="006632FB">
        <w:t xml:space="preserve"> in addition to </w:t>
      </w:r>
      <w:r>
        <w:t xml:space="preserve">a </w:t>
      </w:r>
      <w:r w:rsidR="0017012F">
        <w:t>prostanoid</w:t>
      </w:r>
    </w:p>
    <w:p w:rsidR="00CC3BA4" w:rsidRPr="002046A0" w:rsidRDefault="002046A0" w:rsidP="00BC5A2B">
      <w:pPr>
        <w:pStyle w:val="Caption"/>
        <w:rPr>
          <w:highlight w:val="black"/>
        </w:rPr>
      </w:pPr>
      <w:r>
        <w:rPr>
          <w:noProof/>
          <w:color w:val="000000"/>
          <w:highlight w:val="black"/>
        </w:rPr>
        <w:t>''''''''''' '''''''''''''''''''''''''''' ''''''''''''' '''''''''' ''''' ''''''''''''''''''''''''' ''''' ''''''' ''''''''''''''''' ''' ''''''''''''''''''' ''''''''''''''''''''''' '''''''''''''''' '''''''''''''''''' '''' '''''''''''''''''''' '''''''''''''''''''''''''' '''''' ''''' ''''''' ''''''''''''''''</w:t>
      </w:r>
    </w:p>
    <w:tbl>
      <w:tblPr>
        <w:tblStyle w:val="TableGrid"/>
        <w:tblW w:w="14738" w:type="dxa"/>
        <w:tblLayout w:type="fixed"/>
        <w:tblLook w:val="04A0" w:firstRow="1" w:lastRow="0" w:firstColumn="1" w:lastColumn="0" w:noHBand="0" w:noVBand="1"/>
        <w:tblCaption w:val="Evidence profile table for effectiveness of sGC stimulator + prostanoid combination therapy compared to prostanoid monotherapy for all PAH patients"/>
      </w:tblPr>
      <w:tblGrid>
        <w:gridCol w:w="1493"/>
        <w:gridCol w:w="1054"/>
        <w:gridCol w:w="912"/>
        <w:gridCol w:w="931"/>
        <w:gridCol w:w="992"/>
        <w:gridCol w:w="1134"/>
        <w:gridCol w:w="1276"/>
        <w:gridCol w:w="1417"/>
        <w:gridCol w:w="1134"/>
        <w:gridCol w:w="993"/>
        <w:gridCol w:w="2188"/>
        <w:gridCol w:w="1214"/>
      </w:tblGrid>
      <w:tr w:rsidR="00A93200" w:rsidRPr="00636E0F" w:rsidTr="00BE3319">
        <w:trPr>
          <w:cnfStyle w:val="100000000000" w:firstRow="1" w:lastRow="0" w:firstColumn="0" w:lastColumn="0" w:oddVBand="0" w:evenVBand="0" w:oddHBand="0" w:evenHBand="0" w:firstRowFirstColumn="0" w:firstRowLastColumn="0" w:lastRowFirstColumn="0" w:lastRowLastColumn="0"/>
          <w:trHeight w:val="597"/>
        </w:trPr>
        <w:tc>
          <w:tcPr>
            <w:tcW w:w="1493" w:type="dxa"/>
          </w:tcPr>
          <w:p w:rsidR="00476F09" w:rsidRPr="002046A0" w:rsidRDefault="002046A0" w:rsidP="00A93200">
            <w:pPr>
              <w:pStyle w:val="Tabletext"/>
              <w:rPr>
                <w:b/>
                <w:highlight w:val="black"/>
              </w:rPr>
            </w:pPr>
            <w:r>
              <w:rPr>
                <w:b/>
                <w:noProof/>
                <w:color w:val="000000"/>
                <w:highlight w:val="black"/>
              </w:rPr>
              <w:t>''''''''''''''''' '''''''''''''''''''''''</w:t>
            </w:r>
          </w:p>
        </w:tc>
        <w:tc>
          <w:tcPr>
            <w:tcW w:w="1054" w:type="dxa"/>
          </w:tcPr>
          <w:p w:rsidR="00476F09" w:rsidRPr="002046A0" w:rsidRDefault="002046A0" w:rsidP="00A93200">
            <w:pPr>
              <w:pStyle w:val="Tabletext"/>
              <w:rPr>
                <w:b/>
                <w:highlight w:val="black"/>
              </w:rPr>
            </w:pPr>
            <w:r>
              <w:rPr>
                <w:b/>
                <w:noProof/>
                <w:color w:val="000000"/>
                <w:highlight w:val="black"/>
              </w:rPr>
              <w:t>'''''''' ''''' ''''''''''''''' '''''''' ''''''''''' ''''''''''''''</w:t>
            </w:r>
          </w:p>
        </w:tc>
        <w:tc>
          <w:tcPr>
            <w:tcW w:w="912" w:type="dxa"/>
          </w:tcPr>
          <w:p w:rsidR="00476F09" w:rsidRPr="002046A0" w:rsidRDefault="002046A0" w:rsidP="00A93200">
            <w:pPr>
              <w:pStyle w:val="Tabletext"/>
              <w:rPr>
                <w:b/>
                <w:highlight w:val="black"/>
              </w:rPr>
            </w:pPr>
            <w:r>
              <w:rPr>
                <w:b/>
                <w:noProof/>
                <w:color w:val="000000"/>
                <w:highlight w:val="black"/>
              </w:rPr>
              <w:t>''''''''' '''' '''''''''</w:t>
            </w:r>
          </w:p>
        </w:tc>
        <w:tc>
          <w:tcPr>
            <w:tcW w:w="931" w:type="dxa"/>
          </w:tcPr>
          <w:p w:rsidR="00476F09" w:rsidRPr="002046A0" w:rsidRDefault="002046A0" w:rsidP="00A93200">
            <w:pPr>
              <w:pStyle w:val="Tabletext"/>
              <w:rPr>
                <w:b/>
                <w:highlight w:val="black"/>
              </w:rPr>
            </w:pPr>
            <w:r>
              <w:rPr>
                <w:b/>
                <w:noProof/>
                <w:color w:val="000000"/>
                <w:highlight w:val="black"/>
              </w:rPr>
              <w:t>'''''''''''''''''''''''''''''''''</w:t>
            </w:r>
          </w:p>
        </w:tc>
        <w:tc>
          <w:tcPr>
            <w:tcW w:w="992" w:type="dxa"/>
          </w:tcPr>
          <w:p w:rsidR="00476F09" w:rsidRPr="002046A0" w:rsidRDefault="002046A0" w:rsidP="00A93200">
            <w:pPr>
              <w:pStyle w:val="Tabletext"/>
              <w:rPr>
                <w:b/>
                <w:highlight w:val="black"/>
              </w:rPr>
            </w:pPr>
            <w:r>
              <w:rPr>
                <w:b/>
                <w:noProof/>
                <w:color w:val="000000"/>
                <w:highlight w:val="black"/>
              </w:rPr>
              <w:t>'''''''''''''''''''''''''''''</w:t>
            </w:r>
          </w:p>
        </w:tc>
        <w:tc>
          <w:tcPr>
            <w:tcW w:w="1134" w:type="dxa"/>
          </w:tcPr>
          <w:p w:rsidR="00476F09" w:rsidRPr="002046A0" w:rsidRDefault="002046A0" w:rsidP="00A93200">
            <w:pPr>
              <w:pStyle w:val="Tabletext"/>
              <w:rPr>
                <w:b/>
                <w:highlight w:val="black"/>
              </w:rPr>
            </w:pPr>
            <w:r>
              <w:rPr>
                <w:b/>
                <w:noProof/>
                <w:color w:val="000000"/>
                <w:highlight w:val="black"/>
              </w:rPr>
              <w:t>''''''''''''''''''''''''</w:t>
            </w:r>
          </w:p>
        </w:tc>
        <w:tc>
          <w:tcPr>
            <w:tcW w:w="1276" w:type="dxa"/>
          </w:tcPr>
          <w:p w:rsidR="00476F09" w:rsidRPr="002046A0" w:rsidRDefault="002046A0" w:rsidP="00A93200">
            <w:pPr>
              <w:pStyle w:val="Tabletext"/>
              <w:rPr>
                <w:b/>
                <w:highlight w:val="black"/>
              </w:rPr>
            </w:pPr>
            <w:r>
              <w:rPr>
                <w:b/>
                <w:noProof/>
                <w:color w:val="000000"/>
                <w:highlight w:val="black"/>
              </w:rPr>
              <w:t>'''''''''' ''''''''''''''''''''''''''''''''''</w:t>
            </w:r>
          </w:p>
        </w:tc>
        <w:tc>
          <w:tcPr>
            <w:tcW w:w="1417" w:type="dxa"/>
          </w:tcPr>
          <w:p w:rsidR="00476F09" w:rsidRPr="002046A0" w:rsidRDefault="002046A0" w:rsidP="00A93200">
            <w:pPr>
              <w:pStyle w:val="Tabletext"/>
              <w:rPr>
                <w:b/>
                <w:highlight w:val="black"/>
              </w:rPr>
            </w:pPr>
            <w:r>
              <w:rPr>
                <w:b/>
                <w:noProof/>
                <w:color w:val="000000"/>
                <w:highlight w:val="black"/>
              </w:rPr>
              <w:t>''''''''''''' ''''''''''' '''''''''' '''''' ''''''''' '''''''' ''' '''''''''''''''''''''</w:t>
            </w:r>
          </w:p>
        </w:tc>
        <w:tc>
          <w:tcPr>
            <w:tcW w:w="1134" w:type="dxa"/>
          </w:tcPr>
          <w:p w:rsidR="00476F09" w:rsidRPr="002046A0" w:rsidRDefault="002046A0" w:rsidP="00A93200">
            <w:pPr>
              <w:pStyle w:val="Tabletext"/>
              <w:rPr>
                <w:b/>
                <w:highlight w:val="black"/>
              </w:rPr>
            </w:pPr>
            <w:r>
              <w:rPr>
                <w:b/>
                <w:noProof/>
                <w:color w:val="000000"/>
                <w:highlight w:val="black"/>
              </w:rPr>
              <w:t>''''''''''' '''''''''' ''''''''''' '''''' ''''''''' ''''''''''''''''''''''</w:t>
            </w:r>
          </w:p>
        </w:tc>
        <w:tc>
          <w:tcPr>
            <w:tcW w:w="993" w:type="dxa"/>
          </w:tcPr>
          <w:p w:rsidR="00476F09" w:rsidRPr="002046A0" w:rsidRDefault="002046A0" w:rsidP="00A93200">
            <w:pPr>
              <w:pStyle w:val="Tabletext"/>
              <w:rPr>
                <w:b/>
                <w:highlight w:val="black"/>
              </w:rPr>
            </w:pPr>
            <w:r>
              <w:rPr>
                <w:b/>
                <w:noProof/>
                <w:color w:val="000000"/>
                <w:highlight w:val="black"/>
              </w:rPr>
              <w:t>'''''''''''' ''''''''''''''''''' ''''''''''''''</w:t>
            </w:r>
          </w:p>
        </w:tc>
        <w:tc>
          <w:tcPr>
            <w:tcW w:w="2188" w:type="dxa"/>
          </w:tcPr>
          <w:p w:rsidR="00476F09" w:rsidRPr="002046A0" w:rsidRDefault="002046A0" w:rsidP="00A93200">
            <w:pPr>
              <w:pStyle w:val="Tabletext"/>
              <w:rPr>
                <w:b/>
                <w:highlight w:val="black"/>
              </w:rPr>
            </w:pPr>
            <w:r>
              <w:rPr>
                <w:b/>
                <w:noProof/>
                <w:color w:val="000000"/>
                <w:highlight w:val="black"/>
              </w:rPr>
              <w:t>''''''''''''''''' '''''''''''' '''''''''''''''</w:t>
            </w:r>
          </w:p>
        </w:tc>
        <w:tc>
          <w:tcPr>
            <w:tcW w:w="1214" w:type="dxa"/>
          </w:tcPr>
          <w:p w:rsidR="00D3348D" w:rsidRPr="002046A0" w:rsidRDefault="002046A0" w:rsidP="00A93200">
            <w:pPr>
              <w:pStyle w:val="Tabletext"/>
              <w:rPr>
                <w:b/>
                <w:highlight w:val="black"/>
              </w:rPr>
            </w:pPr>
            <w:r>
              <w:rPr>
                <w:b/>
                <w:noProof/>
                <w:color w:val="000000"/>
                <w:highlight w:val="black"/>
              </w:rPr>
              <w:t>''''''''''''''''''</w:t>
            </w:r>
          </w:p>
          <w:p w:rsidR="00476F09" w:rsidRPr="002046A0" w:rsidRDefault="002046A0" w:rsidP="00A93200">
            <w:pPr>
              <w:pStyle w:val="Tabletext"/>
              <w:rPr>
                <w:b/>
                <w:highlight w:val="black"/>
                <w:vertAlign w:val="superscript"/>
              </w:rPr>
            </w:pPr>
            <w:r>
              <w:rPr>
                <w:b/>
                <w:noProof/>
                <w:color w:val="000000"/>
                <w:highlight w:val="black"/>
              </w:rPr>
              <w:t>''''''''''''''</w:t>
            </w:r>
          </w:p>
          <w:p w:rsidR="00476F09" w:rsidRPr="002046A0" w:rsidRDefault="002046A0" w:rsidP="00A93200">
            <w:pPr>
              <w:pStyle w:val="Tabletext"/>
              <w:rPr>
                <w:b/>
                <w:highlight w:val="black"/>
              </w:rPr>
            </w:pPr>
            <w:r>
              <w:rPr>
                <w:b/>
                <w:noProof/>
                <w:color w:val="000000"/>
                <w:highlight w:val="black"/>
              </w:rPr>
              <w:t>''''''''''''''''''''''''</w:t>
            </w:r>
          </w:p>
        </w:tc>
      </w:tr>
      <w:tr w:rsidR="00A867D8" w:rsidRPr="006406B0" w:rsidTr="00BE3319">
        <w:trPr>
          <w:trHeight w:val="319"/>
        </w:trPr>
        <w:tc>
          <w:tcPr>
            <w:tcW w:w="1493" w:type="dxa"/>
          </w:tcPr>
          <w:p w:rsidR="00A867D8" w:rsidRPr="002046A0" w:rsidRDefault="002046A0" w:rsidP="00A867D8">
            <w:pPr>
              <w:pStyle w:val="Tabletext"/>
              <w:rPr>
                <w:rFonts w:cs="Tahoma"/>
                <w:highlight w:val="black"/>
              </w:rPr>
            </w:pPr>
            <w:r>
              <w:rPr>
                <w:rFonts w:cs="Tahoma"/>
                <w:noProof/>
                <w:color w:val="000000"/>
                <w:highlight w:val="black"/>
              </w:rPr>
              <w:t>''''''''''''''''''' ''''''''''''''''''''''''</w:t>
            </w:r>
            <w:r>
              <w:rPr>
                <w:rFonts w:cs="Tahoma"/>
                <w:noProof/>
                <w:color w:val="000000"/>
                <w:highlight w:val="black"/>
              </w:rPr>
              <w:br/>
              <w:t>'''''''' '''''''''''''''''</w:t>
            </w:r>
          </w:p>
        </w:tc>
        <w:tc>
          <w:tcPr>
            <w:tcW w:w="105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1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31"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vertAlign w:val="superscript"/>
              </w:rPr>
            </w:pPr>
            <w:r>
              <w:rPr>
                <w:rFonts w:cs="Tahoma"/>
                <w:noProof/>
                <w:color w:val="000000"/>
                <w:highlight w:val="black"/>
              </w:rPr>
              <w:t>'''''''''''' ''''''''''''''''''' '''</w:t>
            </w:r>
          </w:p>
        </w:tc>
        <w:tc>
          <w:tcPr>
            <w:tcW w:w="1276" w:type="dxa"/>
          </w:tcPr>
          <w:p w:rsidR="00A867D8" w:rsidRPr="002046A0" w:rsidRDefault="002046A0" w:rsidP="00A867D8">
            <w:pPr>
              <w:pStyle w:val="Tabletext"/>
              <w:rPr>
                <w:rFonts w:cs="Tahoma"/>
                <w:highlight w:val="black"/>
              </w:rPr>
            </w:pPr>
            <w:r>
              <w:rPr>
                <w:rFonts w:cs="Tahoma"/>
                <w:noProof/>
                <w:color w:val="000000"/>
                <w:highlight w:val="black"/>
              </w:rPr>
              <w:t>''''''''''''''</w:t>
            </w:r>
          </w:p>
        </w:tc>
        <w:tc>
          <w:tcPr>
            <w:tcW w:w="1417"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3" w:type="dxa"/>
          </w:tcPr>
          <w:p w:rsidR="00A867D8" w:rsidRPr="002046A0" w:rsidRDefault="002046A0" w:rsidP="00A867D8">
            <w:pPr>
              <w:pStyle w:val="Tabletext"/>
              <w:rPr>
                <w:rFonts w:cs="Tahoma"/>
                <w:highlight w:val="black"/>
              </w:rPr>
            </w:pPr>
            <w:r>
              <w:rPr>
                <w:rFonts w:cs="Tahoma"/>
                <w:noProof/>
                <w:color w:val="000000"/>
                <w:highlight w:val="black"/>
              </w:rPr>
              <w:t>''''''''''' ''' '''''''''''''''''''' '''''''''''''''' '''''''''''</w:t>
            </w:r>
          </w:p>
        </w:tc>
        <w:tc>
          <w:tcPr>
            <w:tcW w:w="2188" w:type="dxa"/>
          </w:tcPr>
          <w:p w:rsidR="00A867D8" w:rsidRPr="002046A0" w:rsidRDefault="002046A0" w:rsidP="00A867D8">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A867D8" w:rsidRPr="002046A0" w:rsidRDefault="002046A0" w:rsidP="00A867D8">
            <w:pPr>
              <w:pStyle w:val="Tabletext"/>
              <w:rPr>
                <w:rFonts w:cs="Cambria Math"/>
                <w:bCs/>
                <w:highlight w:val="black"/>
              </w:rPr>
            </w:pPr>
            <w:r>
              <w:rPr>
                <w:rFonts w:cs="Arial"/>
                <w:noProof/>
                <w:color w:val="000000"/>
                <w:highlight w:val="black"/>
              </w:rPr>
              <w:t>''''''''</w:t>
            </w:r>
            <w:r>
              <w:rPr>
                <w:rFonts w:cs="Arial"/>
                <w:noProof/>
                <w:color w:val="000000"/>
                <w:highlight w:val="black"/>
              </w:rPr>
              <w:br/>
              <w:t>'''''''''''''''</w:t>
            </w:r>
          </w:p>
          <w:p w:rsidR="00A867D8" w:rsidRPr="002046A0" w:rsidRDefault="002046A0" w:rsidP="00A867D8">
            <w:pPr>
              <w:pStyle w:val="Tabletext"/>
              <w:rPr>
                <w:rFonts w:cs="Tahoma"/>
                <w:highlight w:val="black"/>
              </w:rPr>
            </w:pPr>
            <w:r>
              <w:rPr>
                <w:rFonts w:cs="Cambria Math"/>
                <w:bCs/>
                <w:noProof/>
                <w:color w:val="000000"/>
                <w:highlight w:val="black"/>
              </w:rPr>
              <w:t xml:space="preserve">'''''''''''''''' </w:t>
            </w:r>
          </w:p>
        </w:tc>
      </w:tr>
      <w:tr w:rsidR="00A867D8" w:rsidRPr="006406B0" w:rsidTr="00BE3319">
        <w:trPr>
          <w:trHeight w:val="319"/>
        </w:trPr>
        <w:tc>
          <w:tcPr>
            <w:tcW w:w="1493" w:type="dxa"/>
          </w:tcPr>
          <w:p w:rsidR="00A867D8" w:rsidRPr="002046A0" w:rsidRDefault="002046A0" w:rsidP="00A867D8">
            <w:pPr>
              <w:pStyle w:val="Tabletext"/>
              <w:rPr>
                <w:rFonts w:cs="Tahoma"/>
                <w:highlight w:val="black"/>
              </w:rPr>
            </w:pPr>
            <w:r>
              <w:rPr>
                <w:rFonts w:cs="Tahoma"/>
                <w:noProof/>
                <w:color w:val="000000"/>
                <w:highlight w:val="black"/>
              </w:rPr>
              <w:t>'''''''''''''''''''''</w:t>
            </w:r>
            <w:r>
              <w:rPr>
                <w:rFonts w:cs="Tahoma"/>
                <w:noProof/>
                <w:color w:val="000000"/>
                <w:highlight w:val="black"/>
              </w:rPr>
              <w:br/>
              <w:t>'''''''' ''''''''''''''''</w:t>
            </w:r>
          </w:p>
        </w:tc>
        <w:tc>
          <w:tcPr>
            <w:tcW w:w="105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1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31"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 '''</w:t>
            </w:r>
          </w:p>
        </w:tc>
        <w:tc>
          <w:tcPr>
            <w:tcW w:w="1276" w:type="dxa"/>
          </w:tcPr>
          <w:p w:rsidR="00A867D8" w:rsidRPr="002046A0" w:rsidRDefault="002046A0" w:rsidP="00A867D8">
            <w:pPr>
              <w:pStyle w:val="Tabletext"/>
              <w:rPr>
                <w:rFonts w:cs="Tahoma"/>
                <w:highlight w:val="black"/>
              </w:rPr>
            </w:pPr>
            <w:r>
              <w:rPr>
                <w:rFonts w:cs="Tahoma"/>
                <w:noProof/>
                <w:color w:val="000000"/>
                <w:highlight w:val="black"/>
              </w:rPr>
              <w:t>''''''''''''''</w:t>
            </w:r>
          </w:p>
        </w:tc>
        <w:tc>
          <w:tcPr>
            <w:tcW w:w="1417"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3" w:type="dxa"/>
          </w:tcPr>
          <w:p w:rsidR="00A867D8" w:rsidRPr="002046A0" w:rsidRDefault="002046A0" w:rsidP="00A867D8">
            <w:pPr>
              <w:pStyle w:val="Tabletext"/>
              <w:rPr>
                <w:rFonts w:cs="Tahoma"/>
                <w:highlight w:val="black"/>
              </w:rPr>
            </w:pPr>
            <w:r>
              <w:rPr>
                <w:rFonts w:cs="Tahoma"/>
                <w:noProof/>
                <w:color w:val="000000"/>
                <w:highlight w:val="black"/>
              </w:rPr>
              <w:t>'''''''''''' '''' ''''''''''''''''' '''''''''''''''''' '''''''''''</w:t>
            </w:r>
          </w:p>
        </w:tc>
        <w:tc>
          <w:tcPr>
            <w:tcW w:w="2188" w:type="dxa"/>
          </w:tcPr>
          <w:p w:rsidR="00A867D8" w:rsidRPr="002046A0" w:rsidRDefault="002046A0" w:rsidP="00A867D8">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A867D8" w:rsidRPr="002046A0" w:rsidRDefault="002046A0" w:rsidP="00A867D8">
            <w:pPr>
              <w:pStyle w:val="Tabletext"/>
              <w:rPr>
                <w:rFonts w:cs="Cambria Math"/>
                <w:bCs/>
                <w:highlight w:val="black"/>
              </w:rPr>
            </w:pPr>
            <w:r>
              <w:rPr>
                <w:rFonts w:cs="Arial"/>
                <w:noProof/>
                <w:color w:val="000000"/>
                <w:highlight w:val="black"/>
              </w:rPr>
              <w:t>''''''''</w:t>
            </w:r>
            <w:r>
              <w:rPr>
                <w:rFonts w:cs="Arial"/>
                <w:noProof/>
                <w:color w:val="000000"/>
                <w:highlight w:val="black"/>
              </w:rPr>
              <w:br/>
              <w:t>''''''''''''''</w:t>
            </w:r>
          </w:p>
          <w:p w:rsidR="00A867D8" w:rsidRPr="002046A0" w:rsidRDefault="002046A0" w:rsidP="00A867D8">
            <w:pPr>
              <w:pStyle w:val="Tabletext"/>
              <w:rPr>
                <w:rFonts w:cs="Tahoma"/>
                <w:highlight w:val="black"/>
              </w:rPr>
            </w:pPr>
            <w:r>
              <w:rPr>
                <w:rFonts w:cs="Arial"/>
                <w:noProof/>
                <w:color w:val="000000"/>
                <w:highlight w:val="black"/>
              </w:rPr>
              <w:t>''''''''''''''''</w:t>
            </w:r>
          </w:p>
        </w:tc>
      </w:tr>
      <w:tr w:rsidR="00A867D8" w:rsidRPr="006406B0" w:rsidTr="00BE3319">
        <w:trPr>
          <w:trHeight w:val="319"/>
        </w:trPr>
        <w:tc>
          <w:tcPr>
            <w:tcW w:w="1493" w:type="dxa"/>
          </w:tcPr>
          <w:p w:rsidR="00A867D8" w:rsidRPr="002046A0" w:rsidRDefault="002046A0" w:rsidP="00A867D8">
            <w:pPr>
              <w:pStyle w:val="Tabletext"/>
              <w:rPr>
                <w:rFonts w:cs="Tahoma"/>
                <w:highlight w:val="black"/>
              </w:rPr>
            </w:pPr>
            <w:r>
              <w:rPr>
                <w:rFonts w:cs="Tahoma"/>
                <w:noProof/>
                <w:color w:val="000000"/>
                <w:highlight w:val="black"/>
              </w:rPr>
              <w:t>'''''''''''''''''''''''''''''''''' '''''''''' ''''' '''''''''''</w:t>
            </w:r>
            <w:r>
              <w:rPr>
                <w:rFonts w:cs="Tahoma"/>
                <w:noProof/>
                <w:color w:val="000000"/>
                <w:highlight w:val="black"/>
              </w:rPr>
              <w:br/>
              <w:t>''''''' '''''''''''''''</w:t>
            </w:r>
          </w:p>
        </w:tc>
        <w:tc>
          <w:tcPr>
            <w:tcW w:w="105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1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31"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 '''</w:t>
            </w:r>
          </w:p>
        </w:tc>
        <w:tc>
          <w:tcPr>
            <w:tcW w:w="1276" w:type="dxa"/>
          </w:tcPr>
          <w:p w:rsidR="00A867D8" w:rsidRPr="002046A0" w:rsidRDefault="002046A0" w:rsidP="00A867D8">
            <w:pPr>
              <w:pStyle w:val="Tabletext"/>
              <w:rPr>
                <w:rFonts w:cs="Tahoma"/>
                <w:highlight w:val="black"/>
              </w:rPr>
            </w:pPr>
            <w:r>
              <w:rPr>
                <w:rFonts w:cs="Tahoma"/>
                <w:noProof/>
                <w:color w:val="000000"/>
                <w:highlight w:val="black"/>
              </w:rPr>
              <w:t>''''''''''''</w:t>
            </w:r>
          </w:p>
        </w:tc>
        <w:tc>
          <w:tcPr>
            <w:tcW w:w="1417"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3"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2188"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214" w:type="dxa"/>
          </w:tcPr>
          <w:p w:rsidR="00A867D8" w:rsidRPr="002046A0" w:rsidRDefault="002046A0" w:rsidP="00A867D8">
            <w:pPr>
              <w:pStyle w:val="Tabletext"/>
              <w:rPr>
                <w:rFonts w:cs="Cambria Math"/>
                <w:bCs/>
                <w:highlight w:val="black"/>
              </w:rPr>
            </w:pPr>
            <w:r>
              <w:rPr>
                <w:rFonts w:cs="Arial"/>
                <w:noProof/>
                <w:color w:val="000000"/>
                <w:highlight w:val="black"/>
              </w:rPr>
              <w:t>''''''''</w:t>
            </w:r>
            <w:r>
              <w:rPr>
                <w:rFonts w:cs="Arial"/>
                <w:noProof/>
                <w:color w:val="000000"/>
                <w:highlight w:val="black"/>
              </w:rPr>
              <w:br/>
              <w:t>''''''''''''''</w:t>
            </w:r>
          </w:p>
          <w:p w:rsidR="00A867D8" w:rsidRPr="002046A0" w:rsidRDefault="002046A0" w:rsidP="00A867D8">
            <w:pPr>
              <w:pStyle w:val="Tabletext"/>
              <w:rPr>
                <w:rFonts w:eastAsia="Times New Roman" w:cs="Cambria Math"/>
                <w:bCs/>
                <w:color w:val="00B050"/>
                <w:highlight w:val="black"/>
              </w:rPr>
            </w:pPr>
            <w:r>
              <w:rPr>
                <w:rFonts w:cs="Arial"/>
                <w:noProof/>
                <w:color w:val="000000"/>
                <w:highlight w:val="black"/>
              </w:rPr>
              <w:t>'''''''''''''''''</w:t>
            </w:r>
          </w:p>
        </w:tc>
      </w:tr>
      <w:tr w:rsidR="00A867D8" w:rsidRPr="006406B0" w:rsidTr="00BE3319">
        <w:trPr>
          <w:trHeight w:val="319"/>
        </w:trPr>
        <w:tc>
          <w:tcPr>
            <w:tcW w:w="1493" w:type="dxa"/>
          </w:tcPr>
          <w:p w:rsidR="00A867D8" w:rsidRPr="002046A0" w:rsidRDefault="002046A0" w:rsidP="00A867D8">
            <w:pPr>
              <w:pStyle w:val="Tabletext"/>
              <w:rPr>
                <w:rFonts w:cs="Tahoma"/>
                <w:highlight w:val="black"/>
              </w:rPr>
            </w:pPr>
            <w:r>
              <w:rPr>
                <w:rFonts w:cs="Tahoma"/>
                <w:noProof/>
                <w:color w:val="000000"/>
                <w:highlight w:val="black"/>
              </w:rPr>
              <w:t>'''''''''''''''''''''''' '''''''''''''' '''''''</w:t>
            </w:r>
            <w:r>
              <w:rPr>
                <w:rFonts w:cs="Tahoma"/>
                <w:noProof/>
                <w:color w:val="000000"/>
                <w:highlight w:val="black"/>
              </w:rPr>
              <w:br/>
              <w:t>'''''''' ''''''''''''''''</w:t>
            </w:r>
          </w:p>
        </w:tc>
        <w:tc>
          <w:tcPr>
            <w:tcW w:w="105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1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31"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 ''''</w:t>
            </w:r>
          </w:p>
        </w:tc>
        <w:tc>
          <w:tcPr>
            <w:tcW w:w="1276" w:type="dxa"/>
          </w:tcPr>
          <w:p w:rsidR="00A867D8" w:rsidRPr="002046A0" w:rsidRDefault="002046A0" w:rsidP="00A867D8">
            <w:pPr>
              <w:pStyle w:val="Tabletext"/>
              <w:rPr>
                <w:rFonts w:cs="Tahoma"/>
                <w:highlight w:val="black"/>
              </w:rPr>
            </w:pPr>
            <w:r>
              <w:rPr>
                <w:rFonts w:cs="Tahoma"/>
                <w:noProof/>
                <w:color w:val="000000"/>
                <w:highlight w:val="black"/>
              </w:rPr>
              <w:t>'''''''''''''</w:t>
            </w:r>
          </w:p>
        </w:tc>
        <w:tc>
          <w:tcPr>
            <w:tcW w:w="1417"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3" w:type="dxa"/>
          </w:tcPr>
          <w:p w:rsidR="00A867D8" w:rsidRPr="002046A0" w:rsidRDefault="002046A0" w:rsidP="00A867D8">
            <w:pPr>
              <w:pStyle w:val="Tabletext"/>
              <w:rPr>
                <w:rFonts w:cs="Tahoma"/>
                <w:highlight w:val="black"/>
              </w:rPr>
            </w:pPr>
            <w:r>
              <w:rPr>
                <w:rFonts w:cs="Tahoma"/>
                <w:noProof/>
                <w:color w:val="000000"/>
                <w:highlight w:val="black"/>
              </w:rPr>
              <w:t>'''''''' ''' ''''''''''' '''''''''''''' '''''''''''''''</w:t>
            </w:r>
          </w:p>
        </w:tc>
        <w:tc>
          <w:tcPr>
            <w:tcW w:w="2188" w:type="dxa"/>
          </w:tcPr>
          <w:p w:rsidR="00A867D8" w:rsidRPr="002046A0" w:rsidRDefault="002046A0" w:rsidP="00A867D8">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A867D8" w:rsidRPr="002046A0" w:rsidRDefault="002046A0" w:rsidP="00A867D8">
            <w:pPr>
              <w:pStyle w:val="Tabletext"/>
              <w:rPr>
                <w:rFonts w:ascii="Cambria Math" w:eastAsia="Times New Roman" w:hAnsi="Cambria Math" w:cs="Cambria Math"/>
                <w:bCs/>
                <w:highlight w:val="black"/>
              </w:rPr>
            </w:pPr>
            <w:r>
              <w:rPr>
                <w:rFonts w:eastAsia="Times New Roman" w:cs="Tahoma"/>
                <w:bCs/>
                <w:noProof/>
                <w:color w:val="000000"/>
                <w:highlight w:val="black"/>
              </w:rPr>
              <w:t>'''''''' '''''''</w:t>
            </w:r>
            <w:r>
              <w:rPr>
                <w:rFonts w:eastAsia="Times New Roman" w:cs="Tahoma"/>
                <w:bCs/>
                <w:noProof/>
                <w:color w:val="000000"/>
                <w:highlight w:val="black"/>
              </w:rPr>
              <w:br/>
              <w:t>''''''''''''''''</w:t>
            </w:r>
          </w:p>
          <w:p w:rsidR="00A867D8" w:rsidRPr="002046A0" w:rsidRDefault="002046A0" w:rsidP="00A867D8">
            <w:pPr>
              <w:pStyle w:val="Tabletext"/>
              <w:rPr>
                <w:rFonts w:eastAsia="Times New Roman" w:cs="Cambria Math"/>
                <w:bCs/>
                <w:color w:val="00B050"/>
                <w:highlight w:val="black"/>
              </w:rPr>
            </w:pPr>
            <w:r>
              <w:rPr>
                <w:rFonts w:cs="Arial"/>
                <w:noProof/>
                <w:color w:val="000000"/>
                <w:highlight w:val="black"/>
              </w:rPr>
              <w:t>'''''''''''''''''''''''</w:t>
            </w:r>
          </w:p>
        </w:tc>
      </w:tr>
      <w:tr w:rsidR="00A867D8" w:rsidRPr="006406B0" w:rsidTr="00BE3319">
        <w:trPr>
          <w:trHeight w:val="319"/>
        </w:trPr>
        <w:tc>
          <w:tcPr>
            <w:tcW w:w="1493" w:type="dxa"/>
          </w:tcPr>
          <w:p w:rsidR="00A867D8" w:rsidRPr="002046A0" w:rsidRDefault="002046A0" w:rsidP="00A867D8">
            <w:pPr>
              <w:pStyle w:val="Tabletext"/>
              <w:rPr>
                <w:rFonts w:cs="Tahoma"/>
                <w:highlight w:val="black"/>
              </w:rPr>
            </w:pPr>
            <w:r>
              <w:rPr>
                <w:rFonts w:cs="Tahoma"/>
                <w:noProof/>
                <w:color w:val="000000"/>
                <w:highlight w:val="black"/>
              </w:rPr>
              <w:t>''''''''''''''''''''''' '''''''''''''' ''''''''</w:t>
            </w:r>
            <w:r>
              <w:rPr>
                <w:rFonts w:cs="Tahoma"/>
                <w:noProof/>
                <w:color w:val="000000"/>
                <w:highlight w:val="black"/>
              </w:rPr>
              <w:br/>
              <w:t>''''''' ''''''''''''''''</w:t>
            </w:r>
          </w:p>
        </w:tc>
        <w:tc>
          <w:tcPr>
            <w:tcW w:w="105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1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31"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 '''</w:t>
            </w:r>
          </w:p>
        </w:tc>
        <w:tc>
          <w:tcPr>
            <w:tcW w:w="1276" w:type="dxa"/>
          </w:tcPr>
          <w:p w:rsidR="00A867D8" w:rsidRPr="002046A0" w:rsidRDefault="002046A0" w:rsidP="00A867D8">
            <w:pPr>
              <w:pStyle w:val="Tabletext"/>
              <w:rPr>
                <w:rFonts w:cs="Tahoma"/>
                <w:highlight w:val="black"/>
              </w:rPr>
            </w:pPr>
            <w:r>
              <w:rPr>
                <w:rFonts w:cs="Tahoma"/>
                <w:noProof/>
                <w:color w:val="000000"/>
                <w:highlight w:val="black"/>
              </w:rPr>
              <w:t>''''''''''''</w:t>
            </w:r>
          </w:p>
        </w:tc>
        <w:tc>
          <w:tcPr>
            <w:tcW w:w="1417"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3" w:type="dxa"/>
          </w:tcPr>
          <w:p w:rsidR="00A867D8" w:rsidRPr="002046A0" w:rsidRDefault="002046A0" w:rsidP="00A867D8">
            <w:pPr>
              <w:pStyle w:val="Tabletext"/>
              <w:rPr>
                <w:rFonts w:cs="Tahoma"/>
                <w:highlight w:val="black"/>
              </w:rPr>
            </w:pPr>
            <w:r>
              <w:rPr>
                <w:rFonts w:cs="Tahoma"/>
                <w:noProof/>
                <w:color w:val="000000"/>
                <w:highlight w:val="black"/>
              </w:rPr>
              <w:t>'''''''''''' '''' '''''''''''''''' '''''''''''''''''' '''''''''''''</w:t>
            </w:r>
          </w:p>
        </w:tc>
        <w:tc>
          <w:tcPr>
            <w:tcW w:w="2188" w:type="dxa"/>
          </w:tcPr>
          <w:p w:rsidR="00A867D8" w:rsidRPr="002046A0" w:rsidRDefault="002046A0" w:rsidP="00A867D8">
            <w:pPr>
              <w:pStyle w:val="Tabletext"/>
              <w:rPr>
                <w:rFonts w:cs="Tahoma"/>
                <w:highlight w:val="black"/>
              </w:rPr>
            </w:pPr>
            <w:r>
              <w:rPr>
                <w:rFonts w:cs="Tahoma"/>
                <w:noProof/>
                <w:color w:val="000000"/>
                <w:highlight w:val="black"/>
              </w:rPr>
              <w:t>'''''''' ''''''''''''' '''''''' '''''''''''''</w:t>
            </w:r>
            <w:r>
              <w:rPr>
                <w:rFonts w:cs="Tahoma"/>
                <w:noProof/>
                <w:color w:val="000000"/>
                <w:highlight w:val="black"/>
              </w:rPr>
              <w:br/>
              <w:t>''''''''''' '''''''' '''''''''''''' ''''' '''''''' ''''''''''''''</w:t>
            </w:r>
          </w:p>
        </w:tc>
        <w:tc>
          <w:tcPr>
            <w:tcW w:w="1214" w:type="dxa"/>
          </w:tcPr>
          <w:p w:rsidR="00A867D8" w:rsidRPr="002046A0" w:rsidRDefault="002046A0" w:rsidP="00A867D8">
            <w:pPr>
              <w:pStyle w:val="Tabletext"/>
              <w:rPr>
                <w:rFonts w:cs="Cambria Math"/>
                <w:bCs/>
                <w:highlight w:val="black"/>
              </w:rPr>
            </w:pPr>
            <w:r>
              <w:rPr>
                <w:rFonts w:cs="Arial"/>
                <w:noProof/>
                <w:color w:val="000000"/>
                <w:highlight w:val="black"/>
              </w:rPr>
              <w:t>'''''''</w:t>
            </w:r>
            <w:r>
              <w:rPr>
                <w:rFonts w:cs="Arial"/>
                <w:noProof/>
                <w:color w:val="000000"/>
                <w:highlight w:val="black"/>
              </w:rPr>
              <w:br/>
              <w:t>''''''''''''''</w:t>
            </w:r>
          </w:p>
          <w:p w:rsidR="00A867D8" w:rsidRPr="002046A0" w:rsidRDefault="002046A0" w:rsidP="00A867D8">
            <w:pPr>
              <w:pStyle w:val="Tabletext"/>
              <w:rPr>
                <w:rFonts w:eastAsia="Times New Roman" w:cs="Cambria Math"/>
                <w:bCs/>
                <w:color w:val="00B050"/>
                <w:highlight w:val="black"/>
              </w:rPr>
            </w:pPr>
            <w:r>
              <w:rPr>
                <w:rFonts w:cs="Arial"/>
                <w:noProof/>
                <w:color w:val="000000"/>
                <w:highlight w:val="black"/>
              </w:rPr>
              <w:t>''''''''''''''''''''''''</w:t>
            </w:r>
          </w:p>
        </w:tc>
      </w:tr>
      <w:tr w:rsidR="00A867D8" w:rsidRPr="006406B0" w:rsidTr="00BE3319">
        <w:trPr>
          <w:trHeight w:val="319"/>
        </w:trPr>
        <w:tc>
          <w:tcPr>
            <w:tcW w:w="1493" w:type="dxa"/>
          </w:tcPr>
          <w:p w:rsidR="00A867D8" w:rsidRPr="002046A0" w:rsidRDefault="002046A0" w:rsidP="00A867D8">
            <w:pPr>
              <w:pStyle w:val="Tabletext"/>
              <w:rPr>
                <w:rFonts w:cs="Tahoma"/>
                <w:highlight w:val="black"/>
              </w:rPr>
            </w:pPr>
            <w:r>
              <w:rPr>
                <w:rFonts w:cs="Tahoma"/>
                <w:noProof/>
                <w:color w:val="000000"/>
                <w:highlight w:val="black"/>
              </w:rPr>
              <w:t>''''''''''''''''' '''' ''''''''''''''''' ''''''''''' ''''''''''''''''''</w:t>
            </w:r>
            <w:r>
              <w:rPr>
                <w:rFonts w:cs="Tahoma"/>
                <w:noProof/>
                <w:color w:val="000000"/>
                <w:highlight w:val="black"/>
              </w:rPr>
              <w:br/>
              <w:t xml:space="preserve">'''''''' ''''''''''''''''' </w:t>
            </w:r>
          </w:p>
        </w:tc>
        <w:tc>
          <w:tcPr>
            <w:tcW w:w="105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1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31"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2" w:type="dxa"/>
          </w:tcPr>
          <w:p w:rsidR="00A867D8" w:rsidRPr="002046A0" w:rsidRDefault="002046A0" w:rsidP="00A867D8">
            <w:pPr>
              <w:pStyle w:val="Tabletext"/>
              <w:rPr>
                <w:rFonts w:cs="Tahoma"/>
                <w:highlight w:val="black"/>
                <w:vertAlign w:val="superscript"/>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 ''''</w:t>
            </w:r>
          </w:p>
        </w:tc>
        <w:tc>
          <w:tcPr>
            <w:tcW w:w="1276"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417" w:type="dxa"/>
          </w:tcPr>
          <w:p w:rsidR="00A867D8" w:rsidRPr="002046A0" w:rsidRDefault="002046A0" w:rsidP="00A867D8">
            <w:pPr>
              <w:pStyle w:val="Tabletext"/>
              <w:rPr>
                <w:rFonts w:cs="Tahoma"/>
                <w:highlight w:val="black"/>
              </w:rPr>
            </w:pPr>
            <w:r>
              <w:rPr>
                <w:rFonts w:eastAsia="Times New Roman"/>
                <w:noProof/>
                <w:color w:val="000000"/>
                <w:highlight w:val="black"/>
              </w:rPr>
              <w:t>''''''' '''''''''''''''''' ''''''''''''''</w:t>
            </w:r>
          </w:p>
        </w:tc>
        <w:tc>
          <w:tcPr>
            <w:tcW w:w="1134" w:type="dxa"/>
          </w:tcPr>
          <w:p w:rsidR="00A867D8" w:rsidRPr="002046A0" w:rsidRDefault="002046A0" w:rsidP="00A867D8">
            <w:pPr>
              <w:pStyle w:val="Tabletext"/>
              <w:rPr>
                <w:rFonts w:cs="Tahoma"/>
              </w:rPr>
            </w:pPr>
            <w:r>
              <w:rPr>
                <w:rStyle w:val="cell-value"/>
                <w:rFonts w:asciiTheme="minorHAnsi" w:eastAsia="Times New Roman" w:hAnsiTheme="minorHAnsi"/>
                <w:noProof/>
                <w:color w:val="000000"/>
                <w:highlight w:val="black"/>
              </w:rPr>
              <w:t>'''</w:t>
            </w:r>
            <w:r>
              <w:rPr>
                <w:rFonts w:eastAsia="Times New Roman"/>
                <w:noProof/>
                <w:color w:val="000000"/>
                <w:highlight w:val="black"/>
              </w:rPr>
              <w:t xml:space="preserve"> ''''''''''''''''''''' ''''''''''''''</w:t>
            </w:r>
          </w:p>
        </w:tc>
        <w:tc>
          <w:tcPr>
            <w:tcW w:w="993" w:type="dxa"/>
          </w:tcPr>
          <w:p w:rsidR="00A867D8" w:rsidRPr="002046A0" w:rsidRDefault="002046A0" w:rsidP="00A867D8">
            <w:pPr>
              <w:pStyle w:val="Tabletext"/>
              <w:rPr>
                <w:rFonts w:cs="Tahoma"/>
                <w:highlight w:val="black"/>
              </w:rPr>
            </w:pPr>
            <w:r>
              <w:rPr>
                <w:rFonts w:cs="Tahoma"/>
                <w:noProof/>
                <w:color w:val="000000"/>
                <w:highlight w:val="black"/>
              </w:rPr>
              <w:t>''</w:t>
            </w:r>
          </w:p>
        </w:tc>
        <w:tc>
          <w:tcPr>
            <w:tcW w:w="2188" w:type="dxa"/>
          </w:tcPr>
          <w:p w:rsidR="00A867D8" w:rsidRPr="002046A0" w:rsidRDefault="002046A0" w:rsidP="00A867D8">
            <w:pPr>
              <w:pStyle w:val="Tabletext"/>
              <w:rPr>
                <w:rFonts w:cs="Tahoma"/>
                <w:highlight w:val="black"/>
              </w:rPr>
            </w:pPr>
            <w:r>
              <w:rPr>
                <w:rFonts w:cs="Tahoma"/>
                <w:noProof/>
                <w:color w:val="000000"/>
                <w:highlight w:val="black"/>
              </w:rPr>
              <w:t>'''''''' ''''''''''''' ''''' ''''''''''''''''</w:t>
            </w:r>
            <w:r>
              <w:rPr>
                <w:rFonts w:cs="Tahoma"/>
                <w:noProof/>
                <w:color w:val="000000"/>
                <w:highlight w:val="black"/>
              </w:rPr>
              <w:br/>
              <w:t>'''''''''''' '''' ''''''''''''''''' ''''' ''''''''''''''' ''''' ''''''''''''''''</w:t>
            </w:r>
          </w:p>
        </w:tc>
        <w:tc>
          <w:tcPr>
            <w:tcW w:w="1214" w:type="dxa"/>
          </w:tcPr>
          <w:p w:rsidR="00A867D8" w:rsidRPr="002046A0" w:rsidRDefault="002046A0" w:rsidP="00A867D8">
            <w:pPr>
              <w:pStyle w:val="Tabletext"/>
              <w:rPr>
                <w:rFonts w:cs="Cambria Math"/>
                <w:bCs/>
                <w:highlight w:val="black"/>
              </w:rPr>
            </w:pPr>
            <w:r>
              <w:rPr>
                <w:rFonts w:cs="Arial"/>
                <w:noProof/>
                <w:color w:val="000000"/>
                <w:highlight w:val="black"/>
              </w:rPr>
              <w:t>''''''''</w:t>
            </w:r>
            <w:r>
              <w:rPr>
                <w:rFonts w:cs="Arial"/>
                <w:noProof/>
                <w:color w:val="000000"/>
                <w:highlight w:val="black"/>
              </w:rPr>
              <w:br/>
              <w:t>'''''''''''''''</w:t>
            </w:r>
          </w:p>
          <w:p w:rsidR="00A867D8" w:rsidRPr="002046A0" w:rsidRDefault="002046A0" w:rsidP="00A867D8">
            <w:pPr>
              <w:pStyle w:val="Tabletext"/>
              <w:rPr>
                <w:rFonts w:cs="Tahoma"/>
                <w:highlight w:val="black"/>
              </w:rPr>
            </w:pPr>
            <w:r>
              <w:rPr>
                <w:rFonts w:cs="Arial"/>
                <w:noProof/>
                <w:color w:val="000000"/>
                <w:highlight w:val="black"/>
              </w:rPr>
              <w:t>'''''''''''''''''''''''</w:t>
            </w:r>
          </w:p>
        </w:tc>
      </w:tr>
      <w:tr w:rsidR="00A867D8" w:rsidRPr="006406B0" w:rsidTr="00BE3319">
        <w:trPr>
          <w:trHeight w:val="319"/>
        </w:trPr>
        <w:tc>
          <w:tcPr>
            <w:tcW w:w="1493" w:type="dxa"/>
          </w:tcPr>
          <w:p w:rsidR="00A867D8" w:rsidRPr="002046A0" w:rsidRDefault="002046A0" w:rsidP="00A867D8">
            <w:pPr>
              <w:pStyle w:val="Tabletext"/>
              <w:rPr>
                <w:rFonts w:cs="Tahoma"/>
                <w:highlight w:val="black"/>
              </w:rPr>
            </w:pPr>
            <w:r>
              <w:rPr>
                <w:rFonts w:cs="Tahoma"/>
                <w:noProof/>
                <w:color w:val="000000"/>
                <w:highlight w:val="black"/>
              </w:rPr>
              <w:lastRenderedPageBreak/>
              <w:t xml:space="preserve">''''''''''''''''''' ''''' '''''''''' '''''''''''' ''''''''''''''''''''' '''''''' ''''''''''''''''' </w:t>
            </w:r>
          </w:p>
        </w:tc>
        <w:tc>
          <w:tcPr>
            <w:tcW w:w="105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1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31"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 '''</w:t>
            </w:r>
          </w:p>
        </w:tc>
        <w:tc>
          <w:tcPr>
            <w:tcW w:w="1276" w:type="dxa"/>
          </w:tcPr>
          <w:p w:rsidR="00A867D8" w:rsidRPr="002046A0" w:rsidRDefault="002046A0" w:rsidP="00A867D8">
            <w:pPr>
              <w:pStyle w:val="Tabletext"/>
              <w:rPr>
                <w:rFonts w:cs="Tahoma"/>
                <w:highlight w:val="black"/>
              </w:rPr>
            </w:pPr>
            <w:r>
              <w:rPr>
                <w:rFonts w:cs="Tahoma"/>
                <w:noProof/>
                <w:color w:val="000000"/>
                <w:highlight w:val="black"/>
              </w:rPr>
              <w:t>'''''''''''''''' '''''''''''''''''''''''''''</w:t>
            </w:r>
          </w:p>
          <w:p w:rsidR="00A867D8" w:rsidRPr="002046A0" w:rsidRDefault="002046A0" w:rsidP="00A867D8">
            <w:pPr>
              <w:pStyle w:val="Tabletext"/>
              <w:rPr>
                <w:rFonts w:cs="Tahoma"/>
                <w:highlight w:val="black"/>
              </w:rPr>
            </w:pPr>
            <w:r>
              <w:rPr>
                <w:rFonts w:cs="Tahoma"/>
                <w:noProof/>
                <w:color w:val="000000"/>
                <w:highlight w:val="black"/>
              </w:rPr>
              <w:t>''''''''''''''</w:t>
            </w:r>
          </w:p>
        </w:tc>
        <w:tc>
          <w:tcPr>
            <w:tcW w:w="1417" w:type="dxa"/>
          </w:tcPr>
          <w:p w:rsidR="00A867D8" w:rsidRPr="002046A0" w:rsidRDefault="002046A0" w:rsidP="00A867D8">
            <w:pPr>
              <w:pStyle w:val="Tabletext"/>
              <w:rPr>
                <w:rFonts w:cs="Tahoma"/>
                <w:highlight w:val="black"/>
              </w:rPr>
            </w:pPr>
            <w:r>
              <w:rPr>
                <w:rFonts w:eastAsia="Times New Roman"/>
                <w:noProof/>
                <w:color w:val="000000"/>
                <w:highlight w:val="black"/>
              </w:rPr>
              <w:t>'''''' ''''''''''''''''' ''''''''''''''</w:t>
            </w:r>
          </w:p>
        </w:tc>
        <w:tc>
          <w:tcPr>
            <w:tcW w:w="1134" w:type="dxa"/>
          </w:tcPr>
          <w:p w:rsidR="00A867D8" w:rsidRPr="002046A0" w:rsidRDefault="002046A0" w:rsidP="00A867D8">
            <w:pPr>
              <w:pStyle w:val="Tabletext"/>
              <w:rPr>
                <w:rFonts w:cs="Tahoma"/>
              </w:rPr>
            </w:pPr>
            <w:r>
              <w:rPr>
                <w:rStyle w:val="cell-value"/>
                <w:rFonts w:asciiTheme="minorHAnsi" w:eastAsia="Times New Roman" w:hAnsiTheme="minorHAnsi"/>
                <w:noProof/>
                <w:color w:val="000000"/>
                <w:highlight w:val="black"/>
              </w:rPr>
              <w:t>'''</w:t>
            </w:r>
            <w:r>
              <w:rPr>
                <w:rFonts w:eastAsia="Times New Roman"/>
                <w:noProof/>
                <w:color w:val="000000"/>
                <w:highlight w:val="black"/>
              </w:rPr>
              <w:t xml:space="preserve"> ''''''''''''''''''' '''''''''''''</w:t>
            </w:r>
          </w:p>
        </w:tc>
        <w:tc>
          <w:tcPr>
            <w:tcW w:w="993" w:type="dxa"/>
          </w:tcPr>
          <w:p w:rsidR="00A867D8" w:rsidRPr="002046A0" w:rsidRDefault="002046A0" w:rsidP="00A867D8">
            <w:pPr>
              <w:pStyle w:val="Tabletext"/>
              <w:rPr>
                <w:rFonts w:cs="Tahoma"/>
                <w:highlight w:val="black"/>
              </w:rPr>
            </w:pPr>
            <w:r>
              <w:rPr>
                <w:rFonts w:cs="Tahoma"/>
                <w:noProof/>
                <w:color w:val="000000"/>
                <w:highlight w:val="black"/>
              </w:rPr>
              <w:t>''</w:t>
            </w:r>
          </w:p>
        </w:tc>
        <w:tc>
          <w:tcPr>
            <w:tcW w:w="2188" w:type="dxa"/>
          </w:tcPr>
          <w:p w:rsidR="00A867D8" w:rsidRPr="002046A0" w:rsidRDefault="002046A0" w:rsidP="00A867D8">
            <w:pPr>
              <w:pStyle w:val="Tabletext"/>
              <w:rPr>
                <w:rFonts w:cs="Tahoma"/>
                <w:highlight w:val="black"/>
              </w:rPr>
            </w:pPr>
            <w:r>
              <w:rPr>
                <w:rFonts w:cs="Tahoma"/>
                <w:noProof/>
                <w:color w:val="000000"/>
                <w:highlight w:val="black"/>
              </w:rPr>
              <w:t>'''''''''''''''''''</w:t>
            </w:r>
            <w:r>
              <w:rPr>
                <w:rFonts w:cs="Tahoma"/>
                <w:noProof/>
                <w:color w:val="000000"/>
                <w:highlight w:val="black"/>
              </w:rPr>
              <w:br/>
              <w:t>'''''''' ''''''''''''''' '''''''''''' '''''''''''''''''''''''''''''''''</w:t>
            </w:r>
          </w:p>
          <w:p w:rsidR="00A867D8" w:rsidRPr="002046A0" w:rsidRDefault="002046A0" w:rsidP="00A867D8">
            <w:pPr>
              <w:pStyle w:val="Tabletext"/>
              <w:rPr>
                <w:rFonts w:cs="Tahoma"/>
                <w:highlight w:val="black"/>
              </w:rPr>
            </w:pPr>
            <w:r>
              <w:rPr>
                <w:rFonts w:cs="Tahoma"/>
                <w:noProof/>
                <w:color w:val="000000"/>
                <w:highlight w:val="black"/>
              </w:rPr>
              <w:t>'''''''''''</w:t>
            </w:r>
            <w:r>
              <w:rPr>
                <w:rFonts w:cs="Tahoma"/>
                <w:noProof/>
                <w:color w:val="000000"/>
                <w:highlight w:val="black"/>
              </w:rPr>
              <w:br/>
              <w:t>''''''''' '''''''' ''''''''''' ''''''''''''''''''''''''''''''''</w:t>
            </w:r>
          </w:p>
        </w:tc>
        <w:tc>
          <w:tcPr>
            <w:tcW w:w="1214" w:type="dxa"/>
          </w:tcPr>
          <w:p w:rsidR="00A867D8" w:rsidRPr="002046A0" w:rsidRDefault="002046A0" w:rsidP="00A867D8">
            <w:pPr>
              <w:pStyle w:val="Tabletext"/>
              <w:rPr>
                <w:rFonts w:cs="Cambria Math"/>
                <w:bCs/>
                <w:highlight w:val="black"/>
              </w:rPr>
            </w:pPr>
            <w:r>
              <w:rPr>
                <w:rFonts w:cs="Arial"/>
                <w:noProof/>
                <w:color w:val="000000"/>
                <w:highlight w:val="black"/>
              </w:rPr>
              <w:t>''''''''''''''''</w:t>
            </w:r>
            <w:r>
              <w:rPr>
                <w:rFonts w:cs="Arial"/>
                <w:noProof/>
                <w:color w:val="000000"/>
                <w:highlight w:val="black"/>
              </w:rPr>
              <w:br/>
              <w:t>'''''''''''''''</w:t>
            </w:r>
          </w:p>
          <w:p w:rsidR="00A867D8" w:rsidRPr="002046A0" w:rsidRDefault="002046A0" w:rsidP="00A867D8">
            <w:pPr>
              <w:pStyle w:val="Tabletext"/>
              <w:rPr>
                <w:rFonts w:eastAsia="Times New Roman" w:cs="Cambria Math"/>
                <w:bCs/>
                <w:color w:val="00B050"/>
                <w:highlight w:val="black"/>
              </w:rPr>
            </w:pPr>
            <w:r>
              <w:rPr>
                <w:rFonts w:cs="Arial"/>
                <w:noProof/>
                <w:color w:val="000000"/>
                <w:highlight w:val="black"/>
              </w:rPr>
              <w:t>'''''''''''''''''''''</w:t>
            </w:r>
          </w:p>
        </w:tc>
      </w:tr>
      <w:tr w:rsidR="00A867D8" w:rsidRPr="00636E0F" w:rsidTr="00BE3319">
        <w:trPr>
          <w:trHeight w:val="945"/>
        </w:trPr>
        <w:tc>
          <w:tcPr>
            <w:tcW w:w="1493" w:type="dxa"/>
          </w:tcPr>
          <w:p w:rsidR="00A867D8" w:rsidRPr="002046A0" w:rsidRDefault="002046A0" w:rsidP="00A867D8">
            <w:pPr>
              <w:pStyle w:val="Tabletext"/>
              <w:rPr>
                <w:rFonts w:cs="Tahoma"/>
                <w:highlight w:val="black"/>
              </w:rPr>
            </w:pPr>
            <w:r>
              <w:rPr>
                <w:rFonts w:cs="Tahoma"/>
                <w:noProof/>
                <w:color w:val="000000"/>
                <w:highlight w:val="black"/>
              </w:rPr>
              <w:t>''''''''''''''''''' ''''' '''''''''''''''''''''''''''''''''' '''''''''''''''''''''''''' '''''''''''' '''''''''''''''''''</w:t>
            </w:r>
            <w:r>
              <w:rPr>
                <w:rFonts w:cs="Tahoma"/>
                <w:noProof/>
                <w:color w:val="000000"/>
                <w:highlight w:val="black"/>
              </w:rPr>
              <w:br/>
              <w:t xml:space="preserve">'''''''' ''''''''''''''''' </w:t>
            </w:r>
          </w:p>
        </w:tc>
        <w:tc>
          <w:tcPr>
            <w:tcW w:w="1054"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12"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31"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992" w:type="dxa"/>
          </w:tcPr>
          <w:p w:rsidR="00A867D8" w:rsidRPr="002046A0" w:rsidRDefault="002046A0" w:rsidP="00A867D8">
            <w:pPr>
              <w:pStyle w:val="Tabletext"/>
              <w:rPr>
                <w:rFonts w:cs="Tahoma"/>
                <w:highlight w:val="black"/>
                <w:vertAlign w:val="superscript"/>
              </w:rPr>
            </w:pPr>
            <w:r>
              <w:rPr>
                <w:rFonts w:cs="Tahoma"/>
                <w:noProof/>
                <w:color w:val="000000"/>
                <w:highlight w:val="black"/>
              </w:rPr>
              <w:t>''''''''''' ''''''''''''''''''''</w:t>
            </w:r>
          </w:p>
        </w:tc>
        <w:tc>
          <w:tcPr>
            <w:tcW w:w="1134" w:type="dxa"/>
          </w:tcPr>
          <w:p w:rsidR="00A867D8" w:rsidRPr="002046A0" w:rsidRDefault="002046A0" w:rsidP="00A867D8">
            <w:pPr>
              <w:pStyle w:val="Tabletext"/>
              <w:rPr>
                <w:rFonts w:cs="Tahoma"/>
                <w:highlight w:val="black"/>
              </w:rPr>
            </w:pPr>
            <w:r>
              <w:rPr>
                <w:rFonts w:cs="Tahoma"/>
                <w:noProof/>
                <w:color w:val="000000"/>
                <w:highlight w:val="black"/>
              </w:rPr>
              <w:t>''''''''''' ''''''''''''''''''' '''</w:t>
            </w:r>
          </w:p>
        </w:tc>
        <w:tc>
          <w:tcPr>
            <w:tcW w:w="1276" w:type="dxa"/>
          </w:tcPr>
          <w:p w:rsidR="00A867D8" w:rsidRPr="002046A0" w:rsidRDefault="002046A0" w:rsidP="00A867D8">
            <w:pPr>
              <w:pStyle w:val="Tabletext"/>
              <w:rPr>
                <w:rFonts w:cs="Tahoma"/>
                <w:highlight w:val="black"/>
              </w:rPr>
            </w:pPr>
            <w:r>
              <w:rPr>
                <w:rFonts w:cs="Tahoma"/>
                <w:noProof/>
                <w:color w:val="000000"/>
                <w:highlight w:val="black"/>
              </w:rPr>
              <w:t>''''''''''''''' ''''''''''''''''''''''''''''</w:t>
            </w:r>
          </w:p>
        </w:tc>
        <w:tc>
          <w:tcPr>
            <w:tcW w:w="1417" w:type="dxa"/>
          </w:tcPr>
          <w:p w:rsidR="00A867D8" w:rsidRPr="002046A0" w:rsidRDefault="002046A0" w:rsidP="00A867D8">
            <w:pPr>
              <w:pStyle w:val="Tabletext"/>
              <w:rPr>
                <w:rFonts w:eastAsia="Times New Roman"/>
                <w:highlight w:val="black"/>
              </w:rPr>
            </w:pPr>
            <w:r>
              <w:rPr>
                <w:rFonts w:eastAsia="Times New Roman"/>
                <w:noProof/>
                <w:color w:val="000000"/>
                <w:highlight w:val="black"/>
              </w:rPr>
              <w:t>''''''' ''''''''''''''''' ''''''''''''''</w:t>
            </w:r>
          </w:p>
        </w:tc>
        <w:tc>
          <w:tcPr>
            <w:tcW w:w="1134" w:type="dxa"/>
          </w:tcPr>
          <w:p w:rsidR="00A867D8" w:rsidRPr="002046A0" w:rsidRDefault="002046A0" w:rsidP="00A867D8">
            <w:pPr>
              <w:pStyle w:val="Tabletext"/>
              <w:rPr>
                <w:rStyle w:val="cell-value"/>
                <w:rFonts w:asciiTheme="minorHAnsi" w:eastAsia="Times New Roman" w:hAnsiTheme="minorHAnsi"/>
              </w:rPr>
            </w:pPr>
            <w:r>
              <w:rPr>
                <w:rStyle w:val="cell-value"/>
                <w:rFonts w:asciiTheme="minorHAnsi" w:eastAsia="Times New Roman" w:hAnsiTheme="minorHAnsi"/>
                <w:noProof/>
                <w:color w:val="000000"/>
                <w:highlight w:val="black"/>
              </w:rPr>
              <w:t>''</w:t>
            </w:r>
            <w:r>
              <w:rPr>
                <w:rFonts w:eastAsia="Times New Roman"/>
                <w:noProof/>
                <w:color w:val="000000"/>
                <w:highlight w:val="black"/>
              </w:rPr>
              <w:t xml:space="preserve"> ''''''''''''''''''''' '''''''''''''''</w:t>
            </w:r>
          </w:p>
        </w:tc>
        <w:tc>
          <w:tcPr>
            <w:tcW w:w="993" w:type="dxa"/>
          </w:tcPr>
          <w:p w:rsidR="00A867D8" w:rsidRPr="002046A0" w:rsidRDefault="002046A0" w:rsidP="00A867D8">
            <w:pPr>
              <w:pStyle w:val="Tabletext"/>
              <w:rPr>
                <w:rFonts w:cs="Tahoma"/>
                <w:highlight w:val="black"/>
              </w:rPr>
            </w:pPr>
            <w:r>
              <w:rPr>
                <w:rFonts w:cs="Tahoma"/>
                <w:noProof/>
                <w:color w:val="000000"/>
                <w:highlight w:val="black"/>
              </w:rPr>
              <w:t>''</w:t>
            </w:r>
          </w:p>
        </w:tc>
        <w:tc>
          <w:tcPr>
            <w:tcW w:w="2188" w:type="dxa"/>
          </w:tcPr>
          <w:p w:rsidR="00A867D8" w:rsidRPr="002046A0" w:rsidRDefault="002046A0" w:rsidP="00A867D8">
            <w:pPr>
              <w:pStyle w:val="Tabletext"/>
              <w:rPr>
                <w:rFonts w:cs="Tahoma"/>
                <w:highlight w:val="black"/>
              </w:rPr>
            </w:pPr>
            <w:r>
              <w:rPr>
                <w:rFonts w:cs="Tahoma"/>
                <w:noProof/>
                <w:color w:val="000000"/>
                <w:highlight w:val="black"/>
              </w:rPr>
              <w:t>'''''''''''</w:t>
            </w:r>
            <w:r>
              <w:rPr>
                <w:rFonts w:cs="Tahoma"/>
                <w:noProof/>
                <w:color w:val="000000"/>
                <w:highlight w:val="black"/>
              </w:rPr>
              <w:br/>
              <w:t>'''''''' '''''''''''''''' ''''''''''''''''''''''''''''</w:t>
            </w:r>
          </w:p>
        </w:tc>
        <w:tc>
          <w:tcPr>
            <w:tcW w:w="1214" w:type="dxa"/>
          </w:tcPr>
          <w:p w:rsidR="00A867D8" w:rsidRPr="002046A0" w:rsidRDefault="002046A0" w:rsidP="00A867D8">
            <w:pPr>
              <w:pStyle w:val="Tabletext"/>
              <w:rPr>
                <w:rFonts w:cs="Cambria Math"/>
                <w:bCs/>
                <w:highlight w:val="black"/>
              </w:rPr>
            </w:pPr>
            <w:r>
              <w:rPr>
                <w:rFonts w:cs="Arial"/>
                <w:noProof/>
                <w:color w:val="000000"/>
                <w:highlight w:val="black"/>
              </w:rPr>
              <w:t>'''''''''' '''''''</w:t>
            </w:r>
            <w:r>
              <w:rPr>
                <w:rFonts w:cs="Arial"/>
                <w:noProof/>
                <w:color w:val="000000"/>
                <w:highlight w:val="black"/>
              </w:rPr>
              <w:br/>
              <w:t>'''''''''''''''''</w:t>
            </w:r>
          </w:p>
          <w:p w:rsidR="00A867D8" w:rsidRPr="002046A0" w:rsidRDefault="002046A0" w:rsidP="00A867D8">
            <w:pPr>
              <w:pStyle w:val="Tabletext"/>
              <w:rPr>
                <w:rFonts w:eastAsia="Times New Roman" w:cs="Tahoma"/>
                <w:bCs/>
                <w:highlight w:val="black"/>
              </w:rPr>
            </w:pPr>
            <w:r>
              <w:rPr>
                <w:rFonts w:cs="Arial"/>
                <w:noProof/>
                <w:color w:val="000000"/>
                <w:highlight w:val="black"/>
              </w:rPr>
              <w:t>''''''''' ''''''''''''''''''''</w:t>
            </w:r>
          </w:p>
        </w:tc>
      </w:tr>
    </w:tbl>
    <w:p w:rsidR="00CC3BA4" w:rsidRPr="002046A0" w:rsidRDefault="002046A0" w:rsidP="00A93200">
      <w:pPr>
        <w:pStyle w:val="Tablenote"/>
        <w:rPr>
          <w:highlight w:val="black"/>
        </w:rPr>
      </w:pPr>
      <w:r>
        <w:rPr>
          <w:noProof/>
          <w:color w:val="000000"/>
          <w:highlight w:val="black"/>
          <w:vertAlign w:val="superscript"/>
        </w:rPr>
        <w:t>''' ''''''''''''' '''''''''''''''''''''''''''''''''' '''''''''''' '''''' ''''''''''''''''''''''''''' ''''''''''' '''''''' '''''''''''' ''''''''''</w:t>
      </w:r>
    </w:p>
    <w:p w:rsidR="00CC3BA4" w:rsidRPr="002046A0" w:rsidRDefault="002046A0" w:rsidP="00A93200">
      <w:pPr>
        <w:pStyle w:val="Tablenote"/>
        <w:rPr>
          <w:highlight w:val="black"/>
        </w:rPr>
      </w:pPr>
      <w:r>
        <w:rPr>
          <w:noProof/>
          <w:color w:val="000000"/>
          <w:highlight w:val="black"/>
          <w:vertAlign w:val="superscript"/>
        </w:rPr>
        <w:t>''' ''''''''''''''''''' ''''''''''''''''''' '''''''''''''''' '''''''''''''''' ''''' ''''''''''''''''''''''''''</w:t>
      </w:r>
    </w:p>
    <w:p w:rsidR="00A867D8" w:rsidRPr="002046A0" w:rsidRDefault="002046A0" w:rsidP="00A93200">
      <w:pPr>
        <w:pStyle w:val="Tablenote"/>
        <w:rPr>
          <w:highlight w:val="black"/>
        </w:rPr>
      </w:pPr>
      <w:r>
        <w:rPr>
          <w:noProof/>
          <w:color w:val="000000"/>
          <w:highlight w:val="black"/>
          <w:vertAlign w:val="superscript"/>
        </w:rPr>
        <w:t>''' '''''''''''' '''''''''''''' ''''''''''</w:t>
      </w:r>
    </w:p>
    <w:p w:rsidR="00CC3BA4" w:rsidRPr="002046A0" w:rsidRDefault="002046A0" w:rsidP="00A93200">
      <w:pPr>
        <w:pStyle w:val="Tablenote"/>
        <w:rPr>
          <w:highlight w:val="black"/>
        </w:rPr>
      </w:pPr>
      <w:r>
        <w:rPr>
          <w:noProof/>
          <w:color w:val="000000"/>
          <w:highlight w:val="black"/>
          <w:vertAlign w:val="superscript"/>
        </w:rPr>
        <w:t>''' '''''''''''''' '''''''''' ''''''''' '''''''''' '''''''''''' '''</w:t>
      </w:r>
    </w:p>
    <w:p w:rsidR="00A76779" w:rsidRPr="002046A0" w:rsidRDefault="002046A0" w:rsidP="00A76779">
      <w:pPr>
        <w:pStyle w:val="Tablenote"/>
        <w:rPr>
          <w:highlight w:val="black"/>
        </w:rPr>
      </w:pPr>
      <w:r>
        <w:rPr>
          <w:noProof/>
          <w:color w:val="000000"/>
          <w:highlight w:val="black"/>
          <w:vertAlign w:val="superscript"/>
        </w:rPr>
        <w:t>''' '''''''''''''''' ''''''''''''' '''''''''''''''' ''''''''''''''' '''''''''' '''''''''''''' '''''' ''''''''''''' ''''' '''''''''''''' '''''''''''''' '''''''''''''''''''''''''''' '''''''''''''' '''''''''''</w:t>
      </w:r>
    </w:p>
    <w:p w:rsidR="00A76779" w:rsidRPr="002046A0" w:rsidRDefault="002046A0" w:rsidP="00A76779">
      <w:pPr>
        <w:pStyle w:val="Tablenote"/>
        <w:rPr>
          <w:highlight w:val="black"/>
        </w:rPr>
      </w:pPr>
      <w:r>
        <w:rPr>
          <w:noProof/>
          <w:color w:val="000000"/>
          <w:highlight w:val="black"/>
          <w:vertAlign w:val="superscript"/>
        </w:rPr>
        <w:t>'' '''''''''''' ''''''''''' '''''''''''''''' ''''''''''''' ''''''''''' ''' '''''' '''''''''' '''' '''''''''''''' ''''''''''''' ''''''''''''''''''' '''''''''''''' '''''''''''''</w:t>
      </w:r>
    </w:p>
    <w:p w:rsidR="00A867D8" w:rsidRPr="002046A0" w:rsidRDefault="002046A0" w:rsidP="00A76779">
      <w:pPr>
        <w:pStyle w:val="Tablenote"/>
        <w:rPr>
          <w:highlight w:val="black"/>
        </w:rPr>
      </w:pPr>
      <w:r>
        <w:rPr>
          <w:noProof/>
          <w:color w:val="000000"/>
          <w:highlight w:val="black"/>
          <w:vertAlign w:val="superscript"/>
        </w:rPr>
        <w:t>''' ''''''''''''''''''''''''' ''''''''''''''''''''''</w:t>
      </w:r>
    </w:p>
    <w:p w:rsidR="00CC3BA4" w:rsidRPr="002046A0" w:rsidRDefault="002046A0" w:rsidP="00A93200">
      <w:pPr>
        <w:pStyle w:val="Tablenote"/>
      </w:pPr>
      <w:r>
        <w:rPr>
          <w:rFonts w:ascii="Cambria Math" w:hAnsi="Cambria Math" w:cs="Cambria Math"/>
          <w:noProof/>
          <w:color w:val="000000"/>
          <w:highlight w:val="black"/>
        </w:rPr>
        <w:t>''''''''''''''</w:t>
      </w:r>
      <w:r>
        <w:rPr>
          <w:noProof/>
          <w:color w:val="000000"/>
          <w:highlight w:val="black"/>
        </w:rPr>
        <w:t xml:space="preserve"> </w:t>
      </w:r>
      <w:r>
        <w:rPr>
          <w:b/>
          <w:noProof/>
          <w:color w:val="000000"/>
          <w:highlight w:val="black"/>
        </w:rPr>
        <w:t>''''''''' ''''''''''''''</w:t>
      </w:r>
      <w:r>
        <w:rPr>
          <w:noProof/>
          <w:color w:val="000000"/>
          <w:highlight w:val="black"/>
        </w:rPr>
        <w:t xml:space="preserve"> ''''''''' '''''''' '''''''''' '''''''''''''''''''''''' '''''''''' '''''''' ''''''''' '''''''''''''' '''''''' '''''''''''' ''''' '''''''''' ''''' '''''''' ''''''''''''''''''' ''''' ''''''''''''''</w:t>
      </w:r>
    </w:p>
    <w:p w:rsidR="004104D8" w:rsidRPr="002046A0" w:rsidRDefault="002046A0" w:rsidP="004104D8">
      <w:pPr>
        <w:pStyle w:val="Tablenote"/>
      </w:pPr>
      <w:r>
        <w:rPr>
          <w:rFonts w:ascii="Cambria Math" w:hAnsi="Cambria Math" w:cs="Cambria Math"/>
          <w:noProof/>
          <w:color w:val="000000"/>
          <w:highlight w:val="black"/>
        </w:rPr>
        <w:t>''''''''''''''</w:t>
      </w:r>
      <w:r>
        <w:rPr>
          <w:rFonts w:cs="Cambria Math"/>
          <w:noProof/>
          <w:color w:val="000000"/>
          <w:highlight w:val="black"/>
        </w:rPr>
        <w:t xml:space="preserve"> </w:t>
      </w:r>
      <w:r>
        <w:rPr>
          <w:b/>
          <w:noProof/>
          <w:color w:val="000000"/>
          <w:highlight w:val="black"/>
        </w:rPr>
        <w:t>''''''''''''''''' ''''''''''''''''</w:t>
      </w:r>
      <w:r>
        <w:rPr>
          <w:noProof/>
          <w:color w:val="000000"/>
          <w:highlight w:val="black"/>
        </w:rPr>
        <w:t xml:space="preserve"> ''''''''' '''''''' '''''''''''''''''''''''' '''''''''''''''''''''' '''' ''''''' '''''''''''''' '''''''''''''''''''' ''''''''' ''''''''' '''''''''''''' ''' '''''''''''' ''''' '''''' ''''''''''''' ''''' '''''''' ''''''''''''''''''''' ''''' ''''''' ''''''''''''''' ''''''' '''''''''''''' '''' ''' ''''''''''''''''''''''' ''''''''' ''' '''' '''''''''''''''''''''''''' ''''''''''''''''''</w:t>
      </w:r>
    </w:p>
    <w:p w:rsidR="00D3348D" w:rsidRPr="002046A0" w:rsidRDefault="002046A0" w:rsidP="00A93200">
      <w:pPr>
        <w:pStyle w:val="Tablenote"/>
        <w:rPr>
          <w:highlight w:val="black"/>
        </w:rPr>
      </w:pPr>
      <w:r>
        <w:rPr>
          <w:noProof/>
          <w:color w:val="000000"/>
          <w:highlight w:val="black"/>
        </w:rPr>
        <w:t>'''''''''''''''' ''' '''''''''''''''''''' '''''''''' '''''''''''''''''''''' ''''''''''''' '''' '''''''''''''''''''' ''''''''' '''''''''''''''''''''''''' ''''' ''' ''''''''''''''''''''''''' '''''''''''''''''''' '''''''''''''''' ''' '''''''''''''''''''''' ''' '''''''''''''''''''''''''' ''''''' ''' ''''''''''''''''''''''' '''''''''''''' '''''''''''''''''' ''' ''''''''''''''''''' '''' ''''''''''''''''''''''''''''''''''''''''''''' '''''''''''''''''''''''''''' ''''''''''''''''''''''''''''' '''''''''' '''''''''''''''''''''''''''' '''''''''' '''' '''''''''''' ''''''''' ''''''''''''''''''''''' '''''''''''''''''''''''''''''''''' ''''''''' '''' ''''''''''''' '''''''''''''''''''''''''' ''''''''''' '''' ''''''''''''''''''''''''' ''''''''''''''' '''''''''''''''''''''''''''''''' ''''''''''' '''' ''''''''''''''''''''''''''' '''''''''''''''''''' ''''''''''''''''''''''' ''''''''''' '''' ''''''''''''''' '''' ''''''''' '''''''''' '''' '''''''''''''''''''''''''''''' ''''''''''''''''''''''''' ''''''''' '''''''' ''' ''''''''''''''''''' '''''''''' '''''''''' ''' ''''''''''''''''' ''''''''''''''''''''''''' ''''''''''''''''' ''''''''''''''''''''''''' ''''''''''''' '''' ''''''''''''''' '''''''''''''''' ''''''''''''''''''''''''''''</w:t>
      </w:r>
    </w:p>
    <w:sectPr w:rsidR="00D3348D" w:rsidRPr="002046A0" w:rsidSect="00CC3BA4">
      <w:headerReference w:type="even" r:id="rId40"/>
      <w:headerReference w:type="default" r:id="rId41"/>
      <w:footerReference w:type="default" r:id="rId42"/>
      <w:headerReference w:type="first" r:id="rId43"/>
      <w:footnotePr>
        <w:numFmt w:val="chicago"/>
      </w:footnotePr>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397" w:rsidRDefault="00C91397" w:rsidP="00DD796F">
      <w:pPr>
        <w:spacing w:before="0" w:line="240" w:lineRule="auto"/>
      </w:pPr>
      <w:r>
        <w:separator/>
      </w:r>
    </w:p>
    <w:p w:rsidR="00C91397" w:rsidRDefault="00C91397"/>
    <w:p w:rsidR="00C91397" w:rsidRDefault="00C91397"/>
  </w:endnote>
  <w:endnote w:type="continuationSeparator" w:id="0">
    <w:p w:rsidR="00C91397" w:rsidRDefault="00C91397" w:rsidP="00DD796F">
      <w:pPr>
        <w:spacing w:before="0" w:line="240" w:lineRule="auto"/>
      </w:pPr>
      <w:r>
        <w:continuationSeparator/>
      </w:r>
    </w:p>
    <w:p w:rsidR="00C91397" w:rsidRDefault="00C91397"/>
    <w:p w:rsidR="00C91397" w:rsidRDefault="00C91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w:altName w:val="Times New Roman"/>
    <w:charset w:val="00"/>
    <w:family w:val="auto"/>
    <w:pitch w:val="variable"/>
    <w:sig w:usb0="80000063" w:usb1="00000000" w:usb2="00000000" w:usb3="00000000" w:csb0="000001FB" w:csb1="00000000"/>
  </w:font>
  <w:font w:name="MuseeBold">
    <w:altName w:val="Cambria"/>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umanist 77 7 B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397" w:rsidRDefault="00C91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rsidP="001C5235">
    <w:pPr>
      <w:pStyle w:val="FooterwithPortrait"/>
    </w:pPr>
    <w:r w:rsidRPr="001C5235">
      <w:t xml:space="preserve">Post-market Review of </w:t>
    </w:r>
    <w:r>
      <w:t>PAH</w:t>
    </w:r>
    <w:r w:rsidRPr="001C5235">
      <w:t xml:space="preserve"> Medicines</w:t>
    </w:r>
    <w:r>
      <w:tab/>
    </w:r>
    <w:r>
      <w:fldChar w:fldCharType="begin"/>
    </w:r>
    <w:r>
      <w:instrText xml:space="preserve"> PAGE   \* MERGEFORMAT </w:instrText>
    </w:r>
    <w:r>
      <w:fldChar w:fldCharType="separate"/>
    </w:r>
    <w:r>
      <w:rPr>
        <w:noProof/>
      </w:rPr>
      <w:t>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rsidP="0049771F">
    <w:pPr>
      <w:pStyle w:val="Footer"/>
      <w:rPr>
        <w:sz w:val="24"/>
      </w:rPr>
    </w:pPr>
  </w:p>
  <w:p w:rsidR="00503643" w:rsidRDefault="00503643" w:rsidP="003F0B35">
    <w:pPr>
      <w:pStyle w:val="Footer"/>
      <w:pBdr>
        <w:top w:val="none" w:sz="0" w:space="0" w:color="auto"/>
      </w:pBd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Pr="00750448" w:rsidRDefault="00503643" w:rsidP="00550EA7">
    <w:pPr>
      <w:pStyle w:val="FooterwithPortrait"/>
      <w:spacing w:before="120"/>
      <w:rPr>
        <w:noProof/>
      </w:rPr>
    </w:pPr>
    <w:r>
      <w:tab/>
    </w:r>
    <w:r>
      <w:fldChar w:fldCharType="begin"/>
    </w:r>
    <w:r>
      <w:instrText xml:space="preserve"> PAGE   \* MERGEFORMAT </w:instrText>
    </w:r>
    <w:r>
      <w:fldChar w:fldCharType="separate"/>
    </w:r>
    <w:r w:rsidR="001F437F">
      <w:rPr>
        <w:noProof/>
      </w:rPr>
      <w:t>28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rsidP="00F77657">
    <w:pPr>
      <w:pStyle w:val="Footer"/>
      <w:rPr>
        <w:sz w:val="24"/>
      </w:rPr>
    </w:pPr>
  </w:p>
  <w:p w:rsidR="00503643" w:rsidRPr="00750448" w:rsidRDefault="00503643" w:rsidP="001D0FDA">
    <w:pPr>
      <w:pStyle w:val="FooterwithPortrait"/>
      <w:tabs>
        <w:tab w:val="left" w:pos="9228"/>
      </w:tabs>
      <w:spacing w:before="120"/>
      <w:jc w:val="right"/>
      <w:rPr>
        <w:noProof/>
      </w:rPr>
    </w:pPr>
    <w:r>
      <w:tab/>
    </w:r>
    <w:r>
      <w:tab/>
    </w:r>
    <w:r>
      <w:fldChar w:fldCharType="begin"/>
    </w:r>
    <w:r>
      <w:instrText xml:space="preserve"> PAGE   \* MERGEFORMAT </w:instrText>
    </w:r>
    <w:r>
      <w:fldChar w:fldCharType="separate"/>
    </w:r>
    <w:r w:rsidR="001F437F">
      <w:rPr>
        <w:noProof/>
      </w:rPr>
      <w:t>233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rsidP="00F77657">
    <w:pPr>
      <w:pStyle w:val="Footer"/>
      <w:rPr>
        <w:sz w:val="24"/>
      </w:rPr>
    </w:pPr>
  </w:p>
  <w:p w:rsidR="00503643" w:rsidRPr="00750448" w:rsidRDefault="00503643" w:rsidP="00CC3BA4">
    <w:pPr>
      <w:pStyle w:val="FooterwithPortrait"/>
      <w:tabs>
        <w:tab w:val="clear" w:pos="9639"/>
        <w:tab w:val="right" w:pos="14459"/>
      </w:tabs>
      <w:spacing w:before="120"/>
      <w:rPr>
        <w:noProof/>
      </w:rPr>
    </w:pPr>
    <w:r>
      <w:tab/>
    </w:r>
    <w:r>
      <w:fldChar w:fldCharType="begin"/>
    </w:r>
    <w:r>
      <w:instrText xml:space="preserve"> PAGE   \* MERGEFORMAT </w:instrText>
    </w:r>
    <w:r>
      <w:fldChar w:fldCharType="separate"/>
    </w:r>
    <w:r w:rsidR="001F437F">
      <w:rPr>
        <w:noProof/>
      </w:rPr>
      <w:t>265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397" w:rsidRDefault="00C91397" w:rsidP="00DD796F">
      <w:pPr>
        <w:spacing w:before="0" w:line="240" w:lineRule="auto"/>
      </w:pPr>
      <w:r>
        <w:separator/>
      </w:r>
    </w:p>
  </w:footnote>
  <w:footnote w:type="continuationSeparator" w:id="0">
    <w:p w:rsidR="00C91397" w:rsidRDefault="00C91397" w:rsidP="00DD796F">
      <w:pPr>
        <w:spacing w:before="0" w:line="240" w:lineRule="auto"/>
      </w:pPr>
      <w:r>
        <w:continuationSeparator/>
      </w:r>
    </w:p>
    <w:p w:rsidR="00C91397" w:rsidRDefault="00C91397"/>
    <w:p w:rsidR="00C91397" w:rsidRDefault="00C91397"/>
  </w:footnote>
  <w:footnote w:id="1">
    <w:p w:rsidR="00503643" w:rsidRDefault="00503643" w:rsidP="001D0FDA">
      <w:pPr>
        <w:pStyle w:val="FootnoteText"/>
      </w:pPr>
      <w:r>
        <w:rPr>
          <w:rStyle w:val="FootnoteReference"/>
        </w:rPr>
        <w:footnoteRef/>
      </w:r>
      <w:r>
        <w:t xml:space="preserve"> Safety results comparing the PAH medicines with their comparators in the appropriate subgroup(s) were presented in relevant research question sections (Section 4.4.1 to Section 4.4.4). If the safety data on the relevant subgroup(s) were not available, the systematic review reports the safety results in the overall mixed population as part of the extended assessment of safety of PAH medicines</w:t>
      </w:r>
      <w:r w:rsidRPr="00521789">
        <w:t xml:space="preserve"> </w:t>
      </w:r>
      <w:r>
        <w:t xml:space="preserve">in Section 4.4.5. </w:t>
      </w:r>
    </w:p>
  </w:footnote>
  <w:footnote w:id="2">
    <w:p w:rsidR="00503643" w:rsidRDefault="00503643" w:rsidP="001D0FDA">
      <w:pPr>
        <w:pStyle w:val="FootnoteText"/>
      </w:pPr>
      <w:r>
        <w:rPr>
          <w:rStyle w:val="FootnoteReference"/>
        </w:rPr>
        <w:footnoteRef/>
      </w:r>
      <w:r>
        <w:t xml:space="preserve"> </w:t>
      </w:r>
      <w:hyperlink r:id="rId1" w:tooltip="Rayyan QCRI webpage" w:history="1">
        <w:r w:rsidRPr="003C7601">
          <w:rPr>
            <w:rStyle w:val="Hyperlink"/>
          </w:rPr>
          <w:t>https://rayyan.qcri.org/</w:t>
        </w:r>
      </w:hyperlink>
    </w:p>
  </w:footnote>
  <w:footnote w:id="3">
    <w:p w:rsidR="00503643" w:rsidRDefault="00503643" w:rsidP="001F432E">
      <w:pPr>
        <w:pStyle w:val="FootnoteText"/>
      </w:pPr>
      <w:r>
        <w:rPr>
          <w:rStyle w:val="FootnoteReference"/>
        </w:rPr>
        <w:footnoteRef/>
      </w:r>
      <w:r>
        <w:t xml:space="preserve"> Source: </w:t>
      </w:r>
      <w:hyperlink r:id="rId2" w:tooltip="Guidelines for preparing submissions to the PBAC webpage" w:history="1">
        <w:r w:rsidRPr="00A62AD6">
          <w:rPr>
            <w:rStyle w:val="Hyperlink"/>
          </w:rPr>
          <w:t>https://pbac.pbs.gov.au/</w:t>
        </w:r>
      </w:hyperlink>
    </w:p>
  </w:footnote>
  <w:footnote w:id="4">
    <w:p w:rsidR="00503643" w:rsidRDefault="00503643" w:rsidP="001D0FDA">
      <w:pPr>
        <w:pStyle w:val="FootnoteText"/>
      </w:pPr>
      <w:r>
        <w:rPr>
          <w:rStyle w:val="FootnoteReference"/>
        </w:rPr>
        <w:footnoteRef/>
      </w:r>
      <w:r>
        <w:t xml:space="preserve"> </w:t>
      </w:r>
      <w:hyperlink r:id="rId3" w:tooltip="PRAC recommendations on safety signals webpage" w:history="1">
        <w:r w:rsidRPr="00412372">
          <w:rPr>
            <w:rStyle w:val="Hyperlink"/>
          </w:rPr>
          <w:t>http://www.ema.europa.eu/ema/index.jsp?curl=pages/regulation/document_listing/document_listing_000375.jsp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397" w:rsidRDefault="00C9139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Pr="00750448" w:rsidRDefault="00503643" w:rsidP="003F0B35">
    <w:pPr>
      <w:pStyle w:val="Header"/>
      <w:spacing w:after="120"/>
    </w:pPr>
    <w:r w:rsidRPr="00750448">
      <w:rPr>
        <w:noProof/>
      </w:rPr>
      <w:t xml:space="preserve">Post-market </w:t>
    </w:r>
    <w:r>
      <w:rPr>
        <w:noProof/>
      </w:rPr>
      <w:t>r</w:t>
    </w:r>
    <w:r w:rsidRPr="00750448">
      <w:rPr>
        <w:noProof/>
      </w:rPr>
      <w:t xml:space="preserve">eview of </w:t>
    </w:r>
    <w:r>
      <w:rPr>
        <w:noProof/>
      </w:rPr>
      <w:t>PAH</w:t>
    </w:r>
    <w:r w:rsidRPr="00750448">
      <w:rPr>
        <w:noProof/>
      </w:rPr>
      <w:t xml:space="preserve"> </w:t>
    </w:r>
    <w:r>
      <w:rPr>
        <w:noProof/>
      </w:rPr>
      <w:t>m</w:t>
    </w:r>
    <w:r w:rsidRPr="00750448">
      <w:rPr>
        <w:noProof/>
      </w:rPr>
      <w:t>edicines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rsidP="00954175">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Pr="00954175" w:rsidRDefault="00503643">
    <w:pPr>
      <w:pStyle w:val="Header"/>
      <w:rPr>
        <w:rFonts w:asciiTheme="minorHAnsi" w:hAnsiTheme="minorHAnsi" w:cstheme="minorHAnsi"/>
      </w:rPr>
    </w:pPr>
    <w:r w:rsidRPr="001D5385">
      <w:rPr>
        <w:rFonts w:asciiTheme="minorHAnsi" w:hAnsiTheme="minorHAnsi" w:cstheme="minorHAnsi"/>
      </w:rPr>
      <w:t>Post-market review of PAH medicines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Pr="00E1668E" w:rsidRDefault="00503643" w:rsidP="003F0B35">
    <w:pPr>
      <w:pStyle w:val="Header"/>
      <w:spacing w:after="120"/>
      <w:rPr>
        <w:rFonts w:asciiTheme="minorHAnsi" w:hAnsiTheme="minorHAnsi" w:cstheme="minorHAnsi"/>
      </w:rPr>
    </w:pPr>
    <w:r w:rsidRPr="00E1668E">
      <w:rPr>
        <w:rFonts w:asciiTheme="minorHAnsi" w:hAnsiTheme="minorHAnsi" w:cstheme="minorHAnsi"/>
        <w:noProof/>
      </w:rPr>
      <w:t>Post-market review of PAH medicines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43" w:rsidRDefault="00503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D0C29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67342"/>
    <w:multiLevelType w:val="hybridMultilevel"/>
    <w:tmpl w:val="DE2E3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077482"/>
    <w:multiLevelType w:val="hybridMultilevel"/>
    <w:tmpl w:val="ED44FCB2"/>
    <w:lvl w:ilvl="0" w:tplc="FFC6DE9E">
      <w:start w:val="1"/>
      <w:numFmt w:val="bullet"/>
      <w:pStyle w:val="08Bulletsseriesofsentences"/>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378531F"/>
    <w:multiLevelType w:val="hybridMultilevel"/>
    <w:tmpl w:val="CC241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FA71DF7"/>
    <w:multiLevelType w:val="hybridMultilevel"/>
    <w:tmpl w:val="99E0D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315A83"/>
    <w:multiLevelType w:val="hybridMultilevel"/>
    <w:tmpl w:val="5A76B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113B42"/>
    <w:multiLevelType w:val="singleLevel"/>
    <w:tmpl w:val="56CEB106"/>
    <w:lvl w:ilvl="0">
      <w:start w:val="1"/>
      <w:numFmt w:val="bullet"/>
      <w:pStyle w:val="Dash"/>
      <w:lvlText w:val="–"/>
      <w:lvlJc w:val="left"/>
      <w:pPr>
        <w:tabs>
          <w:tab w:val="num" w:pos="1800"/>
        </w:tabs>
        <w:ind w:left="1800" w:hanging="360"/>
      </w:pPr>
      <w:rPr>
        <w:rFonts w:ascii="Times New Roman" w:hAnsi="Times New Roman" w:hint="default"/>
        <w:sz w:val="20"/>
      </w:rPr>
    </w:lvl>
  </w:abstractNum>
  <w:abstractNum w:abstractNumId="9" w15:restartNumberingAfterBreak="0">
    <w:nsid w:val="1643331C"/>
    <w:multiLevelType w:val="hybridMultilevel"/>
    <w:tmpl w:val="E5942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4126D1"/>
    <w:multiLevelType w:val="hybridMultilevel"/>
    <w:tmpl w:val="A0684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CF0BB9"/>
    <w:multiLevelType w:val="hybridMultilevel"/>
    <w:tmpl w:val="3A90012E"/>
    <w:lvl w:ilvl="0" w:tplc="D8A24D7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93025"/>
    <w:multiLevelType w:val="hybridMultilevel"/>
    <w:tmpl w:val="49D83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0A07EC"/>
    <w:multiLevelType w:val="singleLevel"/>
    <w:tmpl w:val="FC24B238"/>
    <w:lvl w:ilvl="0">
      <w:start w:val="1"/>
      <w:numFmt w:val="decimal"/>
      <w:pStyle w:val="ESNumberedSectionHeading"/>
      <w:lvlText w:val="A.%1"/>
      <w:lvlJc w:val="left"/>
      <w:pPr>
        <w:ind w:left="644" w:hanging="360"/>
      </w:pPr>
      <w:rPr>
        <w:rFonts w:ascii="Calibri" w:hAnsi="Calibri" w:hint="default"/>
        <w:b/>
        <w:i w:val="0"/>
        <w:color w:val="auto"/>
        <w:sz w:val="24"/>
      </w:rPr>
    </w:lvl>
  </w:abstractNum>
  <w:abstractNum w:abstractNumId="15" w15:restartNumberingAfterBreak="0">
    <w:nsid w:val="22D74B41"/>
    <w:multiLevelType w:val="hybridMultilevel"/>
    <w:tmpl w:val="A79A2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3D2098"/>
    <w:multiLevelType w:val="hybridMultilevel"/>
    <w:tmpl w:val="5172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7C0EE4"/>
    <w:multiLevelType w:val="multilevel"/>
    <w:tmpl w:val="FEE071C8"/>
    <w:styleLink w:val="ESSectionheading-numbered"/>
    <w:lvl w:ilvl="0">
      <w:start w:val="1"/>
      <w:numFmt w:val="none"/>
      <w:lvlText w:val="A.1"/>
      <w:lvlJc w:val="left"/>
      <w:pPr>
        <w:ind w:left="1134" w:hanging="1134"/>
      </w:pPr>
      <w:rPr>
        <w:rFonts w:ascii="Calibri" w:hAnsi="Calibri" w:hint="default"/>
        <w:b/>
        <w:i w:val="0"/>
        <w:color w:val="auto"/>
        <w:sz w:val="24"/>
      </w:rPr>
    </w:lvl>
    <w:lvl w:ilvl="1">
      <w:start w:val="1"/>
      <w:numFmt w:val="decimal"/>
      <w:lvlText w:val="B.%2."/>
      <w:lvlJc w:val="left"/>
      <w:pPr>
        <w:ind w:left="1134" w:hanging="1134"/>
      </w:pPr>
      <w:rPr>
        <w:rFonts w:ascii="Calibri" w:hAnsi="Calibri" w:hint="default"/>
        <w:b/>
        <w:i w:val="0"/>
        <w:sz w:val="24"/>
      </w:rPr>
    </w:lvl>
    <w:lvl w:ilvl="2">
      <w:start w:val="1"/>
      <w:numFmt w:val="decimal"/>
      <w:lvlText w:val="C.%3."/>
      <w:lvlJc w:val="left"/>
      <w:pPr>
        <w:ind w:left="1134" w:hanging="1134"/>
      </w:pPr>
      <w:rPr>
        <w:rFonts w:ascii="Calibri" w:hAnsi="Calibri" w:hint="default"/>
        <w:b/>
        <w:i w:val="0"/>
        <w:sz w:val="24"/>
      </w:rPr>
    </w:lvl>
    <w:lvl w:ilvl="3">
      <w:start w:val="1"/>
      <w:numFmt w:val="decimal"/>
      <w:lvlText w:val="D.%4."/>
      <w:lvlJc w:val="left"/>
      <w:pPr>
        <w:ind w:left="1134" w:hanging="1134"/>
      </w:pPr>
      <w:rPr>
        <w:rFonts w:ascii="Calibri" w:hAnsi="Calibri" w:hint="default"/>
        <w:b/>
        <w:i w:val="0"/>
        <w:sz w:val="24"/>
      </w:rPr>
    </w:lvl>
    <w:lvl w:ilvl="4">
      <w:start w:val="1"/>
      <w:numFmt w:val="decimal"/>
      <w:lvlText w:val="E.%5."/>
      <w:lvlJc w:val="left"/>
      <w:pPr>
        <w:ind w:left="1134" w:hanging="1134"/>
      </w:pPr>
      <w:rPr>
        <w:rFonts w:ascii="Calibri" w:hAnsi="Calibri" w:hint="default"/>
        <w:b/>
        <w:i w:val="0"/>
        <w:sz w:val="24"/>
      </w:rPr>
    </w:lvl>
    <w:lvl w:ilvl="5">
      <w:start w:val="1"/>
      <w:numFmt w:val="decimal"/>
      <w:lvlText w:val="A.%6"/>
      <w:lvlJc w:val="left"/>
      <w:pPr>
        <w:ind w:left="1134" w:hanging="1134"/>
      </w:pPr>
      <w:rPr>
        <w:rFonts w:ascii="Calibri" w:hAnsi="Calibri" w:hint="default"/>
        <w:b/>
        <w:i w:val="0"/>
        <w:color w:val="auto"/>
        <w:sz w:val="24"/>
      </w:rPr>
    </w:lvl>
    <w:lvl w:ilvl="6">
      <w:start w:val="1"/>
      <w:numFmt w:val="none"/>
      <w:lvlText w:val=""/>
      <w:lvlJc w:val="left"/>
      <w:pPr>
        <w:ind w:left="1134" w:hanging="1134"/>
      </w:pPr>
      <w:rPr>
        <w:rFonts w:ascii="Calibri" w:hAnsi="Calibri" w:hint="default"/>
        <w:b/>
        <w:i w:val="0"/>
        <w:sz w:val="24"/>
      </w:rPr>
    </w:lvl>
    <w:lvl w:ilvl="7">
      <w:start w:val="1"/>
      <w:numFmt w:val="none"/>
      <w:lvlText w:val="%8"/>
      <w:lvlJc w:val="left"/>
      <w:pPr>
        <w:ind w:left="1134" w:hanging="1134"/>
      </w:pPr>
      <w:rPr>
        <w:rFonts w:hint="default"/>
      </w:rPr>
    </w:lvl>
    <w:lvl w:ilvl="8">
      <w:start w:val="1"/>
      <w:numFmt w:val="none"/>
      <w:lvlText w:val="%9"/>
      <w:lvlJc w:val="right"/>
      <w:pPr>
        <w:ind w:left="1134" w:hanging="1134"/>
      </w:pPr>
      <w:rPr>
        <w:rFonts w:hint="default"/>
      </w:rPr>
    </w:lvl>
  </w:abstractNum>
  <w:abstractNum w:abstractNumId="18" w15:restartNumberingAfterBreak="0">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9" w15:restartNumberingAfterBreak="0">
    <w:nsid w:val="25C53B03"/>
    <w:multiLevelType w:val="multilevel"/>
    <w:tmpl w:val="4CACDF0C"/>
    <w:styleLink w:val="Headings"/>
    <w:lvl w:ilvl="0">
      <w:start w:val="4"/>
      <w:numFmt w:val="decimal"/>
      <w:pStyle w:val="Heading1"/>
      <w:suff w:val="nothing"/>
      <w:lvlText w:val="Section %1"/>
      <w:lvlJc w:val="left"/>
      <w:pPr>
        <w:ind w:left="3403"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3119"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25DF1388"/>
    <w:multiLevelType w:val="hybridMultilevel"/>
    <w:tmpl w:val="DDE2D382"/>
    <w:lvl w:ilvl="0" w:tplc="54886A3E">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B45054"/>
    <w:multiLevelType w:val="hybridMultilevel"/>
    <w:tmpl w:val="B8CAC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8A2787"/>
    <w:multiLevelType w:val="hybridMultilevel"/>
    <w:tmpl w:val="4F501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B56E0D"/>
    <w:multiLevelType w:val="hybridMultilevel"/>
    <w:tmpl w:val="543AA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245371E"/>
    <w:multiLevelType w:val="hybridMultilevel"/>
    <w:tmpl w:val="58063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7956D8"/>
    <w:multiLevelType w:val="hybridMultilevel"/>
    <w:tmpl w:val="823CD69E"/>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8B2A81"/>
    <w:multiLevelType w:val="hybridMultilevel"/>
    <w:tmpl w:val="BEFA1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894920"/>
    <w:multiLevelType w:val="hybridMultilevel"/>
    <w:tmpl w:val="3AB45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CC57EF4"/>
    <w:multiLevelType w:val="hybridMultilevel"/>
    <w:tmpl w:val="44DAC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3"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C9616B"/>
    <w:multiLevelType w:val="hybridMultilevel"/>
    <w:tmpl w:val="0046C9B8"/>
    <w:styleLink w:val="1111111"/>
    <w:lvl w:ilvl="0" w:tplc="878C752C">
      <w:start w:val="1"/>
      <w:numFmt w:val="decimal"/>
      <w:lvlText w:val="%1."/>
      <w:lvlJc w:val="left"/>
      <w:pPr>
        <w:ind w:left="777" w:hanging="360"/>
      </w:pPr>
      <w:rPr>
        <w:b/>
      </w:rPr>
    </w:lvl>
    <w:lvl w:ilvl="1" w:tplc="0C090019">
      <w:start w:val="1"/>
      <w:numFmt w:val="lowerLetter"/>
      <w:lvlText w:val="%2."/>
      <w:lvlJc w:val="left"/>
      <w:pPr>
        <w:ind w:left="1497" w:hanging="360"/>
      </w:pPr>
    </w:lvl>
    <w:lvl w:ilvl="2" w:tplc="0C09001B">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5" w15:restartNumberingAfterBreak="0">
    <w:nsid w:val="49190F1A"/>
    <w:multiLevelType w:val="hybridMultilevel"/>
    <w:tmpl w:val="3828B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2181ED0"/>
    <w:multiLevelType w:val="hybridMultilevel"/>
    <w:tmpl w:val="8116B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9D762FC"/>
    <w:multiLevelType w:val="hybridMultilevel"/>
    <w:tmpl w:val="4126A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903835"/>
    <w:multiLevelType w:val="singleLevel"/>
    <w:tmpl w:val="48C4148A"/>
    <w:lvl w:ilvl="0">
      <w:numFmt w:val="bullet"/>
      <w:pStyle w:val="Bullet"/>
      <w:lvlText w:val=""/>
      <w:lvlJc w:val="left"/>
      <w:pPr>
        <w:tabs>
          <w:tab w:val="num" w:pos="1440"/>
        </w:tabs>
        <w:ind w:left="1440" w:hanging="720"/>
      </w:pPr>
      <w:rPr>
        <w:rFonts w:ascii="Symbol" w:hAnsi="Symbol" w:hint="default"/>
        <w:sz w:val="22"/>
      </w:rPr>
    </w:lvl>
  </w:abstractNum>
  <w:abstractNum w:abstractNumId="39" w15:restartNumberingAfterBreak="0">
    <w:nsid w:val="5FE34874"/>
    <w:multiLevelType w:val="hybridMultilevel"/>
    <w:tmpl w:val="BEEE2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15E2866"/>
    <w:multiLevelType w:val="hybridMultilevel"/>
    <w:tmpl w:val="FBBAC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E400CF"/>
    <w:multiLevelType w:val="hybridMultilevel"/>
    <w:tmpl w:val="A1E42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4BB32BE"/>
    <w:multiLevelType w:val="hybridMultilevel"/>
    <w:tmpl w:val="2788D6C6"/>
    <w:lvl w:ilvl="0" w:tplc="B0DA2C7E">
      <w:start w:val="1"/>
      <w:numFmt w:val="decimal"/>
      <w:pStyle w:val="MainBodySectionHeading-numbered"/>
      <w:lvlText w:val="A.%1"/>
      <w:lvlJc w:val="left"/>
      <w:pPr>
        <w:ind w:left="720" w:hanging="360"/>
      </w:pPr>
      <w:rPr>
        <w:rFonts w:ascii="Calibri" w:hAnsi="Calibri" w:hint="default"/>
        <w:b/>
        <w:i w:val="0"/>
        <w:color w:val="auto"/>
        <w:sz w:val="28"/>
      </w:rPr>
    </w:lvl>
    <w:lvl w:ilvl="1" w:tplc="3412F0B6" w:tentative="1">
      <w:start w:val="1"/>
      <w:numFmt w:val="lowerLetter"/>
      <w:lvlText w:val="%2."/>
      <w:lvlJc w:val="left"/>
      <w:pPr>
        <w:ind w:left="1440" w:hanging="360"/>
      </w:pPr>
    </w:lvl>
    <w:lvl w:ilvl="2" w:tplc="0A2C92E8" w:tentative="1">
      <w:start w:val="1"/>
      <w:numFmt w:val="lowerRoman"/>
      <w:lvlText w:val="%3."/>
      <w:lvlJc w:val="right"/>
      <w:pPr>
        <w:ind w:left="2160" w:hanging="180"/>
      </w:pPr>
    </w:lvl>
    <w:lvl w:ilvl="3" w:tplc="51E06328" w:tentative="1">
      <w:start w:val="1"/>
      <w:numFmt w:val="decimal"/>
      <w:lvlText w:val="%4."/>
      <w:lvlJc w:val="left"/>
      <w:pPr>
        <w:ind w:left="2880" w:hanging="360"/>
      </w:pPr>
    </w:lvl>
    <w:lvl w:ilvl="4" w:tplc="55121EB0" w:tentative="1">
      <w:start w:val="1"/>
      <w:numFmt w:val="lowerLetter"/>
      <w:lvlText w:val="%5."/>
      <w:lvlJc w:val="left"/>
      <w:pPr>
        <w:ind w:left="3600" w:hanging="360"/>
      </w:pPr>
    </w:lvl>
    <w:lvl w:ilvl="5" w:tplc="C0BC6618" w:tentative="1">
      <w:start w:val="1"/>
      <w:numFmt w:val="lowerRoman"/>
      <w:lvlText w:val="%6."/>
      <w:lvlJc w:val="right"/>
      <w:pPr>
        <w:ind w:left="4320" w:hanging="180"/>
      </w:pPr>
    </w:lvl>
    <w:lvl w:ilvl="6" w:tplc="2C762004" w:tentative="1">
      <w:start w:val="1"/>
      <w:numFmt w:val="decimal"/>
      <w:lvlText w:val="%7."/>
      <w:lvlJc w:val="left"/>
      <w:pPr>
        <w:ind w:left="5040" w:hanging="360"/>
      </w:pPr>
    </w:lvl>
    <w:lvl w:ilvl="7" w:tplc="AAE0D5E4" w:tentative="1">
      <w:start w:val="1"/>
      <w:numFmt w:val="lowerLetter"/>
      <w:lvlText w:val="%8."/>
      <w:lvlJc w:val="left"/>
      <w:pPr>
        <w:ind w:left="5760" w:hanging="360"/>
      </w:pPr>
    </w:lvl>
    <w:lvl w:ilvl="8" w:tplc="37CCD67A" w:tentative="1">
      <w:start w:val="1"/>
      <w:numFmt w:val="lowerRoman"/>
      <w:lvlText w:val="%9."/>
      <w:lvlJc w:val="right"/>
      <w:pPr>
        <w:ind w:left="6480" w:hanging="180"/>
      </w:pPr>
    </w:lvl>
  </w:abstractNum>
  <w:abstractNum w:abstractNumId="43" w15:restartNumberingAfterBreak="0">
    <w:nsid w:val="66602CAE"/>
    <w:multiLevelType w:val="hybridMultilevel"/>
    <w:tmpl w:val="AB5A19D2"/>
    <w:styleLink w:val="ESSectionheading-numbered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C5262E3"/>
    <w:multiLevelType w:val="hybridMultilevel"/>
    <w:tmpl w:val="CEFC1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E404F4E"/>
    <w:multiLevelType w:val="hybridMultilevel"/>
    <w:tmpl w:val="66BE2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FEC0090"/>
    <w:multiLevelType w:val="hybridMultilevel"/>
    <w:tmpl w:val="3A90012E"/>
    <w:lvl w:ilvl="0" w:tplc="D8A24D7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2B00F9D"/>
    <w:multiLevelType w:val="hybridMultilevel"/>
    <w:tmpl w:val="51C0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3915BD3"/>
    <w:multiLevelType w:val="hybridMultilevel"/>
    <w:tmpl w:val="F7226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3D87BAF"/>
    <w:multiLevelType w:val="hybridMultilevel"/>
    <w:tmpl w:val="8D7C5DC8"/>
    <w:lvl w:ilvl="0" w:tplc="54886A3E">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71C3D6A"/>
    <w:multiLevelType w:val="hybridMultilevel"/>
    <w:tmpl w:val="8CBA2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D200C70"/>
    <w:multiLevelType w:val="multilevel"/>
    <w:tmpl w:val="37B0CA18"/>
    <w:lvl w:ilvl="0">
      <w:start w:val="1"/>
      <w:numFmt w:val="none"/>
      <w:pStyle w:val="ESSectionHeading-numbered0"/>
      <w:lvlText w:val="A.1"/>
      <w:lvlJc w:val="left"/>
      <w:pPr>
        <w:ind w:left="1134" w:hanging="1134"/>
      </w:pPr>
      <w:rPr>
        <w:rFonts w:ascii="Calibri" w:hAnsi="Calibri" w:hint="default"/>
        <w:b/>
        <w:i w:val="0"/>
        <w:color w:val="auto"/>
        <w:sz w:val="24"/>
      </w:rPr>
    </w:lvl>
    <w:lvl w:ilvl="1">
      <w:start w:val="2"/>
      <w:numFmt w:val="decimal"/>
      <w:lvlText w:val="B.%2"/>
      <w:lvlJc w:val="left"/>
      <w:pPr>
        <w:ind w:left="1134" w:hanging="1134"/>
      </w:pPr>
      <w:rPr>
        <w:rFonts w:ascii="Calibri" w:hAnsi="Calibri" w:hint="default"/>
        <w:b/>
        <w:i w:val="0"/>
        <w:color w:val="auto"/>
        <w:sz w:val="24"/>
      </w:rPr>
    </w:lvl>
    <w:lvl w:ilvl="2">
      <w:start w:val="1"/>
      <w:numFmt w:val="decimal"/>
      <w:lvlText w:val="C.%3."/>
      <w:lvlJc w:val="left"/>
      <w:pPr>
        <w:ind w:left="1134" w:hanging="1134"/>
      </w:pPr>
      <w:rPr>
        <w:rFonts w:ascii="Calibri" w:hAnsi="Calibri" w:hint="default"/>
        <w:b/>
        <w:i w:val="0"/>
        <w:sz w:val="24"/>
      </w:rPr>
    </w:lvl>
    <w:lvl w:ilvl="3">
      <w:start w:val="1"/>
      <w:numFmt w:val="decimal"/>
      <w:lvlText w:val="D.%4."/>
      <w:lvlJc w:val="left"/>
      <w:pPr>
        <w:ind w:left="1134" w:hanging="1134"/>
      </w:pPr>
      <w:rPr>
        <w:rFonts w:ascii="Calibri" w:hAnsi="Calibri" w:hint="default"/>
        <w:b/>
        <w:i w:val="0"/>
        <w:sz w:val="24"/>
      </w:rPr>
    </w:lvl>
    <w:lvl w:ilvl="4">
      <w:start w:val="1"/>
      <w:numFmt w:val="decimal"/>
      <w:lvlText w:val="E.%5."/>
      <w:lvlJc w:val="left"/>
      <w:pPr>
        <w:ind w:left="1134" w:hanging="1134"/>
      </w:pPr>
      <w:rPr>
        <w:rFonts w:ascii="Calibri" w:hAnsi="Calibri" w:hint="default"/>
        <w:b/>
        <w:i w:val="0"/>
        <w:sz w:val="24"/>
      </w:rPr>
    </w:lvl>
    <w:lvl w:ilvl="5">
      <w:start w:val="1"/>
      <w:numFmt w:val="decimal"/>
      <w:lvlText w:val="A.%6"/>
      <w:lvlJc w:val="left"/>
      <w:pPr>
        <w:ind w:left="1134" w:hanging="1134"/>
      </w:pPr>
      <w:rPr>
        <w:rFonts w:ascii="Calibri" w:hAnsi="Calibri" w:hint="default"/>
        <w:b/>
        <w:i w:val="0"/>
        <w:color w:val="auto"/>
        <w:sz w:val="24"/>
      </w:rPr>
    </w:lvl>
    <w:lvl w:ilvl="6">
      <w:start w:val="1"/>
      <w:numFmt w:val="none"/>
      <w:lvlText w:val=""/>
      <w:lvlJc w:val="left"/>
      <w:pPr>
        <w:ind w:left="1134" w:hanging="1134"/>
      </w:pPr>
      <w:rPr>
        <w:rFonts w:ascii="Calibri" w:hAnsi="Calibri" w:hint="default"/>
        <w:b/>
        <w:i w:val="0"/>
        <w:sz w:val="24"/>
      </w:rPr>
    </w:lvl>
    <w:lvl w:ilvl="7">
      <w:start w:val="1"/>
      <w:numFmt w:val="none"/>
      <w:lvlText w:val="%8"/>
      <w:lvlJc w:val="left"/>
      <w:pPr>
        <w:ind w:left="1134" w:hanging="1134"/>
      </w:pPr>
      <w:rPr>
        <w:rFonts w:hint="default"/>
      </w:rPr>
    </w:lvl>
    <w:lvl w:ilvl="8">
      <w:start w:val="1"/>
      <w:numFmt w:val="none"/>
      <w:lvlText w:val="%9"/>
      <w:lvlJc w:val="right"/>
      <w:pPr>
        <w:ind w:left="1134" w:hanging="1134"/>
      </w:pPr>
      <w:rPr>
        <w:rFonts w:hint="default"/>
      </w:rPr>
    </w:lvl>
  </w:abstractNum>
  <w:abstractNum w:abstractNumId="52" w15:restartNumberingAfterBreak="0">
    <w:nsid w:val="7D903E9A"/>
    <w:multiLevelType w:val="hybridMultilevel"/>
    <w:tmpl w:val="A8E26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F181516"/>
    <w:multiLevelType w:val="hybridMultilevel"/>
    <w:tmpl w:val="FF9EE7EA"/>
    <w:lvl w:ilvl="0" w:tplc="99525AAE">
      <w:start w:val="1"/>
      <w:numFmt w:val="decimal"/>
      <w:pStyle w:val="Nnumberedlist"/>
      <w:lvlText w:val="%1."/>
      <w:lvlJc w:val="left"/>
      <w:pPr>
        <w:tabs>
          <w:tab w:val="num" w:pos="1440"/>
        </w:tabs>
        <w:ind w:left="1440" w:hanging="360"/>
      </w:pPr>
    </w:lvl>
    <w:lvl w:ilvl="1" w:tplc="389C2200" w:tentative="1">
      <w:start w:val="1"/>
      <w:numFmt w:val="lowerLetter"/>
      <w:lvlText w:val="%2."/>
      <w:lvlJc w:val="left"/>
      <w:pPr>
        <w:tabs>
          <w:tab w:val="num" w:pos="2160"/>
        </w:tabs>
        <w:ind w:left="2160" w:hanging="360"/>
      </w:pPr>
    </w:lvl>
    <w:lvl w:ilvl="2" w:tplc="C3F8B188" w:tentative="1">
      <w:start w:val="1"/>
      <w:numFmt w:val="lowerRoman"/>
      <w:lvlText w:val="%3."/>
      <w:lvlJc w:val="right"/>
      <w:pPr>
        <w:tabs>
          <w:tab w:val="num" w:pos="2880"/>
        </w:tabs>
        <w:ind w:left="2880" w:hanging="180"/>
      </w:pPr>
    </w:lvl>
    <w:lvl w:ilvl="3" w:tplc="391E97F0" w:tentative="1">
      <w:start w:val="1"/>
      <w:numFmt w:val="decimal"/>
      <w:lvlText w:val="%4."/>
      <w:lvlJc w:val="left"/>
      <w:pPr>
        <w:tabs>
          <w:tab w:val="num" w:pos="3600"/>
        </w:tabs>
        <w:ind w:left="3600" w:hanging="360"/>
      </w:pPr>
    </w:lvl>
    <w:lvl w:ilvl="4" w:tplc="4F42265E" w:tentative="1">
      <w:start w:val="1"/>
      <w:numFmt w:val="lowerLetter"/>
      <w:lvlText w:val="%5."/>
      <w:lvlJc w:val="left"/>
      <w:pPr>
        <w:tabs>
          <w:tab w:val="num" w:pos="4320"/>
        </w:tabs>
        <w:ind w:left="4320" w:hanging="360"/>
      </w:pPr>
    </w:lvl>
    <w:lvl w:ilvl="5" w:tplc="30546058" w:tentative="1">
      <w:start w:val="1"/>
      <w:numFmt w:val="lowerRoman"/>
      <w:lvlText w:val="%6."/>
      <w:lvlJc w:val="right"/>
      <w:pPr>
        <w:tabs>
          <w:tab w:val="num" w:pos="5040"/>
        </w:tabs>
        <w:ind w:left="5040" w:hanging="180"/>
      </w:pPr>
    </w:lvl>
    <w:lvl w:ilvl="6" w:tplc="6E10F0C6" w:tentative="1">
      <w:start w:val="1"/>
      <w:numFmt w:val="decimal"/>
      <w:lvlText w:val="%7."/>
      <w:lvlJc w:val="left"/>
      <w:pPr>
        <w:tabs>
          <w:tab w:val="num" w:pos="5760"/>
        </w:tabs>
        <w:ind w:left="5760" w:hanging="360"/>
      </w:pPr>
    </w:lvl>
    <w:lvl w:ilvl="7" w:tplc="70B07B9C" w:tentative="1">
      <w:start w:val="1"/>
      <w:numFmt w:val="lowerLetter"/>
      <w:lvlText w:val="%8."/>
      <w:lvlJc w:val="left"/>
      <w:pPr>
        <w:tabs>
          <w:tab w:val="num" w:pos="6480"/>
        </w:tabs>
        <w:ind w:left="6480" w:hanging="360"/>
      </w:pPr>
    </w:lvl>
    <w:lvl w:ilvl="8" w:tplc="9BF48AAC" w:tentative="1">
      <w:start w:val="1"/>
      <w:numFmt w:val="lowerRoman"/>
      <w:lvlText w:val="%9."/>
      <w:lvlJc w:val="right"/>
      <w:pPr>
        <w:tabs>
          <w:tab w:val="num" w:pos="7200"/>
        </w:tabs>
        <w:ind w:left="7200" w:hanging="180"/>
      </w:pPr>
    </w:lvl>
  </w:abstractNum>
  <w:num w:numId="1">
    <w:abstractNumId w:val="25"/>
  </w:num>
  <w:num w:numId="2">
    <w:abstractNumId w:val="7"/>
  </w:num>
  <w:num w:numId="3">
    <w:abstractNumId w:val="26"/>
  </w:num>
  <w:num w:numId="4">
    <w:abstractNumId w:val="12"/>
  </w:num>
  <w:num w:numId="5">
    <w:abstractNumId w:val="18"/>
  </w:num>
  <w:num w:numId="6">
    <w:abstractNumId w:val="2"/>
  </w:num>
  <w:num w:numId="7">
    <w:abstractNumId w:val="32"/>
  </w:num>
  <w:num w:numId="8">
    <w:abstractNumId w:val="30"/>
  </w:num>
  <w:num w:numId="9">
    <w:abstractNumId w:val="34"/>
  </w:num>
  <w:num w:numId="10">
    <w:abstractNumId w:val="19"/>
    <w:lvlOverride w:ilvl="0">
      <w:lvl w:ilvl="0">
        <w:start w:val="4"/>
        <w:numFmt w:val="decimal"/>
        <w:pStyle w:val="Heading1"/>
        <w:suff w:val="nothing"/>
        <w:lvlText w:val="Section %1"/>
        <w:lvlJc w:val="left"/>
        <w:pPr>
          <w:ind w:left="3403"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11">
    <w:abstractNumId w:val="19"/>
  </w:num>
  <w:num w:numId="12">
    <w:abstractNumId w:val="10"/>
  </w:num>
  <w:num w:numId="13">
    <w:abstractNumId w:val="11"/>
  </w:num>
  <w:num w:numId="14">
    <w:abstractNumId w:val="46"/>
  </w:num>
  <w:num w:numId="15">
    <w:abstractNumId w:val="4"/>
  </w:num>
  <w:num w:numId="16">
    <w:abstractNumId w:val="33"/>
  </w:num>
  <w:num w:numId="17">
    <w:abstractNumId w:val="29"/>
  </w:num>
  <w:num w:numId="18">
    <w:abstractNumId w:val="17"/>
  </w:num>
  <w:num w:numId="19">
    <w:abstractNumId w:val="14"/>
  </w:num>
  <w:num w:numId="20">
    <w:abstractNumId w:val="3"/>
  </w:num>
  <w:num w:numId="21">
    <w:abstractNumId w:val="43"/>
  </w:num>
  <w:num w:numId="22">
    <w:abstractNumId w:val="31"/>
  </w:num>
  <w:num w:numId="23">
    <w:abstractNumId w:val="36"/>
  </w:num>
  <w:num w:numId="24">
    <w:abstractNumId w:val="21"/>
  </w:num>
  <w:num w:numId="25">
    <w:abstractNumId w:val="44"/>
  </w:num>
  <w:num w:numId="26">
    <w:abstractNumId w:val="47"/>
  </w:num>
  <w:num w:numId="27">
    <w:abstractNumId w:val="28"/>
  </w:num>
  <w:num w:numId="28">
    <w:abstractNumId w:val="35"/>
  </w:num>
  <w:num w:numId="29">
    <w:abstractNumId w:val="1"/>
  </w:num>
  <w:num w:numId="30">
    <w:abstractNumId w:val="24"/>
  </w:num>
  <w:num w:numId="31">
    <w:abstractNumId w:val="16"/>
  </w:num>
  <w:num w:numId="32">
    <w:abstractNumId w:val="6"/>
  </w:num>
  <w:num w:numId="33">
    <w:abstractNumId w:val="13"/>
  </w:num>
  <w:num w:numId="34">
    <w:abstractNumId w:val="48"/>
  </w:num>
  <w:num w:numId="35">
    <w:abstractNumId w:val="39"/>
  </w:num>
  <w:num w:numId="36">
    <w:abstractNumId w:val="41"/>
  </w:num>
  <w:num w:numId="37">
    <w:abstractNumId w:val="15"/>
  </w:num>
  <w:num w:numId="38">
    <w:abstractNumId w:val="9"/>
  </w:num>
  <w:num w:numId="39">
    <w:abstractNumId w:val="22"/>
  </w:num>
  <w:num w:numId="40">
    <w:abstractNumId w:val="52"/>
  </w:num>
  <w:num w:numId="41">
    <w:abstractNumId w:val="5"/>
  </w:num>
  <w:num w:numId="42">
    <w:abstractNumId w:val="40"/>
  </w:num>
  <w:num w:numId="43">
    <w:abstractNumId w:val="23"/>
  </w:num>
  <w:num w:numId="44">
    <w:abstractNumId w:val="37"/>
  </w:num>
  <w:num w:numId="45">
    <w:abstractNumId w:val="19"/>
    <w:lvlOverride w:ilvl="0">
      <w:lvl w:ilvl="0">
        <w:start w:val="1"/>
        <w:numFmt w:val="decimal"/>
        <w:pStyle w:val="Heading1"/>
        <w:suff w:val="nothing"/>
        <w:lvlText w:val="Section %1"/>
        <w:lvlJc w:val="left"/>
        <w:pPr>
          <w:ind w:left="3403"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2695"/>
          </w:tabs>
          <w:ind w:left="1844"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46">
    <w:abstractNumId w:val="27"/>
  </w:num>
  <w:num w:numId="47">
    <w:abstractNumId w:val="45"/>
  </w:num>
  <w:num w:numId="48">
    <w:abstractNumId w:val="38"/>
  </w:num>
  <w:num w:numId="49">
    <w:abstractNumId w:val="8"/>
  </w:num>
  <w:num w:numId="50">
    <w:abstractNumId w:val="53"/>
  </w:num>
  <w:num w:numId="51">
    <w:abstractNumId w:val="42"/>
  </w:num>
  <w:num w:numId="52">
    <w:abstractNumId w:val="51"/>
  </w:num>
  <w:num w:numId="53">
    <w:abstractNumId w:val="0"/>
  </w:num>
  <w:num w:numId="54">
    <w:abstractNumId w:val="49"/>
  </w:num>
  <w:num w:numId="55">
    <w:abstractNumId w:val="20"/>
  </w:num>
  <w:num w:numId="56">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xe50xzxg2vx0gevxdivt900vt9dx9devw5f&quot;&gt;Literature review report&lt;record-ids&gt;&lt;item&gt;3&lt;/item&gt;&lt;item&gt;8&lt;/item&gt;&lt;item&gt;10&lt;/item&gt;&lt;item&gt;16&lt;/item&gt;&lt;item&gt;21&lt;/item&gt;&lt;item&gt;22&lt;/item&gt;&lt;item&gt;23&lt;/item&gt;&lt;item&gt;25&lt;/item&gt;&lt;item&gt;31&lt;/item&gt;&lt;item&gt;37&lt;/item&gt;&lt;item&gt;40&lt;/item&gt;&lt;item&gt;41&lt;/item&gt;&lt;item&gt;48&lt;/item&gt;&lt;item&gt;53&lt;/item&gt;&lt;item&gt;55&lt;/item&gt;&lt;item&gt;56&lt;/item&gt;&lt;item&gt;59&lt;/item&gt;&lt;item&gt;65&lt;/item&gt;&lt;item&gt;75&lt;/item&gt;&lt;item&gt;78&lt;/item&gt;&lt;item&gt;79&lt;/item&gt;&lt;item&gt;80&lt;/item&gt;&lt;item&gt;81&lt;/item&gt;&lt;item&gt;84&lt;/item&gt;&lt;item&gt;85&lt;/item&gt;&lt;item&gt;86&lt;/item&gt;&lt;item&gt;101&lt;/item&gt;&lt;item&gt;102&lt;/item&gt;&lt;item&gt;104&lt;/item&gt;&lt;item&gt;105&lt;/item&gt;&lt;item&gt;106&lt;/item&gt;&lt;item&gt;107&lt;/item&gt;&lt;item&gt;108&lt;/item&gt;&lt;item&gt;109&lt;/item&gt;&lt;item&gt;111&lt;/item&gt;&lt;item&gt;112&lt;/item&gt;&lt;item&gt;113&lt;/item&gt;&lt;item&gt;114&lt;/item&gt;&lt;item&gt;115&lt;/item&gt;&lt;item&gt;116&lt;/item&gt;&lt;item&gt;117&lt;/item&gt;&lt;item&gt;128&lt;/item&gt;&lt;item&gt;130&lt;/item&gt;&lt;item&gt;132&lt;/item&gt;&lt;item&gt;134&lt;/item&gt;&lt;item&gt;139&lt;/item&gt;&lt;item&gt;140&lt;/item&gt;&lt;item&gt;142&lt;/item&gt;&lt;item&gt;143&lt;/item&gt;&lt;item&gt;144&lt;/item&gt;&lt;item&gt;153&lt;/item&gt;&lt;item&gt;155&lt;/item&gt;&lt;item&gt;159&lt;/item&gt;&lt;item&gt;160&lt;/item&gt;&lt;item&gt;161&lt;/item&gt;&lt;item&gt;164&lt;/item&gt;&lt;item&gt;167&lt;/item&gt;&lt;item&gt;168&lt;/item&gt;&lt;item&gt;174&lt;/item&gt;&lt;item&gt;175&lt;/item&gt;&lt;item&gt;176&lt;/item&gt;&lt;item&gt;178&lt;/item&gt;&lt;item&gt;198&lt;/item&gt;&lt;item&gt;200&lt;/item&gt;&lt;item&gt;201&lt;/item&gt;&lt;item&gt;202&lt;/item&gt;&lt;item&gt;203&lt;/item&gt;&lt;item&gt;204&lt;/item&gt;&lt;item&gt;205&lt;/item&gt;&lt;item&gt;206&lt;/item&gt;&lt;item&gt;207&lt;/item&gt;&lt;item&gt;208&lt;/item&gt;&lt;item&gt;210&lt;/item&gt;&lt;item&gt;215&lt;/item&gt;&lt;item&gt;216&lt;/item&gt;&lt;item&gt;217&lt;/item&gt;&lt;item&gt;218&lt;/item&gt;&lt;item&gt;219&lt;/item&gt;&lt;item&gt;220&lt;/item&gt;&lt;item&gt;221&lt;/item&gt;&lt;item&gt;222&lt;/item&gt;&lt;item&gt;264&lt;/item&gt;&lt;item&gt;267&lt;/item&gt;&lt;item&gt;268&lt;/item&gt;&lt;item&gt;282&lt;/item&gt;&lt;item&gt;283&lt;/item&gt;&lt;item&gt;284&lt;/item&gt;&lt;item&gt;290&lt;/item&gt;&lt;item&gt;291&lt;/item&gt;&lt;item&gt;292&lt;/item&gt;&lt;/record-ids&gt;&lt;/item&gt;&lt;/Libraries&gt;"/>
  </w:docVars>
  <w:rsids>
    <w:rsidRoot w:val="000B0C8C"/>
    <w:rsid w:val="00000676"/>
    <w:rsid w:val="00001143"/>
    <w:rsid w:val="00001544"/>
    <w:rsid w:val="00002CBE"/>
    <w:rsid w:val="00002D3C"/>
    <w:rsid w:val="000039E6"/>
    <w:rsid w:val="00003E50"/>
    <w:rsid w:val="00004311"/>
    <w:rsid w:val="000054CF"/>
    <w:rsid w:val="000058DE"/>
    <w:rsid w:val="0000707E"/>
    <w:rsid w:val="000077A0"/>
    <w:rsid w:val="000077CE"/>
    <w:rsid w:val="00012746"/>
    <w:rsid w:val="0001276B"/>
    <w:rsid w:val="00012A89"/>
    <w:rsid w:val="00012C43"/>
    <w:rsid w:val="00012EF0"/>
    <w:rsid w:val="0001351C"/>
    <w:rsid w:val="00013DEC"/>
    <w:rsid w:val="00013DF5"/>
    <w:rsid w:val="000145AF"/>
    <w:rsid w:val="00015854"/>
    <w:rsid w:val="000167B4"/>
    <w:rsid w:val="00016BF6"/>
    <w:rsid w:val="0001713E"/>
    <w:rsid w:val="00017C1F"/>
    <w:rsid w:val="00017FBF"/>
    <w:rsid w:val="0002051B"/>
    <w:rsid w:val="00020CE9"/>
    <w:rsid w:val="00020DDA"/>
    <w:rsid w:val="000211A3"/>
    <w:rsid w:val="0002235B"/>
    <w:rsid w:val="0002253F"/>
    <w:rsid w:val="00022B7B"/>
    <w:rsid w:val="00022DA6"/>
    <w:rsid w:val="00022E3F"/>
    <w:rsid w:val="000232A6"/>
    <w:rsid w:val="000245BD"/>
    <w:rsid w:val="0002479A"/>
    <w:rsid w:val="00024991"/>
    <w:rsid w:val="00026080"/>
    <w:rsid w:val="00026931"/>
    <w:rsid w:val="00026B3C"/>
    <w:rsid w:val="00026CB1"/>
    <w:rsid w:val="00027311"/>
    <w:rsid w:val="000273DB"/>
    <w:rsid w:val="00027957"/>
    <w:rsid w:val="00032398"/>
    <w:rsid w:val="00033623"/>
    <w:rsid w:val="00033681"/>
    <w:rsid w:val="00033E8C"/>
    <w:rsid w:val="0003409D"/>
    <w:rsid w:val="000342DC"/>
    <w:rsid w:val="000347D4"/>
    <w:rsid w:val="00034EAB"/>
    <w:rsid w:val="00035233"/>
    <w:rsid w:val="00035C43"/>
    <w:rsid w:val="00035CAA"/>
    <w:rsid w:val="0003622D"/>
    <w:rsid w:val="0003789A"/>
    <w:rsid w:val="00037D64"/>
    <w:rsid w:val="00040BD7"/>
    <w:rsid w:val="00041372"/>
    <w:rsid w:val="000416AB"/>
    <w:rsid w:val="00041984"/>
    <w:rsid w:val="00041A7E"/>
    <w:rsid w:val="00042458"/>
    <w:rsid w:val="000431F0"/>
    <w:rsid w:val="00043CB4"/>
    <w:rsid w:val="00045558"/>
    <w:rsid w:val="00045E4A"/>
    <w:rsid w:val="000460DF"/>
    <w:rsid w:val="00047E33"/>
    <w:rsid w:val="00050135"/>
    <w:rsid w:val="000504A4"/>
    <w:rsid w:val="00050842"/>
    <w:rsid w:val="00052353"/>
    <w:rsid w:val="00052F94"/>
    <w:rsid w:val="0005309E"/>
    <w:rsid w:val="000546C2"/>
    <w:rsid w:val="000548FD"/>
    <w:rsid w:val="0005536D"/>
    <w:rsid w:val="000559E2"/>
    <w:rsid w:val="00055DCD"/>
    <w:rsid w:val="00055F77"/>
    <w:rsid w:val="00056161"/>
    <w:rsid w:val="00056B0F"/>
    <w:rsid w:val="00057A82"/>
    <w:rsid w:val="000604DC"/>
    <w:rsid w:val="00062FC9"/>
    <w:rsid w:val="000633E2"/>
    <w:rsid w:val="000637FC"/>
    <w:rsid w:val="00063B4C"/>
    <w:rsid w:val="00064658"/>
    <w:rsid w:val="00064766"/>
    <w:rsid w:val="000647C6"/>
    <w:rsid w:val="00064FEF"/>
    <w:rsid w:val="0006512A"/>
    <w:rsid w:val="00065489"/>
    <w:rsid w:val="00065ABB"/>
    <w:rsid w:val="00065F42"/>
    <w:rsid w:val="000660F8"/>
    <w:rsid w:val="000662F1"/>
    <w:rsid w:val="00066698"/>
    <w:rsid w:val="00066834"/>
    <w:rsid w:val="00066AB2"/>
    <w:rsid w:val="000675D8"/>
    <w:rsid w:val="000676BE"/>
    <w:rsid w:val="000724B1"/>
    <w:rsid w:val="00072A71"/>
    <w:rsid w:val="00072E12"/>
    <w:rsid w:val="0007323D"/>
    <w:rsid w:val="00073A00"/>
    <w:rsid w:val="00074B5F"/>
    <w:rsid w:val="0007521E"/>
    <w:rsid w:val="00075AE3"/>
    <w:rsid w:val="00075D0E"/>
    <w:rsid w:val="0007681B"/>
    <w:rsid w:val="00076A20"/>
    <w:rsid w:val="00076ADE"/>
    <w:rsid w:val="000775E9"/>
    <w:rsid w:val="000801F8"/>
    <w:rsid w:val="00080ED5"/>
    <w:rsid w:val="000824DB"/>
    <w:rsid w:val="000825E8"/>
    <w:rsid w:val="000828A1"/>
    <w:rsid w:val="00083208"/>
    <w:rsid w:val="000852FB"/>
    <w:rsid w:val="00085667"/>
    <w:rsid w:val="00085E98"/>
    <w:rsid w:val="00086A04"/>
    <w:rsid w:val="00087A6A"/>
    <w:rsid w:val="00087C8E"/>
    <w:rsid w:val="00091491"/>
    <w:rsid w:val="00091BE6"/>
    <w:rsid w:val="00091E7E"/>
    <w:rsid w:val="00092310"/>
    <w:rsid w:val="000940EB"/>
    <w:rsid w:val="00094EC1"/>
    <w:rsid w:val="000958F2"/>
    <w:rsid w:val="00097C45"/>
    <w:rsid w:val="00097C6E"/>
    <w:rsid w:val="00097E3A"/>
    <w:rsid w:val="000A193C"/>
    <w:rsid w:val="000A1B83"/>
    <w:rsid w:val="000A1EBA"/>
    <w:rsid w:val="000A2050"/>
    <w:rsid w:val="000A2DB5"/>
    <w:rsid w:val="000A30C5"/>
    <w:rsid w:val="000A3F7A"/>
    <w:rsid w:val="000A4602"/>
    <w:rsid w:val="000A4677"/>
    <w:rsid w:val="000A51F3"/>
    <w:rsid w:val="000A5911"/>
    <w:rsid w:val="000A6228"/>
    <w:rsid w:val="000A6697"/>
    <w:rsid w:val="000A6E36"/>
    <w:rsid w:val="000A7292"/>
    <w:rsid w:val="000A72FD"/>
    <w:rsid w:val="000A7CB9"/>
    <w:rsid w:val="000B0485"/>
    <w:rsid w:val="000B0C8C"/>
    <w:rsid w:val="000B12FE"/>
    <w:rsid w:val="000B1B9E"/>
    <w:rsid w:val="000B23AB"/>
    <w:rsid w:val="000B254C"/>
    <w:rsid w:val="000B524D"/>
    <w:rsid w:val="000B5265"/>
    <w:rsid w:val="000B6B79"/>
    <w:rsid w:val="000C06A9"/>
    <w:rsid w:val="000C0A78"/>
    <w:rsid w:val="000C0D98"/>
    <w:rsid w:val="000C2CB9"/>
    <w:rsid w:val="000C3AA8"/>
    <w:rsid w:val="000C4305"/>
    <w:rsid w:val="000C46DF"/>
    <w:rsid w:val="000C49E2"/>
    <w:rsid w:val="000C585D"/>
    <w:rsid w:val="000C60B4"/>
    <w:rsid w:val="000C61FF"/>
    <w:rsid w:val="000C66AF"/>
    <w:rsid w:val="000C66B3"/>
    <w:rsid w:val="000C70E2"/>
    <w:rsid w:val="000C745C"/>
    <w:rsid w:val="000C74B1"/>
    <w:rsid w:val="000D03B9"/>
    <w:rsid w:val="000D0670"/>
    <w:rsid w:val="000D06EF"/>
    <w:rsid w:val="000D1D1E"/>
    <w:rsid w:val="000D2511"/>
    <w:rsid w:val="000D27CF"/>
    <w:rsid w:val="000D2FC8"/>
    <w:rsid w:val="000D36D2"/>
    <w:rsid w:val="000D3BCC"/>
    <w:rsid w:val="000D40BF"/>
    <w:rsid w:val="000D4B07"/>
    <w:rsid w:val="000D564C"/>
    <w:rsid w:val="000D5DD0"/>
    <w:rsid w:val="000D6945"/>
    <w:rsid w:val="000D6FC6"/>
    <w:rsid w:val="000D7D01"/>
    <w:rsid w:val="000D7D43"/>
    <w:rsid w:val="000D7DAB"/>
    <w:rsid w:val="000E0079"/>
    <w:rsid w:val="000E0ABD"/>
    <w:rsid w:val="000E0E91"/>
    <w:rsid w:val="000E153B"/>
    <w:rsid w:val="000E1BDD"/>
    <w:rsid w:val="000E1F27"/>
    <w:rsid w:val="000E294F"/>
    <w:rsid w:val="000E3539"/>
    <w:rsid w:val="000E36F8"/>
    <w:rsid w:val="000E38F8"/>
    <w:rsid w:val="000E512C"/>
    <w:rsid w:val="000E67F8"/>
    <w:rsid w:val="000E79FE"/>
    <w:rsid w:val="000E7F06"/>
    <w:rsid w:val="000F0119"/>
    <w:rsid w:val="000F044F"/>
    <w:rsid w:val="000F0E1B"/>
    <w:rsid w:val="000F2E0E"/>
    <w:rsid w:val="000F3079"/>
    <w:rsid w:val="000F3AFC"/>
    <w:rsid w:val="000F3EBE"/>
    <w:rsid w:val="000F4182"/>
    <w:rsid w:val="000F4BA3"/>
    <w:rsid w:val="000F5807"/>
    <w:rsid w:val="000F62A9"/>
    <w:rsid w:val="000F68D2"/>
    <w:rsid w:val="000F6EFC"/>
    <w:rsid w:val="000F7E14"/>
    <w:rsid w:val="00100017"/>
    <w:rsid w:val="00100197"/>
    <w:rsid w:val="0010025B"/>
    <w:rsid w:val="0010068E"/>
    <w:rsid w:val="00101225"/>
    <w:rsid w:val="00101863"/>
    <w:rsid w:val="00101A77"/>
    <w:rsid w:val="001024C8"/>
    <w:rsid w:val="001046AF"/>
    <w:rsid w:val="001051F9"/>
    <w:rsid w:val="0010546C"/>
    <w:rsid w:val="001055C5"/>
    <w:rsid w:val="00105AA9"/>
    <w:rsid w:val="00105B66"/>
    <w:rsid w:val="001066D2"/>
    <w:rsid w:val="001071DA"/>
    <w:rsid w:val="00107963"/>
    <w:rsid w:val="00110084"/>
    <w:rsid w:val="001103FF"/>
    <w:rsid w:val="00110455"/>
    <w:rsid w:val="00110ABA"/>
    <w:rsid w:val="00111D1E"/>
    <w:rsid w:val="00111E4E"/>
    <w:rsid w:val="00111FA3"/>
    <w:rsid w:val="001121F8"/>
    <w:rsid w:val="00113A4A"/>
    <w:rsid w:val="00113F1E"/>
    <w:rsid w:val="0011408C"/>
    <w:rsid w:val="00114427"/>
    <w:rsid w:val="00115045"/>
    <w:rsid w:val="00115AB1"/>
    <w:rsid w:val="00116E63"/>
    <w:rsid w:val="00116EDA"/>
    <w:rsid w:val="00117400"/>
    <w:rsid w:val="00120232"/>
    <w:rsid w:val="00120A7B"/>
    <w:rsid w:val="001211AE"/>
    <w:rsid w:val="001217C9"/>
    <w:rsid w:val="00121EF0"/>
    <w:rsid w:val="00122438"/>
    <w:rsid w:val="00122CE5"/>
    <w:rsid w:val="001234DA"/>
    <w:rsid w:val="00123AD8"/>
    <w:rsid w:val="00123C1B"/>
    <w:rsid w:val="00123E7D"/>
    <w:rsid w:val="00124027"/>
    <w:rsid w:val="001240F2"/>
    <w:rsid w:val="00124F08"/>
    <w:rsid w:val="001251DE"/>
    <w:rsid w:val="00125AF7"/>
    <w:rsid w:val="0012643A"/>
    <w:rsid w:val="00126D7C"/>
    <w:rsid w:val="00126F99"/>
    <w:rsid w:val="00127CC2"/>
    <w:rsid w:val="001301D0"/>
    <w:rsid w:val="00130B4A"/>
    <w:rsid w:val="00131C31"/>
    <w:rsid w:val="00132B2B"/>
    <w:rsid w:val="00132E10"/>
    <w:rsid w:val="0013307D"/>
    <w:rsid w:val="00133D05"/>
    <w:rsid w:val="001356C1"/>
    <w:rsid w:val="001363C5"/>
    <w:rsid w:val="001368CE"/>
    <w:rsid w:val="0013782E"/>
    <w:rsid w:val="00140687"/>
    <w:rsid w:val="001406D9"/>
    <w:rsid w:val="00140B62"/>
    <w:rsid w:val="00140C48"/>
    <w:rsid w:val="001413BB"/>
    <w:rsid w:val="00141508"/>
    <w:rsid w:val="00141AB4"/>
    <w:rsid w:val="00141E3A"/>
    <w:rsid w:val="001424AA"/>
    <w:rsid w:val="001428A7"/>
    <w:rsid w:val="001428E7"/>
    <w:rsid w:val="0014300C"/>
    <w:rsid w:val="00144722"/>
    <w:rsid w:val="00145CE3"/>
    <w:rsid w:val="00146692"/>
    <w:rsid w:val="00146880"/>
    <w:rsid w:val="00146A18"/>
    <w:rsid w:val="00146A6B"/>
    <w:rsid w:val="00146A8B"/>
    <w:rsid w:val="00147C70"/>
    <w:rsid w:val="0015014E"/>
    <w:rsid w:val="001504AA"/>
    <w:rsid w:val="00150D82"/>
    <w:rsid w:val="00150DBD"/>
    <w:rsid w:val="00150DC0"/>
    <w:rsid w:val="00150EEE"/>
    <w:rsid w:val="00151620"/>
    <w:rsid w:val="00151A01"/>
    <w:rsid w:val="00152A02"/>
    <w:rsid w:val="001532AF"/>
    <w:rsid w:val="0015420F"/>
    <w:rsid w:val="00154702"/>
    <w:rsid w:val="00155028"/>
    <w:rsid w:val="0015510C"/>
    <w:rsid w:val="00156EB5"/>
    <w:rsid w:val="00157440"/>
    <w:rsid w:val="001602A5"/>
    <w:rsid w:val="0016130F"/>
    <w:rsid w:val="00161444"/>
    <w:rsid w:val="001639A2"/>
    <w:rsid w:val="00163C75"/>
    <w:rsid w:val="00164021"/>
    <w:rsid w:val="0016423E"/>
    <w:rsid w:val="001647A0"/>
    <w:rsid w:val="00164C1C"/>
    <w:rsid w:val="001660ED"/>
    <w:rsid w:val="00167375"/>
    <w:rsid w:val="00167471"/>
    <w:rsid w:val="0016766E"/>
    <w:rsid w:val="00167B34"/>
    <w:rsid w:val="0017012F"/>
    <w:rsid w:val="00170708"/>
    <w:rsid w:val="00170E8E"/>
    <w:rsid w:val="00171297"/>
    <w:rsid w:val="00171DFA"/>
    <w:rsid w:val="00172729"/>
    <w:rsid w:val="0017449B"/>
    <w:rsid w:val="001750D5"/>
    <w:rsid w:val="001761C7"/>
    <w:rsid w:val="00176CE6"/>
    <w:rsid w:val="001776BF"/>
    <w:rsid w:val="00177935"/>
    <w:rsid w:val="0017797D"/>
    <w:rsid w:val="001779A4"/>
    <w:rsid w:val="00180812"/>
    <w:rsid w:val="0018092D"/>
    <w:rsid w:val="00181151"/>
    <w:rsid w:val="001812BB"/>
    <w:rsid w:val="00182493"/>
    <w:rsid w:val="0018288F"/>
    <w:rsid w:val="001835B6"/>
    <w:rsid w:val="00183A64"/>
    <w:rsid w:val="0018400D"/>
    <w:rsid w:val="00184332"/>
    <w:rsid w:val="00184ED9"/>
    <w:rsid w:val="00185623"/>
    <w:rsid w:val="00186004"/>
    <w:rsid w:val="001863E5"/>
    <w:rsid w:val="00186483"/>
    <w:rsid w:val="00186728"/>
    <w:rsid w:val="00187E28"/>
    <w:rsid w:val="001902A8"/>
    <w:rsid w:val="001904AD"/>
    <w:rsid w:val="001909F5"/>
    <w:rsid w:val="00191996"/>
    <w:rsid w:val="0019224F"/>
    <w:rsid w:val="0019235B"/>
    <w:rsid w:val="00192560"/>
    <w:rsid w:val="00193204"/>
    <w:rsid w:val="0019393C"/>
    <w:rsid w:val="00194011"/>
    <w:rsid w:val="00194614"/>
    <w:rsid w:val="00195E30"/>
    <w:rsid w:val="00195FC1"/>
    <w:rsid w:val="00196DB5"/>
    <w:rsid w:val="00196FAB"/>
    <w:rsid w:val="001976D5"/>
    <w:rsid w:val="001A03AD"/>
    <w:rsid w:val="001A0436"/>
    <w:rsid w:val="001A058C"/>
    <w:rsid w:val="001A1585"/>
    <w:rsid w:val="001A1802"/>
    <w:rsid w:val="001A1B19"/>
    <w:rsid w:val="001A1C44"/>
    <w:rsid w:val="001A20AE"/>
    <w:rsid w:val="001A293B"/>
    <w:rsid w:val="001A2E31"/>
    <w:rsid w:val="001A3284"/>
    <w:rsid w:val="001A4566"/>
    <w:rsid w:val="001A49DD"/>
    <w:rsid w:val="001A4CCF"/>
    <w:rsid w:val="001A4EB3"/>
    <w:rsid w:val="001A5334"/>
    <w:rsid w:val="001A57C7"/>
    <w:rsid w:val="001A599C"/>
    <w:rsid w:val="001A675B"/>
    <w:rsid w:val="001A69BE"/>
    <w:rsid w:val="001A6A82"/>
    <w:rsid w:val="001A747A"/>
    <w:rsid w:val="001A7F97"/>
    <w:rsid w:val="001B0312"/>
    <w:rsid w:val="001B199D"/>
    <w:rsid w:val="001B1DAA"/>
    <w:rsid w:val="001B2CBA"/>
    <w:rsid w:val="001B2FD2"/>
    <w:rsid w:val="001B38BB"/>
    <w:rsid w:val="001B53BA"/>
    <w:rsid w:val="001B552D"/>
    <w:rsid w:val="001B5669"/>
    <w:rsid w:val="001B59A9"/>
    <w:rsid w:val="001B6836"/>
    <w:rsid w:val="001B6EE5"/>
    <w:rsid w:val="001B7272"/>
    <w:rsid w:val="001B72DE"/>
    <w:rsid w:val="001C09B9"/>
    <w:rsid w:val="001C0AB9"/>
    <w:rsid w:val="001C1006"/>
    <w:rsid w:val="001C1A97"/>
    <w:rsid w:val="001C1E27"/>
    <w:rsid w:val="001C2742"/>
    <w:rsid w:val="001C295E"/>
    <w:rsid w:val="001C349D"/>
    <w:rsid w:val="001C372E"/>
    <w:rsid w:val="001C399C"/>
    <w:rsid w:val="001C39AA"/>
    <w:rsid w:val="001C3B62"/>
    <w:rsid w:val="001C41A4"/>
    <w:rsid w:val="001C4302"/>
    <w:rsid w:val="001C45C8"/>
    <w:rsid w:val="001C49D2"/>
    <w:rsid w:val="001C5235"/>
    <w:rsid w:val="001C54E0"/>
    <w:rsid w:val="001C5EB6"/>
    <w:rsid w:val="001C6234"/>
    <w:rsid w:val="001C79F5"/>
    <w:rsid w:val="001D0185"/>
    <w:rsid w:val="001D0732"/>
    <w:rsid w:val="001D0FDA"/>
    <w:rsid w:val="001D1093"/>
    <w:rsid w:val="001D17E9"/>
    <w:rsid w:val="001D2077"/>
    <w:rsid w:val="001D21EC"/>
    <w:rsid w:val="001D2A80"/>
    <w:rsid w:val="001D2BEA"/>
    <w:rsid w:val="001D2F0A"/>
    <w:rsid w:val="001D3236"/>
    <w:rsid w:val="001D34EE"/>
    <w:rsid w:val="001D3838"/>
    <w:rsid w:val="001D4A97"/>
    <w:rsid w:val="001D5097"/>
    <w:rsid w:val="001D54F3"/>
    <w:rsid w:val="001D55A7"/>
    <w:rsid w:val="001D5973"/>
    <w:rsid w:val="001D6008"/>
    <w:rsid w:val="001D6161"/>
    <w:rsid w:val="001D61C0"/>
    <w:rsid w:val="001D6865"/>
    <w:rsid w:val="001D6E64"/>
    <w:rsid w:val="001D6F98"/>
    <w:rsid w:val="001D70D4"/>
    <w:rsid w:val="001D769E"/>
    <w:rsid w:val="001D7ED0"/>
    <w:rsid w:val="001E0756"/>
    <w:rsid w:val="001E16B8"/>
    <w:rsid w:val="001E17A1"/>
    <w:rsid w:val="001E1B87"/>
    <w:rsid w:val="001E4015"/>
    <w:rsid w:val="001E4C07"/>
    <w:rsid w:val="001E50F5"/>
    <w:rsid w:val="001E5DED"/>
    <w:rsid w:val="001E634F"/>
    <w:rsid w:val="001E793F"/>
    <w:rsid w:val="001E7F3E"/>
    <w:rsid w:val="001F044A"/>
    <w:rsid w:val="001F064C"/>
    <w:rsid w:val="001F06A3"/>
    <w:rsid w:val="001F09E7"/>
    <w:rsid w:val="001F149C"/>
    <w:rsid w:val="001F14CB"/>
    <w:rsid w:val="001F1F12"/>
    <w:rsid w:val="001F1FDD"/>
    <w:rsid w:val="001F40B2"/>
    <w:rsid w:val="001F432E"/>
    <w:rsid w:val="001F437F"/>
    <w:rsid w:val="001F43F7"/>
    <w:rsid w:val="001F46A2"/>
    <w:rsid w:val="001F6496"/>
    <w:rsid w:val="001F65FA"/>
    <w:rsid w:val="001F6A4C"/>
    <w:rsid w:val="001F6AC1"/>
    <w:rsid w:val="001F70C1"/>
    <w:rsid w:val="001F73A8"/>
    <w:rsid w:val="001F7C70"/>
    <w:rsid w:val="002002A6"/>
    <w:rsid w:val="00200D9E"/>
    <w:rsid w:val="00200F50"/>
    <w:rsid w:val="00201497"/>
    <w:rsid w:val="002023DE"/>
    <w:rsid w:val="00202D4D"/>
    <w:rsid w:val="00203356"/>
    <w:rsid w:val="00203E3E"/>
    <w:rsid w:val="002045AE"/>
    <w:rsid w:val="002046A0"/>
    <w:rsid w:val="00205A79"/>
    <w:rsid w:val="00205AA5"/>
    <w:rsid w:val="00205B06"/>
    <w:rsid w:val="00205BCE"/>
    <w:rsid w:val="00205F79"/>
    <w:rsid w:val="00206369"/>
    <w:rsid w:val="00207AD0"/>
    <w:rsid w:val="00207D45"/>
    <w:rsid w:val="002109F3"/>
    <w:rsid w:val="0021149E"/>
    <w:rsid w:val="00211F2D"/>
    <w:rsid w:val="00212382"/>
    <w:rsid w:val="00212941"/>
    <w:rsid w:val="00212C2E"/>
    <w:rsid w:val="002136BC"/>
    <w:rsid w:val="00214AC1"/>
    <w:rsid w:val="00215768"/>
    <w:rsid w:val="002160CD"/>
    <w:rsid w:val="002167A5"/>
    <w:rsid w:val="00216AD4"/>
    <w:rsid w:val="00216CC6"/>
    <w:rsid w:val="00216DA2"/>
    <w:rsid w:val="002174D7"/>
    <w:rsid w:val="00220C07"/>
    <w:rsid w:val="00221A10"/>
    <w:rsid w:val="0022228D"/>
    <w:rsid w:val="00222782"/>
    <w:rsid w:val="00224431"/>
    <w:rsid w:val="002258FA"/>
    <w:rsid w:val="00226138"/>
    <w:rsid w:val="00226B30"/>
    <w:rsid w:val="002274A5"/>
    <w:rsid w:val="002301D9"/>
    <w:rsid w:val="002303F7"/>
    <w:rsid w:val="00230C5A"/>
    <w:rsid w:val="002312DA"/>
    <w:rsid w:val="00231338"/>
    <w:rsid w:val="00231B1D"/>
    <w:rsid w:val="0023244F"/>
    <w:rsid w:val="0023265F"/>
    <w:rsid w:val="00233948"/>
    <w:rsid w:val="00234634"/>
    <w:rsid w:val="00234F49"/>
    <w:rsid w:val="00234FD7"/>
    <w:rsid w:val="002358E7"/>
    <w:rsid w:val="0023621C"/>
    <w:rsid w:val="002378DD"/>
    <w:rsid w:val="002378F3"/>
    <w:rsid w:val="00237FAE"/>
    <w:rsid w:val="0024003B"/>
    <w:rsid w:val="0024006E"/>
    <w:rsid w:val="00240B80"/>
    <w:rsid w:val="00241406"/>
    <w:rsid w:val="00242BA3"/>
    <w:rsid w:val="00242EA0"/>
    <w:rsid w:val="0024328B"/>
    <w:rsid w:val="00243BB8"/>
    <w:rsid w:val="00244545"/>
    <w:rsid w:val="00244675"/>
    <w:rsid w:val="0024467B"/>
    <w:rsid w:val="00244728"/>
    <w:rsid w:val="002449DC"/>
    <w:rsid w:val="00246B68"/>
    <w:rsid w:val="00246F7A"/>
    <w:rsid w:val="00247929"/>
    <w:rsid w:val="002503CC"/>
    <w:rsid w:val="00250528"/>
    <w:rsid w:val="00250EBD"/>
    <w:rsid w:val="00251919"/>
    <w:rsid w:val="002522E0"/>
    <w:rsid w:val="0025314D"/>
    <w:rsid w:val="002532EC"/>
    <w:rsid w:val="00253B90"/>
    <w:rsid w:val="002541D8"/>
    <w:rsid w:val="00255731"/>
    <w:rsid w:val="00256659"/>
    <w:rsid w:val="00256CDC"/>
    <w:rsid w:val="0025736F"/>
    <w:rsid w:val="00257E1E"/>
    <w:rsid w:val="002600D5"/>
    <w:rsid w:val="00260588"/>
    <w:rsid w:val="00262AD2"/>
    <w:rsid w:val="00262C0A"/>
    <w:rsid w:val="00263222"/>
    <w:rsid w:val="002651ED"/>
    <w:rsid w:val="0026536F"/>
    <w:rsid w:val="00265391"/>
    <w:rsid w:val="00265798"/>
    <w:rsid w:val="002677E1"/>
    <w:rsid w:val="00267A57"/>
    <w:rsid w:val="00270357"/>
    <w:rsid w:val="00270A37"/>
    <w:rsid w:val="00271086"/>
    <w:rsid w:val="002718B3"/>
    <w:rsid w:val="002719D2"/>
    <w:rsid w:val="002729F8"/>
    <w:rsid w:val="00272F8F"/>
    <w:rsid w:val="002738E7"/>
    <w:rsid w:val="00277345"/>
    <w:rsid w:val="00280914"/>
    <w:rsid w:val="002820F1"/>
    <w:rsid w:val="0028228D"/>
    <w:rsid w:val="002824C8"/>
    <w:rsid w:val="00282865"/>
    <w:rsid w:val="00283614"/>
    <w:rsid w:val="00283E6D"/>
    <w:rsid w:val="00284BD6"/>
    <w:rsid w:val="00284E18"/>
    <w:rsid w:val="00284EBE"/>
    <w:rsid w:val="002856B6"/>
    <w:rsid w:val="0028628F"/>
    <w:rsid w:val="0028753E"/>
    <w:rsid w:val="002876CD"/>
    <w:rsid w:val="0028781C"/>
    <w:rsid w:val="0029005A"/>
    <w:rsid w:val="0029058D"/>
    <w:rsid w:val="00290B6A"/>
    <w:rsid w:val="00291747"/>
    <w:rsid w:val="002928D0"/>
    <w:rsid w:val="00293822"/>
    <w:rsid w:val="00293CC5"/>
    <w:rsid w:val="00293DE5"/>
    <w:rsid w:val="00294743"/>
    <w:rsid w:val="002963C1"/>
    <w:rsid w:val="002965EB"/>
    <w:rsid w:val="00296A77"/>
    <w:rsid w:val="00296C04"/>
    <w:rsid w:val="0029701D"/>
    <w:rsid w:val="0029749A"/>
    <w:rsid w:val="0029750E"/>
    <w:rsid w:val="00297721"/>
    <w:rsid w:val="00297A57"/>
    <w:rsid w:val="002A0DA1"/>
    <w:rsid w:val="002A15D3"/>
    <w:rsid w:val="002A22EC"/>
    <w:rsid w:val="002A44E0"/>
    <w:rsid w:val="002A5065"/>
    <w:rsid w:val="002A5572"/>
    <w:rsid w:val="002A5739"/>
    <w:rsid w:val="002A5820"/>
    <w:rsid w:val="002A59F9"/>
    <w:rsid w:val="002A5CA2"/>
    <w:rsid w:val="002A66C2"/>
    <w:rsid w:val="002A6729"/>
    <w:rsid w:val="002A73C2"/>
    <w:rsid w:val="002B03AB"/>
    <w:rsid w:val="002B11AF"/>
    <w:rsid w:val="002B11BF"/>
    <w:rsid w:val="002B14FA"/>
    <w:rsid w:val="002B15F2"/>
    <w:rsid w:val="002B16D4"/>
    <w:rsid w:val="002B17E6"/>
    <w:rsid w:val="002B1E58"/>
    <w:rsid w:val="002B3187"/>
    <w:rsid w:val="002B3E8B"/>
    <w:rsid w:val="002B4347"/>
    <w:rsid w:val="002B48B9"/>
    <w:rsid w:val="002B756B"/>
    <w:rsid w:val="002B78DA"/>
    <w:rsid w:val="002C0149"/>
    <w:rsid w:val="002C1053"/>
    <w:rsid w:val="002C1E4D"/>
    <w:rsid w:val="002C27FA"/>
    <w:rsid w:val="002C3038"/>
    <w:rsid w:val="002C383E"/>
    <w:rsid w:val="002C44CD"/>
    <w:rsid w:val="002C63B7"/>
    <w:rsid w:val="002C7600"/>
    <w:rsid w:val="002C7B12"/>
    <w:rsid w:val="002D170B"/>
    <w:rsid w:val="002D1BC0"/>
    <w:rsid w:val="002D1FA4"/>
    <w:rsid w:val="002D228E"/>
    <w:rsid w:val="002D27FE"/>
    <w:rsid w:val="002D2B12"/>
    <w:rsid w:val="002D2B52"/>
    <w:rsid w:val="002D2E0E"/>
    <w:rsid w:val="002D33AD"/>
    <w:rsid w:val="002D42F3"/>
    <w:rsid w:val="002D4A37"/>
    <w:rsid w:val="002D503C"/>
    <w:rsid w:val="002D583D"/>
    <w:rsid w:val="002D6BEE"/>
    <w:rsid w:val="002D6BFF"/>
    <w:rsid w:val="002D6C5F"/>
    <w:rsid w:val="002D785D"/>
    <w:rsid w:val="002E0693"/>
    <w:rsid w:val="002E12C0"/>
    <w:rsid w:val="002E1B57"/>
    <w:rsid w:val="002E46A6"/>
    <w:rsid w:val="002E4833"/>
    <w:rsid w:val="002E4E0B"/>
    <w:rsid w:val="002E5CBD"/>
    <w:rsid w:val="002E5D56"/>
    <w:rsid w:val="002E5F67"/>
    <w:rsid w:val="002E68F1"/>
    <w:rsid w:val="002E6E59"/>
    <w:rsid w:val="002E7FF1"/>
    <w:rsid w:val="002F0002"/>
    <w:rsid w:val="002F06A0"/>
    <w:rsid w:val="002F18F7"/>
    <w:rsid w:val="002F1FF1"/>
    <w:rsid w:val="002F2907"/>
    <w:rsid w:val="002F2B03"/>
    <w:rsid w:val="002F2F6D"/>
    <w:rsid w:val="002F3008"/>
    <w:rsid w:val="002F3746"/>
    <w:rsid w:val="002F38B0"/>
    <w:rsid w:val="002F5F0B"/>
    <w:rsid w:val="002F60E8"/>
    <w:rsid w:val="002F61C4"/>
    <w:rsid w:val="002F692B"/>
    <w:rsid w:val="002F6D08"/>
    <w:rsid w:val="002F7095"/>
    <w:rsid w:val="002F7338"/>
    <w:rsid w:val="0030053F"/>
    <w:rsid w:val="00300A41"/>
    <w:rsid w:val="00300A50"/>
    <w:rsid w:val="00300E1B"/>
    <w:rsid w:val="00301602"/>
    <w:rsid w:val="00301A67"/>
    <w:rsid w:val="00301DF6"/>
    <w:rsid w:val="00302076"/>
    <w:rsid w:val="0030221C"/>
    <w:rsid w:val="00302512"/>
    <w:rsid w:val="00302C19"/>
    <w:rsid w:val="00303106"/>
    <w:rsid w:val="0030374E"/>
    <w:rsid w:val="003037BB"/>
    <w:rsid w:val="00303FB1"/>
    <w:rsid w:val="003041CB"/>
    <w:rsid w:val="0030435D"/>
    <w:rsid w:val="00304BCB"/>
    <w:rsid w:val="00305DD3"/>
    <w:rsid w:val="00306B37"/>
    <w:rsid w:val="00306DCF"/>
    <w:rsid w:val="003076D6"/>
    <w:rsid w:val="00307AEA"/>
    <w:rsid w:val="00310238"/>
    <w:rsid w:val="003108F0"/>
    <w:rsid w:val="003109CA"/>
    <w:rsid w:val="00310F4A"/>
    <w:rsid w:val="0031124B"/>
    <w:rsid w:val="003114C7"/>
    <w:rsid w:val="003118D5"/>
    <w:rsid w:val="00312FDE"/>
    <w:rsid w:val="00314783"/>
    <w:rsid w:val="00315A30"/>
    <w:rsid w:val="00315B21"/>
    <w:rsid w:val="00317610"/>
    <w:rsid w:val="00317DF1"/>
    <w:rsid w:val="00317E57"/>
    <w:rsid w:val="00321179"/>
    <w:rsid w:val="003214BC"/>
    <w:rsid w:val="003229AC"/>
    <w:rsid w:val="00322CC4"/>
    <w:rsid w:val="00324F88"/>
    <w:rsid w:val="00325071"/>
    <w:rsid w:val="00325A2E"/>
    <w:rsid w:val="0032616B"/>
    <w:rsid w:val="00327569"/>
    <w:rsid w:val="0032778B"/>
    <w:rsid w:val="00327B56"/>
    <w:rsid w:val="00330B2C"/>
    <w:rsid w:val="003315C7"/>
    <w:rsid w:val="0033164F"/>
    <w:rsid w:val="003316D9"/>
    <w:rsid w:val="00331D1A"/>
    <w:rsid w:val="00331FE5"/>
    <w:rsid w:val="00332C0A"/>
    <w:rsid w:val="003330DE"/>
    <w:rsid w:val="00333BD7"/>
    <w:rsid w:val="00333E1B"/>
    <w:rsid w:val="0033442A"/>
    <w:rsid w:val="003350B7"/>
    <w:rsid w:val="003357E6"/>
    <w:rsid w:val="0033633B"/>
    <w:rsid w:val="0033676F"/>
    <w:rsid w:val="00340CB4"/>
    <w:rsid w:val="00341FEC"/>
    <w:rsid w:val="00342246"/>
    <w:rsid w:val="0034246B"/>
    <w:rsid w:val="003425D2"/>
    <w:rsid w:val="0034296E"/>
    <w:rsid w:val="00342BE4"/>
    <w:rsid w:val="00342CF9"/>
    <w:rsid w:val="00342D87"/>
    <w:rsid w:val="0034378E"/>
    <w:rsid w:val="00343EB1"/>
    <w:rsid w:val="0034513B"/>
    <w:rsid w:val="00345789"/>
    <w:rsid w:val="003460BC"/>
    <w:rsid w:val="003461B9"/>
    <w:rsid w:val="0034780D"/>
    <w:rsid w:val="00347EB8"/>
    <w:rsid w:val="00350357"/>
    <w:rsid w:val="003507C5"/>
    <w:rsid w:val="00350E5D"/>
    <w:rsid w:val="00351635"/>
    <w:rsid w:val="003520C2"/>
    <w:rsid w:val="0035316B"/>
    <w:rsid w:val="00353CA5"/>
    <w:rsid w:val="00355FC2"/>
    <w:rsid w:val="00355FEF"/>
    <w:rsid w:val="00356377"/>
    <w:rsid w:val="0035658B"/>
    <w:rsid w:val="003570F1"/>
    <w:rsid w:val="00357C25"/>
    <w:rsid w:val="00357C74"/>
    <w:rsid w:val="003606B3"/>
    <w:rsid w:val="0036146E"/>
    <w:rsid w:val="00361A31"/>
    <w:rsid w:val="00362678"/>
    <w:rsid w:val="00362B04"/>
    <w:rsid w:val="003636FD"/>
    <w:rsid w:val="00363DC4"/>
    <w:rsid w:val="00364C35"/>
    <w:rsid w:val="00364DA8"/>
    <w:rsid w:val="00364E7C"/>
    <w:rsid w:val="00365863"/>
    <w:rsid w:val="0036687A"/>
    <w:rsid w:val="00366ED2"/>
    <w:rsid w:val="0036792B"/>
    <w:rsid w:val="003679E1"/>
    <w:rsid w:val="00367B8B"/>
    <w:rsid w:val="00367EA5"/>
    <w:rsid w:val="0037014F"/>
    <w:rsid w:val="003718FE"/>
    <w:rsid w:val="00371DA1"/>
    <w:rsid w:val="00372290"/>
    <w:rsid w:val="00373E92"/>
    <w:rsid w:val="00374518"/>
    <w:rsid w:val="003748E9"/>
    <w:rsid w:val="00374974"/>
    <w:rsid w:val="00375777"/>
    <w:rsid w:val="0037584C"/>
    <w:rsid w:val="00376226"/>
    <w:rsid w:val="0037716C"/>
    <w:rsid w:val="00377908"/>
    <w:rsid w:val="00377D07"/>
    <w:rsid w:val="0038038B"/>
    <w:rsid w:val="003803FD"/>
    <w:rsid w:val="00380525"/>
    <w:rsid w:val="00381AA8"/>
    <w:rsid w:val="00382814"/>
    <w:rsid w:val="00383046"/>
    <w:rsid w:val="00384D2C"/>
    <w:rsid w:val="00385078"/>
    <w:rsid w:val="003853A4"/>
    <w:rsid w:val="00385515"/>
    <w:rsid w:val="00385E5A"/>
    <w:rsid w:val="00386993"/>
    <w:rsid w:val="00386B3D"/>
    <w:rsid w:val="00386CFD"/>
    <w:rsid w:val="003871E0"/>
    <w:rsid w:val="00387208"/>
    <w:rsid w:val="00387FC7"/>
    <w:rsid w:val="003900AD"/>
    <w:rsid w:val="003903A0"/>
    <w:rsid w:val="003903BC"/>
    <w:rsid w:val="00390EF7"/>
    <w:rsid w:val="003917B6"/>
    <w:rsid w:val="00391F0B"/>
    <w:rsid w:val="00392AF7"/>
    <w:rsid w:val="003932E0"/>
    <w:rsid w:val="00394BD2"/>
    <w:rsid w:val="00394D5B"/>
    <w:rsid w:val="003951FA"/>
    <w:rsid w:val="0039532C"/>
    <w:rsid w:val="003958E3"/>
    <w:rsid w:val="00395AEC"/>
    <w:rsid w:val="00395E32"/>
    <w:rsid w:val="00395F6E"/>
    <w:rsid w:val="00396A99"/>
    <w:rsid w:val="003979C4"/>
    <w:rsid w:val="00397DC2"/>
    <w:rsid w:val="003A0136"/>
    <w:rsid w:val="003A1267"/>
    <w:rsid w:val="003A1886"/>
    <w:rsid w:val="003A2545"/>
    <w:rsid w:val="003A2E59"/>
    <w:rsid w:val="003A4614"/>
    <w:rsid w:val="003A4C1A"/>
    <w:rsid w:val="003A513F"/>
    <w:rsid w:val="003A5590"/>
    <w:rsid w:val="003A5FE7"/>
    <w:rsid w:val="003A6C5F"/>
    <w:rsid w:val="003A7256"/>
    <w:rsid w:val="003A78B3"/>
    <w:rsid w:val="003A7E50"/>
    <w:rsid w:val="003B0BB6"/>
    <w:rsid w:val="003B22BC"/>
    <w:rsid w:val="003B23BC"/>
    <w:rsid w:val="003B3F80"/>
    <w:rsid w:val="003B401C"/>
    <w:rsid w:val="003B436F"/>
    <w:rsid w:val="003B49A4"/>
    <w:rsid w:val="003B612D"/>
    <w:rsid w:val="003B61E8"/>
    <w:rsid w:val="003B6FA8"/>
    <w:rsid w:val="003B75A8"/>
    <w:rsid w:val="003B7777"/>
    <w:rsid w:val="003B79F7"/>
    <w:rsid w:val="003B7B67"/>
    <w:rsid w:val="003C0574"/>
    <w:rsid w:val="003C1705"/>
    <w:rsid w:val="003C19FC"/>
    <w:rsid w:val="003C1C78"/>
    <w:rsid w:val="003C2B55"/>
    <w:rsid w:val="003C391E"/>
    <w:rsid w:val="003C4687"/>
    <w:rsid w:val="003C5308"/>
    <w:rsid w:val="003C5912"/>
    <w:rsid w:val="003C5C6D"/>
    <w:rsid w:val="003C6123"/>
    <w:rsid w:val="003C6347"/>
    <w:rsid w:val="003C67FE"/>
    <w:rsid w:val="003C6E54"/>
    <w:rsid w:val="003C78F2"/>
    <w:rsid w:val="003D0211"/>
    <w:rsid w:val="003D028D"/>
    <w:rsid w:val="003D0736"/>
    <w:rsid w:val="003D1878"/>
    <w:rsid w:val="003D210A"/>
    <w:rsid w:val="003D22D0"/>
    <w:rsid w:val="003D24F3"/>
    <w:rsid w:val="003D29FB"/>
    <w:rsid w:val="003D34A6"/>
    <w:rsid w:val="003D49DB"/>
    <w:rsid w:val="003D5077"/>
    <w:rsid w:val="003D6003"/>
    <w:rsid w:val="003D6501"/>
    <w:rsid w:val="003D66A6"/>
    <w:rsid w:val="003D695A"/>
    <w:rsid w:val="003D77FF"/>
    <w:rsid w:val="003D7A8E"/>
    <w:rsid w:val="003E046F"/>
    <w:rsid w:val="003E0741"/>
    <w:rsid w:val="003E0985"/>
    <w:rsid w:val="003E19C5"/>
    <w:rsid w:val="003E2952"/>
    <w:rsid w:val="003E2B15"/>
    <w:rsid w:val="003E2CD7"/>
    <w:rsid w:val="003E3104"/>
    <w:rsid w:val="003E40C5"/>
    <w:rsid w:val="003E46E7"/>
    <w:rsid w:val="003E59A2"/>
    <w:rsid w:val="003E65E9"/>
    <w:rsid w:val="003E6949"/>
    <w:rsid w:val="003E6962"/>
    <w:rsid w:val="003E6BCB"/>
    <w:rsid w:val="003E736B"/>
    <w:rsid w:val="003E7620"/>
    <w:rsid w:val="003F03FF"/>
    <w:rsid w:val="003F0B35"/>
    <w:rsid w:val="003F0E27"/>
    <w:rsid w:val="003F1021"/>
    <w:rsid w:val="003F1ABF"/>
    <w:rsid w:val="003F200F"/>
    <w:rsid w:val="003F28E0"/>
    <w:rsid w:val="003F29F5"/>
    <w:rsid w:val="003F2B7F"/>
    <w:rsid w:val="003F3323"/>
    <w:rsid w:val="003F3C2D"/>
    <w:rsid w:val="003F664B"/>
    <w:rsid w:val="003F6760"/>
    <w:rsid w:val="003F6AC4"/>
    <w:rsid w:val="003F6B25"/>
    <w:rsid w:val="003F7E3D"/>
    <w:rsid w:val="003F7EA5"/>
    <w:rsid w:val="003F7FC2"/>
    <w:rsid w:val="00400396"/>
    <w:rsid w:val="00401C78"/>
    <w:rsid w:val="004024C2"/>
    <w:rsid w:val="004033C7"/>
    <w:rsid w:val="00403921"/>
    <w:rsid w:val="00403EAA"/>
    <w:rsid w:val="00404EC4"/>
    <w:rsid w:val="004059B1"/>
    <w:rsid w:val="00405B82"/>
    <w:rsid w:val="00405F3C"/>
    <w:rsid w:val="0040603C"/>
    <w:rsid w:val="00407050"/>
    <w:rsid w:val="004072A5"/>
    <w:rsid w:val="004078DC"/>
    <w:rsid w:val="00407B30"/>
    <w:rsid w:val="00407C06"/>
    <w:rsid w:val="00410011"/>
    <w:rsid w:val="004104D8"/>
    <w:rsid w:val="00410A95"/>
    <w:rsid w:val="00410B78"/>
    <w:rsid w:val="00411B59"/>
    <w:rsid w:val="00411BF3"/>
    <w:rsid w:val="00411DA3"/>
    <w:rsid w:val="00412154"/>
    <w:rsid w:val="0041311A"/>
    <w:rsid w:val="00413A4B"/>
    <w:rsid w:val="00413EE3"/>
    <w:rsid w:val="004143F6"/>
    <w:rsid w:val="00414614"/>
    <w:rsid w:val="00414E0C"/>
    <w:rsid w:val="00414F21"/>
    <w:rsid w:val="00415EC6"/>
    <w:rsid w:val="00416FE8"/>
    <w:rsid w:val="00417354"/>
    <w:rsid w:val="00417601"/>
    <w:rsid w:val="004178B2"/>
    <w:rsid w:val="00417A76"/>
    <w:rsid w:val="00420735"/>
    <w:rsid w:val="00421B3C"/>
    <w:rsid w:val="00423053"/>
    <w:rsid w:val="0042322C"/>
    <w:rsid w:val="00423DCE"/>
    <w:rsid w:val="00424339"/>
    <w:rsid w:val="00424342"/>
    <w:rsid w:val="004246AD"/>
    <w:rsid w:val="00425085"/>
    <w:rsid w:val="004253F0"/>
    <w:rsid w:val="00425D10"/>
    <w:rsid w:val="0042686E"/>
    <w:rsid w:val="004273EA"/>
    <w:rsid w:val="00430F39"/>
    <w:rsid w:val="00431068"/>
    <w:rsid w:val="00431B1B"/>
    <w:rsid w:val="00432352"/>
    <w:rsid w:val="00432C93"/>
    <w:rsid w:val="004334B2"/>
    <w:rsid w:val="00433A16"/>
    <w:rsid w:val="004341C5"/>
    <w:rsid w:val="004341D3"/>
    <w:rsid w:val="00434ED4"/>
    <w:rsid w:val="00437012"/>
    <w:rsid w:val="00437968"/>
    <w:rsid w:val="00437AEA"/>
    <w:rsid w:val="00440ED1"/>
    <w:rsid w:val="00441F08"/>
    <w:rsid w:val="00443120"/>
    <w:rsid w:val="0044345F"/>
    <w:rsid w:val="0044469E"/>
    <w:rsid w:val="00444C33"/>
    <w:rsid w:val="00444DBE"/>
    <w:rsid w:val="00445EBA"/>
    <w:rsid w:val="00446D86"/>
    <w:rsid w:val="00447A4C"/>
    <w:rsid w:val="00447E76"/>
    <w:rsid w:val="004504BE"/>
    <w:rsid w:val="004510DE"/>
    <w:rsid w:val="004522F0"/>
    <w:rsid w:val="00452BFD"/>
    <w:rsid w:val="00453911"/>
    <w:rsid w:val="0045396D"/>
    <w:rsid w:val="0045440E"/>
    <w:rsid w:val="00454B4A"/>
    <w:rsid w:val="00454BB8"/>
    <w:rsid w:val="00454D71"/>
    <w:rsid w:val="004553BB"/>
    <w:rsid w:val="00455DBE"/>
    <w:rsid w:val="00455F8B"/>
    <w:rsid w:val="004569B8"/>
    <w:rsid w:val="00456B7D"/>
    <w:rsid w:val="004571D9"/>
    <w:rsid w:val="00457FA6"/>
    <w:rsid w:val="004604F1"/>
    <w:rsid w:val="00460D54"/>
    <w:rsid w:val="00460E94"/>
    <w:rsid w:val="004610DD"/>
    <w:rsid w:val="004624D8"/>
    <w:rsid w:val="00463AEE"/>
    <w:rsid w:val="00464133"/>
    <w:rsid w:val="00464256"/>
    <w:rsid w:val="0046438C"/>
    <w:rsid w:val="00464AD2"/>
    <w:rsid w:val="0046562B"/>
    <w:rsid w:val="00465ACD"/>
    <w:rsid w:val="00466A07"/>
    <w:rsid w:val="00466BBD"/>
    <w:rsid w:val="00470678"/>
    <w:rsid w:val="00470BF7"/>
    <w:rsid w:val="00470E59"/>
    <w:rsid w:val="00471188"/>
    <w:rsid w:val="00471451"/>
    <w:rsid w:val="0047255E"/>
    <w:rsid w:val="004730D1"/>
    <w:rsid w:val="004745FF"/>
    <w:rsid w:val="00475140"/>
    <w:rsid w:val="00475727"/>
    <w:rsid w:val="00475F6C"/>
    <w:rsid w:val="004761F5"/>
    <w:rsid w:val="00476F09"/>
    <w:rsid w:val="0047767E"/>
    <w:rsid w:val="004776AC"/>
    <w:rsid w:val="00480351"/>
    <w:rsid w:val="00480633"/>
    <w:rsid w:val="00480FDF"/>
    <w:rsid w:val="0048170A"/>
    <w:rsid w:val="00482360"/>
    <w:rsid w:val="004823AB"/>
    <w:rsid w:val="004831F9"/>
    <w:rsid w:val="00483846"/>
    <w:rsid w:val="00483EC5"/>
    <w:rsid w:val="00483EFB"/>
    <w:rsid w:val="00484A97"/>
    <w:rsid w:val="00484F80"/>
    <w:rsid w:val="00485127"/>
    <w:rsid w:val="0048547C"/>
    <w:rsid w:val="004864BF"/>
    <w:rsid w:val="00486EDA"/>
    <w:rsid w:val="00487016"/>
    <w:rsid w:val="004871E0"/>
    <w:rsid w:val="00487776"/>
    <w:rsid w:val="004878F1"/>
    <w:rsid w:val="00487A3E"/>
    <w:rsid w:val="00487E9D"/>
    <w:rsid w:val="004902F5"/>
    <w:rsid w:val="004906AD"/>
    <w:rsid w:val="004909FE"/>
    <w:rsid w:val="00491126"/>
    <w:rsid w:val="004915B2"/>
    <w:rsid w:val="00491F1A"/>
    <w:rsid w:val="00492B1D"/>
    <w:rsid w:val="00492ECC"/>
    <w:rsid w:val="004932AA"/>
    <w:rsid w:val="004933B8"/>
    <w:rsid w:val="0049386A"/>
    <w:rsid w:val="00494974"/>
    <w:rsid w:val="00494989"/>
    <w:rsid w:val="00494E79"/>
    <w:rsid w:val="004955C1"/>
    <w:rsid w:val="0049771F"/>
    <w:rsid w:val="00497729"/>
    <w:rsid w:val="004977A9"/>
    <w:rsid w:val="00497A86"/>
    <w:rsid w:val="004A1247"/>
    <w:rsid w:val="004A1DB5"/>
    <w:rsid w:val="004A22FB"/>
    <w:rsid w:val="004A281B"/>
    <w:rsid w:val="004A2DAC"/>
    <w:rsid w:val="004A32FE"/>
    <w:rsid w:val="004A42D5"/>
    <w:rsid w:val="004A440D"/>
    <w:rsid w:val="004A571D"/>
    <w:rsid w:val="004A5E3D"/>
    <w:rsid w:val="004A67A6"/>
    <w:rsid w:val="004B0076"/>
    <w:rsid w:val="004B09CC"/>
    <w:rsid w:val="004B11AD"/>
    <w:rsid w:val="004B15BA"/>
    <w:rsid w:val="004B1AC2"/>
    <w:rsid w:val="004B1AD2"/>
    <w:rsid w:val="004B2444"/>
    <w:rsid w:val="004B2947"/>
    <w:rsid w:val="004B3085"/>
    <w:rsid w:val="004B35EA"/>
    <w:rsid w:val="004B3ACD"/>
    <w:rsid w:val="004B3BDC"/>
    <w:rsid w:val="004B3CA1"/>
    <w:rsid w:val="004B4168"/>
    <w:rsid w:val="004B50B3"/>
    <w:rsid w:val="004B5582"/>
    <w:rsid w:val="004B5821"/>
    <w:rsid w:val="004B5C24"/>
    <w:rsid w:val="004B6002"/>
    <w:rsid w:val="004B668A"/>
    <w:rsid w:val="004B6AD1"/>
    <w:rsid w:val="004B79F2"/>
    <w:rsid w:val="004B7C88"/>
    <w:rsid w:val="004C01A3"/>
    <w:rsid w:val="004C0FF0"/>
    <w:rsid w:val="004C1BD6"/>
    <w:rsid w:val="004C1FAC"/>
    <w:rsid w:val="004C24B0"/>
    <w:rsid w:val="004C31C4"/>
    <w:rsid w:val="004C3CB8"/>
    <w:rsid w:val="004C6601"/>
    <w:rsid w:val="004C6982"/>
    <w:rsid w:val="004C6FE0"/>
    <w:rsid w:val="004C7053"/>
    <w:rsid w:val="004C707D"/>
    <w:rsid w:val="004C7BB4"/>
    <w:rsid w:val="004D002A"/>
    <w:rsid w:val="004D004A"/>
    <w:rsid w:val="004D0B97"/>
    <w:rsid w:val="004D2553"/>
    <w:rsid w:val="004D3838"/>
    <w:rsid w:val="004D3E68"/>
    <w:rsid w:val="004D6835"/>
    <w:rsid w:val="004D6BA7"/>
    <w:rsid w:val="004D77F9"/>
    <w:rsid w:val="004D7C94"/>
    <w:rsid w:val="004E0A8C"/>
    <w:rsid w:val="004E1863"/>
    <w:rsid w:val="004E1B5A"/>
    <w:rsid w:val="004E1E8D"/>
    <w:rsid w:val="004E2622"/>
    <w:rsid w:val="004E289E"/>
    <w:rsid w:val="004E2BCA"/>
    <w:rsid w:val="004E2E2A"/>
    <w:rsid w:val="004E3008"/>
    <w:rsid w:val="004E35BF"/>
    <w:rsid w:val="004E3670"/>
    <w:rsid w:val="004E3B9D"/>
    <w:rsid w:val="004E3DE7"/>
    <w:rsid w:val="004E3FBA"/>
    <w:rsid w:val="004E4602"/>
    <w:rsid w:val="004E5209"/>
    <w:rsid w:val="004E5399"/>
    <w:rsid w:val="004E6220"/>
    <w:rsid w:val="004E6CF0"/>
    <w:rsid w:val="004F0FBF"/>
    <w:rsid w:val="004F124F"/>
    <w:rsid w:val="004F1506"/>
    <w:rsid w:val="004F1557"/>
    <w:rsid w:val="004F1882"/>
    <w:rsid w:val="004F21C9"/>
    <w:rsid w:val="004F2441"/>
    <w:rsid w:val="004F2B0B"/>
    <w:rsid w:val="004F2DC1"/>
    <w:rsid w:val="004F300A"/>
    <w:rsid w:val="004F34C5"/>
    <w:rsid w:val="004F3579"/>
    <w:rsid w:val="004F3821"/>
    <w:rsid w:val="004F3C29"/>
    <w:rsid w:val="004F3E11"/>
    <w:rsid w:val="004F3EA6"/>
    <w:rsid w:val="004F48F6"/>
    <w:rsid w:val="004F560A"/>
    <w:rsid w:val="004F6A6B"/>
    <w:rsid w:val="004F6D9A"/>
    <w:rsid w:val="004F7BBE"/>
    <w:rsid w:val="00500769"/>
    <w:rsid w:val="00500B3C"/>
    <w:rsid w:val="00501401"/>
    <w:rsid w:val="0050164C"/>
    <w:rsid w:val="00501D63"/>
    <w:rsid w:val="0050270A"/>
    <w:rsid w:val="005035F1"/>
    <w:rsid w:val="00503643"/>
    <w:rsid w:val="00503ED6"/>
    <w:rsid w:val="00504D62"/>
    <w:rsid w:val="005059B2"/>
    <w:rsid w:val="0050638A"/>
    <w:rsid w:val="00506B62"/>
    <w:rsid w:val="00507955"/>
    <w:rsid w:val="00510722"/>
    <w:rsid w:val="00510D5F"/>
    <w:rsid w:val="00510DC8"/>
    <w:rsid w:val="00511DD8"/>
    <w:rsid w:val="00511F7C"/>
    <w:rsid w:val="00512442"/>
    <w:rsid w:val="005133E5"/>
    <w:rsid w:val="00513C8D"/>
    <w:rsid w:val="00514154"/>
    <w:rsid w:val="00515169"/>
    <w:rsid w:val="00515348"/>
    <w:rsid w:val="0051596A"/>
    <w:rsid w:val="00515ED8"/>
    <w:rsid w:val="00517155"/>
    <w:rsid w:val="00517818"/>
    <w:rsid w:val="00520066"/>
    <w:rsid w:val="00520120"/>
    <w:rsid w:val="00520971"/>
    <w:rsid w:val="00520E9E"/>
    <w:rsid w:val="00522F3E"/>
    <w:rsid w:val="00523242"/>
    <w:rsid w:val="00524D64"/>
    <w:rsid w:val="00524F40"/>
    <w:rsid w:val="0052547F"/>
    <w:rsid w:val="005267B0"/>
    <w:rsid w:val="005269D4"/>
    <w:rsid w:val="005270DD"/>
    <w:rsid w:val="00530493"/>
    <w:rsid w:val="005313AD"/>
    <w:rsid w:val="0053171D"/>
    <w:rsid w:val="00531E2B"/>
    <w:rsid w:val="00532271"/>
    <w:rsid w:val="00533936"/>
    <w:rsid w:val="00534393"/>
    <w:rsid w:val="00534ADA"/>
    <w:rsid w:val="00536001"/>
    <w:rsid w:val="00536105"/>
    <w:rsid w:val="00536864"/>
    <w:rsid w:val="00536E7B"/>
    <w:rsid w:val="00537B65"/>
    <w:rsid w:val="00540527"/>
    <w:rsid w:val="00540959"/>
    <w:rsid w:val="00541584"/>
    <w:rsid w:val="00541AE5"/>
    <w:rsid w:val="00541F61"/>
    <w:rsid w:val="0054248E"/>
    <w:rsid w:val="005425F7"/>
    <w:rsid w:val="0054272D"/>
    <w:rsid w:val="00543C03"/>
    <w:rsid w:val="00544588"/>
    <w:rsid w:val="00544A6D"/>
    <w:rsid w:val="00544B4E"/>
    <w:rsid w:val="00545328"/>
    <w:rsid w:val="0054680E"/>
    <w:rsid w:val="00546890"/>
    <w:rsid w:val="00546B6E"/>
    <w:rsid w:val="00547651"/>
    <w:rsid w:val="00547BA5"/>
    <w:rsid w:val="00547CB0"/>
    <w:rsid w:val="00550EA7"/>
    <w:rsid w:val="005510C8"/>
    <w:rsid w:val="00553362"/>
    <w:rsid w:val="00553F4B"/>
    <w:rsid w:val="0055519E"/>
    <w:rsid w:val="00555E5D"/>
    <w:rsid w:val="00556562"/>
    <w:rsid w:val="00556EB6"/>
    <w:rsid w:val="005577A2"/>
    <w:rsid w:val="00557AAF"/>
    <w:rsid w:val="00557DAB"/>
    <w:rsid w:val="00561DAB"/>
    <w:rsid w:val="00561DEA"/>
    <w:rsid w:val="005625F4"/>
    <w:rsid w:val="005628A1"/>
    <w:rsid w:val="00562B76"/>
    <w:rsid w:val="00562F0C"/>
    <w:rsid w:val="00564A78"/>
    <w:rsid w:val="00564BCE"/>
    <w:rsid w:val="00564BF5"/>
    <w:rsid w:val="00564C9C"/>
    <w:rsid w:val="00564DDB"/>
    <w:rsid w:val="00565278"/>
    <w:rsid w:val="005653F2"/>
    <w:rsid w:val="00565B06"/>
    <w:rsid w:val="0056656A"/>
    <w:rsid w:val="00567AFC"/>
    <w:rsid w:val="00570223"/>
    <w:rsid w:val="005708CC"/>
    <w:rsid w:val="00570FC8"/>
    <w:rsid w:val="00571626"/>
    <w:rsid w:val="00572AE9"/>
    <w:rsid w:val="00572F5C"/>
    <w:rsid w:val="0057316F"/>
    <w:rsid w:val="00574C0D"/>
    <w:rsid w:val="005756F4"/>
    <w:rsid w:val="00575C09"/>
    <w:rsid w:val="00575ECF"/>
    <w:rsid w:val="005769C5"/>
    <w:rsid w:val="005771C2"/>
    <w:rsid w:val="00577EEF"/>
    <w:rsid w:val="0058075E"/>
    <w:rsid w:val="0058099A"/>
    <w:rsid w:val="0058283B"/>
    <w:rsid w:val="0058335A"/>
    <w:rsid w:val="00583C7B"/>
    <w:rsid w:val="00583D01"/>
    <w:rsid w:val="0058444D"/>
    <w:rsid w:val="00584A21"/>
    <w:rsid w:val="00585084"/>
    <w:rsid w:val="00585268"/>
    <w:rsid w:val="0058528C"/>
    <w:rsid w:val="00585C90"/>
    <w:rsid w:val="0058657B"/>
    <w:rsid w:val="00586BD2"/>
    <w:rsid w:val="00586DAB"/>
    <w:rsid w:val="005920CA"/>
    <w:rsid w:val="005935CF"/>
    <w:rsid w:val="005940CE"/>
    <w:rsid w:val="00595172"/>
    <w:rsid w:val="005952D3"/>
    <w:rsid w:val="00595AAA"/>
    <w:rsid w:val="00595E34"/>
    <w:rsid w:val="00595F70"/>
    <w:rsid w:val="00596C5A"/>
    <w:rsid w:val="005A0693"/>
    <w:rsid w:val="005A0C4F"/>
    <w:rsid w:val="005A0C83"/>
    <w:rsid w:val="005A1876"/>
    <w:rsid w:val="005A1E1C"/>
    <w:rsid w:val="005A20F4"/>
    <w:rsid w:val="005A26BA"/>
    <w:rsid w:val="005A2984"/>
    <w:rsid w:val="005A3267"/>
    <w:rsid w:val="005A38D6"/>
    <w:rsid w:val="005A6395"/>
    <w:rsid w:val="005A65D4"/>
    <w:rsid w:val="005A690B"/>
    <w:rsid w:val="005A6967"/>
    <w:rsid w:val="005B041A"/>
    <w:rsid w:val="005B0EAE"/>
    <w:rsid w:val="005B1314"/>
    <w:rsid w:val="005B1DB4"/>
    <w:rsid w:val="005B1EA0"/>
    <w:rsid w:val="005B35AB"/>
    <w:rsid w:val="005B45F8"/>
    <w:rsid w:val="005B5D2A"/>
    <w:rsid w:val="005B5D32"/>
    <w:rsid w:val="005B5D33"/>
    <w:rsid w:val="005B698C"/>
    <w:rsid w:val="005B6BCC"/>
    <w:rsid w:val="005B6E37"/>
    <w:rsid w:val="005C0D11"/>
    <w:rsid w:val="005C0F6F"/>
    <w:rsid w:val="005C12D4"/>
    <w:rsid w:val="005C160C"/>
    <w:rsid w:val="005C17E3"/>
    <w:rsid w:val="005C19BC"/>
    <w:rsid w:val="005C2D4B"/>
    <w:rsid w:val="005C3000"/>
    <w:rsid w:val="005C371E"/>
    <w:rsid w:val="005C489C"/>
    <w:rsid w:val="005C4DCD"/>
    <w:rsid w:val="005C4EFD"/>
    <w:rsid w:val="005C7344"/>
    <w:rsid w:val="005C76DD"/>
    <w:rsid w:val="005C77B1"/>
    <w:rsid w:val="005D22DF"/>
    <w:rsid w:val="005D238B"/>
    <w:rsid w:val="005D3751"/>
    <w:rsid w:val="005D377E"/>
    <w:rsid w:val="005D4A7A"/>
    <w:rsid w:val="005D4F0A"/>
    <w:rsid w:val="005D5814"/>
    <w:rsid w:val="005D597D"/>
    <w:rsid w:val="005D61F7"/>
    <w:rsid w:val="005D68B2"/>
    <w:rsid w:val="005E048F"/>
    <w:rsid w:val="005E097C"/>
    <w:rsid w:val="005E0F89"/>
    <w:rsid w:val="005E1BF0"/>
    <w:rsid w:val="005E574A"/>
    <w:rsid w:val="005E5A64"/>
    <w:rsid w:val="005E5CF5"/>
    <w:rsid w:val="005E60A7"/>
    <w:rsid w:val="005E6576"/>
    <w:rsid w:val="005E6B71"/>
    <w:rsid w:val="005E6B72"/>
    <w:rsid w:val="005E70D3"/>
    <w:rsid w:val="005E7127"/>
    <w:rsid w:val="005F18FE"/>
    <w:rsid w:val="005F3D9C"/>
    <w:rsid w:val="005F3FE3"/>
    <w:rsid w:val="005F46F0"/>
    <w:rsid w:val="005F4A50"/>
    <w:rsid w:val="005F6CED"/>
    <w:rsid w:val="005F6E76"/>
    <w:rsid w:val="005F738E"/>
    <w:rsid w:val="005F7965"/>
    <w:rsid w:val="005F7C24"/>
    <w:rsid w:val="005F7C39"/>
    <w:rsid w:val="00600108"/>
    <w:rsid w:val="0060020B"/>
    <w:rsid w:val="00600372"/>
    <w:rsid w:val="0060055F"/>
    <w:rsid w:val="00600C83"/>
    <w:rsid w:val="00601EE7"/>
    <w:rsid w:val="0060259F"/>
    <w:rsid w:val="006055B4"/>
    <w:rsid w:val="00605CC0"/>
    <w:rsid w:val="00605CD9"/>
    <w:rsid w:val="00605E8B"/>
    <w:rsid w:val="006060C4"/>
    <w:rsid w:val="006068D9"/>
    <w:rsid w:val="006069DE"/>
    <w:rsid w:val="00606E1E"/>
    <w:rsid w:val="00606F24"/>
    <w:rsid w:val="006074DB"/>
    <w:rsid w:val="00607CD3"/>
    <w:rsid w:val="00607DAA"/>
    <w:rsid w:val="0061001D"/>
    <w:rsid w:val="006101F6"/>
    <w:rsid w:val="0061091A"/>
    <w:rsid w:val="0061251F"/>
    <w:rsid w:val="006135AB"/>
    <w:rsid w:val="00613E37"/>
    <w:rsid w:val="00614500"/>
    <w:rsid w:val="006152C4"/>
    <w:rsid w:val="00616140"/>
    <w:rsid w:val="00616319"/>
    <w:rsid w:val="00616993"/>
    <w:rsid w:val="006170BA"/>
    <w:rsid w:val="00617B53"/>
    <w:rsid w:val="006204E2"/>
    <w:rsid w:val="0062061D"/>
    <w:rsid w:val="00621726"/>
    <w:rsid w:val="00621DD4"/>
    <w:rsid w:val="00622316"/>
    <w:rsid w:val="00623B9C"/>
    <w:rsid w:val="00623FC0"/>
    <w:rsid w:val="00625781"/>
    <w:rsid w:val="00626BE8"/>
    <w:rsid w:val="00626C56"/>
    <w:rsid w:val="006325A4"/>
    <w:rsid w:val="00632F7C"/>
    <w:rsid w:val="006333E9"/>
    <w:rsid w:val="0063355B"/>
    <w:rsid w:val="006336CD"/>
    <w:rsid w:val="00633861"/>
    <w:rsid w:val="00633F87"/>
    <w:rsid w:val="006346DB"/>
    <w:rsid w:val="0063506B"/>
    <w:rsid w:val="00635B21"/>
    <w:rsid w:val="00636E0F"/>
    <w:rsid w:val="006406A6"/>
    <w:rsid w:val="006406B0"/>
    <w:rsid w:val="00640806"/>
    <w:rsid w:val="0064129B"/>
    <w:rsid w:val="006416AE"/>
    <w:rsid w:val="0064203F"/>
    <w:rsid w:val="00642CBF"/>
    <w:rsid w:val="006433EF"/>
    <w:rsid w:val="00643CDE"/>
    <w:rsid w:val="00645D4A"/>
    <w:rsid w:val="00645E4A"/>
    <w:rsid w:val="00646E0A"/>
    <w:rsid w:val="00646FBF"/>
    <w:rsid w:val="006477B4"/>
    <w:rsid w:val="00650B25"/>
    <w:rsid w:val="006512DF"/>
    <w:rsid w:val="00651A08"/>
    <w:rsid w:val="006522D4"/>
    <w:rsid w:val="0065262D"/>
    <w:rsid w:val="00652C91"/>
    <w:rsid w:val="00653A91"/>
    <w:rsid w:val="00654A1A"/>
    <w:rsid w:val="006556A8"/>
    <w:rsid w:val="006567B4"/>
    <w:rsid w:val="006576DE"/>
    <w:rsid w:val="006604E2"/>
    <w:rsid w:val="00660E47"/>
    <w:rsid w:val="00661581"/>
    <w:rsid w:val="0066218C"/>
    <w:rsid w:val="00662DCF"/>
    <w:rsid w:val="0066300C"/>
    <w:rsid w:val="00663CBC"/>
    <w:rsid w:val="006641C2"/>
    <w:rsid w:val="006645F2"/>
    <w:rsid w:val="00664F2E"/>
    <w:rsid w:val="00665167"/>
    <w:rsid w:val="00667BDC"/>
    <w:rsid w:val="006701F2"/>
    <w:rsid w:val="006708E5"/>
    <w:rsid w:val="006713D3"/>
    <w:rsid w:val="006728A4"/>
    <w:rsid w:val="00672B68"/>
    <w:rsid w:val="00673790"/>
    <w:rsid w:val="00673CB2"/>
    <w:rsid w:val="00674E0D"/>
    <w:rsid w:val="00675476"/>
    <w:rsid w:val="006756B5"/>
    <w:rsid w:val="00675C84"/>
    <w:rsid w:val="00675E77"/>
    <w:rsid w:val="006760D4"/>
    <w:rsid w:val="006769EC"/>
    <w:rsid w:val="00676B78"/>
    <w:rsid w:val="00676D38"/>
    <w:rsid w:val="006776D2"/>
    <w:rsid w:val="006778E8"/>
    <w:rsid w:val="00680250"/>
    <w:rsid w:val="00680468"/>
    <w:rsid w:val="00680476"/>
    <w:rsid w:val="0068098A"/>
    <w:rsid w:val="006818C0"/>
    <w:rsid w:val="0068271B"/>
    <w:rsid w:val="00682F21"/>
    <w:rsid w:val="00682F9C"/>
    <w:rsid w:val="006831D9"/>
    <w:rsid w:val="00683965"/>
    <w:rsid w:val="00683D01"/>
    <w:rsid w:val="00684BAB"/>
    <w:rsid w:val="00685B08"/>
    <w:rsid w:val="00686EDC"/>
    <w:rsid w:val="006875EE"/>
    <w:rsid w:val="00687948"/>
    <w:rsid w:val="00690DD5"/>
    <w:rsid w:val="006917D9"/>
    <w:rsid w:val="0069215C"/>
    <w:rsid w:val="00693F55"/>
    <w:rsid w:val="00693F70"/>
    <w:rsid w:val="00693FEC"/>
    <w:rsid w:val="00695487"/>
    <w:rsid w:val="00695728"/>
    <w:rsid w:val="006957D0"/>
    <w:rsid w:val="006962A1"/>
    <w:rsid w:val="006966DC"/>
    <w:rsid w:val="00696AC8"/>
    <w:rsid w:val="00696BA6"/>
    <w:rsid w:val="00697712"/>
    <w:rsid w:val="00697BEE"/>
    <w:rsid w:val="006A004D"/>
    <w:rsid w:val="006A0576"/>
    <w:rsid w:val="006A0B6E"/>
    <w:rsid w:val="006A0BF0"/>
    <w:rsid w:val="006A0F9A"/>
    <w:rsid w:val="006A152F"/>
    <w:rsid w:val="006A201F"/>
    <w:rsid w:val="006A32C5"/>
    <w:rsid w:val="006A34FC"/>
    <w:rsid w:val="006A35BA"/>
    <w:rsid w:val="006A397E"/>
    <w:rsid w:val="006A4F43"/>
    <w:rsid w:val="006A593B"/>
    <w:rsid w:val="006A5D37"/>
    <w:rsid w:val="006A5D40"/>
    <w:rsid w:val="006A66FA"/>
    <w:rsid w:val="006A6969"/>
    <w:rsid w:val="006A6E88"/>
    <w:rsid w:val="006A6F9F"/>
    <w:rsid w:val="006A7882"/>
    <w:rsid w:val="006A7E57"/>
    <w:rsid w:val="006B07F0"/>
    <w:rsid w:val="006B12F7"/>
    <w:rsid w:val="006B2908"/>
    <w:rsid w:val="006B2A7D"/>
    <w:rsid w:val="006B2C7A"/>
    <w:rsid w:val="006B2E03"/>
    <w:rsid w:val="006B31FE"/>
    <w:rsid w:val="006B3423"/>
    <w:rsid w:val="006B366D"/>
    <w:rsid w:val="006B498F"/>
    <w:rsid w:val="006B49D5"/>
    <w:rsid w:val="006B4B22"/>
    <w:rsid w:val="006B5DF1"/>
    <w:rsid w:val="006B6A54"/>
    <w:rsid w:val="006B6D9C"/>
    <w:rsid w:val="006C13BE"/>
    <w:rsid w:val="006C1DFA"/>
    <w:rsid w:val="006C297E"/>
    <w:rsid w:val="006C3393"/>
    <w:rsid w:val="006C561D"/>
    <w:rsid w:val="006C5C55"/>
    <w:rsid w:val="006C6C08"/>
    <w:rsid w:val="006C6FAE"/>
    <w:rsid w:val="006C71C1"/>
    <w:rsid w:val="006C74E7"/>
    <w:rsid w:val="006C75A0"/>
    <w:rsid w:val="006C787C"/>
    <w:rsid w:val="006D01E8"/>
    <w:rsid w:val="006D0484"/>
    <w:rsid w:val="006D0E77"/>
    <w:rsid w:val="006D10A7"/>
    <w:rsid w:val="006D15EB"/>
    <w:rsid w:val="006D27FC"/>
    <w:rsid w:val="006D2969"/>
    <w:rsid w:val="006D5751"/>
    <w:rsid w:val="006D5CA4"/>
    <w:rsid w:val="006D6315"/>
    <w:rsid w:val="006D6ED3"/>
    <w:rsid w:val="006D7258"/>
    <w:rsid w:val="006D7B0C"/>
    <w:rsid w:val="006E0197"/>
    <w:rsid w:val="006E03EA"/>
    <w:rsid w:val="006E0764"/>
    <w:rsid w:val="006E0D10"/>
    <w:rsid w:val="006E1435"/>
    <w:rsid w:val="006E1A43"/>
    <w:rsid w:val="006E1D35"/>
    <w:rsid w:val="006E1D91"/>
    <w:rsid w:val="006E2AD5"/>
    <w:rsid w:val="006E45EB"/>
    <w:rsid w:val="006E5396"/>
    <w:rsid w:val="006E53E7"/>
    <w:rsid w:val="006E5548"/>
    <w:rsid w:val="006E6703"/>
    <w:rsid w:val="006E67ED"/>
    <w:rsid w:val="006E7433"/>
    <w:rsid w:val="006F1431"/>
    <w:rsid w:val="006F1826"/>
    <w:rsid w:val="006F2460"/>
    <w:rsid w:val="006F28D3"/>
    <w:rsid w:val="006F52B4"/>
    <w:rsid w:val="006F5806"/>
    <w:rsid w:val="006F6725"/>
    <w:rsid w:val="006F6DCC"/>
    <w:rsid w:val="006F74DA"/>
    <w:rsid w:val="006F774E"/>
    <w:rsid w:val="00701049"/>
    <w:rsid w:val="007011D5"/>
    <w:rsid w:val="0070192A"/>
    <w:rsid w:val="00702B5C"/>
    <w:rsid w:val="007039D9"/>
    <w:rsid w:val="007047ED"/>
    <w:rsid w:val="007048DD"/>
    <w:rsid w:val="00705E3A"/>
    <w:rsid w:val="007064B3"/>
    <w:rsid w:val="00706951"/>
    <w:rsid w:val="007070EB"/>
    <w:rsid w:val="0070795F"/>
    <w:rsid w:val="00707E7A"/>
    <w:rsid w:val="00710ABC"/>
    <w:rsid w:val="007121F2"/>
    <w:rsid w:val="00712B14"/>
    <w:rsid w:val="00712D29"/>
    <w:rsid w:val="00713859"/>
    <w:rsid w:val="00713B3B"/>
    <w:rsid w:val="00713CA2"/>
    <w:rsid w:val="00713F9D"/>
    <w:rsid w:val="00714CAC"/>
    <w:rsid w:val="00715D78"/>
    <w:rsid w:val="00715FE0"/>
    <w:rsid w:val="007162D0"/>
    <w:rsid w:val="00716C73"/>
    <w:rsid w:val="00717262"/>
    <w:rsid w:val="00720284"/>
    <w:rsid w:val="00720ECF"/>
    <w:rsid w:val="00722609"/>
    <w:rsid w:val="007227D9"/>
    <w:rsid w:val="00722E18"/>
    <w:rsid w:val="00722FE3"/>
    <w:rsid w:val="007249B1"/>
    <w:rsid w:val="00724A37"/>
    <w:rsid w:val="00724B96"/>
    <w:rsid w:val="007256DA"/>
    <w:rsid w:val="007263A4"/>
    <w:rsid w:val="007265BC"/>
    <w:rsid w:val="0072793D"/>
    <w:rsid w:val="0073004B"/>
    <w:rsid w:val="0073018C"/>
    <w:rsid w:val="00730401"/>
    <w:rsid w:val="00730CF8"/>
    <w:rsid w:val="00733295"/>
    <w:rsid w:val="007349AB"/>
    <w:rsid w:val="00734B37"/>
    <w:rsid w:val="0073511B"/>
    <w:rsid w:val="00735A32"/>
    <w:rsid w:val="007360B8"/>
    <w:rsid w:val="00736852"/>
    <w:rsid w:val="00736A72"/>
    <w:rsid w:val="00737AD3"/>
    <w:rsid w:val="00737C40"/>
    <w:rsid w:val="00737EA5"/>
    <w:rsid w:val="00740E93"/>
    <w:rsid w:val="00741C38"/>
    <w:rsid w:val="00741ED0"/>
    <w:rsid w:val="00741F5F"/>
    <w:rsid w:val="007420FA"/>
    <w:rsid w:val="00742283"/>
    <w:rsid w:val="0074243E"/>
    <w:rsid w:val="0074269E"/>
    <w:rsid w:val="007429E7"/>
    <w:rsid w:val="00743483"/>
    <w:rsid w:val="00743606"/>
    <w:rsid w:val="00744350"/>
    <w:rsid w:val="0074456F"/>
    <w:rsid w:val="007445A0"/>
    <w:rsid w:val="007446CB"/>
    <w:rsid w:val="007448CC"/>
    <w:rsid w:val="00744A5C"/>
    <w:rsid w:val="00744B92"/>
    <w:rsid w:val="00744F8B"/>
    <w:rsid w:val="00745BC6"/>
    <w:rsid w:val="0074627B"/>
    <w:rsid w:val="007463BE"/>
    <w:rsid w:val="007464D8"/>
    <w:rsid w:val="00746A02"/>
    <w:rsid w:val="00747709"/>
    <w:rsid w:val="00747A32"/>
    <w:rsid w:val="00747AB0"/>
    <w:rsid w:val="00750448"/>
    <w:rsid w:val="0075063A"/>
    <w:rsid w:val="007511D0"/>
    <w:rsid w:val="0075283B"/>
    <w:rsid w:val="00753572"/>
    <w:rsid w:val="00753761"/>
    <w:rsid w:val="00753D1F"/>
    <w:rsid w:val="00754189"/>
    <w:rsid w:val="00754236"/>
    <w:rsid w:val="00754558"/>
    <w:rsid w:val="00754A76"/>
    <w:rsid w:val="00754C65"/>
    <w:rsid w:val="00754E3C"/>
    <w:rsid w:val="00756449"/>
    <w:rsid w:val="00756D3E"/>
    <w:rsid w:val="00756DDD"/>
    <w:rsid w:val="00757493"/>
    <w:rsid w:val="00757507"/>
    <w:rsid w:val="0075777C"/>
    <w:rsid w:val="007577E9"/>
    <w:rsid w:val="00757EE4"/>
    <w:rsid w:val="00760D71"/>
    <w:rsid w:val="00760E24"/>
    <w:rsid w:val="00761752"/>
    <w:rsid w:val="007619CD"/>
    <w:rsid w:val="0076241E"/>
    <w:rsid w:val="00762E16"/>
    <w:rsid w:val="00763463"/>
    <w:rsid w:val="007641DD"/>
    <w:rsid w:val="00764F4B"/>
    <w:rsid w:val="0076503B"/>
    <w:rsid w:val="00765491"/>
    <w:rsid w:val="00765B59"/>
    <w:rsid w:val="00765FF0"/>
    <w:rsid w:val="007660BB"/>
    <w:rsid w:val="007666AA"/>
    <w:rsid w:val="0076735F"/>
    <w:rsid w:val="00767832"/>
    <w:rsid w:val="00767852"/>
    <w:rsid w:val="00767896"/>
    <w:rsid w:val="0077044B"/>
    <w:rsid w:val="00771186"/>
    <w:rsid w:val="0077126A"/>
    <w:rsid w:val="0077137C"/>
    <w:rsid w:val="00771A08"/>
    <w:rsid w:val="00771CD0"/>
    <w:rsid w:val="00772546"/>
    <w:rsid w:val="0077344D"/>
    <w:rsid w:val="00773726"/>
    <w:rsid w:val="007743C2"/>
    <w:rsid w:val="00774E89"/>
    <w:rsid w:val="00774F83"/>
    <w:rsid w:val="00775C2E"/>
    <w:rsid w:val="00776099"/>
    <w:rsid w:val="00776155"/>
    <w:rsid w:val="00776E8A"/>
    <w:rsid w:val="00777978"/>
    <w:rsid w:val="007808A6"/>
    <w:rsid w:val="00781174"/>
    <w:rsid w:val="007815A9"/>
    <w:rsid w:val="007819EE"/>
    <w:rsid w:val="00782550"/>
    <w:rsid w:val="007836C5"/>
    <w:rsid w:val="007849BD"/>
    <w:rsid w:val="00784B31"/>
    <w:rsid w:val="0078562C"/>
    <w:rsid w:val="007868A9"/>
    <w:rsid w:val="00787215"/>
    <w:rsid w:val="007872E5"/>
    <w:rsid w:val="00787656"/>
    <w:rsid w:val="00787DD0"/>
    <w:rsid w:val="0079008B"/>
    <w:rsid w:val="007903D1"/>
    <w:rsid w:val="0079066B"/>
    <w:rsid w:val="00791134"/>
    <w:rsid w:val="0079162F"/>
    <w:rsid w:val="0079211F"/>
    <w:rsid w:val="0079256B"/>
    <w:rsid w:val="00794C6E"/>
    <w:rsid w:val="007950CF"/>
    <w:rsid w:val="007952BE"/>
    <w:rsid w:val="007957A0"/>
    <w:rsid w:val="00795AD0"/>
    <w:rsid w:val="00796817"/>
    <w:rsid w:val="00796DAC"/>
    <w:rsid w:val="00796E53"/>
    <w:rsid w:val="00796F18"/>
    <w:rsid w:val="00797895"/>
    <w:rsid w:val="007A0654"/>
    <w:rsid w:val="007A0DBF"/>
    <w:rsid w:val="007A1315"/>
    <w:rsid w:val="007A1A55"/>
    <w:rsid w:val="007A1D58"/>
    <w:rsid w:val="007A264E"/>
    <w:rsid w:val="007A30E8"/>
    <w:rsid w:val="007A338E"/>
    <w:rsid w:val="007A3397"/>
    <w:rsid w:val="007A3C7A"/>
    <w:rsid w:val="007A3CC9"/>
    <w:rsid w:val="007A3DEE"/>
    <w:rsid w:val="007A3E34"/>
    <w:rsid w:val="007A437F"/>
    <w:rsid w:val="007A51FC"/>
    <w:rsid w:val="007A57F0"/>
    <w:rsid w:val="007A6899"/>
    <w:rsid w:val="007A7D76"/>
    <w:rsid w:val="007B0368"/>
    <w:rsid w:val="007B05D3"/>
    <w:rsid w:val="007B087A"/>
    <w:rsid w:val="007B0F52"/>
    <w:rsid w:val="007B3912"/>
    <w:rsid w:val="007B3C09"/>
    <w:rsid w:val="007B3E45"/>
    <w:rsid w:val="007B4820"/>
    <w:rsid w:val="007B4D42"/>
    <w:rsid w:val="007B51D7"/>
    <w:rsid w:val="007B53CF"/>
    <w:rsid w:val="007B581A"/>
    <w:rsid w:val="007B6A32"/>
    <w:rsid w:val="007B6C7C"/>
    <w:rsid w:val="007B6EF7"/>
    <w:rsid w:val="007B6F4C"/>
    <w:rsid w:val="007C028C"/>
    <w:rsid w:val="007C1311"/>
    <w:rsid w:val="007C16D6"/>
    <w:rsid w:val="007C1C7F"/>
    <w:rsid w:val="007C1CC6"/>
    <w:rsid w:val="007C2310"/>
    <w:rsid w:val="007C2CD3"/>
    <w:rsid w:val="007C2D07"/>
    <w:rsid w:val="007C2D99"/>
    <w:rsid w:val="007C3385"/>
    <w:rsid w:val="007C3461"/>
    <w:rsid w:val="007C3647"/>
    <w:rsid w:val="007C4609"/>
    <w:rsid w:val="007C5D3D"/>
    <w:rsid w:val="007C6024"/>
    <w:rsid w:val="007C6357"/>
    <w:rsid w:val="007C6567"/>
    <w:rsid w:val="007C71D5"/>
    <w:rsid w:val="007D14C2"/>
    <w:rsid w:val="007D1985"/>
    <w:rsid w:val="007D2180"/>
    <w:rsid w:val="007D218C"/>
    <w:rsid w:val="007D2929"/>
    <w:rsid w:val="007D34F5"/>
    <w:rsid w:val="007D3EAF"/>
    <w:rsid w:val="007D3F6C"/>
    <w:rsid w:val="007D4DF1"/>
    <w:rsid w:val="007D5559"/>
    <w:rsid w:val="007D55AF"/>
    <w:rsid w:val="007D61C1"/>
    <w:rsid w:val="007D7183"/>
    <w:rsid w:val="007D7404"/>
    <w:rsid w:val="007E038D"/>
    <w:rsid w:val="007E0651"/>
    <w:rsid w:val="007E0829"/>
    <w:rsid w:val="007E22A2"/>
    <w:rsid w:val="007E29B9"/>
    <w:rsid w:val="007E3A84"/>
    <w:rsid w:val="007E3E1D"/>
    <w:rsid w:val="007E3E71"/>
    <w:rsid w:val="007E4208"/>
    <w:rsid w:val="007E4909"/>
    <w:rsid w:val="007E4C7F"/>
    <w:rsid w:val="007E5786"/>
    <w:rsid w:val="007E59EC"/>
    <w:rsid w:val="007E6052"/>
    <w:rsid w:val="007E658F"/>
    <w:rsid w:val="007E6E6A"/>
    <w:rsid w:val="007E7714"/>
    <w:rsid w:val="007E7C95"/>
    <w:rsid w:val="007F0049"/>
    <w:rsid w:val="007F0556"/>
    <w:rsid w:val="007F0705"/>
    <w:rsid w:val="007F0849"/>
    <w:rsid w:val="007F0CF0"/>
    <w:rsid w:val="007F0E94"/>
    <w:rsid w:val="007F2895"/>
    <w:rsid w:val="007F3320"/>
    <w:rsid w:val="007F339F"/>
    <w:rsid w:val="007F380D"/>
    <w:rsid w:val="007F389B"/>
    <w:rsid w:val="007F3DFE"/>
    <w:rsid w:val="007F498D"/>
    <w:rsid w:val="007F4B0C"/>
    <w:rsid w:val="007F54EF"/>
    <w:rsid w:val="007F64A2"/>
    <w:rsid w:val="007F669C"/>
    <w:rsid w:val="007F6775"/>
    <w:rsid w:val="007F67A6"/>
    <w:rsid w:val="008019B2"/>
    <w:rsid w:val="00801C89"/>
    <w:rsid w:val="008021AA"/>
    <w:rsid w:val="00802365"/>
    <w:rsid w:val="00803406"/>
    <w:rsid w:val="008050A3"/>
    <w:rsid w:val="00805480"/>
    <w:rsid w:val="0080549E"/>
    <w:rsid w:val="00805885"/>
    <w:rsid w:val="00805B6F"/>
    <w:rsid w:val="00805F1D"/>
    <w:rsid w:val="00805FFC"/>
    <w:rsid w:val="008060FB"/>
    <w:rsid w:val="0080777B"/>
    <w:rsid w:val="00810797"/>
    <w:rsid w:val="00810A43"/>
    <w:rsid w:val="00810C3D"/>
    <w:rsid w:val="0081171D"/>
    <w:rsid w:val="008126B4"/>
    <w:rsid w:val="00812ACA"/>
    <w:rsid w:val="008130AF"/>
    <w:rsid w:val="00813A0D"/>
    <w:rsid w:val="00813B75"/>
    <w:rsid w:val="00813D05"/>
    <w:rsid w:val="00814438"/>
    <w:rsid w:val="008155C6"/>
    <w:rsid w:val="0081581A"/>
    <w:rsid w:val="00815A04"/>
    <w:rsid w:val="00815A33"/>
    <w:rsid w:val="0081710F"/>
    <w:rsid w:val="0081764C"/>
    <w:rsid w:val="008179EC"/>
    <w:rsid w:val="00817FE2"/>
    <w:rsid w:val="0082039D"/>
    <w:rsid w:val="00820495"/>
    <w:rsid w:val="0082108D"/>
    <w:rsid w:val="00821404"/>
    <w:rsid w:val="00821A34"/>
    <w:rsid w:val="00822CE5"/>
    <w:rsid w:val="008230E9"/>
    <w:rsid w:val="0082368E"/>
    <w:rsid w:val="00823BBD"/>
    <w:rsid w:val="00823E67"/>
    <w:rsid w:val="008254D0"/>
    <w:rsid w:val="008257A8"/>
    <w:rsid w:val="008261B8"/>
    <w:rsid w:val="008264DD"/>
    <w:rsid w:val="008269E8"/>
    <w:rsid w:val="00826A82"/>
    <w:rsid w:val="00826A8F"/>
    <w:rsid w:val="00826B5E"/>
    <w:rsid w:val="008272CF"/>
    <w:rsid w:val="00827AAF"/>
    <w:rsid w:val="00827D83"/>
    <w:rsid w:val="00830534"/>
    <w:rsid w:val="008316FE"/>
    <w:rsid w:val="008323BB"/>
    <w:rsid w:val="00834197"/>
    <w:rsid w:val="00834DC2"/>
    <w:rsid w:val="008351C6"/>
    <w:rsid w:val="008352BF"/>
    <w:rsid w:val="00835775"/>
    <w:rsid w:val="008362F8"/>
    <w:rsid w:val="00836AAD"/>
    <w:rsid w:val="00840122"/>
    <w:rsid w:val="00840B7D"/>
    <w:rsid w:val="00841049"/>
    <w:rsid w:val="00842075"/>
    <w:rsid w:val="0084232B"/>
    <w:rsid w:val="00843DF8"/>
    <w:rsid w:val="0084434D"/>
    <w:rsid w:val="00844921"/>
    <w:rsid w:val="00844F6F"/>
    <w:rsid w:val="008458C0"/>
    <w:rsid w:val="008468FA"/>
    <w:rsid w:val="00846BE0"/>
    <w:rsid w:val="00847462"/>
    <w:rsid w:val="00847A11"/>
    <w:rsid w:val="00851139"/>
    <w:rsid w:val="008511F4"/>
    <w:rsid w:val="0085196B"/>
    <w:rsid w:val="0085272C"/>
    <w:rsid w:val="00854483"/>
    <w:rsid w:val="00854F17"/>
    <w:rsid w:val="00855E8E"/>
    <w:rsid w:val="0085664C"/>
    <w:rsid w:val="00857D2B"/>
    <w:rsid w:val="00857DBE"/>
    <w:rsid w:val="0086175F"/>
    <w:rsid w:val="008617E4"/>
    <w:rsid w:val="008628B3"/>
    <w:rsid w:val="00862E9C"/>
    <w:rsid w:val="0086399C"/>
    <w:rsid w:val="00863A40"/>
    <w:rsid w:val="00863ADB"/>
    <w:rsid w:val="00864148"/>
    <w:rsid w:val="00864C88"/>
    <w:rsid w:val="00864E0D"/>
    <w:rsid w:val="0086510D"/>
    <w:rsid w:val="00865B4E"/>
    <w:rsid w:val="00866876"/>
    <w:rsid w:val="008676F1"/>
    <w:rsid w:val="00870EBB"/>
    <w:rsid w:val="00872747"/>
    <w:rsid w:val="008727D6"/>
    <w:rsid w:val="008739E4"/>
    <w:rsid w:val="008739F8"/>
    <w:rsid w:val="00874CC1"/>
    <w:rsid w:val="00875EE4"/>
    <w:rsid w:val="00876124"/>
    <w:rsid w:val="0087714C"/>
    <w:rsid w:val="00877CA0"/>
    <w:rsid w:val="00880228"/>
    <w:rsid w:val="008802C1"/>
    <w:rsid w:val="0088097A"/>
    <w:rsid w:val="00881096"/>
    <w:rsid w:val="00881371"/>
    <w:rsid w:val="0088224C"/>
    <w:rsid w:val="008822C7"/>
    <w:rsid w:val="0088264B"/>
    <w:rsid w:val="00882A2F"/>
    <w:rsid w:val="00883A8A"/>
    <w:rsid w:val="00883A9F"/>
    <w:rsid w:val="00883B82"/>
    <w:rsid w:val="00883EE0"/>
    <w:rsid w:val="00883F0C"/>
    <w:rsid w:val="00884F0A"/>
    <w:rsid w:val="0088536B"/>
    <w:rsid w:val="008861B5"/>
    <w:rsid w:val="00887161"/>
    <w:rsid w:val="00887686"/>
    <w:rsid w:val="008877E5"/>
    <w:rsid w:val="0088796B"/>
    <w:rsid w:val="00887DBA"/>
    <w:rsid w:val="00887E55"/>
    <w:rsid w:val="00890B4D"/>
    <w:rsid w:val="00891AEF"/>
    <w:rsid w:val="0089221E"/>
    <w:rsid w:val="00893445"/>
    <w:rsid w:val="00893B00"/>
    <w:rsid w:val="00893B38"/>
    <w:rsid w:val="008940E7"/>
    <w:rsid w:val="00894600"/>
    <w:rsid w:val="00894B40"/>
    <w:rsid w:val="00895270"/>
    <w:rsid w:val="00896006"/>
    <w:rsid w:val="0089664D"/>
    <w:rsid w:val="00896B0E"/>
    <w:rsid w:val="00896B6A"/>
    <w:rsid w:val="00896DC0"/>
    <w:rsid w:val="00897658"/>
    <w:rsid w:val="00897DB1"/>
    <w:rsid w:val="008A00DA"/>
    <w:rsid w:val="008A1E92"/>
    <w:rsid w:val="008A2985"/>
    <w:rsid w:val="008A4355"/>
    <w:rsid w:val="008A5D9B"/>
    <w:rsid w:val="008A721C"/>
    <w:rsid w:val="008B030A"/>
    <w:rsid w:val="008B0C25"/>
    <w:rsid w:val="008B0C36"/>
    <w:rsid w:val="008B150C"/>
    <w:rsid w:val="008B2319"/>
    <w:rsid w:val="008B268D"/>
    <w:rsid w:val="008B4E49"/>
    <w:rsid w:val="008B5A87"/>
    <w:rsid w:val="008B6973"/>
    <w:rsid w:val="008B751B"/>
    <w:rsid w:val="008B7B51"/>
    <w:rsid w:val="008C0289"/>
    <w:rsid w:val="008C0DBC"/>
    <w:rsid w:val="008C1F49"/>
    <w:rsid w:val="008C3EAF"/>
    <w:rsid w:val="008C3F43"/>
    <w:rsid w:val="008C4687"/>
    <w:rsid w:val="008C4D8F"/>
    <w:rsid w:val="008C52AB"/>
    <w:rsid w:val="008C5303"/>
    <w:rsid w:val="008C5CA7"/>
    <w:rsid w:val="008C66FD"/>
    <w:rsid w:val="008C679F"/>
    <w:rsid w:val="008C6E42"/>
    <w:rsid w:val="008C7FDE"/>
    <w:rsid w:val="008D05D4"/>
    <w:rsid w:val="008D092A"/>
    <w:rsid w:val="008D13CD"/>
    <w:rsid w:val="008D1AEA"/>
    <w:rsid w:val="008D2AE4"/>
    <w:rsid w:val="008D2C2D"/>
    <w:rsid w:val="008D3B22"/>
    <w:rsid w:val="008D4184"/>
    <w:rsid w:val="008D440A"/>
    <w:rsid w:val="008D455A"/>
    <w:rsid w:val="008D4567"/>
    <w:rsid w:val="008D4D09"/>
    <w:rsid w:val="008D4DA1"/>
    <w:rsid w:val="008D58AF"/>
    <w:rsid w:val="008D6E18"/>
    <w:rsid w:val="008D73C9"/>
    <w:rsid w:val="008D7AD5"/>
    <w:rsid w:val="008D7C61"/>
    <w:rsid w:val="008E0D4A"/>
    <w:rsid w:val="008E14CF"/>
    <w:rsid w:val="008E1D91"/>
    <w:rsid w:val="008E29BE"/>
    <w:rsid w:val="008E413F"/>
    <w:rsid w:val="008E48C3"/>
    <w:rsid w:val="008E4DB6"/>
    <w:rsid w:val="008E4E6A"/>
    <w:rsid w:val="008E565E"/>
    <w:rsid w:val="008E5B3E"/>
    <w:rsid w:val="008E5BB7"/>
    <w:rsid w:val="008E5E1A"/>
    <w:rsid w:val="008E6DA8"/>
    <w:rsid w:val="008E745C"/>
    <w:rsid w:val="008F0365"/>
    <w:rsid w:val="008F14F1"/>
    <w:rsid w:val="008F15C2"/>
    <w:rsid w:val="008F1F6B"/>
    <w:rsid w:val="008F2254"/>
    <w:rsid w:val="008F3005"/>
    <w:rsid w:val="008F40F8"/>
    <w:rsid w:val="008F4176"/>
    <w:rsid w:val="008F58B5"/>
    <w:rsid w:val="008F75FE"/>
    <w:rsid w:val="009006D0"/>
    <w:rsid w:val="0090167D"/>
    <w:rsid w:val="00902475"/>
    <w:rsid w:val="00903C67"/>
    <w:rsid w:val="00903C7A"/>
    <w:rsid w:val="009047C6"/>
    <w:rsid w:val="00904869"/>
    <w:rsid w:val="00904A5B"/>
    <w:rsid w:val="00907130"/>
    <w:rsid w:val="00907F3E"/>
    <w:rsid w:val="00907F4C"/>
    <w:rsid w:val="00910536"/>
    <w:rsid w:val="00910AF8"/>
    <w:rsid w:val="009113EF"/>
    <w:rsid w:val="009124E5"/>
    <w:rsid w:val="00913697"/>
    <w:rsid w:val="009138D5"/>
    <w:rsid w:val="0091401F"/>
    <w:rsid w:val="00914D1B"/>
    <w:rsid w:val="00915DE8"/>
    <w:rsid w:val="00916C10"/>
    <w:rsid w:val="00916E6D"/>
    <w:rsid w:val="00917790"/>
    <w:rsid w:val="00920393"/>
    <w:rsid w:val="009210E7"/>
    <w:rsid w:val="00921F25"/>
    <w:rsid w:val="00922154"/>
    <w:rsid w:val="00923E87"/>
    <w:rsid w:val="009248FB"/>
    <w:rsid w:val="00925541"/>
    <w:rsid w:val="00925A9C"/>
    <w:rsid w:val="0092600E"/>
    <w:rsid w:val="0092736A"/>
    <w:rsid w:val="00931109"/>
    <w:rsid w:val="00931139"/>
    <w:rsid w:val="00931223"/>
    <w:rsid w:val="00932555"/>
    <w:rsid w:val="0093268E"/>
    <w:rsid w:val="00932EAE"/>
    <w:rsid w:val="009332C9"/>
    <w:rsid w:val="00933892"/>
    <w:rsid w:val="00933A3E"/>
    <w:rsid w:val="00934338"/>
    <w:rsid w:val="009349AC"/>
    <w:rsid w:val="00934E09"/>
    <w:rsid w:val="0093675F"/>
    <w:rsid w:val="00937296"/>
    <w:rsid w:val="00937F58"/>
    <w:rsid w:val="00940468"/>
    <w:rsid w:val="009411F3"/>
    <w:rsid w:val="009421CC"/>
    <w:rsid w:val="0094293D"/>
    <w:rsid w:val="00942D12"/>
    <w:rsid w:val="00943115"/>
    <w:rsid w:val="00943DFC"/>
    <w:rsid w:val="00944E4B"/>
    <w:rsid w:val="009450E2"/>
    <w:rsid w:val="009453BA"/>
    <w:rsid w:val="00945E6E"/>
    <w:rsid w:val="00945F8D"/>
    <w:rsid w:val="009462B7"/>
    <w:rsid w:val="009463F4"/>
    <w:rsid w:val="0094744D"/>
    <w:rsid w:val="009474A6"/>
    <w:rsid w:val="00947C6F"/>
    <w:rsid w:val="00947DC2"/>
    <w:rsid w:val="009503BD"/>
    <w:rsid w:val="00950573"/>
    <w:rsid w:val="00950825"/>
    <w:rsid w:val="00950856"/>
    <w:rsid w:val="0095089E"/>
    <w:rsid w:val="00951198"/>
    <w:rsid w:val="009514C4"/>
    <w:rsid w:val="0095153E"/>
    <w:rsid w:val="0095257E"/>
    <w:rsid w:val="00952A83"/>
    <w:rsid w:val="00953DCB"/>
    <w:rsid w:val="00954175"/>
    <w:rsid w:val="009542C4"/>
    <w:rsid w:val="00954966"/>
    <w:rsid w:val="00954ED8"/>
    <w:rsid w:val="00955FF7"/>
    <w:rsid w:val="0095774A"/>
    <w:rsid w:val="0096052D"/>
    <w:rsid w:val="0096056C"/>
    <w:rsid w:val="00960BF1"/>
    <w:rsid w:val="00962049"/>
    <w:rsid w:val="0096243F"/>
    <w:rsid w:val="0096271D"/>
    <w:rsid w:val="00962FBF"/>
    <w:rsid w:val="00963EDC"/>
    <w:rsid w:val="00964831"/>
    <w:rsid w:val="00964D9E"/>
    <w:rsid w:val="0096531D"/>
    <w:rsid w:val="00965831"/>
    <w:rsid w:val="00966618"/>
    <w:rsid w:val="00966D50"/>
    <w:rsid w:val="00967C30"/>
    <w:rsid w:val="009700A2"/>
    <w:rsid w:val="00971455"/>
    <w:rsid w:val="0097190D"/>
    <w:rsid w:val="00972686"/>
    <w:rsid w:val="00972E50"/>
    <w:rsid w:val="00973227"/>
    <w:rsid w:val="009736CB"/>
    <w:rsid w:val="00974995"/>
    <w:rsid w:val="00974AD8"/>
    <w:rsid w:val="00975155"/>
    <w:rsid w:val="00975557"/>
    <w:rsid w:val="009757AD"/>
    <w:rsid w:val="0097591F"/>
    <w:rsid w:val="009768DA"/>
    <w:rsid w:val="00976974"/>
    <w:rsid w:val="00976CAA"/>
    <w:rsid w:val="0097780F"/>
    <w:rsid w:val="009800DB"/>
    <w:rsid w:val="009800DE"/>
    <w:rsid w:val="009806FB"/>
    <w:rsid w:val="00981B83"/>
    <w:rsid w:val="00981BDF"/>
    <w:rsid w:val="0098271C"/>
    <w:rsid w:val="009828FD"/>
    <w:rsid w:val="0098300E"/>
    <w:rsid w:val="00987F82"/>
    <w:rsid w:val="009901D6"/>
    <w:rsid w:val="0099024A"/>
    <w:rsid w:val="00990D59"/>
    <w:rsid w:val="00991AA5"/>
    <w:rsid w:val="00991BFB"/>
    <w:rsid w:val="00991D3B"/>
    <w:rsid w:val="009922BE"/>
    <w:rsid w:val="009924A5"/>
    <w:rsid w:val="00992E4B"/>
    <w:rsid w:val="00993B8B"/>
    <w:rsid w:val="0099401A"/>
    <w:rsid w:val="009945D2"/>
    <w:rsid w:val="00995976"/>
    <w:rsid w:val="009969BD"/>
    <w:rsid w:val="00996D81"/>
    <w:rsid w:val="009970DD"/>
    <w:rsid w:val="0099721F"/>
    <w:rsid w:val="00997232"/>
    <w:rsid w:val="00997241"/>
    <w:rsid w:val="00997AB2"/>
    <w:rsid w:val="009A0320"/>
    <w:rsid w:val="009A0568"/>
    <w:rsid w:val="009A10CC"/>
    <w:rsid w:val="009A153B"/>
    <w:rsid w:val="009A18E3"/>
    <w:rsid w:val="009A22A5"/>
    <w:rsid w:val="009A3000"/>
    <w:rsid w:val="009A3B2F"/>
    <w:rsid w:val="009A46A0"/>
    <w:rsid w:val="009A5231"/>
    <w:rsid w:val="009A57D8"/>
    <w:rsid w:val="009A6001"/>
    <w:rsid w:val="009A6AEA"/>
    <w:rsid w:val="009A7EF8"/>
    <w:rsid w:val="009B0A06"/>
    <w:rsid w:val="009B2620"/>
    <w:rsid w:val="009B35CE"/>
    <w:rsid w:val="009B3FE7"/>
    <w:rsid w:val="009B4458"/>
    <w:rsid w:val="009B47AA"/>
    <w:rsid w:val="009B49D9"/>
    <w:rsid w:val="009B4BF7"/>
    <w:rsid w:val="009B4D20"/>
    <w:rsid w:val="009B6314"/>
    <w:rsid w:val="009B6434"/>
    <w:rsid w:val="009B6770"/>
    <w:rsid w:val="009B6C11"/>
    <w:rsid w:val="009B75A5"/>
    <w:rsid w:val="009B7CF3"/>
    <w:rsid w:val="009C0DB1"/>
    <w:rsid w:val="009C1181"/>
    <w:rsid w:val="009C124D"/>
    <w:rsid w:val="009C1310"/>
    <w:rsid w:val="009C27C8"/>
    <w:rsid w:val="009C31EB"/>
    <w:rsid w:val="009C3786"/>
    <w:rsid w:val="009C3C61"/>
    <w:rsid w:val="009C5372"/>
    <w:rsid w:val="009C58E8"/>
    <w:rsid w:val="009C60A7"/>
    <w:rsid w:val="009C65FF"/>
    <w:rsid w:val="009C6872"/>
    <w:rsid w:val="009C7D61"/>
    <w:rsid w:val="009D0670"/>
    <w:rsid w:val="009D3242"/>
    <w:rsid w:val="009D367C"/>
    <w:rsid w:val="009D373F"/>
    <w:rsid w:val="009D3832"/>
    <w:rsid w:val="009D3E9F"/>
    <w:rsid w:val="009D48A9"/>
    <w:rsid w:val="009D58D5"/>
    <w:rsid w:val="009D617B"/>
    <w:rsid w:val="009D6433"/>
    <w:rsid w:val="009D6A8A"/>
    <w:rsid w:val="009D6DDC"/>
    <w:rsid w:val="009D7142"/>
    <w:rsid w:val="009D77E2"/>
    <w:rsid w:val="009E020E"/>
    <w:rsid w:val="009E04E9"/>
    <w:rsid w:val="009E1259"/>
    <w:rsid w:val="009E1614"/>
    <w:rsid w:val="009E17E1"/>
    <w:rsid w:val="009E24C1"/>
    <w:rsid w:val="009E3B52"/>
    <w:rsid w:val="009E45CB"/>
    <w:rsid w:val="009E46A7"/>
    <w:rsid w:val="009E54E2"/>
    <w:rsid w:val="009E709C"/>
    <w:rsid w:val="009E73EB"/>
    <w:rsid w:val="009E7AF4"/>
    <w:rsid w:val="009E7BBE"/>
    <w:rsid w:val="009F126C"/>
    <w:rsid w:val="009F139D"/>
    <w:rsid w:val="009F1E35"/>
    <w:rsid w:val="009F2B23"/>
    <w:rsid w:val="009F4016"/>
    <w:rsid w:val="009F446F"/>
    <w:rsid w:val="009F4F18"/>
    <w:rsid w:val="009F5A65"/>
    <w:rsid w:val="009F6BDD"/>
    <w:rsid w:val="00A01DE8"/>
    <w:rsid w:val="00A02135"/>
    <w:rsid w:val="00A023EC"/>
    <w:rsid w:val="00A02892"/>
    <w:rsid w:val="00A0321C"/>
    <w:rsid w:val="00A0351C"/>
    <w:rsid w:val="00A039FA"/>
    <w:rsid w:val="00A03E34"/>
    <w:rsid w:val="00A03F9D"/>
    <w:rsid w:val="00A046AA"/>
    <w:rsid w:val="00A05298"/>
    <w:rsid w:val="00A0593A"/>
    <w:rsid w:val="00A063C5"/>
    <w:rsid w:val="00A06E67"/>
    <w:rsid w:val="00A073C5"/>
    <w:rsid w:val="00A07835"/>
    <w:rsid w:val="00A107DD"/>
    <w:rsid w:val="00A108DF"/>
    <w:rsid w:val="00A12F67"/>
    <w:rsid w:val="00A134B0"/>
    <w:rsid w:val="00A13CEF"/>
    <w:rsid w:val="00A14B50"/>
    <w:rsid w:val="00A14CA8"/>
    <w:rsid w:val="00A156F0"/>
    <w:rsid w:val="00A15A1A"/>
    <w:rsid w:val="00A160C6"/>
    <w:rsid w:val="00A16371"/>
    <w:rsid w:val="00A175E2"/>
    <w:rsid w:val="00A1774E"/>
    <w:rsid w:val="00A17767"/>
    <w:rsid w:val="00A2043B"/>
    <w:rsid w:val="00A2150C"/>
    <w:rsid w:val="00A21884"/>
    <w:rsid w:val="00A21CC3"/>
    <w:rsid w:val="00A225BE"/>
    <w:rsid w:val="00A2320B"/>
    <w:rsid w:val="00A2354C"/>
    <w:rsid w:val="00A247D9"/>
    <w:rsid w:val="00A2500C"/>
    <w:rsid w:val="00A2513B"/>
    <w:rsid w:val="00A25B65"/>
    <w:rsid w:val="00A27A1B"/>
    <w:rsid w:val="00A27B71"/>
    <w:rsid w:val="00A27C4C"/>
    <w:rsid w:val="00A30938"/>
    <w:rsid w:val="00A332E5"/>
    <w:rsid w:val="00A332EB"/>
    <w:rsid w:val="00A35BA5"/>
    <w:rsid w:val="00A36179"/>
    <w:rsid w:val="00A3778B"/>
    <w:rsid w:val="00A377ED"/>
    <w:rsid w:val="00A37FC3"/>
    <w:rsid w:val="00A40E26"/>
    <w:rsid w:val="00A4103C"/>
    <w:rsid w:val="00A42875"/>
    <w:rsid w:val="00A42BF3"/>
    <w:rsid w:val="00A42D61"/>
    <w:rsid w:val="00A43C0C"/>
    <w:rsid w:val="00A44BFF"/>
    <w:rsid w:val="00A45DDC"/>
    <w:rsid w:val="00A4621B"/>
    <w:rsid w:val="00A4660F"/>
    <w:rsid w:val="00A5013B"/>
    <w:rsid w:val="00A50ACF"/>
    <w:rsid w:val="00A50F9E"/>
    <w:rsid w:val="00A51279"/>
    <w:rsid w:val="00A51C05"/>
    <w:rsid w:val="00A51E38"/>
    <w:rsid w:val="00A5249C"/>
    <w:rsid w:val="00A5311B"/>
    <w:rsid w:val="00A5388E"/>
    <w:rsid w:val="00A53C33"/>
    <w:rsid w:val="00A54385"/>
    <w:rsid w:val="00A54B74"/>
    <w:rsid w:val="00A55480"/>
    <w:rsid w:val="00A56E19"/>
    <w:rsid w:val="00A57624"/>
    <w:rsid w:val="00A5769A"/>
    <w:rsid w:val="00A578C5"/>
    <w:rsid w:val="00A603C0"/>
    <w:rsid w:val="00A609BA"/>
    <w:rsid w:val="00A60FB4"/>
    <w:rsid w:val="00A611FD"/>
    <w:rsid w:val="00A61F6B"/>
    <w:rsid w:val="00A634D7"/>
    <w:rsid w:val="00A64AAD"/>
    <w:rsid w:val="00A64F2A"/>
    <w:rsid w:val="00A66468"/>
    <w:rsid w:val="00A671BD"/>
    <w:rsid w:val="00A67D61"/>
    <w:rsid w:val="00A67F43"/>
    <w:rsid w:val="00A700F7"/>
    <w:rsid w:val="00A7277F"/>
    <w:rsid w:val="00A72B1D"/>
    <w:rsid w:val="00A73209"/>
    <w:rsid w:val="00A738EB"/>
    <w:rsid w:val="00A73BA6"/>
    <w:rsid w:val="00A73E34"/>
    <w:rsid w:val="00A740DC"/>
    <w:rsid w:val="00A74122"/>
    <w:rsid w:val="00A74172"/>
    <w:rsid w:val="00A742A3"/>
    <w:rsid w:val="00A744F4"/>
    <w:rsid w:val="00A74630"/>
    <w:rsid w:val="00A74F27"/>
    <w:rsid w:val="00A750B2"/>
    <w:rsid w:val="00A75F19"/>
    <w:rsid w:val="00A7635E"/>
    <w:rsid w:val="00A76779"/>
    <w:rsid w:val="00A76D0A"/>
    <w:rsid w:val="00A7700C"/>
    <w:rsid w:val="00A7777A"/>
    <w:rsid w:val="00A77AD5"/>
    <w:rsid w:val="00A81CE3"/>
    <w:rsid w:val="00A839C6"/>
    <w:rsid w:val="00A83C72"/>
    <w:rsid w:val="00A83F3F"/>
    <w:rsid w:val="00A8513C"/>
    <w:rsid w:val="00A85A90"/>
    <w:rsid w:val="00A85AB7"/>
    <w:rsid w:val="00A862BF"/>
    <w:rsid w:val="00A8643B"/>
    <w:rsid w:val="00A865FF"/>
    <w:rsid w:val="00A86753"/>
    <w:rsid w:val="00A867D8"/>
    <w:rsid w:val="00A878FD"/>
    <w:rsid w:val="00A87BEF"/>
    <w:rsid w:val="00A87E2D"/>
    <w:rsid w:val="00A90890"/>
    <w:rsid w:val="00A90E19"/>
    <w:rsid w:val="00A91735"/>
    <w:rsid w:val="00A917D2"/>
    <w:rsid w:val="00A920AB"/>
    <w:rsid w:val="00A92818"/>
    <w:rsid w:val="00A92AF3"/>
    <w:rsid w:val="00A93200"/>
    <w:rsid w:val="00A94102"/>
    <w:rsid w:val="00A94116"/>
    <w:rsid w:val="00A946A0"/>
    <w:rsid w:val="00A955C4"/>
    <w:rsid w:val="00A95695"/>
    <w:rsid w:val="00A95C32"/>
    <w:rsid w:val="00A964E4"/>
    <w:rsid w:val="00A96B79"/>
    <w:rsid w:val="00A97C10"/>
    <w:rsid w:val="00AA08D3"/>
    <w:rsid w:val="00AA1157"/>
    <w:rsid w:val="00AA1206"/>
    <w:rsid w:val="00AA16AC"/>
    <w:rsid w:val="00AA238A"/>
    <w:rsid w:val="00AA3C1A"/>
    <w:rsid w:val="00AA4B72"/>
    <w:rsid w:val="00AA5A76"/>
    <w:rsid w:val="00AA5DF4"/>
    <w:rsid w:val="00AA6113"/>
    <w:rsid w:val="00AA61A9"/>
    <w:rsid w:val="00AA718A"/>
    <w:rsid w:val="00AA722D"/>
    <w:rsid w:val="00AA7927"/>
    <w:rsid w:val="00AA7C86"/>
    <w:rsid w:val="00AA7D14"/>
    <w:rsid w:val="00AB1645"/>
    <w:rsid w:val="00AB1A87"/>
    <w:rsid w:val="00AB1B2B"/>
    <w:rsid w:val="00AB1D40"/>
    <w:rsid w:val="00AB1EFE"/>
    <w:rsid w:val="00AB35A5"/>
    <w:rsid w:val="00AB4587"/>
    <w:rsid w:val="00AB4AA2"/>
    <w:rsid w:val="00AB4F49"/>
    <w:rsid w:val="00AB7926"/>
    <w:rsid w:val="00AB7AE7"/>
    <w:rsid w:val="00AC0686"/>
    <w:rsid w:val="00AC105C"/>
    <w:rsid w:val="00AC17EE"/>
    <w:rsid w:val="00AC18D8"/>
    <w:rsid w:val="00AC3855"/>
    <w:rsid w:val="00AC5BE9"/>
    <w:rsid w:val="00AC6B0E"/>
    <w:rsid w:val="00AC7BC4"/>
    <w:rsid w:val="00AD0911"/>
    <w:rsid w:val="00AD0E3F"/>
    <w:rsid w:val="00AD1588"/>
    <w:rsid w:val="00AD1C9F"/>
    <w:rsid w:val="00AD22F5"/>
    <w:rsid w:val="00AD2827"/>
    <w:rsid w:val="00AD297C"/>
    <w:rsid w:val="00AD2B3C"/>
    <w:rsid w:val="00AD2B4C"/>
    <w:rsid w:val="00AD2EF6"/>
    <w:rsid w:val="00AD2F26"/>
    <w:rsid w:val="00AD3645"/>
    <w:rsid w:val="00AD37F6"/>
    <w:rsid w:val="00AD3A80"/>
    <w:rsid w:val="00AD3C2B"/>
    <w:rsid w:val="00AD46B9"/>
    <w:rsid w:val="00AD52AC"/>
    <w:rsid w:val="00AD60AB"/>
    <w:rsid w:val="00AD65E4"/>
    <w:rsid w:val="00AD7383"/>
    <w:rsid w:val="00AD76AC"/>
    <w:rsid w:val="00AD7BD9"/>
    <w:rsid w:val="00AE02E0"/>
    <w:rsid w:val="00AE06FC"/>
    <w:rsid w:val="00AE0F63"/>
    <w:rsid w:val="00AE1061"/>
    <w:rsid w:val="00AE19E8"/>
    <w:rsid w:val="00AE1C00"/>
    <w:rsid w:val="00AE21B6"/>
    <w:rsid w:val="00AE5251"/>
    <w:rsid w:val="00AE6653"/>
    <w:rsid w:val="00AE6800"/>
    <w:rsid w:val="00AE6C8B"/>
    <w:rsid w:val="00AE7377"/>
    <w:rsid w:val="00AE77DC"/>
    <w:rsid w:val="00AF1D3A"/>
    <w:rsid w:val="00AF1EA3"/>
    <w:rsid w:val="00AF240A"/>
    <w:rsid w:val="00AF439E"/>
    <w:rsid w:val="00AF5421"/>
    <w:rsid w:val="00AF5A10"/>
    <w:rsid w:val="00AF6570"/>
    <w:rsid w:val="00AF74B9"/>
    <w:rsid w:val="00AF7B62"/>
    <w:rsid w:val="00AF7C09"/>
    <w:rsid w:val="00B006C1"/>
    <w:rsid w:val="00B009E4"/>
    <w:rsid w:val="00B00F64"/>
    <w:rsid w:val="00B01F73"/>
    <w:rsid w:val="00B02745"/>
    <w:rsid w:val="00B02801"/>
    <w:rsid w:val="00B02A7F"/>
    <w:rsid w:val="00B03355"/>
    <w:rsid w:val="00B03431"/>
    <w:rsid w:val="00B03B07"/>
    <w:rsid w:val="00B04125"/>
    <w:rsid w:val="00B04567"/>
    <w:rsid w:val="00B046F8"/>
    <w:rsid w:val="00B04BFF"/>
    <w:rsid w:val="00B050ED"/>
    <w:rsid w:val="00B057CB"/>
    <w:rsid w:val="00B06704"/>
    <w:rsid w:val="00B069DC"/>
    <w:rsid w:val="00B07275"/>
    <w:rsid w:val="00B0730C"/>
    <w:rsid w:val="00B101B3"/>
    <w:rsid w:val="00B11439"/>
    <w:rsid w:val="00B119D5"/>
    <w:rsid w:val="00B12AD8"/>
    <w:rsid w:val="00B144AC"/>
    <w:rsid w:val="00B14A50"/>
    <w:rsid w:val="00B14FF5"/>
    <w:rsid w:val="00B17704"/>
    <w:rsid w:val="00B179F1"/>
    <w:rsid w:val="00B203E1"/>
    <w:rsid w:val="00B20F94"/>
    <w:rsid w:val="00B21201"/>
    <w:rsid w:val="00B21E79"/>
    <w:rsid w:val="00B225A3"/>
    <w:rsid w:val="00B225A4"/>
    <w:rsid w:val="00B2264E"/>
    <w:rsid w:val="00B22734"/>
    <w:rsid w:val="00B22CAD"/>
    <w:rsid w:val="00B22DA4"/>
    <w:rsid w:val="00B23368"/>
    <w:rsid w:val="00B23442"/>
    <w:rsid w:val="00B23726"/>
    <w:rsid w:val="00B23975"/>
    <w:rsid w:val="00B245C5"/>
    <w:rsid w:val="00B24C9F"/>
    <w:rsid w:val="00B24CB7"/>
    <w:rsid w:val="00B24E6D"/>
    <w:rsid w:val="00B256B5"/>
    <w:rsid w:val="00B26174"/>
    <w:rsid w:val="00B264C5"/>
    <w:rsid w:val="00B27105"/>
    <w:rsid w:val="00B27192"/>
    <w:rsid w:val="00B27A3F"/>
    <w:rsid w:val="00B3296A"/>
    <w:rsid w:val="00B32A7C"/>
    <w:rsid w:val="00B32D89"/>
    <w:rsid w:val="00B33526"/>
    <w:rsid w:val="00B35164"/>
    <w:rsid w:val="00B358F2"/>
    <w:rsid w:val="00B360D9"/>
    <w:rsid w:val="00B3667E"/>
    <w:rsid w:val="00B36965"/>
    <w:rsid w:val="00B37053"/>
    <w:rsid w:val="00B37D37"/>
    <w:rsid w:val="00B40240"/>
    <w:rsid w:val="00B403AD"/>
    <w:rsid w:val="00B406CB"/>
    <w:rsid w:val="00B40790"/>
    <w:rsid w:val="00B4079B"/>
    <w:rsid w:val="00B419BF"/>
    <w:rsid w:val="00B420AB"/>
    <w:rsid w:val="00B438B0"/>
    <w:rsid w:val="00B43B3C"/>
    <w:rsid w:val="00B43D19"/>
    <w:rsid w:val="00B44CFB"/>
    <w:rsid w:val="00B451DA"/>
    <w:rsid w:val="00B4581D"/>
    <w:rsid w:val="00B4639E"/>
    <w:rsid w:val="00B46EE5"/>
    <w:rsid w:val="00B47190"/>
    <w:rsid w:val="00B47224"/>
    <w:rsid w:val="00B502DA"/>
    <w:rsid w:val="00B50337"/>
    <w:rsid w:val="00B518C9"/>
    <w:rsid w:val="00B51C8E"/>
    <w:rsid w:val="00B521CF"/>
    <w:rsid w:val="00B525BC"/>
    <w:rsid w:val="00B538B4"/>
    <w:rsid w:val="00B53BB6"/>
    <w:rsid w:val="00B545D0"/>
    <w:rsid w:val="00B5470F"/>
    <w:rsid w:val="00B55CCE"/>
    <w:rsid w:val="00B565D9"/>
    <w:rsid w:val="00B56C8D"/>
    <w:rsid w:val="00B5745D"/>
    <w:rsid w:val="00B575EB"/>
    <w:rsid w:val="00B57A4F"/>
    <w:rsid w:val="00B603BC"/>
    <w:rsid w:val="00B60655"/>
    <w:rsid w:val="00B607A5"/>
    <w:rsid w:val="00B60ABD"/>
    <w:rsid w:val="00B61FF9"/>
    <w:rsid w:val="00B623C7"/>
    <w:rsid w:val="00B62F6D"/>
    <w:rsid w:val="00B634DC"/>
    <w:rsid w:val="00B63A3F"/>
    <w:rsid w:val="00B63B1D"/>
    <w:rsid w:val="00B63EC9"/>
    <w:rsid w:val="00B64A81"/>
    <w:rsid w:val="00B64E57"/>
    <w:rsid w:val="00B656E7"/>
    <w:rsid w:val="00B65826"/>
    <w:rsid w:val="00B66560"/>
    <w:rsid w:val="00B66CC1"/>
    <w:rsid w:val="00B67150"/>
    <w:rsid w:val="00B67603"/>
    <w:rsid w:val="00B67938"/>
    <w:rsid w:val="00B67C3B"/>
    <w:rsid w:val="00B7018E"/>
    <w:rsid w:val="00B70855"/>
    <w:rsid w:val="00B7123C"/>
    <w:rsid w:val="00B71F03"/>
    <w:rsid w:val="00B72D30"/>
    <w:rsid w:val="00B741FF"/>
    <w:rsid w:val="00B744A8"/>
    <w:rsid w:val="00B74616"/>
    <w:rsid w:val="00B74DF7"/>
    <w:rsid w:val="00B7534E"/>
    <w:rsid w:val="00B758DC"/>
    <w:rsid w:val="00B75E93"/>
    <w:rsid w:val="00B76E11"/>
    <w:rsid w:val="00B76E2D"/>
    <w:rsid w:val="00B771FE"/>
    <w:rsid w:val="00B77439"/>
    <w:rsid w:val="00B77C4C"/>
    <w:rsid w:val="00B806EA"/>
    <w:rsid w:val="00B82864"/>
    <w:rsid w:val="00B82A26"/>
    <w:rsid w:val="00B833FB"/>
    <w:rsid w:val="00B83B1E"/>
    <w:rsid w:val="00B83CE7"/>
    <w:rsid w:val="00B83EA6"/>
    <w:rsid w:val="00B84666"/>
    <w:rsid w:val="00B8486E"/>
    <w:rsid w:val="00B860D2"/>
    <w:rsid w:val="00B867E7"/>
    <w:rsid w:val="00B8682C"/>
    <w:rsid w:val="00B917BF"/>
    <w:rsid w:val="00B91F3F"/>
    <w:rsid w:val="00B923F1"/>
    <w:rsid w:val="00B924EC"/>
    <w:rsid w:val="00B92CC9"/>
    <w:rsid w:val="00B92E5F"/>
    <w:rsid w:val="00B933A9"/>
    <w:rsid w:val="00B93F4B"/>
    <w:rsid w:val="00B95A58"/>
    <w:rsid w:val="00B95CD5"/>
    <w:rsid w:val="00B970A7"/>
    <w:rsid w:val="00B97B32"/>
    <w:rsid w:val="00BA0380"/>
    <w:rsid w:val="00BA25A7"/>
    <w:rsid w:val="00BA274C"/>
    <w:rsid w:val="00BA2E75"/>
    <w:rsid w:val="00BA52D1"/>
    <w:rsid w:val="00BA5322"/>
    <w:rsid w:val="00BA5338"/>
    <w:rsid w:val="00BA58EF"/>
    <w:rsid w:val="00BA5CE0"/>
    <w:rsid w:val="00BA7CEB"/>
    <w:rsid w:val="00BB0414"/>
    <w:rsid w:val="00BB04C9"/>
    <w:rsid w:val="00BB0746"/>
    <w:rsid w:val="00BB1098"/>
    <w:rsid w:val="00BB1273"/>
    <w:rsid w:val="00BB14CF"/>
    <w:rsid w:val="00BB1BFB"/>
    <w:rsid w:val="00BB2EC2"/>
    <w:rsid w:val="00BB3466"/>
    <w:rsid w:val="00BB3609"/>
    <w:rsid w:val="00BB390F"/>
    <w:rsid w:val="00BB3B4D"/>
    <w:rsid w:val="00BB3D10"/>
    <w:rsid w:val="00BB5950"/>
    <w:rsid w:val="00BB7124"/>
    <w:rsid w:val="00BB78B9"/>
    <w:rsid w:val="00BC0629"/>
    <w:rsid w:val="00BC0E60"/>
    <w:rsid w:val="00BC132E"/>
    <w:rsid w:val="00BC22F4"/>
    <w:rsid w:val="00BC24BB"/>
    <w:rsid w:val="00BC2735"/>
    <w:rsid w:val="00BC2B2C"/>
    <w:rsid w:val="00BC43A8"/>
    <w:rsid w:val="00BC4B63"/>
    <w:rsid w:val="00BC4E6E"/>
    <w:rsid w:val="00BC5317"/>
    <w:rsid w:val="00BC5A2B"/>
    <w:rsid w:val="00BC7F74"/>
    <w:rsid w:val="00BD003C"/>
    <w:rsid w:val="00BD065F"/>
    <w:rsid w:val="00BD0E70"/>
    <w:rsid w:val="00BD0F57"/>
    <w:rsid w:val="00BD2CDB"/>
    <w:rsid w:val="00BD3EF5"/>
    <w:rsid w:val="00BD489D"/>
    <w:rsid w:val="00BD4A44"/>
    <w:rsid w:val="00BD4A53"/>
    <w:rsid w:val="00BD4F6E"/>
    <w:rsid w:val="00BD512F"/>
    <w:rsid w:val="00BD517A"/>
    <w:rsid w:val="00BD53A5"/>
    <w:rsid w:val="00BD5577"/>
    <w:rsid w:val="00BD6CAC"/>
    <w:rsid w:val="00BD743C"/>
    <w:rsid w:val="00BE1D4C"/>
    <w:rsid w:val="00BE29DF"/>
    <w:rsid w:val="00BE2B33"/>
    <w:rsid w:val="00BE2F81"/>
    <w:rsid w:val="00BE3319"/>
    <w:rsid w:val="00BE3517"/>
    <w:rsid w:val="00BE3606"/>
    <w:rsid w:val="00BE4CB5"/>
    <w:rsid w:val="00BE4F56"/>
    <w:rsid w:val="00BE5266"/>
    <w:rsid w:val="00BE535A"/>
    <w:rsid w:val="00BE59C4"/>
    <w:rsid w:val="00BE5BCE"/>
    <w:rsid w:val="00BE5CAB"/>
    <w:rsid w:val="00BE6E74"/>
    <w:rsid w:val="00BE799B"/>
    <w:rsid w:val="00BE7D82"/>
    <w:rsid w:val="00BE7EE0"/>
    <w:rsid w:val="00BF0C06"/>
    <w:rsid w:val="00BF291C"/>
    <w:rsid w:val="00BF2C11"/>
    <w:rsid w:val="00BF476A"/>
    <w:rsid w:val="00BF48DF"/>
    <w:rsid w:val="00BF4C85"/>
    <w:rsid w:val="00BF4F3C"/>
    <w:rsid w:val="00BF652C"/>
    <w:rsid w:val="00BF66E6"/>
    <w:rsid w:val="00BF6AA5"/>
    <w:rsid w:val="00C01E26"/>
    <w:rsid w:val="00C02217"/>
    <w:rsid w:val="00C02361"/>
    <w:rsid w:val="00C0293A"/>
    <w:rsid w:val="00C03175"/>
    <w:rsid w:val="00C035C0"/>
    <w:rsid w:val="00C0390F"/>
    <w:rsid w:val="00C04871"/>
    <w:rsid w:val="00C04CBB"/>
    <w:rsid w:val="00C05257"/>
    <w:rsid w:val="00C0618C"/>
    <w:rsid w:val="00C069EA"/>
    <w:rsid w:val="00C06D37"/>
    <w:rsid w:val="00C06D9B"/>
    <w:rsid w:val="00C076F5"/>
    <w:rsid w:val="00C102DA"/>
    <w:rsid w:val="00C107D8"/>
    <w:rsid w:val="00C10FF6"/>
    <w:rsid w:val="00C11A08"/>
    <w:rsid w:val="00C1211E"/>
    <w:rsid w:val="00C12457"/>
    <w:rsid w:val="00C1317F"/>
    <w:rsid w:val="00C13FA8"/>
    <w:rsid w:val="00C14922"/>
    <w:rsid w:val="00C15A5C"/>
    <w:rsid w:val="00C163E9"/>
    <w:rsid w:val="00C175BC"/>
    <w:rsid w:val="00C21A19"/>
    <w:rsid w:val="00C23087"/>
    <w:rsid w:val="00C234D0"/>
    <w:rsid w:val="00C23E86"/>
    <w:rsid w:val="00C24ED8"/>
    <w:rsid w:val="00C26F4F"/>
    <w:rsid w:val="00C274DC"/>
    <w:rsid w:val="00C27B14"/>
    <w:rsid w:val="00C301CA"/>
    <w:rsid w:val="00C306D1"/>
    <w:rsid w:val="00C30B1C"/>
    <w:rsid w:val="00C30B32"/>
    <w:rsid w:val="00C3118A"/>
    <w:rsid w:val="00C31B32"/>
    <w:rsid w:val="00C3387A"/>
    <w:rsid w:val="00C3503C"/>
    <w:rsid w:val="00C35148"/>
    <w:rsid w:val="00C35BF4"/>
    <w:rsid w:val="00C36202"/>
    <w:rsid w:val="00C37410"/>
    <w:rsid w:val="00C37735"/>
    <w:rsid w:val="00C37A79"/>
    <w:rsid w:val="00C41039"/>
    <w:rsid w:val="00C41087"/>
    <w:rsid w:val="00C410A3"/>
    <w:rsid w:val="00C413D3"/>
    <w:rsid w:val="00C43DE4"/>
    <w:rsid w:val="00C44E9D"/>
    <w:rsid w:val="00C45F60"/>
    <w:rsid w:val="00C47430"/>
    <w:rsid w:val="00C47782"/>
    <w:rsid w:val="00C47C21"/>
    <w:rsid w:val="00C5098E"/>
    <w:rsid w:val="00C50AF1"/>
    <w:rsid w:val="00C50EE6"/>
    <w:rsid w:val="00C52089"/>
    <w:rsid w:val="00C52153"/>
    <w:rsid w:val="00C52478"/>
    <w:rsid w:val="00C53490"/>
    <w:rsid w:val="00C539B6"/>
    <w:rsid w:val="00C549B0"/>
    <w:rsid w:val="00C5538B"/>
    <w:rsid w:val="00C56020"/>
    <w:rsid w:val="00C56892"/>
    <w:rsid w:val="00C569DB"/>
    <w:rsid w:val="00C56A89"/>
    <w:rsid w:val="00C57123"/>
    <w:rsid w:val="00C57319"/>
    <w:rsid w:val="00C57644"/>
    <w:rsid w:val="00C605CE"/>
    <w:rsid w:val="00C60824"/>
    <w:rsid w:val="00C60CEB"/>
    <w:rsid w:val="00C60DCE"/>
    <w:rsid w:val="00C61A19"/>
    <w:rsid w:val="00C61C3E"/>
    <w:rsid w:val="00C61C97"/>
    <w:rsid w:val="00C61D9F"/>
    <w:rsid w:val="00C62770"/>
    <w:rsid w:val="00C62BBB"/>
    <w:rsid w:val="00C62CA7"/>
    <w:rsid w:val="00C63477"/>
    <w:rsid w:val="00C64466"/>
    <w:rsid w:val="00C64B08"/>
    <w:rsid w:val="00C64C8D"/>
    <w:rsid w:val="00C64DAD"/>
    <w:rsid w:val="00C655EC"/>
    <w:rsid w:val="00C66162"/>
    <w:rsid w:val="00C6654C"/>
    <w:rsid w:val="00C67236"/>
    <w:rsid w:val="00C70DFB"/>
    <w:rsid w:val="00C71A86"/>
    <w:rsid w:val="00C7222E"/>
    <w:rsid w:val="00C7351C"/>
    <w:rsid w:val="00C73ACA"/>
    <w:rsid w:val="00C73C64"/>
    <w:rsid w:val="00C747BF"/>
    <w:rsid w:val="00C74B65"/>
    <w:rsid w:val="00C7581F"/>
    <w:rsid w:val="00C767CF"/>
    <w:rsid w:val="00C7681F"/>
    <w:rsid w:val="00C7734B"/>
    <w:rsid w:val="00C77CFA"/>
    <w:rsid w:val="00C80790"/>
    <w:rsid w:val="00C80A83"/>
    <w:rsid w:val="00C80DC9"/>
    <w:rsid w:val="00C81229"/>
    <w:rsid w:val="00C81799"/>
    <w:rsid w:val="00C8193F"/>
    <w:rsid w:val="00C81AE8"/>
    <w:rsid w:val="00C81E4A"/>
    <w:rsid w:val="00C821EB"/>
    <w:rsid w:val="00C82290"/>
    <w:rsid w:val="00C8237F"/>
    <w:rsid w:val="00C82592"/>
    <w:rsid w:val="00C828F9"/>
    <w:rsid w:val="00C8308F"/>
    <w:rsid w:val="00C832C1"/>
    <w:rsid w:val="00C8363D"/>
    <w:rsid w:val="00C83CA7"/>
    <w:rsid w:val="00C8402D"/>
    <w:rsid w:val="00C84392"/>
    <w:rsid w:val="00C8554B"/>
    <w:rsid w:val="00C85735"/>
    <w:rsid w:val="00C8599B"/>
    <w:rsid w:val="00C8682A"/>
    <w:rsid w:val="00C871F2"/>
    <w:rsid w:val="00C8746F"/>
    <w:rsid w:val="00C87545"/>
    <w:rsid w:val="00C87EC4"/>
    <w:rsid w:val="00C90582"/>
    <w:rsid w:val="00C90897"/>
    <w:rsid w:val="00C91397"/>
    <w:rsid w:val="00C922D7"/>
    <w:rsid w:val="00C924C6"/>
    <w:rsid w:val="00C9284A"/>
    <w:rsid w:val="00C92AE3"/>
    <w:rsid w:val="00C93363"/>
    <w:rsid w:val="00C93BAA"/>
    <w:rsid w:val="00C94B75"/>
    <w:rsid w:val="00C95108"/>
    <w:rsid w:val="00C95257"/>
    <w:rsid w:val="00C95A2F"/>
    <w:rsid w:val="00C95D82"/>
    <w:rsid w:val="00C96ACA"/>
    <w:rsid w:val="00C97379"/>
    <w:rsid w:val="00CA01D8"/>
    <w:rsid w:val="00CA0346"/>
    <w:rsid w:val="00CA043B"/>
    <w:rsid w:val="00CA0711"/>
    <w:rsid w:val="00CA3E84"/>
    <w:rsid w:val="00CA3E8E"/>
    <w:rsid w:val="00CA40B9"/>
    <w:rsid w:val="00CA456B"/>
    <w:rsid w:val="00CA5F9A"/>
    <w:rsid w:val="00CA66BF"/>
    <w:rsid w:val="00CA6CD8"/>
    <w:rsid w:val="00CA7BCC"/>
    <w:rsid w:val="00CA7EE3"/>
    <w:rsid w:val="00CB03FE"/>
    <w:rsid w:val="00CB0DA8"/>
    <w:rsid w:val="00CB145A"/>
    <w:rsid w:val="00CB1F64"/>
    <w:rsid w:val="00CB1FEC"/>
    <w:rsid w:val="00CB2EED"/>
    <w:rsid w:val="00CB3D44"/>
    <w:rsid w:val="00CB4308"/>
    <w:rsid w:val="00CB4D24"/>
    <w:rsid w:val="00CB565A"/>
    <w:rsid w:val="00CB590C"/>
    <w:rsid w:val="00CB707A"/>
    <w:rsid w:val="00CB773D"/>
    <w:rsid w:val="00CB794E"/>
    <w:rsid w:val="00CC0111"/>
    <w:rsid w:val="00CC1772"/>
    <w:rsid w:val="00CC17D4"/>
    <w:rsid w:val="00CC18D4"/>
    <w:rsid w:val="00CC1BDA"/>
    <w:rsid w:val="00CC22A0"/>
    <w:rsid w:val="00CC24F3"/>
    <w:rsid w:val="00CC2B5A"/>
    <w:rsid w:val="00CC2C77"/>
    <w:rsid w:val="00CC2F12"/>
    <w:rsid w:val="00CC3216"/>
    <w:rsid w:val="00CC3303"/>
    <w:rsid w:val="00CC3BA4"/>
    <w:rsid w:val="00CC4573"/>
    <w:rsid w:val="00CC523A"/>
    <w:rsid w:val="00CC5A88"/>
    <w:rsid w:val="00CC5C21"/>
    <w:rsid w:val="00CC5F92"/>
    <w:rsid w:val="00CC62DB"/>
    <w:rsid w:val="00CC67A6"/>
    <w:rsid w:val="00CC69D0"/>
    <w:rsid w:val="00CC6F31"/>
    <w:rsid w:val="00CC763A"/>
    <w:rsid w:val="00CD0CC2"/>
    <w:rsid w:val="00CD0EDA"/>
    <w:rsid w:val="00CD1175"/>
    <w:rsid w:val="00CD1C5E"/>
    <w:rsid w:val="00CD25B9"/>
    <w:rsid w:val="00CD2BB2"/>
    <w:rsid w:val="00CD3897"/>
    <w:rsid w:val="00CD3DB8"/>
    <w:rsid w:val="00CD51EE"/>
    <w:rsid w:val="00CD5286"/>
    <w:rsid w:val="00CD5478"/>
    <w:rsid w:val="00CD5935"/>
    <w:rsid w:val="00CD5BFC"/>
    <w:rsid w:val="00CD72DA"/>
    <w:rsid w:val="00CD7A6F"/>
    <w:rsid w:val="00CD7B8E"/>
    <w:rsid w:val="00CE02B2"/>
    <w:rsid w:val="00CE0CDB"/>
    <w:rsid w:val="00CE1579"/>
    <w:rsid w:val="00CE246F"/>
    <w:rsid w:val="00CE43F2"/>
    <w:rsid w:val="00CE5390"/>
    <w:rsid w:val="00CE53BA"/>
    <w:rsid w:val="00CE56D8"/>
    <w:rsid w:val="00CE7D21"/>
    <w:rsid w:val="00CF03B6"/>
    <w:rsid w:val="00CF07CB"/>
    <w:rsid w:val="00CF144F"/>
    <w:rsid w:val="00CF1F6B"/>
    <w:rsid w:val="00CF234D"/>
    <w:rsid w:val="00CF3711"/>
    <w:rsid w:val="00CF3840"/>
    <w:rsid w:val="00CF3C5F"/>
    <w:rsid w:val="00CF43B7"/>
    <w:rsid w:val="00CF4702"/>
    <w:rsid w:val="00CF528B"/>
    <w:rsid w:val="00CF5BBF"/>
    <w:rsid w:val="00CF5DCB"/>
    <w:rsid w:val="00D00F67"/>
    <w:rsid w:val="00D0151F"/>
    <w:rsid w:val="00D0193C"/>
    <w:rsid w:val="00D02164"/>
    <w:rsid w:val="00D02689"/>
    <w:rsid w:val="00D0283D"/>
    <w:rsid w:val="00D03617"/>
    <w:rsid w:val="00D03AF8"/>
    <w:rsid w:val="00D0435A"/>
    <w:rsid w:val="00D04D70"/>
    <w:rsid w:val="00D05462"/>
    <w:rsid w:val="00D05874"/>
    <w:rsid w:val="00D067B2"/>
    <w:rsid w:val="00D073E1"/>
    <w:rsid w:val="00D07DF9"/>
    <w:rsid w:val="00D07FDD"/>
    <w:rsid w:val="00D103A9"/>
    <w:rsid w:val="00D10AAC"/>
    <w:rsid w:val="00D10DBA"/>
    <w:rsid w:val="00D120B0"/>
    <w:rsid w:val="00D1265E"/>
    <w:rsid w:val="00D12E45"/>
    <w:rsid w:val="00D1356D"/>
    <w:rsid w:val="00D13A5D"/>
    <w:rsid w:val="00D13FF8"/>
    <w:rsid w:val="00D14116"/>
    <w:rsid w:val="00D14599"/>
    <w:rsid w:val="00D14AB4"/>
    <w:rsid w:val="00D153D2"/>
    <w:rsid w:val="00D15A05"/>
    <w:rsid w:val="00D1612C"/>
    <w:rsid w:val="00D17F30"/>
    <w:rsid w:val="00D2075A"/>
    <w:rsid w:val="00D2108F"/>
    <w:rsid w:val="00D21214"/>
    <w:rsid w:val="00D215A3"/>
    <w:rsid w:val="00D21E9C"/>
    <w:rsid w:val="00D227B3"/>
    <w:rsid w:val="00D23289"/>
    <w:rsid w:val="00D236E7"/>
    <w:rsid w:val="00D24282"/>
    <w:rsid w:val="00D24E86"/>
    <w:rsid w:val="00D2587B"/>
    <w:rsid w:val="00D26220"/>
    <w:rsid w:val="00D26869"/>
    <w:rsid w:val="00D26C51"/>
    <w:rsid w:val="00D270D4"/>
    <w:rsid w:val="00D27594"/>
    <w:rsid w:val="00D30D5E"/>
    <w:rsid w:val="00D30E4B"/>
    <w:rsid w:val="00D30FA7"/>
    <w:rsid w:val="00D311E1"/>
    <w:rsid w:val="00D32790"/>
    <w:rsid w:val="00D3348D"/>
    <w:rsid w:val="00D34435"/>
    <w:rsid w:val="00D353E3"/>
    <w:rsid w:val="00D35699"/>
    <w:rsid w:val="00D36492"/>
    <w:rsid w:val="00D3683E"/>
    <w:rsid w:val="00D36C3C"/>
    <w:rsid w:val="00D37241"/>
    <w:rsid w:val="00D40BF6"/>
    <w:rsid w:val="00D412C6"/>
    <w:rsid w:val="00D4141C"/>
    <w:rsid w:val="00D419F1"/>
    <w:rsid w:val="00D42352"/>
    <w:rsid w:val="00D42384"/>
    <w:rsid w:val="00D42450"/>
    <w:rsid w:val="00D4275C"/>
    <w:rsid w:val="00D43175"/>
    <w:rsid w:val="00D4411F"/>
    <w:rsid w:val="00D443A9"/>
    <w:rsid w:val="00D4474B"/>
    <w:rsid w:val="00D45823"/>
    <w:rsid w:val="00D46B6A"/>
    <w:rsid w:val="00D471E5"/>
    <w:rsid w:val="00D478B6"/>
    <w:rsid w:val="00D510C8"/>
    <w:rsid w:val="00D52262"/>
    <w:rsid w:val="00D52C9E"/>
    <w:rsid w:val="00D5388A"/>
    <w:rsid w:val="00D54BF2"/>
    <w:rsid w:val="00D55902"/>
    <w:rsid w:val="00D559E8"/>
    <w:rsid w:val="00D562FC"/>
    <w:rsid w:val="00D5633D"/>
    <w:rsid w:val="00D5639B"/>
    <w:rsid w:val="00D56C84"/>
    <w:rsid w:val="00D56F16"/>
    <w:rsid w:val="00D600B3"/>
    <w:rsid w:val="00D60336"/>
    <w:rsid w:val="00D605E1"/>
    <w:rsid w:val="00D60D8E"/>
    <w:rsid w:val="00D611C7"/>
    <w:rsid w:val="00D63589"/>
    <w:rsid w:val="00D63B76"/>
    <w:rsid w:val="00D63BEB"/>
    <w:rsid w:val="00D63C81"/>
    <w:rsid w:val="00D649A7"/>
    <w:rsid w:val="00D649D7"/>
    <w:rsid w:val="00D66143"/>
    <w:rsid w:val="00D66696"/>
    <w:rsid w:val="00D66A62"/>
    <w:rsid w:val="00D70A7E"/>
    <w:rsid w:val="00D70F81"/>
    <w:rsid w:val="00D726A1"/>
    <w:rsid w:val="00D72786"/>
    <w:rsid w:val="00D7278D"/>
    <w:rsid w:val="00D73EC8"/>
    <w:rsid w:val="00D7561D"/>
    <w:rsid w:val="00D758A1"/>
    <w:rsid w:val="00D759C4"/>
    <w:rsid w:val="00D806F8"/>
    <w:rsid w:val="00D80E5F"/>
    <w:rsid w:val="00D81008"/>
    <w:rsid w:val="00D81BC8"/>
    <w:rsid w:val="00D8289F"/>
    <w:rsid w:val="00D82DEE"/>
    <w:rsid w:val="00D84687"/>
    <w:rsid w:val="00D8503C"/>
    <w:rsid w:val="00D85C62"/>
    <w:rsid w:val="00D85FEE"/>
    <w:rsid w:val="00D86496"/>
    <w:rsid w:val="00D866EC"/>
    <w:rsid w:val="00D86D3A"/>
    <w:rsid w:val="00D86D62"/>
    <w:rsid w:val="00D875C8"/>
    <w:rsid w:val="00D87CEC"/>
    <w:rsid w:val="00D903B5"/>
    <w:rsid w:val="00D904E5"/>
    <w:rsid w:val="00D90CEC"/>
    <w:rsid w:val="00D90FDB"/>
    <w:rsid w:val="00D92D51"/>
    <w:rsid w:val="00D92F94"/>
    <w:rsid w:val="00D93391"/>
    <w:rsid w:val="00D942DE"/>
    <w:rsid w:val="00D94BC7"/>
    <w:rsid w:val="00D951CB"/>
    <w:rsid w:val="00D9546B"/>
    <w:rsid w:val="00D965A9"/>
    <w:rsid w:val="00D96BD1"/>
    <w:rsid w:val="00D96CCC"/>
    <w:rsid w:val="00DA0A3E"/>
    <w:rsid w:val="00DA0C23"/>
    <w:rsid w:val="00DA0C52"/>
    <w:rsid w:val="00DA0FB3"/>
    <w:rsid w:val="00DA2145"/>
    <w:rsid w:val="00DA2636"/>
    <w:rsid w:val="00DA2AB3"/>
    <w:rsid w:val="00DA3D12"/>
    <w:rsid w:val="00DA494B"/>
    <w:rsid w:val="00DA4B38"/>
    <w:rsid w:val="00DA4C53"/>
    <w:rsid w:val="00DA4F6D"/>
    <w:rsid w:val="00DA61D8"/>
    <w:rsid w:val="00DA6636"/>
    <w:rsid w:val="00DA71AF"/>
    <w:rsid w:val="00DB128F"/>
    <w:rsid w:val="00DB1395"/>
    <w:rsid w:val="00DB1648"/>
    <w:rsid w:val="00DB1CDB"/>
    <w:rsid w:val="00DB2009"/>
    <w:rsid w:val="00DB21C9"/>
    <w:rsid w:val="00DB2A13"/>
    <w:rsid w:val="00DB4269"/>
    <w:rsid w:val="00DB48CD"/>
    <w:rsid w:val="00DB4D9C"/>
    <w:rsid w:val="00DB52B7"/>
    <w:rsid w:val="00DB5599"/>
    <w:rsid w:val="00DB5C2C"/>
    <w:rsid w:val="00DB5E7C"/>
    <w:rsid w:val="00DB6ACB"/>
    <w:rsid w:val="00DB7B69"/>
    <w:rsid w:val="00DC16A3"/>
    <w:rsid w:val="00DC1CD9"/>
    <w:rsid w:val="00DC1EE8"/>
    <w:rsid w:val="00DC2165"/>
    <w:rsid w:val="00DC5080"/>
    <w:rsid w:val="00DC56F1"/>
    <w:rsid w:val="00DC576A"/>
    <w:rsid w:val="00DC60A9"/>
    <w:rsid w:val="00DC6D5A"/>
    <w:rsid w:val="00DC78CC"/>
    <w:rsid w:val="00DD03D3"/>
    <w:rsid w:val="00DD078A"/>
    <w:rsid w:val="00DD082F"/>
    <w:rsid w:val="00DD0C8D"/>
    <w:rsid w:val="00DD1215"/>
    <w:rsid w:val="00DD2073"/>
    <w:rsid w:val="00DD21F2"/>
    <w:rsid w:val="00DD28A9"/>
    <w:rsid w:val="00DD2D7E"/>
    <w:rsid w:val="00DD37D3"/>
    <w:rsid w:val="00DD383E"/>
    <w:rsid w:val="00DD3F6A"/>
    <w:rsid w:val="00DD4DEC"/>
    <w:rsid w:val="00DD50F0"/>
    <w:rsid w:val="00DD5668"/>
    <w:rsid w:val="00DD6322"/>
    <w:rsid w:val="00DD6FBA"/>
    <w:rsid w:val="00DD704F"/>
    <w:rsid w:val="00DD796F"/>
    <w:rsid w:val="00DD79EF"/>
    <w:rsid w:val="00DE0922"/>
    <w:rsid w:val="00DE1F44"/>
    <w:rsid w:val="00DE24A2"/>
    <w:rsid w:val="00DE2C42"/>
    <w:rsid w:val="00DE31E4"/>
    <w:rsid w:val="00DE447E"/>
    <w:rsid w:val="00DE4CDA"/>
    <w:rsid w:val="00DE5700"/>
    <w:rsid w:val="00DE5B84"/>
    <w:rsid w:val="00DE5D12"/>
    <w:rsid w:val="00DE5F5F"/>
    <w:rsid w:val="00DE60B1"/>
    <w:rsid w:val="00DE7C61"/>
    <w:rsid w:val="00DF00E0"/>
    <w:rsid w:val="00DF039B"/>
    <w:rsid w:val="00DF0DAE"/>
    <w:rsid w:val="00DF0ED0"/>
    <w:rsid w:val="00DF2090"/>
    <w:rsid w:val="00DF293F"/>
    <w:rsid w:val="00DF4082"/>
    <w:rsid w:val="00DF4187"/>
    <w:rsid w:val="00DF4B37"/>
    <w:rsid w:val="00DF6179"/>
    <w:rsid w:val="00DF62C0"/>
    <w:rsid w:val="00DF7477"/>
    <w:rsid w:val="00E007C4"/>
    <w:rsid w:val="00E00863"/>
    <w:rsid w:val="00E00C88"/>
    <w:rsid w:val="00E01A78"/>
    <w:rsid w:val="00E01B01"/>
    <w:rsid w:val="00E02BEB"/>
    <w:rsid w:val="00E02C5B"/>
    <w:rsid w:val="00E02E59"/>
    <w:rsid w:val="00E0306C"/>
    <w:rsid w:val="00E0339F"/>
    <w:rsid w:val="00E03A9B"/>
    <w:rsid w:val="00E05486"/>
    <w:rsid w:val="00E055DF"/>
    <w:rsid w:val="00E05863"/>
    <w:rsid w:val="00E06AB5"/>
    <w:rsid w:val="00E102A4"/>
    <w:rsid w:val="00E102DA"/>
    <w:rsid w:val="00E10697"/>
    <w:rsid w:val="00E10E0C"/>
    <w:rsid w:val="00E110CE"/>
    <w:rsid w:val="00E12085"/>
    <w:rsid w:val="00E12340"/>
    <w:rsid w:val="00E13021"/>
    <w:rsid w:val="00E13B60"/>
    <w:rsid w:val="00E14685"/>
    <w:rsid w:val="00E14E19"/>
    <w:rsid w:val="00E1509D"/>
    <w:rsid w:val="00E153A4"/>
    <w:rsid w:val="00E161ED"/>
    <w:rsid w:val="00E16366"/>
    <w:rsid w:val="00E1668E"/>
    <w:rsid w:val="00E16CE1"/>
    <w:rsid w:val="00E20538"/>
    <w:rsid w:val="00E20AB7"/>
    <w:rsid w:val="00E20FAF"/>
    <w:rsid w:val="00E22FA6"/>
    <w:rsid w:val="00E23107"/>
    <w:rsid w:val="00E23B0C"/>
    <w:rsid w:val="00E240AB"/>
    <w:rsid w:val="00E240AC"/>
    <w:rsid w:val="00E25FAA"/>
    <w:rsid w:val="00E269D0"/>
    <w:rsid w:val="00E26A38"/>
    <w:rsid w:val="00E273E8"/>
    <w:rsid w:val="00E27457"/>
    <w:rsid w:val="00E27A7D"/>
    <w:rsid w:val="00E303C2"/>
    <w:rsid w:val="00E3070E"/>
    <w:rsid w:val="00E31988"/>
    <w:rsid w:val="00E32C9F"/>
    <w:rsid w:val="00E34048"/>
    <w:rsid w:val="00E3485B"/>
    <w:rsid w:val="00E34C75"/>
    <w:rsid w:val="00E35D60"/>
    <w:rsid w:val="00E35EDB"/>
    <w:rsid w:val="00E37B3C"/>
    <w:rsid w:val="00E40ACA"/>
    <w:rsid w:val="00E411CE"/>
    <w:rsid w:val="00E41ABF"/>
    <w:rsid w:val="00E4266D"/>
    <w:rsid w:val="00E42737"/>
    <w:rsid w:val="00E43898"/>
    <w:rsid w:val="00E44586"/>
    <w:rsid w:val="00E44B8A"/>
    <w:rsid w:val="00E44FDD"/>
    <w:rsid w:val="00E45296"/>
    <w:rsid w:val="00E45401"/>
    <w:rsid w:val="00E45501"/>
    <w:rsid w:val="00E45512"/>
    <w:rsid w:val="00E46D63"/>
    <w:rsid w:val="00E50379"/>
    <w:rsid w:val="00E50793"/>
    <w:rsid w:val="00E518AC"/>
    <w:rsid w:val="00E5237E"/>
    <w:rsid w:val="00E52EB0"/>
    <w:rsid w:val="00E54F41"/>
    <w:rsid w:val="00E56C35"/>
    <w:rsid w:val="00E56EDD"/>
    <w:rsid w:val="00E57D5C"/>
    <w:rsid w:val="00E6010F"/>
    <w:rsid w:val="00E60F82"/>
    <w:rsid w:val="00E61095"/>
    <w:rsid w:val="00E61162"/>
    <w:rsid w:val="00E61884"/>
    <w:rsid w:val="00E62FF0"/>
    <w:rsid w:val="00E632C4"/>
    <w:rsid w:val="00E6350D"/>
    <w:rsid w:val="00E63678"/>
    <w:rsid w:val="00E638F2"/>
    <w:rsid w:val="00E65581"/>
    <w:rsid w:val="00E65C83"/>
    <w:rsid w:val="00E664A5"/>
    <w:rsid w:val="00E668F5"/>
    <w:rsid w:val="00E67A95"/>
    <w:rsid w:val="00E67CCD"/>
    <w:rsid w:val="00E70CF1"/>
    <w:rsid w:val="00E70D1D"/>
    <w:rsid w:val="00E70EAE"/>
    <w:rsid w:val="00E72C51"/>
    <w:rsid w:val="00E72DC8"/>
    <w:rsid w:val="00E72F62"/>
    <w:rsid w:val="00E73F26"/>
    <w:rsid w:val="00E74857"/>
    <w:rsid w:val="00E74E34"/>
    <w:rsid w:val="00E7528C"/>
    <w:rsid w:val="00E760DA"/>
    <w:rsid w:val="00E7616C"/>
    <w:rsid w:val="00E76317"/>
    <w:rsid w:val="00E77D7C"/>
    <w:rsid w:val="00E80101"/>
    <w:rsid w:val="00E80CDC"/>
    <w:rsid w:val="00E80F4E"/>
    <w:rsid w:val="00E81A71"/>
    <w:rsid w:val="00E81CE2"/>
    <w:rsid w:val="00E829FD"/>
    <w:rsid w:val="00E82D9C"/>
    <w:rsid w:val="00E8383F"/>
    <w:rsid w:val="00E83BBD"/>
    <w:rsid w:val="00E85CDD"/>
    <w:rsid w:val="00E86344"/>
    <w:rsid w:val="00E86EBC"/>
    <w:rsid w:val="00E86FC8"/>
    <w:rsid w:val="00E87BEB"/>
    <w:rsid w:val="00E90C6A"/>
    <w:rsid w:val="00E90C8F"/>
    <w:rsid w:val="00E91AF2"/>
    <w:rsid w:val="00E922C8"/>
    <w:rsid w:val="00E9295C"/>
    <w:rsid w:val="00E94E82"/>
    <w:rsid w:val="00E9635D"/>
    <w:rsid w:val="00E963C8"/>
    <w:rsid w:val="00E96591"/>
    <w:rsid w:val="00E96EBB"/>
    <w:rsid w:val="00E97083"/>
    <w:rsid w:val="00EA0FF5"/>
    <w:rsid w:val="00EA140F"/>
    <w:rsid w:val="00EA17C2"/>
    <w:rsid w:val="00EA33A7"/>
    <w:rsid w:val="00EA3ABD"/>
    <w:rsid w:val="00EA3D9F"/>
    <w:rsid w:val="00EA3F2C"/>
    <w:rsid w:val="00EA5424"/>
    <w:rsid w:val="00EA54AB"/>
    <w:rsid w:val="00EA54E5"/>
    <w:rsid w:val="00EA5DEE"/>
    <w:rsid w:val="00EA6FC3"/>
    <w:rsid w:val="00EB11AA"/>
    <w:rsid w:val="00EB1471"/>
    <w:rsid w:val="00EB3480"/>
    <w:rsid w:val="00EB3902"/>
    <w:rsid w:val="00EB4F04"/>
    <w:rsid w:val="00EB514E"/>
    <w:rsid w:val="00EB5595"/>
    <w:rsid w:val="00EB6547"/>
    <w:rsid w:val="00EB7149"/>
    <w:rsid w:val="00EB768B"/>
    <w:rsid w:val="00EB779C"/>
    <w:rsid w:val="00EB7B32"/>
    <w:rsid w:val="00EB7BEA"/>
    <w:rsid w:val="00EB7E11"/>
    <w:rsid w:val="00EC073B"/>
    <w:rsid w:val="00EC19E0"/>
    <w:rsid w:val="00EC1E44"/>
    <w:rsid w:val="00EC2524"/>
    <w:rsid w:val="00EC260C"/>
    <w:rsid w:val="00EC4819"/>
    <w:rsid w:val="00EC5396"/>
    <w:rsid w:val="00EC5CFD"/>
    <w:rsid w:val="00EC5E7B"/>
    <w:rsid w:val="00EC5F20"/>
    <w:rsid w:val="00EC6093"/>
    <w:rsid w:val="00EC6604"/>
    <w:rsid w:val="00EC6BFD"/>
    <w:rsid w:val="00EC7252"/>
    <w:rsid w:val="00EC75B2"/>
    <w:rsid w:val="00ED04B7"/>
    <w:rsid w:val="00ED0695"/>
    <w:rsid w:val="00ED1021"/>
    <w:rsid w:val="00ED17E9"/>
    <w:rsid w:val="00ED1904"/>
    <w:rsid w:val="00ED3D82"/>
    <w:rsid w:val="00ED410B"/>
    <w:rsid w:val="00ED6106"/>
    <w:rsid w:val="00ED61E9"/>
    <w:rsid w:val="00ED7065"/>
    <w:rsid w:val="00ED72D7"/>
    <w:rsid w:val="00ED79D8"/>
    <w:rsid w:val="00EE03F7"/>
    <w:rsid w:val="00EE09B2"/>
    <w:rsid w:val="00EE0B11"/>
    <w:rsid w:val="00EE0F22"/>
    <w:rsid w:val="00EE17FC"/>
    <w:rsid w:val="00EE18F8"/>
    <w:rsid w:val="00EE2098"/>
    <w:rsid w:val="00EE29A9"/>
    <w:rsid w:val="00EE326E"/>
    <w:rsid w:val="00EE3CAD"/>
    <w:rsid w:val="00EE4DF7"/>
    <w:rsid w:val="00EE570B"/>
    <w:rsid w:val="00EE601E"/>
    <w:rsid w:val="00EE6D6D"/>
    <w:rsid w:val="00EE6EE1"/>
    <w:rsid w:val="00EE729E"/>
    <w:rsid w:val="00EE73E9"/>
    <w:rsid w:val="00EE7D4B"/>
    <w:rsid w:val="00EF19F1"/>
    <w:rsid w:val="00EF23BC"/>
    <w:rsid w:val="00EF2A91"/>
    <w:rsid w:val="00EF31DA"/>
    <w:rsid w:val="00EF33F8"/>
    <w:rsid w:val="00EF46AC"/>
    <w:rsid w:val="00EF485F"/>
    <w:rsid w:val="00EF4CF6"/>
    <w:rsid w:val="00EF64B0"/>
    <w:rsid w:val="00EF711D"/>
    <w:rsid w:val="00EF7184"/>
    <w:rsid w:val="00EF74A5"/>
    <w:rsid w:val="00EF7C25"/>
    <w:rsid w:val="00F00CB9"/>
    <w:rsid w:val="00F01736"/>
    <w:rsid w:val="00F01C4C"/>
    <w:rsid w:val="00F01FE3"/>
    <w:rsid w:val="00F0201F"/>
    <w:rsid w:val="00F020D1"/>
    <w:rsid w:val="00F022E0"/>
    <w:rsid w:val="00F02D11"/>
    <w:rsid w:val="00F03019"/>
    <w:rsid w:val="00F0306D"/>
    <w:rsid w:val="00F03788"/>
    <w:rsid w:val="00F037BA"/>
    <w:rsid w:val="00F0415C"/>
    <w:rsid w:val="00F04C7B"/>
    <w:rsid w:val="00F05153"/>
    <w:rsid w:val="00F051C7"/>
    <w:rsid w:val="00F05B92"/>
    <w:rsid w:val="00F05DD4"/>
    <w:rsid w:val="00F05E1B"/>
    <w:rsid w:val="00F067E4"/>
    <w:rsid w:val="00F10128"/>
    <w:rsid w:val="00F119F1"/>
    <w:rsid w:val="00F1256D"/>
    <w:rsid w:val="00F12C6D"/>
    <w:rsid w:val="00F12CE7"/>
    <w:rsid w:val="00F13458"/>
    <w:rsid w:val="00F13836"/>
    <w:rsid w:val="00F13BD6"/>
    <w:rsid w:val="00F13C4A"/>
    <w:rsid w:val="00F141A8"/>
    <w:rsid w:val="00F143EE"/>
    <w:rsid w:val="00F148D1"/>
    <w:rsid w:val="00F14FB9"/>
    <w:rsid w:val="00F1531B"/>
    <w:rsid w:val="00F1643A"/>
    <w:rsid w:val="00F16F70"/>
    <w:rsid w:val="00F177DF"/>
    <w:rsid w:val="00F17817"/>
    <w:rsid w:val="00F17E21"/>
    <w:rsid w:val="00F17E74"/>
    <w:rsid w:val="00F207B9"/>
    <w:rsid w:val="00F20C66"/>
    <w:rsid w:val="00F21B7D"/>
    <w:rsid w:val="00F22077"/>
    <w:rsid w:val="00F221C6"/>
    <w:rsid w:val="00F2294E"/>
    <w:rsid w:val="00F238AE"/>
    <w:rsid w:val="00F23C6F"/>
    <w:rsid w:val="00F24116"/>
    <w:rsid w:val="00F24B06"/>
    <w:rsid w:val="00F2510C"/>
    <w:rsid w:val="00F25925"/>
    <w:rsid w:val="00F30334"/>
    <w:rsid w:val="00F319E9"/>
    <w:rsid w:val="00F325E6"/>
    <w:rsid w:val="00F32FD6"/>
    <w:rsid w:val="00F337AD"/>
    <w:rsid w:val="00F351D5"/>
    <w:rsid w:val="00F35579"/>
    <w:rsid w:val="00F35F38"/>
    <w:rsid w:val="00F37FD2"/>
    <w:rsid w:val="00F4042C"/>
    <w:rsid w:val="00F405C4"/>
    <w:rsid w:val="00F40620"/>
    <w:rsid w:val="00F40645"/>
    <w:rsid w:val="00F40C3D"/>
    <w:rsid w:val="00F416D8"/>
    <w:rsid w:val="00F421C9"/>
    <w:rsid w:val="00F423D3"/>
    <w:rsid w:val="00F424B3"/>
    <w:rsid w:val="00F42EBF"/>
    <w:rsid w:val="00F4339D"/>
    <w:rsid w:val="00F439AF"/>
    <w:rsid w:val="00F449B1"/>
    <w:rsid w:val="00F4539A"/>
    <w:rsid w:val="00F4676A"/>
    <w:rsid w:val="00F505BD"/>
    <w:rsid w:val="00F50ADC"/>
    <w:rsid w:val="00F514B1"/>
    <w:rsid w:val="00F51BE8"/>
    <w:rsid w:val="00F52145"/>
    <w:rsid w:val="00F523E9"/>
    <w:rsid w:val="00F52801"/>
    <w:rsid w:val="00F5284C"/>
    <w:rsid w:val="00F53ACA"/>
    <w:rsid w:val="00F53FAD"/>
    <w:rsid w:val="00F5414B"/>
    <w:rsid w:val="00F543B0"/>
    <w:rsid w:val="00F5507A"/>
    <w:rsid w:val="00F552D2"/>
    <w:rsid w:val="00F55EEB"/>
    <w:rsid w:val="00F56027"/>
    <w:rsid w:val="00F56209"/>
    <w:rsid w:val="00F566CD"/>
    <w:rsid w:val="00F56D69"/>
    <w:rsid w:val="00F56D79"/>
    <w:rsid w:val="00F57412"/>
    <w:rsid w:val="00F60D13"/>
    <w:rsid w:val="00F60D27"/>
    <w:rsid w:val="00F61D20"/>
    <w:rsid w:val="00F62524"/>
    <w:rsid w:val="00F62E63"/>
    <w:rsid w:val="00F62EB6"/>
    <w:rsid w:val="00F64453"/>
    <w:rsid w:val="00F6463A"/>
    <w:rsid w:val="00F648B5"/>
    <w:rsid w:val="00F7015C"/>
    <w:rsid w:val="00F705F8"/>
    <w:rsid w:val="00F70738"/>
    <w:rsid w:val="00F70A1F"/>
    <w:rsid w:val="00F71264"/>
    <w:rsid w:val="00F71327"/>
    <w:rsid w:val="00F719E1"/>
    <w:rsid w:val="00F71D4F"/>
    <w:rsid w:val="00F720FC"/>
    <w:rsid w:val="00F7324C"/>
    <w:rsid w:val="00F73CBC"/>
    <w:rsid w:val="00F742FA"/>
    <w:rsid w:val="00F7472A"/>
    <w:rsid w:val="00F74C18"/>
    <w:rsid w:val="00F751CC"/>
    <w:rsid w:val="00F753E8"/>
    <w:rsid w:val="00F766CD"/>
    <w:rsid w:val="00F7695D"/>
    <w:rsid w:val="00F76C3F"/>
    <w:rsid w:val="00F76CED"/>
    <w:rsid w:val="00F77209"/>
    <w:rsid w:val="00F77657"/>
    <w:rsid w:val="00F80798"/>
    <w:rsid w:val="00F807D1"/>
    <w:rsid w:val="00F8097B"/>
    <w:rsid w:val="00F80E98"/>
    <w:rsid w:val="00F81148"/>
    <w:rsid w:val="00F819A1"/>
    <w:rsid w:val="00F82904"/>
    <w:rsid w:val="00F83B5B"/>
    <w:rsid w:val="00F8498A"/>
    <w:rsid w:val="00F84A67"/>
    <w:rsid w:val="00F85C88"/>
    <w:rsid w:val="00F87050"/>
    <w:rsid w:val="00F87A5B"/>
    <w:rsid w:val="00F9106F"/>
    <w:rsid w:val="00F91388"/>
    <w:rsid w:val="00F92D0D"/>
    <w:rsid w:val="00F92F48"/>
    <w:rsid w:val="00F9316D"/>
    <w:rsid w:val="00F9353A"/>
    <w:rsid w:val="00F9446B"/>
    <w:rsid w:val="00F94B6F"/>
    <w:rsid w:val="00F95747"/>
    <w:rsid w:val="00F95BAD"/>
    <w:rsid w:val="00F96063"/>
    <w:rsid w:val="00F9638D"/>
    <w:rsid w:val="00F97F2F"/>
    <w:rsid w:val="00FA02B5"/>
    <w:rsid w:val="00FA05A9"/>
    <w:rsid w:val="00FA1E45"/>
    <w:rsid w:val="00FA2050"/>
    <w:rsid w:val="00FA20C1"/>
    <w:rsid w:val="00FA20E7"/>
    <w:rsid w:val="00FA22D4"/>
    <w:rsid w:val="00FA2508"/>
    <w:rsid w:val="00FA38FB"/>
    <w:rsid w:val="00FA44AA"/>
    <w:rsid w:val="00FA54E6"/>
    <w:rsid w:val="00FA60D5"/>
    <w:rsid w:val="00FA63FD"/>
    <w:rsid w:val="00FA727B"/>
    <w:rsid w:val="00FA7484"/>
    <w:rsid w:val="00FA7680"/>
    <w:rsid w:val="00FB01E0"/>
    <w:rsid w:val="00FB0828"/>
    <w:rsid w:val="00FB0A80"/>
    <w:rsid w:val="00FB15AA"/>
    <w:rsid w:val="00FB2ED3"/>
    <w:rsid w:val="00FB3405"/>
    <w:rsid w:val="00FB4615"/>
    <w:rsid w:val="00FB46ED"/>
    <w:rsid w:val="00FB48BB"/>
    <w:rsid w:val="00FB4D60"/>
    <w:rsid w:val="00FB4DFC"/>
    <w:rsid w:val="00FB4E9A"/>
    <w:rsid w:val="00FB5052"/>
    <w:rsid w:val="00FB5AE0"/>
    <w:rsid w:val="00FB5B27"/>
    <w:rsid w:val="00FB642B"/>
    <w:rsid w:val="00FB675E"/>
    <w:rsid w:val="00FB6CC6"/>
    <w:rsid w:val="00FC11FC"/>
    <w:rsid w:val="00FC1353"/>
    <w:rsid w:val="00FC1362"/>
    <w:rsid w:val="00FC2752"/>
    <w:rsid w:val="00FC2B73"/>
    <w:rsid w:val="00FC3493"/>
    <w:rsid w:val="00FC388E"/>
    <w:rsid w:val="00FC3EBB"/>
    <w:rsid w:val="00FC47EE"/>
    <w:rsid w:val="00FC5174"/>
    <w:rsid w:val="00FC52FB"/>
    <w:rsid w:val="00FC5C9F"/>
    <w:rsid w:val="00FC5E75"/>
    <w:rsid w:val="00FC649C"/>
    <w:rsid w:val="00FC6A1A"/>
    <w:rsid w:val="00FC70B7"/>
    <w:rsid w:val="00FC7441"/>
    <w:rsid w:val="00FD0519"/>
    <w:rsid w:val="00FD09F7"/>
    <w:rsid w:val="00FD0BAE"/>
    <w:rsid w:val="00FD1409"/>
    <w:rsid w:val="00FD158F"/>
    <w:rsid w:val="00FD2254"/>
    <w:rsid w:val="00FD235A"/>
    <w:rsid w:val="00FD2422"/>
    <w:rsid w:val="00FD508C"/>
    <w:rsid w:val="00FD53EB"/>
    <w:rsid w:val="00FD5A29"/>
    <w:rsid w:val="00FD6CDB"/>
    <w:rsid w:val="00FD7448"/>
    <w:rsid w:val="00FE0019"/>
    <w:rsid w:val="00FE021C"/>
    <w:rsid w:val="00FE06A1"/>
    <w:rsid w:val="00FE092D"/>
    <w:rsid w:val="00FE0951"/>
    <w:rsid w:val="00FE09FD"/>
    <w:rsid w:val="00FE0A96"/>
    <w:rsid w:val="00FE1506"/>
    <w:rsid w:val="00FE1F13"/>
    <w:rsid w:val="00FE269E"/>
    <w:rsid w:val="00FE2728"/>
    <w:rsid w:val="00FE4796"/>
    <w:rsid w:val="00FE48AF"/>
    <w:rsid w:val="00FE50AF"/>
    <w:rsid w:val="00FE5144"/>
    <w:rsid w:val="00FE610F"/>
    <w:rsid w:val="00FE66FB"/>
    <w:rsid w:val="00FE67B5"/>
    <w:rsid w:val="00FE73CD"/>
    <w:rsid w:val="00FE756C"/>
    <w:rsid w:val="00FE7D9F"/>
    <w:rsid w:val="00FF0534"/>
    <w:rsid w:val="00FF0B4F"/>
    <w:rsid w:val="00FF0E1F"/>
    <w:rsid w:val="00FF14C8"/>
    <w:rsid w:val="00FF1A9C"/>
    <w:rsid w:val="00FF1B22"/>
    <w:rsid w:val="00FF1D5A"/>
    <w:rsid w:val="00FF20DE"/>
    <w:rsid w:val="00FF34B5"/>
    <w:rsid w:val="00FF53E7"/>
    <w:rsid w:val="00FF5B8F"/>
    <w:rsid w:val="00FF67CA"/>
    <w:rsid w:val="00FF6CC5"/>
    <w:rsid w:val="00FF6DF1"/>
    <w:rsid w:val="00FF6EB7"/>
    <w:rsid w:val="00FF70FB"/>
    <w:rsid w:val="00FF7A1E"/>
    <w:rsid w:val="00FF7D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3C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C83"/>
    <w:pPr>
      <w:spacing w:before="240" w:line="276" w:lineRule="auto"/>
    </w:pPr>
    <w:rPr>
      <w:rFonts w:asciiTheme="minorHAnsi" w:hAnsiTheme="minorHAnsi"/>
      <w:sz w:val="24"/>
      <w:szCs w:val="24"/>
      <w:lang w:eastAsia="en-US"/>
    </w:rPr>
  </w:style>
  <w:style w:type="paragraph" w:styleId="Heading1">
    <w:name w:val="heading 1"/>
    <w:next w:val="BodyText"/>
    <w:link w:val="Heading1Char"/>
    <w:qFormat/>
    <w:rsid w:val="006068D9"/>
    <w:pPr>
      <w:pageBreakBefore/>
      <w:numPr>
        <w:numId w:val="10"/>
      </w:numPr>
      <w:spacing w:before="120" w:after="480"/>
      <w:ind w:left="0"/>
      <w:jc w:val="center"/>
      <w:outlineLvl w:val="0"/>
    </w:pPr>
    <w:rPr>
      <w:rFonts w:eastAsia="Times New Roman"/>
      <w:b/>
      <w:color w:val="4F81BD"/>
      <w:sz w:val="36"/>
      <w:szCs w:val="32"/>
      <w:lang w:eastAsia="en-US"/>
    </w:rPr>
  </w:style>
  <w:style w:type="paragraph" w:styleId="Heading2">
    <w:name w:val="heading 2"/>
    <w:next w:val="BodyText"/>
    <w:link w:val="Heading2Char"/>
    <w:unhideWhenUsed/>
    <w:qFormat/>
    <w:rsid w:val="00A66468"/>
    <w:pPr>
      <w:keepNext/>
      <w:numPr>
        <w:ilvl w:val="1"/>
        <w:numId w:val="10"/>
      </w:numPr>
      <w:spacing w:before="200" w:after="240"/>
      <w:jc w:val="both"/>
      <w:outlineLvl w:val="1"/>
    </w:pPr>
    <w:rPr>
      <w:rFonts w:asciiTheme="minorHAnsi" w:eastAsia="Times New Roman" w:hAnsiTheme="minorHAnsi"/>
      <w:b/>
      <w:color w:val="4F81BD"/>
      <w:sz w:val="32"/>
      <w:szCs w:val="26"/>
      <w:lang w:eastAsia="en-US"/>
    </w:rPr>
  </w:style>
  <w:style w:type="paragraph" w:styleId="Heading3">
    <w:name w:val="heading 3"/>
    <w:next w:val="BodyText"/>
    <w:link w:val="Heading3Char"/>
    <w:unhideWhenUsed/>
    <w:qFormat/>
    <w:rsid w:val="00A66468"/>
    <w:pPr>
      <w:keepNext/>
      <w:numPr>
        <w:ilvl w:val="2"/>
        <w:numId w:val="10"/>
      </w:numPr>
      <w:tabs>
        <w:tab w:val="left" w:pos="0"/>
      </w:tabs>
      <w:spacing w:before="200"/>
      <w:jc w:val="both"/>
      <w:outlineLvl w:val="2"/>
    </w:pPr>
    <w:rPr>
      <w:rFonts w:asciiTheme="minorHAnsi" w:eastAsia="Times New Roman" w:hAnsiTheme="minorHAnsi"/>
      <w:b/>
      <w:i/>
      <w:sz w:val="30"/>
      <w:szCs w:val="24"/>
      <w:lang w:eastAsia="en-US"/>
    </w:rPr>
  </w:style>
  <w:style w:type="paragraph" w:styleId="Heading4">
    <w:name w:val="heading 4"/>
    <w:next w:val="BodyText"/>
    <w:link w:val="Heading4Char"/>
    <w:unhideWhenUsed/>
    <w:qFormat/>
    <w:rsid w:val="00B607A5"/>
    <w:pPr>
      <w:keepNext/>
      <w:keepLines/>
      <w:numPr>
        <w:ilvl w:val="3"/>
        <w:numId w:val="10"/>
      </w:numPr>
      <w:spacing w:before="240" w:line="276" w:lineRule="auto"/>
      <w:jc w:val="both"/>
      <w:outlineLvl w:val="3"/>
    </w:pPr>
    <w:rPr>
      <w:rFonts w:asciiTheme="minorHAnsi" w:eastAsia="Times New Roman" w:hAnsiTheme="minorHAnsi"/>
      <w:b/>
      <w:iCs/>
      <w:sz w:val="24"/>
      <w:szCs w:val="24"/>
      <w:lang w:eastAsia="en-US"/>
    </w:rPr>
  </w:style>
  <w:style w:type="paragraph" w:styleId="Heading5">
    <w:name w:val="heading 5"/>
    <w:next w:val="BodyText"/>
    <w:link w:val="Heading5Char"/>
    <w:unhideWhenUsed/>
    <w:qFormat/>
    <w:rsid w:val="00B607A5"/>
    <w:pPr>
      <w:keepNext/>
      <w:numPr>
        <w:ilvl w:val="4"/>
        <w:numId w:val="10"/>
      </w:numPr>
      <w:spacing w:before="240" w:line="276" w:lineRule="auto"/>
      <w:jc w:val="both"/>
      <w:outlineLvl w:val="4"/>
    </w:pPr>
    <w:rPr>
      <w:rFonts w:asciiTheme="minorHAnsi" w:eastAsia="Times New Roman" w:hAnsiTheme="minorHAnsi"/>
      <w:sz w:val="24"/>
      <w:szCs w:val="24"/>
      <w:u w:val="single"/>
      <w:lang w:eastAsia="en-US"/>
    </w:rPr>
  </w:style>
  <w:style w:type="paragraph" w:styleId="Heading6">
    <w:name w:val="heading 6"/>
    <w:next w:val="BodyText"/>
    <w:link w:val="Heading6Char"/>
    <w:unhideWhenUsed/>
    <w:qFormat/>
    <w:rsid w:val="00B607A5"/>
    <w:pPr>
      <w:keepNext/>
      <w:keepLines/>
      <w:numPr>
        <w:ilvl w:val="5"/>
        <w:numId w:val="10"/>
      </w:numPr>
      <w:spacing w:before="240"/>
      <w:outlineLvl w:val="5"/>
    </w:pPr>
    <w:rPr>
      <w:rFonts w:asciiTheme="minorHAnsi" w:eastAsia="Times New Roman" w:hAnsiTheme="minorHAnsi"/>
      <w:i/>
      <w:sz w:val="24"/>
      <w:szCs w:val="24"/>
      <w:lang w:eastAsia="en-US"/>
    </w:rPr>
  </w:style>
  <w:style w:type="paragraph" w:styleId="Heading7">
    <w:name w:val="heading 7"/>
    <w:aliases w:val="App Heading 1"/>
    <w:next w:val="BodyText"/>
    <w:link w:val="Heading7Char"/>
    <w:unhideWhenUsed/>
    <w:qFormat/>
    <w:rsid w:val="006068D9"/>
    <w:pPr>
      <w:pageBreakBefore/>
      <w:numPr>
        <w:ilvl w:val="6"/>
        <w:numId w:val="10"/>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nhideWhenUsed/>
    <w:qFormat/>
    <w:rsid w:val="006068D9"/>
    <w:pPr>
      <w:keepNext/>
      <w:numPr>
        <w:ilvl w:val="7"/>
        <w:numId w:val="10"/>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nhideWhenUsed/>
    <w:qFormat/>
    <w:rsid w:val="006068D9"/>
    <w:pPr>
      <w:keepNext/>
      <w:numPr>
        <w:ilvl w:val="8"/>
        <w:numId w:val="10"/>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rsid w:val="00A66468"/>
    <w:rPr>
      <w:rFonts w:asciiTheme="minorHAnsi" w:eastAsia="Times New Roman" w:hAnsiTheme="minorHAnsi"/>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rsid w:val="00A66468"/>
    <w:rPr>
      <w:rFonts w:asciiTheme="minorHAnsi" w:eastAsia="Times New Roman" w:hAnsiTheme="minorHAnsi"/>
      <w:b/>
      <w:i/>
      <w:sz w:val="30"/>
      <w:szCs w:val="24"/>
      <w:lang w:eastAsia="en-US"/>
    </w:rPr>
  </w:style>
  <w:style w:type="paragraph" w:customStyle="1" w:styleId="Bullettext">
    <w:name w:val="Bullet text"/>
    <w:link w:val="BullettextChar"/>
    <w:qFormat/>
    <w:rsid w:val="0086175F"/>
    <w:pPr>
      <w:numPr>
        <w:numId w:val="1"/>
      </w:numPr>
      <w:spacing w:before="120" w:line="276" w:lineRule="auto"/>
      <w:contextualSpacing/>
    </w:pPr>
    <w:rPr>
      <w:rFonts w:asciiTheme="minorHAnsi" w:hAnsiTheme="minorHAnsi"/>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rsid w:val="00B607A5"/>
    <w:rPr>
      <w:rFonts w:asciiTheme="minorHAnsi" w:eastAsia="Times New Roman" w:hAnsiTheme="minorHAnsi"/>
      <w:b/>
      <w:iCs/>
      <w:sz w:val="24"/>
      <w:szCs w:val="24"/>
      <w:lang w:eastAsia="en-US"/>
    </w:rPr>
  </w:style>
  <w:style w:type="character" w:customStyle="1" w:styleId="Heading5Char">
    <w:name w:val="Heading 5 Char"/>
    <w:link w:val="Heading5"/>
    <w:rsid w:val="00B607A5"/>
    <w:rPr>
      <w:rFonts w:asciiTheme="minorHAnsi" w:eastAsia="Times New Roman" w:hAnsiTheme="minorHAnsi"/>
      <w:sz w:val="24"/>
      <w:szCs w:val="24"/>
      <w:u w:val="single"/>
      <w:lang w:eastAsia="en-US"/>
    </w:rPr>
  </w:style>
  <w:style w:type="paragraph" w:customStyle="1" w:styleId="BodyTextnospacebefore">
    <w:name w:val="Body Text – no space before"/>
    <w:next w:val="BodyText"/>
    <w:qFormat/>
    <w:rsid w:val="00A66468"/>
    <w:pPr>
      <w:spacing w:after="200" w:line="276" w:lineRule="auto"/>
    </w:pPr>
    <w:rPr>
      <w:rFonts w:asciiTheme="minorHAnsi" w:hAnsiTheme="minorHAnsi"/>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rsid w:val="00E35D60"/>
    <w:pPr>
      <w:spacing w:before="20" w:after="20"/>
    </w:pPr>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next w:val="05Tabletext"/>
    <w:link w:val="CaptionChar"/>
    <w:unhideWhenUsed/>
    <w:qFormat/>
    <w:rsid w:val="00163C75"/>
    <w:pPr>
      <w:keepNext/>
      <w:spacing w:before="240" w:after="40"/>
      <w:ind w:left="1418" w:hanging="1418"/>
      <w:jc w:val="both"/>
    </w:pPr>
    <w:rPr>
      <w:rFonts w:asciiTheme="minorHAnsi" w:hAnsiTheme="minorHAnsi"/>
      <w:b/>
      <w:iCs/>
      <w:sz w:val="24"/>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11"/>
      </w:numPr>
    </w:pPr>
  </w:style>
  <w:style w:type="paragraph" w:styleId="TOC2">
    <w:name w:val="toc 2"/>
    <w:basedOn w:val="Normal"/>
    <w:next w:val="Normal"/>
    <w:autoRedefine/>
    <w:uiPriority w:val="39"/>
    <w:unhideWhenUsed/>
    <w:qFormat/>
    <w:rsid w:val="00515169"/>
    <w:pPr>
      <w:tabs>
        <w:tab w:val="left" w:pos="1134"/>
        <w:tab w:val="right" w:leader="dot" w:pos="9628"/>
      </w:tabs>
      <w:spacing w:before="60"/>
      <w:ind w:left="1134" w:right="567" w:hanging="567"/>
    </w:pPr>
  </w:style>
  <w:style w:type="paragraph" w:styleId="TOC1">
    <w:name w:val="toc 1"/>
    <w:autoRedefine/>
    <w:uiPriority w:val="39"/>
    <w:unhideWhenUsed/>
    <w:qFormat/>
    <w:rsid w:val="003460BC"/>
    <w:pPr>
      <w:tabs>
        <w:tab w:val="right" w:leader="dot" w:pos="9628"/>
      </w:tabs>
      <w:spacing w:before="120" w:line="276" w:lineRule="auto"/>
      <w:ind w:left="1134" w:right="567" w:hanging="1134"/>
    </w:pPr>
    <w:rPr>
      <w:rFonts w:asciiTheme="minorHAnsi" w:hAnsiTheme="minorHAnsi" w:cstheme="minorHAnsi"/>
      <w:noProof/>
      <w:sz w:val="24"/>
      <w:szCs w:val="24"/>
      <w:lang w:eastAsia="en-US"/>
    </w:rPr>
  </w:style>
  <w:style w:type="paragraph" w:styleId="TOC3">
    <w:name w:val="toc 3"/>
    <w:basedOn w:val="Normal"/>
    <w:next w:val="Normal"/>
    <w:autoRedefine/>
    <w:uiPriority w:val="39"/>
    <w:unhideWhenUsed/>
    <w:qFormat/>
    <w:rsid w:val="00150D82"/>
    <w:pPr>
      <w:tabs>
        <w:tab w:val="left" w:pos="1320"/>
        <w:tab w:val="right" w:leader="dot" w:pos="9628"/>
      </w:tabs>
      <w:spacing w:before="0"/>
      <w:ind w:left="1701" w:right="567" w:hanging="567"/>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iPriority w:val="99"/>
    <w:unhideWhenUsed/>
    <w:rsid w:val="007C6357"/>
    <w:pPr>
      <w:spacing w:line="240" w:lineRule="auto"/>
    </w:pPr>
    <w:rPr>
      <w:sz w:val="20"/>
      <w:szCs w:val="20"/>
    </w:rPr>
  </w:style>
  <w:style w:type="character" w:customStyle="1" w:styleId="CommentTextChar">
    <w:name w:val="Comment Text Char"/>
    <w:link w:val="CommentText"/>
    <w:uiPriority w:val="99"/>
    <w:rsid w:val="007C6357"/>
    <w:rPr>
      <w:sz w:val="20"/>
      <w:szCs w:val="20"/>
    </w:rPr>
  </w:style>
  <w:style w:type="paragraph" w:styleId="CommentSubject">
    <w:name w:val="annotation subject"/>
    <w:basedOn w:val="CommentText"/>
    <w:next w:val="CommentText"/>
    <w:link w:val="CommentSubjectChar"/>
    <w:unhideWhenUsed/>
    <w:rsid w:val="007C6357"/>
    <w:rPr>
      <w:b/>
      <w:bCs/>
    </w:rPr>
  </w:style>
  <w:style w:type="character" w:customStyle="1" w:styleId="CommentSubjectChar">
    <w:name w:val="Comment Subject Char"/>
    <w:link w:val="CommentSubject"/>
    <w:rsid w:val="007C6357"/>
    <w:rPr>
      <w:b/>
      <w:bCs/>
      <w:sz w:val="20"/>
      <w:szCs w:val="20"/>
    </w:rPr>
  </w:style>
  <w:style w:type="paragraph" w:styleId="BalloonText">
    <w:name w:val="Balloon Text"/>
    <w:basedOn w:val="Normal"/>
    <w:link w:val="BalloonTextChar"/>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rsid w:val="00B607A5"/>
    <w:rPr>
      <w:rFonts w:asciiTheme="minorHAnsi" w:eastAsia="Times New Roman" w:hAnsiTheme="minorHAnsi"/>
      <w:i/>
      <w:sz w:val="24"/>
      <w:szCs w:val="24"/>
      <w:lang w:eastAsia="en-US"/>
    </w:rPr>
  </w:style>
  <w:style w:type="character" w:customStyle="1" w:styleId="Heading7Char">
    <w:name w:val="Heading 7 Char"/>
    <w:aliases w:val="App Heading 1 Char"/>
    <w:link w:val="Heading7"/>
    <w:rsid w:val="00683D01"/>
    <w:rPr>
      <w:rFonts w:eastAsia="Times New Roman"/>
      <w:b/>
      <w:iCs/>
      <w:color w:val="4F81BD"/>
      <w:sz w:val="36"/>
      <w:szCs w:val="24"/>
      <w:lang w:eastAsia="en-US"/>
    </w:rPr>
  </w:style>
  <w:style w:type="character" w:customStyle="1" w:styleId="Heading8Char">
    <w:name w:val="Heading 8 Char"/>
    <w:aliases w:val="App Heading 2 Char"/>
    <w:link w:val="Heading8"/>
    <w:rsid w:val="00916C10"/>
    <w:rPr>
      <w:rFonts w:eastAsia="Times New Roman"/>
      <w:color w:val="4F81BD"/>
      <w:sz w:val="32"/>
      <w:szCs w:val="21"/>
      <w:lang w:eastAsia="en-US"/>
    </w:rPr>
  </w:style>
  <w:style w:type="character" w:customStyle="1" w:styleId="Heading9Char">
    <w:name w:val="Heading 9 Char"/>
    <w:aliases w:val="App Heading 3 Char"/>
    <w:link w:val="Heading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86175F"/>
    <w:rPr>
      <w:rFonts w:asciiTheme="minorHAnsi" w:hAnsiTheme="minorHAnsi"/>
      <w:sz w:val="24"/>
      <w:szCs w:val="24"/>
      <w:lang w:eastAsia="en-US"/>
    </w:rPr>
  </w:style>
  <w:style w:type="paragraph" w:styleId="FootnoteText">
    <w:name w:val="footnote text"/>
    <w:basedOn w:val="Normal"/>
    <w:link w:val="FootnoteTextChar"/>
    <w:unhideWhenUsed/>
    <w:rsid w:val="00CC24F3"/>
    <w:pPr>
      <w:spacing w:before="0" w:line="240" w:lineRule="auto"/>
    </w:pPr>
    <w:rPr>
      <w:rFonts w:ascii="Arial Narrow" w:hAnsi="Arial Narrow"/>
      <w:sz w:val="18"/>
      <w:szCs w:val="20"/>
    </w:rPr>
  </w:style>
  <w:style w:type="character" w:customStyle="1" w:styleId="FootnoteTextChar">
    <w:name w:val="Footnote Text Char"/>
    <w:link w:val="FootnoteText"/>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nhideWhenUsed/>
    <w:rsid w:val="00A3778B"/>
    <w:pPr>
      <w:spacing w:before="0" w:line="240" w:lineRule="auto"/>
    </w:pPr>
    <w:rPr>
      <w:sz w:val="20"/>
      <w:szCs w:val="20"/>
    </w:rPr>
  </w:style>
  <w:style w:type="character" w:customStyle="1" w:styleId="EndnoteTextChar">
    <w:name w:val="Endnote Text Char"/>
    <w:link w:val="EndnoteText"/>
    <w:rsid w:val="00A3778B"/>
    <w:rPr>
      <w:sz w:val="20"/>
      <w:szCs w:val="20"/>
    </w:rPr>
  </w:style>
  <w:style w:type="character" w:styleId="EndnoteReference">
    <w:name w:val="endnote reference"/>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Paragraph"/>
    <w:basedOn w:val="Normal"/>
    <w:link w:val="ListParagraphChar"/>
    <w:uiPriority w:val="34"/>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rsid w:val="00100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link w:val="NormalWebChar"/>
    <w:uiPriority w:val="99"/>
    <w:unhideWhenUsed/>
    <w:rsid w:val="009D3242"/>
    <w:pPr>
      <w:spacing w:before="100" w:beforeAutospacing="1" w:after="100" w:afterAutospacing="1" w:line="240" w:lineRule="auto"/>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Paragraph Char"/>
    <w:basedOn w:val="DefaultParagraphFont"/>
    <w:link w:val="ListParagraph"/>
    <w:uiPriority w:val="34"/>
    <w:rsid w:val="00ED61E9"/>
    <w:rPr>
      <w:sz w:val="24"/>
      <w:szCs w:val="24"/>
      <w:lang w:eastAsia="en-US"/>
    </w:rPr>
  </w:style>
  <w:style w:type="paragraph" w:customStyle="1" w:styleId="HeaderTable">
    <w:name w:val="Header Table"/>
    <w:basedOn w:val="Caption"/>
    <w:link w:val="HeaderTableChar"/>
    <w:qFormat/>
    <w:rsid w:val="00B860D2"/>
  </w:style>
  <w:style w:type="paragraph" w:customStyle="1" w:styleId="HeaderFigure">
    <w:name w:val="Header Figure"/>
    <w:basedOn w:val="Caption"/>
    <w:link w:val="HeaderFigureChar"/>
    <w:qFormat/>
    <w:rsid w:val="002C7600"/>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basedOn w:val="DefaultParagraphFont"/>
    <w:link w:val="Caption"/>
    <w:rsid w:val="00163C75"/>
    <w:rPr>
      <w:rFonts w:asciiTheme="minorHAnsi" w:hAnsiTheme="minorHAnsi"/>
      <w:b/>
      <w:iCs/>
      <w:sz w:val="24"/>
      <w:szCs w:val="18"/>
      <w:lang w:eastAsia="en-US"/>
    </w:rPr>
  </w:style>
  <w:style w:type="character" w:customStyle="1" w:styleId="HeaderTableChar">
    <w:name w:val="Header Table Char"/>
    <w:basedOn w:val="CaptionChar"/>
    <w:link w:val="HeaderTable"/>
    <w:rsid w:val="00B860D2"/>
    <w:rPr>
      <w:rFonts w:ascii="Arial" w:hAnsi="Arial"/>
      <w:b/>
      <w:iCs/>
      <w:sz w:val="24"/>
      <w:szCs w:val="18"/>
      <w:lang w:eastAsia="en-US"/>
    </w:rPr>
  </w:style>
  <w:style w:type="character" w:customStyle="1" w:styleId="HeaderFigureChar">
    <w:name w:val="Header Figure Char"/>
    <w:basedOn w:val="CaptionChar"/>
    <w:link w:val="HeaderFigure"/>
    <w:rsid w:val="002C7600"/>
    <w:rPr>
      <w:rFonts w:ascii="Arial" w:hAnsi="Arial"/>
      <w:b/>
      <w:iCs/>
      <w:sz w:val="24"/>
      <w:szCs w:val="18"/>
      <w:lang w:eastAsia="en-US"/>
    </w:rPr>
  </w:style>
  <w:style w:type="paragraph" w:customStyle="1" w:styleId="ToR3Tableheader">
    <w:name w:val="ToR3 Table header"/>
    <w:basedOn w:val="Caption"/>
    <w:link w:val="ToR3TableheaderChar"/>
    <w:qFormat/>
    <w:rsid w:val="00AE0F63"/>
  </w:style>
  <w:style w:type="character" w:customStyle="1" w:styleId="ToR3TableheaderChar">
    <w:name w:val="ToR3 Table header Char"/>
    <w:basedOn w:val="DefaultParagraphFont"/>
    <w:link w:val="ToR3Tableheader"/>
    <w:rsid w:val="00AE0F63"/>
    <w:rPr>
      <w:rFonts w:ascii="Arial" w:hAnsi="Arial"/>
      <w:b/>
      <w:iCs/>
      <w:szCs w:val="18"/>
      <w:lang w:eastAsia="en-US"/>
    </w:rPr>
  </w:style>
  <w:style w:type="paragraph" w:customStyle="1" w:styleId="Tabletext">
    <w:name w:val="Table text"/>
    <w:basedOn w:val="Normal"/>
    <w:link w:val="TabletextChar"/>
    <w:qFormat/>
    <w:rsid w:val="00B607A5"/>
    <w:pPr>
      <w:autoSpaceDE w:val="0"/>
      <w:autoSpaceDN w:val="0"/>
      <w:adjustRightInd w:val="0"/>
      <w:spacing w:before="20" w:after="20" w:line="240" w:lineRule="auto"/>
    </w:pPr>
    <w:rPr>
      <w:rFonts w:ascii="Arial" w:eastAsiaTheme="minorEastAsia" w:hAnsi="Arial" w:cs="Calibri"/>
      <w:sz w:val="20"/>
      <w:szCs w:val="20"/>
      <w:lang w:eastAsia="en-AU"/>
    </w:rPr>
  </w:style>
  <w:style w:type="paragraph" w:customStyle="1" w:styleId="Tablenote">
    <w:name w:val="Table note"/>
    <w:basedOn w:val="Normal"/>
    <w:link w:val="TablenoteChar"/>
    <w:qFormat/>
    <w:rsid w:val="00B607A5"/>
    <w:pPr>
      <w:spacing w:before="0" w:after="200" w:line="240" w:lineRule="auto"/>
      <w:contextualSpacing/>
    </w:pPr>
    <w:rPr>
      <w:rFonts w:ascii="Arial" w:eastAsiaTheme="minorEastAsia" w:hAnsi="Arial" w:cs="Baskerville"/>
      <w:sz w:val="18"/>
      <w:szCs w:val="20"/>
      <w:lang w:eastAsia="en-AU"/>
    </w:rPr>
  </w:style>
  <w:style w:type="character" w:customStyle="1" w:styleId="TabletextChar">
    <w:name w:val="Table text Char"/>
    <w:basedOn w:val="DefaultParagraphFont"/>
    <w:link w:val="Tabletext"/>
    <w:rsid w:val="00B607A5"/>
    <w:rPr>
      <w:rFonts w:ascii="Arial" w:eastAsiaTheme="minorEastAsia" w:hAnsi="Arial" w:cs="Calibri"/>
    </w:rPr>
  </w:style>
  <w:style w:type="character" w:customStyle="1" w:styleId="TablenoteChar">
    <w:name w:val="Table note Char"/>
    <w:basedOn w:val="DefaultParagraphFont"/>
    <w:link w:val="Tablenote"/>
    <w:rsid w:val="00B607A5"/>
    <w:rPr>
      <w:rFonts w:ascii="Arial" w:eastAsiaTheme="minorEastAsia" w:hAnsi="Arial" w:cs="Baskerville"/>
      <w:sz w:val="18"/>
    </w:rPr>
  </w:style>
  <w:style w:type="character" w:customStyle="1" w:styleId="normalchar">
    <w:name w:val="normal_char"/>
    <w:rsid w:val="008060FB"/>
    <w:rPr>
      <w:color w:val="auto"/>
    </w:rPr>
  </w:style>
  <w:style w:type="paragraph" w:styleId="BodyTextIndent3">
    <w:name w:val="Body Text Indent 3"/>
    <w:basedOn w:val="Normal"/>
    <w:link w:val="BodyTextIndent3Char"/>
    <w:rsid w:val="008060FB"/>
    <w:pPr>
      <w:spacing w:before="0" w:after="120" w:line="240" w:lineRule="auto"/>
      <w:ind w:left="283"/>
    </w:pPr>
    <w:rPr>
      <w:rFonts w:ascii="Calibri" w:eastAsia="Times New Roman" w:hAnsi="Calibri"/>
      <w:sz w:val="16"/>
      <w:szCs w:val="16"/>
      <w:lang w:eastAsia="en-AU"/>
    </w:rPr>
  </w:style>
  <w:style w:type="character" w:customStyle="1" w:styleId="BodyTextIndent3Char">
    <w:name w:val="Body Text Indent 3 Char"/>
    <w:basedOn w:val="DefaultParagraphFont"/>
    <w:link w:val="BodyTextIndent3"/>
    <w:rsid w:val="008060FB"/>
    <w:rPr>
      <w:rFonts w:ascii="Calibri" w:eastAsia="Times New Roman" w:hAnsi="Calibri"/>
      <w:sz w:val="16"/>
      <w:szCs w:val="16"/>
    </w:rPr>
  </w:style>
  <w:style w:type="paragraph" w:styleId="NoSpacing">
    <w:name w:val="No Spacing"/>
    <w:uiPriority w:val="1"/>
    <w:qFormat/>
    <w:rsid w:val="008060FB"/>
    <w:rPr>
      <w:rFonts w:ascii="Times New Roman" w:eastAsiaTheme="minorHAnsi" w:hAnsi="Times New Roman" w:cstheme="minorBidi"/>
      <w:sz w:val="24"/>
      <w:szCs w:val="22"/>
    </w:rPr>
  </w:style>
  <w:style w:type="character" w:customStyle="1" w:styleId="apple-converted-space">
    <w:name w:val="apple-converted-space"/>
    <w:basedOn w:val="DefaultParagraphFont"/>
    <w:rsid w:val="008060FB"/>
  </w:style>
  <w:style w:type="character" w:styleId="HTMLCite">
    <w:name w:val="HTML Cite"/>
    <w:uiPriority w:val="99"/>
    <w:semiHidden/>
    <w:unhideWhenUsed/>
    <w:rsid w:val="008060FB"/>
    <w:rPr>
      <w:b w:val="0"/>
      <w:bCs w:val="0"/>
      <w:i w:val="0"/>
      <w:iCs w:val="0"/>
      <w:vanish w:val="0"/>
      <w:webHidden w:val="0"/>
      <w:specVanish w:val="0"/>
    </w:rPr>
  </w:style>
  <w:style w:type="character" w:customStyle="1" w:styleId="author4">
    <w:name w:val="author4"/>
    <w:rsid w:val="008060FB"/>
    <w:rPr>
      <w:b w:val="0"/>
      <w:bCs w:val="0"/>
      <w:i w:val="0"/>
      <w:iCs w:val="0"/>
      <w:smallCaps w:val="0"/>
      <w:sz w:val="24"/>
      <w:szCs w:val="24"/>
    </w:rPr>
  </w:style>
  <w:style w:type="character" w:customStyle="1" w:styleId="articletitle7">
    <w:name w:val="articletitle7"/>
    <w:basedOn w:val="DefaultParagraphFont"/>
    <w:rsid w:val="008060FB"/>
  </w:style>
  <w:style w:type="character" w:customStyle="1" w:styleId="journaltitle4">
    <w:name w:val="journaltitle4"/>
    <w:rsid w:val="008060FB"/>
    <w:rPr>
      <w:i/>
      <w:iCs/>
    </w:rPr>
  </w:style>
  <w:style w:type="character" w:customStyle="1" w:styleId="pubyear">
    <w:name w:val="pubyear"/>
    <w:basedOn w:val="DefaultParagraphFont"/>
    <w:rsid w:val="008060FB"/>
  </w:style>
  <w:style w:type="character" w:customStyle="1" w:styleId="citedissue">
    <w:name w:val="citedissue"/>
    <w:basedOn w:val="DefaultParagraphFont"/>
    <w:rsid w:val="008060FB"/>
  </w:style>
  <w:style w:type="character" w:customStyle="1" w:styleId="frlabel1">
    <w:name w:val="fr_label1"/>
    <w:rsid w:val="008060FB"/>
    <w:rPr>
      <w:b/>
      <w:bCs/>
    </w:rPr>
  </w:style>
  <w:style w:type="character" w:styleId="Strong">
    <w:name w:val="Strong"/>
    <w:uiPriority w:val="22"/>
    <w:qFormat/>
    <w:rsid w:val="008060FB"/>
    <w:rPr>
      <w:b/>
      <w:bCs/>
    </w:rPr>
  </w:style>
  <w:style w:type="character" w:customStyle="1" w:styleId="hithilite3">
    <w:name w:val="hithilite3"/>
    <w:rsid w:val="008060FB"/>
    <w:rPr>
      <w:shd w:val="clear" w:color="auto" w:fill="FFFF00"/>
    </w:rPr>
  </w:style>
  <w:style w:type="character" w:customStyle="1" w:styleId="maintitle4">
    <w:name w:val="maintitle4"/>
    <w:rsid w:val="008060FB"/>
    <w:rPr>
      <w:vanish w:val="0"/>
      <w:webHidden w:val="0"/>
      <w:specVanish w:val="0"/>
    </w:rPr>
  </w:style>
  <w:style w:type="character" w:customStyle="1" w:styleId="override-xref-content-element7">
    <w:name w:val="override-xref-content-element7"/>
    <w:rsid w:val="008060FB"/>
    <w:rPr>
      <w:color w:val="007E8A"/>
    </w:rPr>
  </w:style>
  <w:style w:type="paragraph" w:customStyle="1" w:styleId="para10">
    <w:name w:val="para10"/>
    <w:basedOn w:val="Normal"/>
    <w:rsid w:val="008060FB"/>
    <w:pPr>
      <w:spacing w:before="0" w:after="240" w:line="360" w:lineRule="atLeast"/>
    </w:pPr>
    <w:rPr>
      <w:rFonts w:ascii="Calibri" w:eastAsia="Times New Roman" w:hAnsi="Calibri"/>
      <w:sz w:val="29"/>
      <w:szCs w:val="29"/>
      <w:lang w:eastAsia="en-AU"/>
    </w:rPr>
  </w:style>
  <w:style w:type="character" w:customStyle="1" w:styleId="i7">
    <w:name w:val="i7"/>
    <w:rsid w:val="008060FB"/>
    <w:rPr>
      <w:i/>
      <w:iCs/>
    </w:rPr>
  </w:style>
  <w:style w:type="paragraph" w:customStyle="1" w:styleId="CM18">
    <w:name w:val="CM18"/>
    <w:basedOn w:val="Normal"/>
    <w:next w:val="Normal"/>
    <w:uiPriority w:val="99"/>
    <w:rsid w:val="008060FB"/>
    <w:pPr>
      <w:widowControl w:val="0"/>
      <w:autoSpaceDE w:val="0"/>
      <w:autoSpaceDN w:val="0"/>
      <w:adjustRightInd w:val="0"/>
      <w:spacing w:before="0" w:line="240" w:lineRule="auto"/>
    </w:pPr>
    <w:rPr>
      <w:rFonts w:ascii="MuseeBold" w:eastAsia="Times New Roman" w:hAnsi="MuseeBold"/>
      <w:lang w:eastAsia="en-AU"/>
    </w:rPr>
  </w:style>
  <w:style w:type="paragraph" w:customStyle="1" w:styleId="Heading5new">
    <w:name w:val="Heading 5 new"/>
    <w:basedOn w:val="NormalWeb"/>
    <w:link w:val="Heading5newChar"/>
    <w:qFormat/>
    <w:rsid w:val="008060FB"/>
    <w:pPr>
      <w:spacing w:before="0" w:beforeAutospacing="0" w:after="240" w:afterAutospacing="0" w:line="312" w:lineRule="atLeast"/>
    </w:pPr>
    <w:rPr>
      <w:b/>
      <w:i/>
      <w:color w:val="000000"/>
      <w:u w:val="single"/>
    </w:rPr>
  </w:style>
  <w:style w:type="character" w:customStyle="1" w:styleId="NormalWebChar">
    <w:name w:val="Normal (Web) Char"/>
    <w:link w:val="NormalWeb"/>
    <w:uiPriority w:val="99"/>
    <w:rsid w:val="008060FB"/>
    <w:rPr>
      <w:rFonts w:ascii="Times New Roman" w:eastAsia="Times New Roman" w:hAnsi="Times New Roman"/>
      <w:sz w:val="24"/>
      <w:szCs w:val="24"/>
    </w:rPr>
  </w:style>
  <w:style w:type="character" w:customStyle="1" w:styleId="Heading5newChar">
    <w:name w:val="Heading 5 new Char"/>
    <w:link w:val="Heading5new"/>
    <w:rsid w:val="008060FB"/>
    <w:rPr>
      <w:rFonts w:ascii="Times New Roman" w:eastAsia="Times New Roman" w:hAnsi="Times New Roman"/>
      <w:b/>
      <w:i/>
      <w:color w:val="000000"/>
      <w:sz w:val="24"/>
      <w:szCs w:val="24"/>
      <w:u w:val="single"/>
    </w:rPr>
  </w:style>
  <w:style w:type="paragraph" w:customStyle="1" w:styleId="Heading4new">
    <w:name w:val="Heading 4 new"/>
    <w:basedOn w:val="Heading5new"/>
    <w:link w:val="Heading4newChar"/>
    <w:qFormat/>
    <w:rsid w:val="008060FB"/>
  </w:style>
  <w:style w:type="character" w:customStyle="1" w:styleId="Heading4newChar">
    <w:name w:val="Heading 4 new Char"/>
    <w:link w:val="Heading4new"/>
    <w:rsid w:val="008060FB"/>
    <w:rPr>
      <w:rFonts w:ascii="Times New Roman" w:eastAsia="Times New Roman" w:hAnsi="Times New Roman"/>
      <w:b/>
      <w:i/>
      <w:color w:val="000000"/>
      <w:sz w:val="24"/>
      <w:szCs w:val="24"/>
      <w:u w:val="single"/>
    </w:rPr>
  </w:style>
  <w:style w:type="character" w:customStyle="1" w:styleId="label31">
    <w:name w:val="label31"/>
    <w:basedOn w:val="DefaultParagraphFont"/>
    <w:rsid w:val="008060FB"/>
  </w:style>
  <w:style w:type="character" w:customStyle="1" w:styleId="b7">
    <w:name w:val="b7"/>
    <w:rsid w:val="008060FB"/>
    <w:rPr>
      <w:b/>
      <w:bCs/>
    </w:rPr>
  </w:style>
  <w:style w:type="character" w:customStyle="1" w:styleId="tablenotes-note">
    <w:name w:val="tablenotes-note"/>
    <w:basedOn w:val="DefaultParagraphFont"/>
    <w:rsid w:val="008060FB"/>
  </w:style>
  <w:style w:type="character" w:customStyle="1" w:styleId="section-title3">
    <w:name w:val="section-title3"/>
    <w:rsid w:val="008060FB"/>
    <w:rPr>
      <w:vanish w:val="0"/>
      <w:webHidden w:val="0"/>
      <w:specVanish w:val="0"/>
    </w:rPr>
  </w:style>
  <w:style w:type="paragraph" w:styleId="Quote">
    <w:name w:val="Quote"/>
    <w:basedOn w:val="Normal"/>
    <w:next w:val="Normal"/>
    <w:link w:val="QuoteChar"/>
    <w:qFormat/>
    <w:rsid w:val="008060FB"/>
    <w:pPr>
      <w:spacing w:before="0" w:after="200" w:line="240" w:lineRule="auto"/>
    </w:pPr>
    <w:rPr>
      <w:rFonts w:ascii="Calibri" w:eastAsia="Times New Roman" w:hAnsi="Calibri"/>
      <w:i/>
      <w:iCs/>
      <w:color w:val="000000"/>
      <w:sz w:val="22"/>
      <w:szCs w:val="22"/>
      <w:lang w:eastAsia="en-AU"/>
    </w:rPr>
  </w:style>
  <w:style w:type="character" w:customStyle="1" w:styleId="QuoteChar">
    <w:name w:val="Quote Char"/>
    <w:basedOn w:val="DefaultParagraphFont"/>
    <w:link w:val="Quote"/>
    <w:rsid w:val="008060FB"/>
    <w:rPr>
      <w:rFonts w:ascii="Calibri" w:eastAsia="Times New Roman" w:hAnsi="Calibri"/>
      <w:i/>
      <w:iCs/>
      <w:color w:val="000000"/>
      <w:sz w:val="22"/>
      <w:szCs w:val="22"/>
    </w:rPr>
  </w:style>
  <w:style w:type="paragraph" w:customStyle="1" w:styleId="para">
    <w:name w:val="para"/>
    <w:basedOn w:val="Normal"/>
    <w:rsid w:val="008060FB"/>
    <w:pPr>
      <w:spacing w:before="100" w:beforeAutospacing="1" w:after="100" w:afterAutospacing="1" w:line="240" w:lineRule="auto"/>
    </w:pPr>
    <w:rPr>
      <w:rFonts w:ascii="Calibri" w:eastAsia="Times New Roman" w:hAnsi="Calibri"/>
      <w:lang w:eastAsia="en-AU"/>
    </w:rPr>
  </w:style>
  <w:style w:type="paragraph" w:customStyle="1" w:styleId="ListBullet1">
    <w:name w:val="List Bullet1"/>
    <w:basedOn w:val="Normal"/>
    <w:uiPriority w:val="5"/>
    <w:qFormat/>
    <w:rsid w:val="008060FB"/>
    <w:pPr>
      <w:numPr>
        <w:numId w:val="17"/>
      </w:numPr>
      <w:shd w:val="clear" w:color="auto" w:fill="FFFFFF" w:themeFill="background1"/>
      <w:spacing w:after="120" w:line="260" w:lineRule="exact"/>
      <w:contextualSpacing/>
    </w:pPr>
    <w:rPr>
      <w:rFonts w:ascii="Arial" w:eastAsia="Times New Roman" w:hAnsi="Arial" w:cs="Arial"/>
      <w:sz w:val="20"/>
      <w:szCs w:val="20"/>
      <w:lang w:eastAsia="en-AU"/>
    </w:rPr>
  </w:style>
  <w:style w:type="character" w:customStyle="1" w:styleId="Bold">
    <w:name w:val="Bold"/>
    <w:uiPriority w:val="99"/>
    <w:qFormat/>
    <w:rsid w:val="008060FB"/>
    <w:rPr>
      <w:b/>
      <w:lang w:val="en-AU" w:eastAsia="en-US"/>
    </w:rPr>
  </w:style>
  <w:style w:type="character" w:customStyle="1" w:styleId="Italic">
    <w:name w:val="Italic"/>
    <w:uiPriority w:val="3"/>
    <w:rsid w:val="008060FB"/>
    <w:rPr>
      <w:i/>
      <w:lang w:val="en-AU" w:eastAsia="en-US"/>
    </w:rPr>
  </w:style>
  <w:style w:type="character" w:customStyle="1" w:styleId="HighlightOrange">
    <w:name w:val="Highlight Orange"/>
    <w:basedOn w:val="DefaultParagraphFont"/>
    <w:uiPriority w:val="75"/>
    <w:qFormat/>
    <w:rsid w:val="008060FB"/>
    <w:rPr>
      <w:color w:val="F47B28"/>
    </w:rPr>
  </w:style>
  <w:style w:type="table" w:customStyle="1" w:styleId="Boxorange">
    <w:name w:val="Box orange"/>
    <w:basedOn w:val="TableNormal"/>
    <w:uiPriority w:val="99"/>
    <w:qFormat/>
    <w:rsid w:val="008060FB"/>
    <w:rPr>
      <w:rFonts w:ascii="Times New Roman" w:eastAsia="Times New Roman" w:hAnsi="Times New Roman"/>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8060FB"/>
    <w:rPr>
      <w:bdr w:val="none" w:sz="0" w:space="0" w:color="auto"/>
      <w:shd w:val="clear" w:color="auto" w:fill="FFFF00"/>
    </w:rPr>
  </w:style>
  <w:style w:type="character" w:styleId="IntenseReference">
    <w:name w:val="Intense Reference"/>
    <w:basedOn w:val="DefaultParagraphFont"/>
    <w:uiPriority w:val="32"/>
    <w:qFormat/>
    <w:rsid w:val="008060FB"/>
    <w:rPr>
      <w:b/>
      <w:bCs/>
      <w:i/>
      <w:smallCaps/>
      <w:color w:val="C0504D" w:themeColor="accent2"/>
      <w:spacing w:val="5"/>
      <w:u w:val="none"/>
    </w:rPr>
  </w:style>
  <w:style w:type="table" w:styleId="LightGrid-Accent4">
    <w:name w:val="Light Grid Accent 4"/>
    <w:basedOn w:val="TableNormal"/>
    <w:uiPriority w:val="62"/>
    <w:rsid w:val="008060FB"/>
    <w:rPr>
      <w:rFonts w:ascii="Times New Roman" w:eastAsiaTheme="minorHAnsi" w:hAnsi="Times New Roman" w:cstheme="minorBidi"/>
      <w:sz w:val="24"/>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8060FB"/>
    <w:rPr>
      <w:rFonts w:ascii="Times New Roman" w:eastAsiaTheme="minorHAnsi" w:hAnsi="Times New Roman" w:cstheme="minorBidi"/>
      <w:sz w:val="24"/>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8060FB"/>
  </w:style>
  <w:style w:type="table" w:styleId="LightGrid-Accent6">
    <w:name w:val="Light Grid Accent 6"/>
    <w:basedOn w:val="TableNormal"/>
    <w:uiPriority w:val="62"/>
    <w:rsid w:val="008060FB"/>
    <w:rPr>
      <w:rFonts w:ascii="Times New Roman" w:eastAsiaTheme="minorHAnsi" w:hAnsi="Times New Roman" w:cstheme="minorBidi"/>
      <w:sz w:val="24"/>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8060FB"/>
    <w:rPr>
      <w:rFonts w:ascii="Times New Roman" w:eastAsiaTheme="minorHAnsi" w:hAnsi="Times New Roman" w:cstheme="minorBidi"/>
      <w:sz w:val="24"/>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eading51">
    <w:name w:val="Heading 51"/>
    <w:basedOn w:val="Normal"/>
    <w:link w:val="heading5Char0"/>
    <w:qFormat/>
    <w:rsid w:val="008060FB"/>
    <w:pPr>
      <w:keepNext/>
      <w:keepLines/>
      <w:spacing w:after="120" w:line="240" w:lineRule="auto"/>
    </w:pPr>
    <w:rPr>
      <w:rFonts w:asciiTheme="majorHAnsi" w:eastAsiaTheme="minorHAnsi" w:hAnsiTheme="majorHAnsi" w:cstheme="minorBidi"/>
      <w:b/>
      <w:i/>
      <w:lang w:eastAsia="en-AU"/>
    </w:rPr>
  </w:style>
  <w:style w:type="character" w:customStyle="1" w:styleId="heading5Char0">
    <w:name w:val="heading 5 Char"/>
    <w:basedOn w:val="DefaultParagraphFont"/>
    <w:link w:val="Heading51"/>
    <w:rsid w:val="008060FB"/>
    <w:rPr>
      <w:rFonts w:asciiTheme="majorHAnsi" w:eastAsiaTheme="minorHAnsi" w:hAnsiTheme="majorHAnsi" w:cstheme="minorBidi"/>
      <w:b/>
      <w:i/>
      <w:sz w:val="24"/>
      <w:szCs w:val="24"/>
    </w:rPr>
  </w:style>
  <w:style w:type="paragraph" w:customStyle="1" w:styleId="BodyText1">
    <w:name w:val="Body Text1"/>
    <w:basedOn w:val="Normal"/>
    <w:link w:val="BodytextChar0"/>
    <w:uiPriority w:val="1"/>
    <w:qFormat/>
    <w:rsid w:val="008060FB"/>
    <w:pPr>
      <w:shd w:val="clear" w:color="auto" w:fill="FFFFFF" w:themeFill="background1"/>
      <w:spacing w:after="120" w:line="260" w:lineRule="exact"/>
    </w:pPr>
    <w:rPr>
      <w:rFonts w:ascii="Arial" w:eastAsia="Times New Roman" w:hAnsi="Arial" w:cs="Arial"/>
      <w:sz w:val="20"/>
      <w:szCs w:val="20"/>
      <w:lang w:eastAsia="en-AU"/>
    </w:rPr>
  </w:style>
  <w:style w:type="character" w:customStyle="1" w:styleId="BodytextChar0">
    <w:name w:val="Body text Char"/>
    <w:basedOn w:val="DefaultParagraphFont"/>
    <w:link w:val="BodyText1"/>
    <w:uiPriority w:val="1"/>
    <w:rsid w:val="008060FB"/>
    <w:rPr>
      <w:rFonts w:ascii="Arial" w:eastAsia="Times New Roman" w:hAnsi="Arial" w:cs="Arial"/>
      <w:shd w:val="clear" w:color="auto" w:fill="FFFFFF" w:themeFill="background1"/>
    </w:rPr>
  </w:style>
  <w:style w:type="paragraph" w:customStyle="1" w:styleId="Tablefootnote">
    <w:name w:val="Table footnote"/>
    <w:basedOn w:val="Normal"/>
    <w:next w:val="BodyText1"/>
    <w:link w:val="TablefootnoteCharChar"/>
    <w:uiPriority w:val="57"/>
    <w:rsid w:val="008060FB"/>
    <w:pPr>
      <w:spacing w:before="60" w:after="60" w:line="240" w:lineRule="auto"/>
      <w:ind w:left="426"/>
    </w:pPr>
    <w:rPr>
      <w:rFonts w:ascii="Arial Narrow" w:eastAsia="Times New Roman" w:hAnsi="Arial Narrow"/>
      <w:sz w:val="16"/>
      <w:szCs w:val="20"/>
      <w:lang w:eastAsia="en-AU"/>
    </w:rPr>
  </w:style>
  <w:style w:type="character" w:customStyle="1" w:styleId="TablefootnoteCharChar">
    <w:name w:val="Table footnote Char Char"/>
    <w:basedOn w:val="DefaultParagraphFont"/>
    <w:link w:val="Tablefootnote"/>
    <w:uiPriority w:val="57"/>
    <w:rsid w:val="008060FB"/>
    <w:rPr>
      <w:rFonts w:ascii="Arial Narrow" w:eastAsia="Times New Roman" w:hAnsi="Arial Narrow"/>
      <w:sz w:val="16"/>
    </w:rPr>
  </w:style>
  <w:style w:type="paragraph" w:customStyle="1" w:styleId="Tabletitle">
    <w:name w:val="Table title"/>
    <w:basedOn w:val="Normal"/>
    <w:next w:val="BodyText1"/>
    <w:uiPriority w:val="99"/>
    <w:rsid w:val="008060FB"/>
    <w:pPr>
      <w:keepNext/>
      <w:numPr>
        <w:numId w:val="15"/>
      </w:numPr>
      <w:shd w:val="clear" w:color="auto" w:fill="FFFFFF" w:themeFill="background1"/>
      <w:spacing w:after="120" w:line="260" w:lineRule="exact"/>
      <w:outlineLvl w:val="2"/>
    </w:pPr>
    <w:rPr>
      <w:rFonts w:ascii="Arial Narrow" w:eastAsia="Times New Roman" w:hAnsi="Arial Narrow" w:cs="Arial"/>
      <w:b/>
      <w:caps/>
      <w:color w:val="4B306A"/>
      <w:sz w:val="16"/>
      <w:szCs w:val="20"/>
      <w:lang w:eastAsia="en-AU"/>
    </w:rPr>
  </w:style>
  <w:style w:type="table" w:customStyle="1" w:styleId="TableNPSstandard">
    <w:name w:val="Table NPS standard"/>
    <w:basedOn w:val="TableNormal"/>
    <w:rsid w:val="008060FB"/>
    <w:pPr>
      <w:spacing w:before="60" w:line="264" w:lineRule="auto"/>
    </w:pPr>
    <w:rPr>
      <w:rFonts w:ascii="Arial Narrow" w:eastAsia="Times New Roman" w:hAnsi="Arial Narrow"/>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8060FB"/>
    <w:pPr>
      <w:numPr>
        <w:numId w:val="16"/>
      </w:numPr>
      <w:spacing w:before="0" w:line="240" w:lineRule="auto"/>
    </w:pPr>
    <w:rPr>
      <w:rFonts w:ascii="Arial Narrow" w:eastAsia="Times New Roman" w:hAnsi="Arial Narrow"/>
      <w:sz w:val="20"/>
      <w:lang w:eastAsia="en-AU"/>
    </w:rPr>
  </w:style>
  <w:style w:type="character" w:customStyle="1" w:styleId="Superscript">
    <w:name w:val="Superscript"/>
    <w:uiPriority w:val="18"/>
    <w:rsid w:val="008060FB"/>
    <w:rPr>
      <w:vertAlign w:val="superscript"/>
    </w:rPr>
  </w:style>
  <w:style w:type="paragraph" w:customStyle="1" w:styleId="ReportSubtitle">
    <w:name w:val="Report Subtitle"/>
    <w:basedOn w:val="Normal"/>
    <w:rsid w:val="008060FB"/>
    <w:pPr>
      <w:spacing w:before="0" w:after="240" w:line="240" w:lineRule="auto"/>
      <w:ind w:left="720"/>
      <w:jc w:val="right"/>
    </w:pPr>
    <w:rPr>
      <w:rFonts w:ascii="Arial Bold" w:eastAsia="Times New Roman" w:hAnsi="Arial Bold"/>
      <w:b/>
      <w:bCs/>
      <w:color w:val="000000"/>
      <w:sz w:val="40"/>
      <w:szCs w:val="20"/>
      <w:lang w:eastAsia="en-AU"/>
    </w:rPr>
  </w:style>
  <w:style w:type="character" w:customStyle="1" w:styleId="label-">
    <w:name w:val="label-"/>
    <w:basedOn w:val="DefaultParagraphFont"/>
    <w:rsid w:val="008060FB"/>
  </w:style>
  <w:style w:type="table" w:customStyle="1" w:styleId="TableGrid3">
    <w:name w:val="Table Grid3"/>
    <w:basedOn w:val="TableNormal"/>
    <w:next w:val="TableGrid"/>
    <w:rsid w:val="008060F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8060F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060F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8060F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8060FB"/>
    <w:rPr>
      <w:rFonts w:ascii="Calibri" w:hAnsi="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8060F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ofreference">
    <w:name w:val="Term of reference"/>
    <w:basedOn w:val="Normal"/>
    <w:link w:val="TermofreferenceChar"/>
    <w:qFormat/>
    <w:rsid w:val="008060FB"/>
    <w:pPr>
      <w:pBdr>
        <w:top w:val="single" w:sz="4" w:space="1" w:color="auto"/>
        <w:left w:val="single" w:sz="4" w:space="4" w:color="auto"/>
        <w:bottom w:val="single" w:sz="4" w:space="1" w:color="auto"/>
        <w:right w:val="single" w:sz="4" w:space="4" w:color="auto"/>
      </w:pBdr>
      <w:spacing w:before="0" w:after="200" w:line="240" w:lineRule="auto"/>
      <w:jc w:val="center"/>
    </w:pPr>
    <w:rPr>
      <w:rFonts w:ascii="Calibri" w:eastAsiaTheme="minorEastAsia" w:hAnsi="Calibri" w:cstheme="minorBidi"/>
      <w:b/>
      <w:color w:val="365F91" w:themeColor="accent1" w:themeShade="BF"/>
      <w:lang w:eastAsia="en-AU"/>
    </w:rPr>
  </w:style>
  <w:style w:type="paragraph" w:customStyle="1" w:styleId="Tablename">
    <w:name w:val="Table name"/>
    <w:basedOn w:val="Caption"/>
    <w:link w:val="TablenameChar"/>
    <w:qFormat/>
    <w:rsid w:val="008060FB"/>
    <w:pPr>
      <w:spacing w:before="60" w:after="60"/>
      <w:ind w:left="0" w:firstLine="0"/>
      <w:jc w:val="left"/>
    </w:pPr>
    <w:rPr>
      <w:rFonts w:ascii="Calibri" w:eastAsiaTheme="minorEastAsia" w:hAnsi="Calibri"/>
      <w:bCs/>
      <w:iCs w:val="0"/>
    </w:rPr>
  </w:style>
  <w:style w:type="character" w:customStyle="1" w:styleId="TermofreferenceChar">
    <w:name w:val="Term of reference Char"/>
    <w:basedOn w:val="DefaultParagraphFont"/>
    <w:link w:val="Termofreference"/>
    <w:rsid w:val="008060FB"/>
    <w:rPr>
      <w:rFonts w:ascii="Calibri" w:eastAsiaTheme="minorEastAsia" w:hAnsi="Calibri" w:cstheme="minorBidi"/>
      <w:b/>
      <w:color w:val="365F91" w:themeColor="accent1" w:themeShade="BF"/>
      <w:sz w:val="24"/>
      <w:szCs w:val="24"/>
    </w:rPr>
  </w:style>
  <w:style w:type="character" w:customStyle="1" w:styleId="TablenameChar">
    <w:name w:val="Table name Char"/>
    <w:basedOn w:val="CaptionChar"/>
    <w:link w:val="Tablename"/>
    <w:rsid w:val="008060FB"/>
    <w:rPr>
      <w:rFonts w:ascii="Calibri" w:eastAsiaTheme="minorEastAsia" w:hAnsi="Calibri"/>
      <w:b/>
      <w:bCs/>
      <w:iCs w:val="0"/>
      <w:sz w:val="24"/>
      <w:szCs w:val="18"/>
      <w:lang w:eastAsia="en-US"/>
    </w:rPr>
  </w:style>
  <w:style w:type="paragraph" w:customStyle="1" w:styleId="Figurename">
    <w:name w:val="Figure name"/>
    <w:basedOn w:val="Normal"/>
    <w:link w:val="FigurenameChar"/>
    <w:qFormat/>
    <w:rsid w:val="008060FB"/>
    <w:pPr>
      <w:spacing w:before="60" w:after="60" w:line="240" w:lineRule="auto"/>
    </w:pPr>
    <w:rPr>
      <w:rFonts w:ascii="Calibri" w:eastAsiaTheme="minorEastAsia" w:hAnsi="Calibri" w:cstheme="minorBidi"/>
      <w:b/>
      <w:lang w:val="en-US"/>
    </w:rPr>
  </w:style>
  <w:style w:type="paragraph" w:customStyle="1" w:styleId="Figurenote">
    <w:name w:val="Figure note"/>
    <w:basedOn w:val="Normal"/>
    <w:link w:val="FigurenoteChar"/>
    <w:qFormat/>
    <w:rsid w:val="008060FB"/>
    <w:pPr>
      <w:spacing w:before="60" w:after="60" w:line="240" w:lineRule="auto"/>
    </w:pPr>
    <w:rPr>
      <w:rFonts w:eastAsiaTheme="minorEastAsia" w:cstheme="minorBidi"/>
      <w:sz w:val="20"/>
      <w:szCs w:val="20"/>
    </w:rPr>
  </w:style>
  <w:style w:type="character" w:customStyle="1" w:styleId="FigurenameChar">
    <w:name w:val="Figure name Char"/>
    <w:basedOn w:val="DefaultParagraphFont"/>
    <w:link w:val="Figurename"/>
    <w:rsid w:val="008060FB"/>
    <w:rPr>
      <w:rFonts w:ascii="Calibri" w:eastAsiaTheme="minorEastAsia" w:hAnsi="Calibri" w:cstheme="minorBidi"/>
      <w:b/>
      <w:sz w:val="24"/>
      <w:szCs w:val="24"/>
      <w:lang w:val="en-US" w:eastAsia="en-US"/>
    </w:rPr>
  </w:style>
  <w:style w:type="character" w:customStyle="1" w:styleId="FigurenoteChar">
    <w:name w:val="Figure note Char"/>
    <w:basedOn w:val="DefaultParagraphFont"/>
    <w:link w:val="Figurenote"/>
    <w:rsid w:val="008060FB"/>
    <w:rPr>
      <w:rFonts w:asciiTheme="minorHAnsi" w:eastAsiaTheme="minorEastAsia" w:hAnsiTheme="minorHAnsi" w:cstheme="minorBidi"/>
      <w:lang w:eastAsia="en-US"/>
    </w:rPr>
  </w:style>
  <w:style w:type="paragraph" w:customStyle="1" w:styleId="EndNoteBibliographyTitle">
    <w:name w:val="EndNote Bibliography Title"/>
    <w:basedOn w:val="Normal"/>
    <w:link w:val="EndNoteBibliographyTitleChar"/>
    <w:rsid w:val="008060FB"/>
    <w:pPr>
      <w:spacing w:before="0" w:line="240" w:lineRule="auto"/>
      <w:jc w:val="center"/>
    </w:pPr>
    <w:rPr>
      <w:rFonts w:eastAsiaTheme="minorHAnsi" w:cstheme="minorBidi"/>
      <w:noProof/>
      <w:szCs w:val="22"/>
      <w:lang w:eastAsia="en-AU"/>
    </w:rPr>
  </w:style>
  <w:style w:type="character" w:customStyle="1" w:styleId="EndNoteBibliographyTitleChar">
    <w:name w:val="EndNote Bibliography Title Char"/>
    <w:basedOn w:val="TabletextChar"/>
    <w:link w:val="EndNoteBibliographyTitle"/>
    <w:rsid w:val="008060FB"/>
    <w:rPr>
      <w:rFonts w:ascii="Arial Narrow" w:eastAsiaTheme="minorHAnsi" w:hAnsi="Arial Narrow" w:cstheme="minorBidi"/>
      <w:noProof/>
      <w:sz w:val="24"/>
      <w:szCs w:val="22"/>
    </w:rPr>
  </w:style>
  <w:style w:type="paragraph" w:customStyle="1" w:styleId="EndNoteBibliography">
    <w:name w:val="EndNote Bibliography"/>
    <w:basedOn w:val="Normal"/>
    <w:link w:val="EndNoteBibliographyChar"/>
    <w:rsid w:val="008060FB"/>
    <w:pPr>
      <w:spacing w:before="0" w:after="200" w:line="240" w:lineRule="auto"/>
    </w:pPr>
    <w:rPr>
      <w:rFonts w:eastAsiaTheme="minorHAnsi" w:cstheme="minorBidi"/>
      <w:noProof/>
      <w:szCs w:val="22"/>
      <w:lang w:eastAsia="en-AU"/>
    </w:rPr>
  </w:style>
  <w:style w:type="character" w:customStyle="1" w:styleId="EndNoteBibliographyChar">
    <w:name w:val="EndNote Bibliography Char"/>
    <w:basedOn w:val="TabletextChar"/>
    <w:link w:val="EndNoteBibliography"/>
    <w:rsid w:val="008060FB"/>
    <w:rPr>
      <w:rFonts w:ascii="Arial Narrow" w:eastAsiaTheme="minorHAnsi" w:hAnsi="Arial Narrow" w:cstheme="minorBidi"/>
      <w:noProof/>
      <w:sz w:val="24"/>
      <w:szCs w:val="22"/>
    </w:rPr>
  </w:style>
  <w:style w:type="table" w:customStyle="1" w:styleId="TableGrid8">
    <w:name w:val="Table Grid8"/>
    <w:basedOn w:val="TableNormal"/>
    <w:next w:val="TableGrid"/>
    <w:rsid w:val="008060F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Sectionheading-numbered">
    <w:name w:val="ES. Section heading - numbered"/>
    <w:uiPriority w:val="99"/>
    <w:rsid w:val="008060FB"/>
    <w:pPr>
      <w:numPr>
        <w:numId w:val="18"/>
      </w:numPr>
    </w:pPr>
  </w:style>
  <w:style w:type="paragraph" w:customStyle="1" w:styleId="TableHeading">
    <w:name w:val="TableHeading"/>
    <w:basedOn w:val="Normal"/>
    <w:link w:val="TableHeadingChar"/>
    <w:qFormat/>
    <w:rsid w:val="008060FB"/>
    <w:pPr>
      <w:keepNext/>
      <w:tabs>
        <w:tab w:val="left" w:pos="993"/>
      </w:tabs>
      <w:spacing w:before="40" w:after="40" w:line="240" w:lineRule="auto"/>
      <w:ind w:left="992" w:hanging="992"/>
    </w:pPr>
    <w:rPr>
      <w:rFonts w:ascii="Arial Narrow" w:eastAsia="Times New Roman" w:hAnsi="Arial Narrow" w:cs="Tahoma"/>
      <w:b/>
      <w:sz w:val="20"/>
      <w:szCs w:val="20"/>
      <w:lang w:eastAsia="en-AU"/>
    </w:rPr>
  </w:style>
  <w:style w:type="character" w:customStyle="1" w:styleId="TableHeadingChar">
    <w:name w:val="TableHeading Char"/>
    <w:link w:val="TableHeading"/>
    <w:rsid w:val="008060FB"/>
    <w:rPr>
      <w:rFonts w:ascii="Arial Narrow" w:eastAsia="Times New Roman" w:hAnsi="Arial Narrow" w:cs="Tahoma"/>
      <w:b/>
    </w:rPr>
  </w:style>
  <w:style w:type="paragraph" w:customStyle="1" w:styleId="ESNumberedSectionHeading">
    <w:name w:val="ES Numbered Section Heading"/>
    <w:link w:val="ESNumberedSectionHeadingChar"/>
    <w:qFormat/>
    <w:rsid w:val="008060FB"/>
    <w:pPr>
      <w:keepNext/>
      <w:numPr>
        <w:numId w:val="19"/>
      </w:numPr>
      <w:spacing w:before="240" w:after="120" w:line="312" w:lineRule="auto"/>
      <w:ind w:left="1134" w:hanging="1134"/>
      <w:outlineLvl w:val="2"/>
    </w:pPr>
    <w:rPr>
      <w:rFonts w:ascii="Times New Roman" w:eastAsiaTheme="minorHAnsi" w:hAnsi="Times New Roman" w:cs="Tahoma"/>
      <w:smallCaps/>
      <w:sz w:val="24"/>
      <w:szCs w:val="24"/>
    </w:rPr>
  </w:style>
  <w:style w:type="character" w:customStyle="1" w:styleId="ESNumberedSectionHeadingChar">
    <w:name w:val="ES Numbered Section Heading Char"/>
    <w:basedOn w:val="DefaultParagraphFont"/>
    <w:link w:val="ESNumberedSectionHeading"/>
    <w:rsid w:val="008060FB"/>
    <w:rPr>
      <w:rFonts w:ascii="Times New Roman" w:eastAsiaTheme="minorHAnsi" w:hAnsi="Times New Roman" w:cs="Tahoma"/>
      <w:smallCaps/>
      <w:sz w:val="24"/>
      <w:szCs w:val="24"/>
    </w:rPr>
  </w:style>
  <w:style w:type="table" w:customStyle="1" w:styleId="TableGrid9">
    <w:name w:val="Table Grid9"/>
    <w:basedOn w:val="TableNormal"/>
    <w:next w:val="TableGrid"/>
    <w:uiPriority w:val="59"/>
    <w:rsid w:val="008060FB"/>
    <w:pPr>
      <w:spacing w:before="40" w:after="4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854F17"/>
    <w:pPr>
      <w:spacing w:before="60" w:after="60" w:line="240" w:lineRule="auto"/>
    </w:pPr>
    <w:rPr>
      <w:rFonts w:ascii="Arial Narrow" w:eastAsia="Times New Roman" w:hAnsi="Arial Narrow" w:cs="Arial"/>
      <w:sz w:val="18"/>
      <w:szCs w:val="22"/>
      <w:lang w:eastAsia="en-AU"/>
    </w:rPr>
  </w:style>
  <w:style w:type="paragraph" w:customStyle="1" w:styleId="tabletext1">
    <w:name w:val="table text"/>
    <w:basedOn w:val="TableText0"/>
    <w:rsid w:val="008060FB"/>
    <w:pPr>
      <w:keepNext/>
    </w:pPr>
    <w:rPr>
      <w:color w:val="000000"/>
      <w:szCs w:val="20"/>
    </w:rPr>
  </w:style>
  <w:style w:type="paragraph" w:customStyle="1" w:styleId="TableParagraph">
    <w:name w:val="Table Paragraph"/>
    <w:basedOn w:val="Normal"/>
    <w:uiPriority w:val="1"/>
    <w:qFormat/>
    <w:rsid w:val="008060FB"/>
    <w:pPr>
      <w:widowControl w:val="0"/>
      <w:spacing w:before="0" w:line="240" w:lineRule="auto"/>
    </w:pPr>
    <w:rPr>
      <w:rFonts w:eastAsiaTheme="minorHAnsi" w:cstheme="minorBidi"/>
      <w:sz w:val="22"/>
      <w:szCs w:val="22"/>
      <w:lang w:val="en-US"/>
    </w:rPr>
  </w:style>
  <w:style w:type="table" w:customStyle="1" w:styleId="TableGrid10">
    <w:name w:val="Table Grid10"/>
    <w:basedOn w:val="TableNormal"/>
    <w:next w:val="TableGrid"/>
    <w:rsid w:val="008060F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groundTable">
    <w:name w:val="Background Table"/>
    <w:basedOn w:val="Caption"/>
    <w:link w:val="BackgroundTableChar"/>
    <w:qFormat/>
    <w:rsid w:val="008060FB"/>
    <w:pPr>
      <w:spacing w:before="0"/>
    </w:pPr>
  </w:style>
  <w:style w:type="character" w:customStyle="1" w:styleId="BackgroundTableChar">
    <w:name w:val="Background Table Char"/>
    <w:basedOn w:val="CaptionChar"/>
    <w:link w:val="BackgroundTable"/>
    <w:rsid w:val="008060FB"/>
    <w:rPr>
      <w:rFonts w:ascii="Arial" w:hAnsi="Arial"/>
      <w:b/>
      <w:iCs/>
      <w:sz w:val="24"/>
      <w:szCs w:val="18"/>
      <w:lang w:eastAsia="en-US"/>
    </w:rPr>
  </w:style>
  <w:style w:type="numbering" w:customStyle="1" w:styleId="ESSectionheading-numbered1">
    <w:name w:val="ES. Section heading - numbered1"/>
    <w:uiPriority w:val="99"/>
    <w:rsid w:val="00FB5052"/>
    <w:pPr>
      <w:numPr>
        <w:numId w:val="21"/>
      </w:numPr>
    </w:pPr>
  </w:style>
  <w:style w:type="character" w:customStyle="1" w:styleId="cell-value">
    <w:name w:val="cell-value"/>
    <w:basedOn w:val="DefaultParagraphFont"/>
    <w:rsid w:val="00FB5052"/>
  </w:style>
  <w:style w:type="character" w:customStyle="1" w:styleId="cell">
    <w:name w:val="cell"/>
    <w:basedOn w:val="DefaultParagraphFont"/>
    <w:rsid w:val="00FB5052"/>
  </w:style>
  <w:style w:type="character" w:customStyle="1" w:styleId="block">
    <w:name w:val="block"/>
    <w:basedOn w:val="DefaultParagraphFont"/>
    <w:rsid w:val="00FB5052"/>
  </w:style>
  <w:style w:type="paragraph" w:customStyle="1" w:styleId="CM27">
    <w:name w:val="CM27"/>
    <w:basedOn w:val="Normal"/>
    <w:next w:val="Normal"/>
    <w:uiPriority w:val="99"/>
    <w:rsid w:val="00D0193C"/>
    <w:pPr>
      <w:autoSpaceDE w:val="0"/>
      <w:autoSpaceDN w:val="0"/>
      <w:adjustRightInd w:val="0"/>
      <w:spacing w:before="0" w:line="240" w:lineRule="auto"/>
    </w:pPr>
    <w:rPr>
      <w:rFonts w:ascii="Arial" w:eastAsiaTheme="minorHAnsi" w:hAnsi="Arial" w:cs="Arial"/>
    </w:rPr>
  </w:style>
  <w:style w:type="paragraph" w:customStyle="1" w:styleId="CM34">
    <w:name w:val="CM34"/>
    <w:basedOn w:val="Normal"/>
    <w:next w:val="Normal"/>
    <w:uiPriority w:val="99"/>
    <w:rsid w:val="00D0193C"/>
    <w:pPr>
      <w:autoSpaceDE w:val="0"/>
      <w:autoSpaceDN w:val="0"/>
      <w:adjustRightInd w:val="0"/>
      <w:spacing w:before="0" w:line="240" w:lineRule="auto"/>
    </w:pPr>
    <w:rPr>
      <w:rFonts w:ascii="Times New Roman" w:eastAsiaTheme="minorHAnsi" w:hAnsi="Times New Roman"/>
    </w:rPr>
  </w:style>
  <w:style w:type="paragraph" w:customStyle="1" w:styleId="CM28">
    <w:name w:val="CM28"/>
    <w:basedOn w:val="Normal"/>
    <w:next w:val="Normal"/>
    <w:uiPriority w:val="99"/>
    <w:rsid w:val="00D0193C"/>
    <w:pPr>
      <w:autoSpaceDE w:val="0"/>
      <w:autoSpaceDN w:val="0"/>
      <w:adjustRightInd w:val="0"/>
      <w:spacing w:before="0" w:line="240" w:lineRule="auto"/>
    </w:pPr>
    <w:rPr>
      <w:rFonts w:ascii="Times New Roman" w:eastAsiaTheme="minorHAnsi" w:hAnsi="Times New Roman"/>
    </w:rPr>
  </w:style>
  <w:style w:type="character" w:customStyle="1" w:styleId="PersonalComposeStyle">
    <w:name w:val="Personal Compose Style"/>
    <w:basedOn w:val="DefaultParagraphFont"/>
    <w:rsid w:val="001D0FDA"/>
    <w:rPr>
      <w:rFonts w:ascii="Arial" w:hAnsi="Arial" w:cs="Arial"/>
      <w:color w:val="auto"/>
      <w:sz w:val="20"/>
    </w:rPr>
  </w:style>
  <w:style w:type="character" w:customStyle="1" w:styleId="PersonalReplyStyle">
    <w:name w:val="Personal Reply Style"/>
    <w:basedOn w:val="DefaultParagraphFont"/>
    <w:rsid w:val="001D0FDA"/>
    <w:rPr>
      <w:rFonts w:ascii="Arial" w:hAnsi="Arial" w:cs="Arial"/>
      <w:color w:val="auto"/>
      <w:sz w:val="20"/>
    </w:rPr>
  </w:style>
  <w:style w:type="paragraph" w:customStyle="1" w:styleId="Bullet">
    <w:name w:val="Bullet"/>
    <w:basedOn w:val="Normal"/>
    <w:rsid w:val="001D0FDA"/>
    <w:pPr>
      <w:numPr>
        <w:numId w:val="48"/>
      </w:numPr>
      <w:spacing w:before="0" w:after="240" w:line="312" w:lineRule="auto"/>
    </w:pPr>
    <w:rPr>
      <w:rFonts w:ascii="Calibri" w:eastAsia="Times New Roman" w:hAnsi="Calibri" w:cs="Tahoma"/>
      <w:sz w:val="22"/>
      <w:szCs w:val="22"/>
      <w:lang w:eastAsia="en-AU"/>
    </w:rPr>
  </w:style>
  <w:style w:type="paragraph" w:styleId="Date">
    <w:name w:val="Date"/>
    <w:basedOn w:val="Normal"/>
    <w:next w:val="Normal"/>
    <w:link w:val="DateChar"/>
    <w:rsid w:val="001D0FDA"/>
    <w:pPr>
      <w:spacing w:before="0" w:after="240" w:line="312" w:lineRule="auto"/>
      <w:ind w:right="113"/>
      <w:jc w:val="right"/>
    </w:pPr>
    <w:rPr>
      <w:rFonts w:ascii="Arial" w:eastAsia="Times New Roman" w:hAnsi="Arial" w:cs="Tahoma"/>
      <w:b/>
      <w:sz w:val="36"/>
      <w:szCs w:val="22"/>
      <w:lang w:eastAsia="en-AU"/>
    </w:rPr>
  </w:style>
  <w:style w:type="character" w:customStyle="1" w:styleId="DateChar">
    <w:name w:val="Date Char"/>
    <w:basedOn w:val="DefaultParagraphFont"/>
    <w:link w:val="Date"/>
    <w:rsid w:val="001D0FDA"/>
    <w:rPr>
      <w:rFonts w:ascii="Arial" w:eastAsia="Times New Roman" w:hAnsi="Arial" w:cs="Tahoma"/>
      <w:b/>
      <w:sz w:val="36"/>
      <w:szCs w:val="22"/>
    </w:rPr>
  </w:style>
  <w:style w:type="paragraph" w:customStyle="1" w:styleId="Summaryboxtext">
    <w:name w:val="Summary box text"/>
    <w:basedOn w:val="Normal"/>
    <w:rsid w:val="001D0FDA"/>
    <w:pPr>
      <w:spacing w:before="0" w:after="100" w:afterAutospacing="1" w:line="312" w:lineRule="auto"/>
    </w:pPr>
    <w:rPr>
      <w:rFonts w:ascii="Arial Narrow" w:eastAsia="Times New Roman" w:hAnsi="Arial Narrow" w:cs="Tahoma"/>
      <w:sz w:val="22"/>
      <w:szCs w:val="22"/>
      <w:lang w:eastAsia="en-AU"/>
    </w:rPr>
  </w:style>
  <w:style w:type="paragraph" w:customStyle="1" w:styleId="Summaryboxheading">
    <w:name w:val="Summary box heading"/>
    <w:basedOn w:val="Summaryboxtext"/>
    <w:rsid w:val="001D0FDA"/>
    <w:pPr>
      <w:spacing w:before="120"/>
    </w:pPr>
    <w:rPr>
      <w:b/>
    </w:rPr>
  </w:style>
  <w:style w:type="paragraph" w:customStyle="1" w:styleId="Heading2a">
    <w:name w:val="Heading 2a"/>
    <w:basedOn w:val="Heading2"/>
    <w:rsid w:val="001D0FDA"/>
    <w:pPr>
      <w:numPr>
        <w:ilvl w:val="0"/>
        <w:numId w:val="0"/>
      </w:numPr>
      <w:spacing w:before="0" w:after="120"/>
      <w:jc w:val="left"/>
      <w:outlineLvl w:val="9"/>
    </w:pPr>
    <w:rPr>
      <w:rFonts w:ascii="Arial Narrow" w:hAnsi="Arial Narrow" w:cs="Tahoma"/>
      <w:bCs/>
      <w:color w:val="auto"/>
      <w:sz w:val="22"/>
      <w:szCs w:val="22"/>
      <w:lang w:eastAsia="en-AU"/>
    </w:rPr>
  </w:style>
  <w:style w:type="character" w:styleId="PageNumber">
    <w:name w:val="page number"/>
    <w:rsid w:val="001D0FDA"/>
    <w:rPr>
      <w:rFonts w:ascii="Tahoma" w:hAnsi="Tahoma"/>
      <w:b/>
      <w:sz w:val="18"/>
    </w:rPr>
  </w:style>
  <w:style w:type="paragraph" w:customStyle="1" w:styleId="PublicationTitle">
    <w:name w:val="PublicationTitle"/>
    <w:basedOn w:val="Normal"/>
    <w:rsid w:val="001D0FDA"/>
    <w:pPr>
      <w:spacing w:before="0" w:after="240" w:line="480" w:lineRule="exact"/>
      <w:ind w:right="113"/>
      <w:jc w:val="right"/>
    </w:pPr>
    <w:rPr>
      <w:rFonts w:ascii="Arial" w:eastAsia="Times New Roman" w:hAnsi="Arial" w:cs="Tahoma"/>
      <w:b/>
      <w:i/>
      <w:sz w:val="44"/>
      <w:szCs w:val="22"/>
      <w:lang w:eastAsia="en-AU"/>
    </w:rPr>
  </w:style>
  <w:style w:type="paragraph" w:customStyle="1" w:styleId="Sub-title">
    <w:name w:val="Sub-title"/>
    <w:basedOn w:val="Normal"/>
    <w:rsid w:val="001D0FDA"/>
    <w:pPr>
      <w:spacing w:before="0" w:after="240" w:line="312" w:lineRule="auto"/>
      <w:ind w:right="113"/>
      <w:jc w:val="right"/>
    </w:pPr>
    <w:rPr>
      <w:rFonts w:ascii="Arial" w:eastAsia="Times New Roman" w:hAnsi="Arial" w:cs="Tahoma"/>
      <w:b/>
      <w:sz w:val="32"/>
      <w:szCs w:val="22"/>
      <w:lang w:eastAsia="en-AU"/>
    </w:rPr>
  </w:style>
  <w:style w:type="paragraph" w:customStyle="1" w:styleId="TableText2">
    <w:name w:val="TableText"/>
    <w:basedOn w:val="Normal"/>
    <w:link w:val="TableTextChar1"/>
    <w:rsid w:val="001D0FDA"/>
    <w:pPr>
      <w:keepNext/>
      <w:spacing w:before="40" w:after="40" w:line="312" w:lineRule="auto"/>
    </w:pPr>
    <w:rPr>
      <w:rFonts w:ascii="Arial Narrow" w:eastAsia="Times New Roman" w:hAnsi="Arial Narrow" w:cs="Tahoma"/>
      <w:sz w:val="18"/>
      <w:szCs w:val="22"/>
      <w:lang w:eastAsia="en-AU"/>
    </w:rPr>
  </w:style>
  <w:style w:type="character" w:customStyle="1" w:styleId="TableTextChar1">
    <w:name w:val="TableText Char"/>
    <w:link w:val="TableText2"/>
    <w:rsid w:val="001D0FDA"/>
    <w:rPr>
      <w:rFonts w:ascii="Arial Narrow" w:eastAsia="Times New Roman" w:hAnsi="Arial Narrow" w:cs="Tahoma"/>
      <w:sz w:val="18"/>
      <w:szCs w:val="22"/>
    </w:rPr>
  </w:style>
  <w:style w:type="paragraph" w:customStyle="1" w:styleId="TableName0">
    <w:name w:val="TableName"/>
    <w:basedOn w:val="TableText2"/>
    <w:link w:val="TableNameChar0"/>
    <w:rsid w:val="001D0FDA"/>
    <w:pPr>
      <w:ind w:left="1440" w:hanging="720"/>
    </w:pPr>
    <w:rPr>
      <w:b/>
      <w:sz w:val="20"/>
    </w:rPr>
  </w:style>
  <w:style w:type="character" w:customStyle="1" w:styleId="TableNameChar0">
    <w:name w:val="TableName Char"/>
    <w:link w:val="TableName0"/>
    <w:rsid w:val="001D0FDA"/>
    <w:rPr>
      <w:rFonts w:ascii="Arial Narrow" w:eastAsia="Times New Roman" w:hAnsi="Arial Narrow" w:cs="Tahoma"/>
      <w:b/>
      <w:szCs w:val="22"/>
    </w:rPr>
  </w:style>
  <w:style w:type="paragraph" w:customStyle="1" w:styleId="TableNotes">
    <w:name w:val="TableNotes"/>
    <w:basedOn w:val="TableText2"/>
    <w:link w:val="TableNotesChar"/>
    <w:rsid w:val="001D0FDA"/>
    <w:pPr>
      <w:keepNext w:val="0"/>
      <w:keepLines/>
      <w:spacing w:before="0" w:after="360"/>
      <w:ind w:left="720"/>
      <w:contextualSpacing/>
    </w:pPr>
    <w:rPr>
      <w:sz w:val="16"/>
    </w:rPr>
  </w:style>
  <w:style w:type="character" w:customStyle="1" w:styleId="TableNotesChar">
    <w:name w:val="TableNotes Char"/>
    <w:link w:val="TableNotes"/>
    <w:rsid w:val="001D0FDA"/>
    <w:rPr>
      <w:rFonts w:ascii="Arial Narrow" w:eastAsia="Times New Roman" w:hAnsi="Arial Narrow" w:cs="Tahoma"/>
      <w:sz w:val="16"/>
      <w:szCs w:val="22"/>
    </w:rPr>
  </w:style>
  <w:style w:type="paragraph" w:styleId="Title">
    <w:name w:val="Title"/>
    <w:basedOn w:val="Normal"/>
    <w:link w:val="TitleChar"/>
    <w:qFormat/>
    <w:rsid w:val="001D0FDA"/>
    <w:pPr>
      <w:spacing w:before="0" w:after="240" w:line="312" w:lineRule="auto"/>
      <w:jc w:val="center"/>
    </w:pPr>
    <w:rPr>
      <w:rFonts w:ascii="Arial" w:eastAsia="Times New Roman" w:hAnsi="Arial" w:cs="Tahoma"/>
      <w:b/>
      <w:smallCaps/>
      <w:sz w:val="44"/>
      <w:szCs w:val="22"/>
      <w:lang w:eastAsia="en-AU"/>
    </w:rPr>
  </w:style>
  <w:style w:type="character" w:customStyle="1" w:styleId="TitleChar">
    <w:name w:val="Title Char"/>
    <w:basedOn w:val="DefaultParagraphFont"/>
    <w:link w:val="Title"/>
    <w:rsid w:val="001D0FDA"/>
    <w:rPr>
      <w:rFonts w:ascii="Arial" w:eastAsia="Times New Roman" w:hAnsi="Arial" w:cs="Tahoma"/>
      <w:b/>
      <w:smallCaps/>
      <w:sz w:val="44"/>
      <w:szCs w:val="22"/>
    </w:rPr>
  </w:style>
  <w:style w:type="paragraph" w:customStyle="1" w:styleId="Dash">
    <w:name w:val="Dash"/>
    <w:basedOn w:val="Normal"/>
    <w:rsid w:val="001D0FDA"/>
    <w:pPr>
      <w:numPr>
        <w:numId w:val="49"/>
      </w:numPr>
      <w:spacing w:before="0" w:after="240" w:line="312" w:lineRule="auto"/>
    </w:pPr>
    <w:rPr>
      <w:rFonts w:ascii="Calibri" w:eastAsia="Times New Roman" w:hAnsi="Calibri" w:cs="Tahoma"/>
      <w:sz w:val="22"/>
      <w:szCs w:val="22"/>
      <w:lang w:eastAsia="en-AU"/>
    </w:rPr>
  </w:style>
  <w:style w:type="paragraph" w:customStyle="1" w:styleId="TableHeading0">
    <w:name w:val="Table Heading"/>
    <w:basedOn w:val="Normal"/>
    <w:next w:val="Normal"/>
    <w:rsid w:val="001D0FDA"/>
    <w:pPr>
      <w:keepNext/>
      <w:spacing w:before="40" w:after="40" w:line="312" w:lineRule="auto"/>
    </w:pPr>
    <w:rPr>
      <w:rFonts w:ascii="Arial" w:eastAsia="Times New Roman" w:hAnsi="Arial" w:cs="Tahoma"/>
      <w:b/>
      <w:sz w:val="18"/>
      <w:szCs w:val="22"/>
      <w:lang w:val="en-GB"/>
    </w:rPr>
  </w:style>
  <w:style w:type="character" w:customStyle="1" w:styleId="TableTextChar0">
    <w:name w:val="Table Text Char"/>
    <w:link w:val="TableText0"/>
    <w:rsid w:val="001D0FDA"/>
    <w:rPr>
      <w:rFonts w:ascii="Arial Narrow" w:eastAsia="Times New Roman" w:hAnsi="Arial Narrow" w:cs="Arial"/>
      <w:sz w:val="18"/>
      <w:szCs w:val="22"/>
    </w:rPr>
  </w:style>
  <w:style w:type="paragraph" w:customStyle="1" w:styleId="Boxname">
    <w:name w:val="Box name"/>
    <w:basedOn w:val="TableName0"/>
    <w:link w:val="BoxnameChar"/>
    <w:rsid w:val="001D0FDA"/>
  </w:style>
  <w:style w:type="character" w:customStyle="1" w:styleId="BoxnameChar">
    <w:name w:val="Box name Char"/>
    <w:basedOn w:val="TableNameChar0"/>
    <w:link w:val="Boxname"/>
    <w:rsid w:val="001D0FDA"/>
    <w:rPr>
      <w:rFonts w:ascii="Arial Narrow" w:eastAsia="Times New Roman" w:hAnsi="Arial Narrow" w:cs="Tahoma"/>
      <w:b/>
      <w:szCs w:val="22"/>
    </w:rPr>
  </w:style>
  <w:style w:type="paragraph" w:customStyle="1" w:styleId="StyleTableTextArialNarrowFirstline045cm">
    <w:name w:val="Style Table Text + Arial Narrow First line:  0.45 cm"/>
    <w:basedOn w:val="TableText0"/>
    <w:rsid w:val="001D0FDA"/>
    <w:pPr>
      <w:keepNext/>
      <w:spacing w:before="40" w:after="360"/>
      <w:ind w:firstLine="720"/>
    </w:pPr>
    <w:rPr>
      <w:rFonts w:cs="Tahoma"/>
      <w:sz w:val="20"/>
      <w:lang w:eastAsia="en-US"/>
    </w:rPr>
  </w:style>
  <w:style w:type="paragraph" w:customStyle="1" w:styleId="TableNamea">
    <w:name w:val="Table Name(a)"/>
    <w:basedOn w:val="Normal"/>
    <w:rsid w:val="001D0FDA"/>
    <w:pPr>
      <w:keepNext/>
      <w:spacing w:before="120" w:after="120" w:line="312" w:lineRule="auto"/>
      <w:ind w:left="1077" w:hanging="1077"/>
    </w:pPr>
    <w:rPr>
      <w:rFonts w:ascii="Arial" w:eastAsia="Times New Roman" w:hAnsi="Arial" w:cs="Tahoma"/>
      <w:b/>
      <w:sz w:val="20"/>
      <w:szCs w:val="22"/>
    </w:rPr>
  </w:style>
  <w:style w:type="paragraph" w:styleId="DocumentMap">
    <w:name w:val="Document Map"/>
    <w:basedOn w:val="Normal"/>
    <w:link w:val="DocumentMapChar"/>
    <w:rsid w:val="001D0FDA"/>
    <w:pPr>
      <w:spacing w:before="0" w:after="240" w:line="312" w:lineRule="auto"/>
    </w:pPr>
    <w:rPr>
      <w:rFonts w:ascii="Calibri" w:eastAsia="Times New Roman" w:hAnsi="Calibri" w:cs="Tahoma"/>
      <w:sz w:val="16"/>
      <w:szCs w:val="16"/>
      <w:lang w:eastAsia="en-AU"/>
    </w:rPr>
  </w:style>
  <w:style w:type="character" w:customStyle="1" w:styleId="DocumentMapChar">
    <w:name w:val="Document Map Char"/>
    <w:basedOn w:val="DefaultParagraphFont"/>
    <w:link w:val="DocumentMap"/>
    <w:rsid w:val="001D0FDA"/>
    <w:rPr>
      <w:rFonts w:ascii="Calibri" w:eastAsia="Times New Roman" w:hAnsi="Calibri" w:cs="Tahoma"/>
      <w:sz w:val="16"/>
      <w:szCs w:val="16"/>
    </w:rPr>
  </w:style>
  <w:style w:type="paragraph" w:customStyle="1" w:styleId="figureheading">
    <w:name w:val="figure heading"/>
    <w:basedOn w:val="Normal"/>
    <w:rsid w:val="001D0FDA"/>
    <w:pPr>
      <w:keepNext/>
      <w:spacing w:before="120" w:after="120" w:line="312" w:lineRule="auto"/>
      <w:ind w:left="1077" w:hanging="1077"/>
    </w:pPr>
    <w:rPr>
      <w:rFonts w:ascii="Arial" w:eastAsia="Times New Roman" w:hAnsi="Arial" w:cs="Tahoma"/>
      <w:b/>
      <w:sz w:val="20"/>
      <w:szCs w:val="22"/>
    </w:rPr>
  </w:style>
  <w:style w:type="paragraph" w:customStyle="1" w:styleId="Nnumberedlist">
    <w:name w:val="Nnumbered list"/>
    <w:basedOn w:val="Normal"/>
    <w:rsid w:val="001D0FDA"/>
    <w:pPr>
      <w:numPr>
        <w:numId w:val="50"/>
      </w:numPr>
      <w:spacing w:before="0" w:after="240" w:line="312" w:lineRule="auto"/>
    </w:pPr>
    <w:rPr>
      <w:rFonts w:ascii="Calibri" w:eastAsia="Times New Roman" w:hAnsi="Calibri" w:cs="Tahoma"/>
      <w:sz w:val="22"/>
      <w:szCs w:val="22"/>
      <w:lang w:eastAsia="en-AU"/>
    </w:rPr>
  </w:style>
  <w:style w:type="paragraph" w:customStyle="1" w:styleId="Figure">
    <w:name w:val="Figure"/>
    <w:basedOn w:val="TableName0"/>
    <w:rsid w:val="001D0FDA"/>
    <w:pPr>
      <w:spacing w:before="120" w:after="120"/>
      <w:ind w:left="1800" w:hanging="1080"/>
    </w:pPr>
  </w:style>
  <w:style w:type="paragraph" w:customStyle="1" w:styleId="Equation">
    <w:name w:val="Equation"/>
    <w:basedOn w:val="Header"/>
    <w:rsid w:val="001D0FDA"/>
    <w:pPr>
      <w:pBdr>
        <w:bottom w:val="none" w:sz="0" w:space="0" w:color="auto"/>
      </w:pBdr>
      <w:tabs>
        <w:tab w:val="clear" w:pos="4513"/>
        <w:tab w:val="clear" w:pos="9026"/>
      </w:tabs>
      <w:spacing w:line="312" w:lineRule="auto"/>
    </w:pPr>
    <w:rPr>
      <w:rFonts w:ascii="Arial Narrow" w:eastAsia="Times New Roman" w:hAnsi="Arial Narrow" w:cs="Tahoma"/>
      <w:szCs w:val="22"/>
      <w:lang w:eastAsia="en-AU"/>
    </w:rPr>
  </w:style>
  <w:style w:type="paragraph" w:customStyle="1" w:styleId="AHTAaddresslines">
    <w:name w:val="AHTA address lines"/>
    <w:basedOn w:val="PlainText"/>
    <w:rsid w:val="001D0FDA"/>
    <w:pPr>
      <w:spacing w:line="210" w:lineRule="exact"/>
    </w:pPr>
    <w:rPr>
      <w:rFonts w:ascii="Arial Narrow" w:eastAsia="Times" w:hAnsi="Arial Narrow" w:cs="Times New Roman"/>
      <w:i/>
      <w:color w:val="000080"/>
      <w:sz w:val="16"/>
    </w:rPr>
  </w:style>
  <w:style w:type="paragraph" w:styleId="PlainText">
    <w:name w:val="Plain Text"/>
    <w:basedOn w:val="Normal"/>
    <w:link w:val="PlainTextChar"/>
    <w:rsid w:val="001D0FDA"/>
    <w:pPr>
      <w:spacing w:before="0" w:line="312" w:lineRule="auto"/>
    </w:pPr>
    <w:rPr>
      <w:rFonts w:ascii="Courier New" w:eastAsia="Times New Roman" w:hAnsi="Courier New" w:cs="Courier New"/>
      <w:sz w:val="20"/>
      <w:szCs w:val="22"/>
    </w:rPr>
  </w:style>
  <w:style w:type="character" w:customStyle="1" w:styleId="PlainTextChar">
    <w:name w:val="Plain Text Char"/>
    <w:basedOn w:val="DefaultParagraphFont"/>
    <w:link w:val="PlainText"/>
    <w:rsid w:val="001D0FDA"/>
    <w:rPr>
      <w:rFonts w:ascii="Courier New" w:eastAsia="Times New Roman" w:hAnsi="Courier New" w:cs="Courier New"/>
      <w:szCs w:val="22"/>
      <w:lang w:eastAsia="en-US"/>
    </w:rPr>
  </w:style>
  <w:style w:type="character" w:customStyle="1" w:styleId="regulartext">
    <w:name w:val="regulartext"/>
    <w:basedOn w:val="DefaultParagraphFont"/>
    <w:rsid w:val="001D0FDA"/>
  </w:style>
  <w:style w:type="paragraph" w:customStyle="1" w:styleId="bodytext0">
    <w:name w:val="bodytext"/>
    <w:basedOn w:val="Normal"/>
    <w:rsid w:val="001D0FDA"/>
    <w:pPr>
      <w:spacing w:before="100" w:beforeAutospacing="1" w:after="100" w:afterAutospacing="1" w:line="312" w:lineRule="auto"/>
    </w:pPr>
    <w:rPr>
      <w:rFonts w:ascii="Times New Roman" w:eastAsia="Times New Roman" w:hAnsi="Times New Roman" w:cs="Tahoma"/>
      <w:sz w:val="22"/>
      <w:lang w:eastAsia="en-AU"/>
    </w:rPr>
  </w:style>
  <w:style w:type="character" w:customStyle="1" w:styleId="mainsubheader1">
    <w:name w:val="mainsubheader1"/>
    <w:rsid w:val="001D0FDA"/>
    <w:rPr>
      <w:b/>
      <w:bCs/>
    </w:rPr>
  </w:style>
  <w:style w:type="paragraph" w:customStyle="1" w:styleId="Bullet12">
    <w:name w:val="Bullet+12"/>
    <w:basedOn w:val="Normal"/>
    <w:rsid w:val="001D0FDA"/>
    <w:pPr>
      <w:tabs>
        <w:tab w:val="num" w:pos="357"/>
      </w:tabs>
      <w:spacing w:before="0" w:after="240" w:line="312" w:lineRule="auto"/>
      <w:ind w:left="357" w:hanging="357"/>
    </w:pPr>
    <w:rPr>
      <w:rFonts w:ascii="Times New Roman" w:eastAsia="Times New Roman" w:hAnsi="Times New Roman" w:cs="Tahoma"/>
      <w:sz w:val="22"/>
      <w:szCs w:val="22"/>
    </w:rPr>
  </w:style>
  <w:style w:type="paragraph" w:customStyle="1" w:styleId="Bullet6">
    <w:name w:val="Bullet+6"/>
    <w:basedOn w:val="Normal"/>
    <w:rsid w:val="001D0FDA"/>
    <w:pPr>
      <w:tabs>
        <w:tab w:val="num" w:pos="578"/>
      </w:tabs>
      <w:spacing w:before="0" w:line="312" w:lineRule="auto"/>
      <w:ind w:left="578" w:hanging="360"/>
    </w:pPr>
    <w:rPr>
      <w:rFonts w:ascii="Times New Roman" w:eastAsia="Times New Roman" w:hAnsi="Times New Roman" w:cs="Tahoma"/>
      <w:sz w:val="22"/>
      <w:lang w:eastAsia="en-AU"/>
    </w:rPr>
  </w:style>
  <w:style w:type="table" w:styleId="TableClassic1">
    <w:name w:val="Table Classic 1"/>
    <w:basedOn w:val="TableNormal"/>
    <w:rsid w:val="001D0FDA"/>
    <w:pPr>
      <w:spacing w:after="240" w:line="312" w:lineRule="auto"/>
    </w:pPr>
    <w:rPr>
      <w:rFonts w:ascii="Times New Roman" w:eastAsia="Times New Roman" w:hAnsi="Times New Roman"/>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1">
    <w:name w:val="Style1"/>
    <w:basedOn w:val="Normal"/>
    <w:rsid w:val="001D0FDA"/>
    <w:pPr>
      <w:tabs>
        <w:tab w:val="left" w:pos="720"/>
      </w:tabs>
      <w:spacing w:before="0" w:line="240" w:lineRule="auto"/>
    </w:pPr>
    <w:rPr>
      <w:rFonts w:ascii="Bookman Old Style" w:eastAsia="Times New Roman" w:hAnsi="Bookman Old Style"/>
      <w:sz w:val="20"/>
      <w:szCs w:val="20"/>
      <w:lang w:val="en-US"/>
    </w:rPr>
  </w:style>
  <w:style w:type="character" w:customStyle="1" w:styleId="st1">
    <w:name w:val="st1"/>
    <w:basedOn w:val="DefaultParagraphFont"/>
    <w:rsid w:val="001D0FDA"/>
  </w:style>
  <w:style w:type="table" w:customStyle="1" w:styleId="TableGrid11">
    <w:name w:val="Table Grid11"/>
    <w:basedOn w:val="TableNormal"/>
    <w:next w:val="TableGrid"/>
    <w:rsid w:val="001D0FDA"/>
    <w:pPr>
      <w:spacing w:before="40" w:after="40"/>
    </w:pPr>
    <w:rPr>
      <w:rFonts w:ascii="Arial Narrow" w:eastAsia="Times New Roman" w:hAnsi="Arial Narro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Narrow" w:hAnsi="Arial Narrow"/>
        <w:b w:val="0"/>
        <w:sz w:val="20"/>
      </w:rPr>
    </w:tblStylePr>
  </w:style>
  <w:style w:type="paragraph" w:customStyle="1" w:styleId="desc">
    <w:name w:val="desc"/>
    <w:basedOn w:val="Normal"/>
    <w:rsid w:val="001D0FDA"/>
    <w:pPr>
      <w:spacing w:before="100" w:beforeAutospacing="1" w:after="100" w:afterAutospacing="1" w:line="240" w:lineRule="auto"/>
    </w:pPr>
    <w:rPr>
      <w:rFonts w:ascii="Times New Roman" w:eastAsia="Times New Roman" w:hAnsi="Times New Roman"/>
      <w:sz w:val="22"/>
      <w:lang w:eastAsia="en-AU"/>
    </w:rPr>
  </w:style>
  <w:style w:type="paragraph" w:customStyle="1" w:styleId="details">
    <w:name w:val="details"/>
    <w:basedOn w:val="Normal"/>
    <w:rsid w:val="001D0FDA"/>
    <w:pPr>
      <w:spacing w:before="100" w:beforeAutospacing="1" w:after="100" w:afterAutospacing="1" w:line="240" w:lineRule="auto"/>
    </w:pPr>
    <w:rPr>
      <w:rFonts w:ascii="Times New Roman" w:eastAsia="Times New Roman" w:hAnsi="Times New Roman"/>
      <w:sz w:val="22"/>
      <w:lang w:eastAsia="en-AU"/>
    </w:rPr>
  </w:style>
  <w:style w:type="character" w:customStyle="1" w:styleId="jrnl">
    <w:name w:val="jrnl"/>
    <w:basedOn w:val="DefaultParagraphFont"/>
    <w:rsid w:val="001D0FDA"/>
  </w:style>
  <w:style w:type="character" w:customStyle="1" w:styleId="A5">
    <w:name w:val="A5"/>
    <w:uiPriority w:val="99"/>
    <w:rsid w:val="001D0FDA"/>
    <w:rPr>
      <w:rFonts w:cs="Humanist 77 7 BT"/>
      <w:color w:val="000000"/>
      <w:sz w:val="11"/>
      <w:szCs w:val="11"/>
    </w:rPr>
  </w:style>
  <w:style w:type="paragraph" w:customStyle="1" w:styleId="TOCHeading1">
    <w:name w:val="TOC Heading1"/>
    <w:basedOn w:val="Heading1"/>
    <w:next w:val="Normal"/>
    <w:uiPriority w:val="39"/>
    <w:unhideWhenUsed/>
    <w:qFormat/>
    <w:rsid w:val="001D0FDA"/>
    <w:pPr>
      <w:keepNext/>
      <w:keepLines/>
      <w:pageBreakBefore w:val="0"/>
      <w:numPr>
        <w:numId w:val="0"/>
      </w:numPr>
      <w:spacing w:before="480" w:after="0" w:line="276" w:lineRule="auto"/>
      <w:jc w:val="left"/>
      <w:outlineLvl w:val="9"/>
    </w:pPr>
    <w:rPr>
      <w:rFonts w:eastAsia="MS Gothic"/>
      <w:bCs/>
      <w:smallCaps/>
      <w:color w:val="365F91"/>
      <w:sz w:val="28"/>
      <w:szCs w:val="28"/>
      <w:lang w:val="en-US"/>
    </w:rPr>
  </w:style>
  <w:style w:type="character" w:customStyle="1" w:styleId="highlight">
    <w:name w:val="highlight"/>
    <w:basedOn w:val="DefaultParagraphFont"/>
    <w:rsid w:val="001D0FDA"/>
  </w:style>
  <w:style w:type="paragraph" w:customStyle="1" w:styleId="ESSectionHeading-numbered0">
    <w:name w:val="ES. Section Heading - numbered"/>
    <w:basedOn w:val="Heading3"/>
    <w:link w:val="ESSectionHeading-numberedChar"/>
    <w:rsid w:val="001D0FDA"/>
    <w:pPr>
      <w:numPr>
        <w:ilvl w:val="0"/>
        <w:numId w:val="52"/>
      </w:numPr>
      <w:tabs>
        <w:tab w:val="clear" w:pos="0"/>
      </w:tabs>
      <w:spacing w:before="240" w:after="120" w:line="312" w:lineRule="auto"/>
      <w:jc w:val="left"/>
    </w:pPr>
    <w:rPr>
      <w:rFonts w:ascii="Calibri" w:hAnsi="Calibri" w:cs="Tahoma"/>
      <w:i w:val="0"/>
      <w:smallCaps/>
      <w:sz w:val="24"/>
    </w:rPr>
  </w:style>
  <w:style w:type="paragraph" w:customStyle="1" w:styleId="MainBodySectionHeading-numbered">
    <w:name w:val="Main Body Section Heading - numbered"/>
    <w:basedOn w:val="Heading2"/>
    <w:link w:val="MainBodySectionHeading-numberedChar"/>
    <w:rsid w:val="001D0FDA"/>
    <w:pPr>
      <w:numPr>
        <w:ilvl w:val="0"/>
        <w:numId w:val="51"/>
      </w:numPr>
      <w:spacing w:before="0" w:after="120"/>
      <w:ind w:left="567" w:hanging="567"/>
      <w:jc w:val="left"/>
    </w:pPr>
    <w:rPr>
      <w:rFonts w:ascii="Arial Narrow" w:hAnsi="Arial Narrow" w:cs="Tahoma"/>
      <w:bCs/>
      <w:szCs w:val="22"/>
    </w:rPr>
  </w:style>
  <w:style w:type="character" w:customStyle="1" w:styleId="ESSectionHeading-numberedChar">
    <w:name w:val="ES. Section Heading - numbered Char"/>
    <w:basedOn w:val="Heading3Char"/>
    <w:link w:val="ESSectionHeading-numbered0"/>
    <w:rsid w:val="001D0FDA"/>
    <w:rPr>
      <w:rFonts w:ascii="Calibri" w:eastAsia="Times New Roman" w:hAnsi="Calibri" w:cs="Tahoma"/>
      <w:b/>
      <w:i w:val="0"/>
      <w:smallCaps/>
      <w:sz w:val="24"/>
      <w:szCs w:val="24"/>
      <w:lang w:eastAsia="en-US"/>
    </w:rPr>
  </w:style>
  <w:style w:type="character" w:customStyle="1" w:styleId="MainBodySectionHeading-numberedChar">
    <w:name w:val="Main Body Section Heading - numbered Char"/>
    <w:basedOn w:val="Heading2Char"/>
    <w:link w:val="MainBodySectionHeading-numbered"/>
    <w:rsid w:val="001D0FDA"/>
    <w:rPr>
      <w:rFonts w:ascii="Arial Narrow" w:eastAsia="Times New Roman" w:hAnsi="Arial Narrow" w:cs="Tahoma"/>
      <w:b/>
      <w:bCs/>
      <w:color w:val="4F81BD"/>
      <w:sz w:val="32"/>
      <w:szCs w:val="22"/>
      <w:lang w:eastAsia="en-US"/>
    </w:rPr>
  </w:style>
  <w:style w:type="paragraph" w:customStyle="1" w:styleId="Tablenotes0">
    <w:name w:val="Tablenotes"/>
    <w:basedOn w:val="Normal"/>
    <w:link w:val="TablenotesChar0"/>
    <w:qFormat/>
    <w:rsid w:val="001D0FDA"/>
    <w:pPr>
      <w:widowControl w:val="0"/>
      <w:spacing w:before="40" w:after="240" w:line="240" w:lineRule="auto"/>
    </w:pPr>
    <w:rPr>
      <w:rFonts w:ascii="Arial Narrow" w:eastAsia="SimSun" w:hAnsi="Arial Narrow" w:cs="Arial"/>
      <w:snapToGrid w:val="0"/>
      <w:sz w:val="20"/>
      <w:szCs w:val="20"/>
    </w:rPr>
  </w:style>
  <w:style w:type="character" w:customStyle="1" w:styleId="TablenotesChar0">
    <w:name w:val="Tablenotes Char"/>
    <w:basedOn w:val="DefaultParagraphFont"/>
    <w:link w:val="Tablenotes0"/>
    <w:rsid w:val="001D0FDA"/>
    <w:rPr>
      <w:rFonts w:ascii="Arial Narrow" w:eastAsia="SimSun" w:hAnsi="Arial Narrow" w:cs="Arial"/>
      <w:snapToGrid w:val="0"/>
      <w:lang w:eastAsia="en-US"/>
    </w:rPr>
  </w:style>
  <w:style w:type="paragraph" w:customStyle="1" w:styleId="TableNotes18">
    <w:name w:val="TableNotes+18"/>
    <w:basedOn w:val="TableText2"/>
    <w:uiPriority w:val="99"/>
    <w:rsid w:val="001D0FDA"/>
    <w:pPr>
      <w:keepNext w:val="0"/>
      <w:keepLines/>
      <w:spacing w:before="0" w:after="360" w:line="240" w:lineRule="auto"/>
      <w:ind w:left="720"/>
    </w:pPr>
    <w:rPr>
      <w:rFonts w:cs="Times New Roman"/>
      <w:color w:val="000000"/>
      <w:szCs w:val="21"/>
    </w:rPr>
  </w:style>
  <w:style w:type="paragraph" w:customStyle="1" w:styleId="TableNotes00">
    <w:name w:val="TableNotes+0"/>
    <w:basedOn w:val="TableNotes18"/>
    <w:uiPriority w:val="99"/>
    <w:rsid w:val="001D0FDA"/>
    <w:pPr>
      <w:keepNext/>
      <w:spacing w:after="0"/>
    </w:pPr>
  </w:style>
  <w:style w:type="paragraph" w:customStyle="1" w:styleId="TFAbbrevs0">
    <w:name w:val="TFAbbrevs+0"/>
    <w:basedOn w:val="Normal"/>
    <w:qFormat/>
    <w:rsid w:val="001D0FDA"/>
    <w:pPr>
      <w:keepNext/>
      <w:keepLines/>
      <w:spacing w:before="0" w:line="240" w:lineRule="auto"/>
    </w:pPr>
    <w:rPr>
      <w:rFonts w:ascii="Arial Narrow" w:eastAsia="Times New Roman" w:hAnsi="Arial Narrow"/>
      <w:color w:val="000000"/>
      <w:sz w:val="18"/>
      <w:szCs w:val="18"/>
      <w:lang w:eastAsia="en-AU"/>
    </w:rPr>
  </w:style>
  <w:style w:type="paragraph" w:customStyle="1" w:styleId="TFAbbrevs18">
    <w:name w:val="TFAbbrevs+18"/>
    <w:basedOn w:val="TFAbbrevs0"/>
    <w:next w:val="Normal"/>
    <w:qFormat/>
    <w:rsid w:val="001D0FDA"/>
    <w:pPr>
      <w:spacing w:after="360"/>
    </w:pPr>
  </w:style>
  <w:style w:type="paragraph" w:customStyle="1" w:styleId="Comment">
    <w:name w:val="Comment"/>
    <w:basedOn w:val="Normal"/>
    <w:link w:val="CommentChar"/>
    <w:rsid w:val="001D0FDA"/>
    <w:pPr>
      <w:tabs>
        <w:tab w:val="num" w:pos="720"/>
      </w:tabs>
      <w:spacing w:before="0" w:after="240" w:line="312" w:lineRule="auto"/>
    </w:pPr>
    <w:rPr>
      <w:rFonts w:ascii="Calibri" w:eastAsia="Times New Roman" w:hAnsi="Calibri" w:cs="Tahoma"/>
      <w:i/>
      <w:sz w:val="22"/>
      <w:szCs w:val="22"/>
      <w:lang w:eastAsia="en-AU"/>
    </w:rPr>
  </w:style>
  <w:style w:type="character" w:customStyle="1" w:styleId="CommentChar">
    <w:name w:val="Comment Char"/>
    <w:basedOn w:val="DefaultParagraphFont"/>
    <w:link w:val="Comment"/>
    <w:rsid w:val="001D0FDA"/>
    <w:rPr>
      <w:rFonts w:ascii="Calibri" w:eastAsia="Times New Roman" w:hAnsi="Calibri" w:cs="Tahoma"/>
      <w:i/>
      <w:sz w:val="22"/>
      <w:szCs w:val="22"/>
    </w:rPr>
  </w:style>
  <w:style w:type="paragraph" w:customStyle="1" w:styleId="hidden">
    <w:name w:val="hidden"/>
    <w:basedOn w:val="Normal"/>
    <w:qFormat/>
    <w:rsid w:val="001D0FDA"/>
    <w:pPr>
      <w:spacing w:before="0" w:after="240" w:line="312" w:lineRule="auto"/>
    </w:pPr>
    <w:rPr>
      <w:rFonts w:ascii="Calibri" w:eastAsia="Times New Roman" w:hAnsi="Calibri" w:cs="Tahoma"/>
      <w:sz w:val="22"/>
      <w:szCs w:val="22"/>
      <w:lang w:eastAsia="en-AU"/>
    </w:rPr>
  </w:style>
  <w:style w:type="paragraph" w:customStyle="1" w:styleId="Guidelines">
    <w:name w:val="Guidelines"/>
    <w:basedOn w:val="Normal"/>
    <w:link w:val="GuidelinesChar"/>
    <w:qFormat/>
    <w:rsid w:val="001D0FDA"/>
    <w:pPr>
      <w:spacing w:before="0" w:after="240" w:line="312" w:lineRule="auto"/>
    </w:pPr>
    <w:rPr>
      <w:rFonts w:ascii="Calibri" w:eastAsia="Times New Roman" w:hAnsi="Calibri" w:cs="Tahoma"/>
      <w:vanish/>
      <w:color w:val="C00000"/>
      <w:sz w:val="22"/>
      <w:szCs w:val="22"/>
      <w:lang w:eastAsia="en-AU"/>
    </w:rPr>
  </w:style>
  <w:style w:type="character" w:customStyle="1" w:styleId="GuidelinesChar">
    <w:name w:val="Guidelines Char"/>
    <w:basedOn w:val="DefaultParagraphFont"/>
    <w:link w:val="Guidelines"/>
    <w:rsid w:val="001D0FDA"/>
    <w:rPr>
      <w:rFonts w:ascii="Calibri" w:eastAsia="Times New Roman" w:hAnsi="Calibri" w:cs="Tahoma"/>
      <w:vanish/>
      <w:color w:val="C00000"/>
      <w:sz w:val="22"/>
      <w:szCs w:val="22"/>
    </w:rPr>
  </w:style>
  <w:style w:type="table" w:customStyle="1" w:styleId="TableGrid51">
    <w:name w:val="Table Grid5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nt">
    <w:name w:val="Table font"/>
    <w:basedOn w:val="Normal"/>
    <w:link w:val="TablefontChar"/>
    <w:qFormat/>
    <w:rsid w:val="001D0FDA"/>
    <w:pPr>
      <w:spacing w:before="120" w:after="120" w:line="240" w:lineRule="auto"/>
    </w:pPr>
    <w:rPr>
      <w:rFonts w:ascii="Arial Narrow" w:hAnsi="Arial Narrow"/>
      <w:sz w:val="18"/>
      <w:szCs w:val="22"/>
    </w:rPr>
  </w:style>
  <w:style w:type="character" w:customStyle="1" w:styleId="TablefontChar">
    <w:name w:val="Table font Char"/>
    <w:basedOn w:val="DefaultParagraphFont"/>
    <w:link w:val="Tablefont"/>
    <w:rsid w:val="001D0FDA"/>
    <w:rPr>
      <w:rFonts w:ascii="Arial Narrow" w:hAnsi="Arial Narrow"/>
      <w:sz w:val="18"/>
      <w:szCs w:val="22"/>
      <w:lang w:eastAsia="en-US"/>
    </w:rPr>
  </w:style>
  <w:style w:type="character" w:customStyle="1" w:styleId="label">
    <w:name w:val="label"/>
    <w:basedOn w:val="DefaultParagraphFont"/>
    <w:rsid w:val="001D0FDA"/>
  </w:style>
  <w:style w:type="character" w:customStyle="1" w:styleId="quality-sign">
    <w:name w:val="quality-sign"/>
    <w:basedOn w:val="DefaultParagraphFont"/>
    <w:rsid w:val="001D0FDA"/>
  </w:style>
  <w:style w:type="table" w:customStyle="1" w:styleId="TableGrid52">
    <w:name w:val="Table Grid52"/>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1D0FDA"/>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left">
    <w:name w:val="Table Text 1 (left)"/>
    <w:basedOn w:val="Normal"/>
    <w:link w:val="TableText1leftChar"/>
    <w:qFormat/>
    <w:rsid w:val="001D0FDA"/>
    <w:pPr>
      <w:spacing w:before="40" w:after="40" w:line="240" w:lineRule="auto"/>
    </w:pPr>
    <w:rPr>
      <w:rFonts w:ascii="Calibri" w:eastAsia="SimSun" w:hAnsi="Calibri" w:cs="Calibri"/>
      <w:sz w:val="20"/>
      <w:szCs w:val="20"/>
      <w:lang w:val="en-GB"/>
    </w:rPr>
  </w:style>
  <w:style w:type="character" w:customStyle="1" w:styleId="TableText1leftChar">
    <w:name w:val="Table Text 1 (left) Char"/>
    <w:link w:val="TableText1left"/>
    <w:locked/>
    <w:rsid w:val="001D0FDA"/>
    <w:rPr>
      <w:rFonts w:ascii="Calibri" w:eastAsia="SimSun" w:hAnsi="Calibri" w:cs="Calibri"/>
      <w:lang w:val="en-GB" w:eastAsia="en-US"/>
    </w:rPr>
  </w:style>
  <w:style w:type="table" w:customStyle="1" w:styleId="TableGrid581">
    <w:name w:val="Table Grid58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1D0FDA"/>
    <w:pPr>
      <w:spacing w:before="40" w:after="40"/>
    </w:pPr>
    <w:rPr>
      <w:rFonts w:ascii="Arial Narrow" w:eastAsia="Times New Roman" w:hAnsi="Arial Narro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b w:val="0"/>
        <w:sz w:val="20"/>
      </w:rPr>
    </w:tblStylePr>
  </w:style>
  <w:style w:type="numbering" w:customStyle="1" w:styleId="NoList11">
    <w:name w:val="No List11"/>
    <w:next w:val="NoList"/>
    <w:uiPriority w:val="99"/>
    <w:semiHidden/>
    <w:unhideWhenUsed/>
    <w:rsid w:val="001D0FDA"/>
  </w:style>
  <w:style w:type="table" w:customStyle="1" w:styleId="TableGrid12">
    <w:name w:val="Table Grid12"/>
    <w:basedOn w:val="TableNormal"/>
    <w:next w:val="TableGrid"/>
    <w:uiPriority w:val="59"/>
    <w:rsid w:val="001D0FDA"/>
    <w:pPr>
      <w:spacing w:before="40" w:after="40"/>
    </w:pPr>
    <w:rPr>
      <w:rFonts w:ascii="Calibri" w:eastAsia="Times New Roman" w:hAnsi="Calibr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1D0FDA"/>
    <w:pPr>
      <w:spacing w:after="240" w:line="312" w:lineRule="auto"/>
    </w:pPr>
    <w:rPr>
      <w:rFonts w:ascii="Times New Roman" w:eastAsia="Times New Roman" w:hAnsi="Times New Roman"/>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2">
    <w:name w:val="Table Grid512"/>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next w:val="TableGrid"/>
    <w:uiPriority w:val="59"/>
    <w:rsid w:val="001D0FDA"/>
    <w:pPr>
      <w:spacing w:before="40" w:after="40"/>
      <w:ind w:right="-57"/>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1D0FDA"/>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1D0FDA"/>
    <w:pPr>
      <w:numPr>
        <w:numId w:val="53"/>
      </w:numPr>
      <w:spacing w:before="0" w:line="240" w:lineRule="auto"/>
      <w:contextualSpacing/>
    </w:pPr>
    <w:rPr>
      <w:rFonts w:ascii="Times New Roman" w:eastAsia="Times New Roman" w:hAnsi="Times New Roman"/>
      <w:szCs w:val="20"/>
    </w:rPr>
  </w:style>
  <w:style w:type="paragraph" w:customStyle="1" w:styleId="ToRText">
    <w:name w:val="ToR Text"/>
    <w:basedOn w:val="Normal"/>
    <w:link w:val="ToRTextChar"/>
    <w:qFormat/>
    <w:rsid w:val="005A0C83"/>
    <w:pPr>
      <w:pBdr>
        <w:top w:val="single" w:sz="4" w:space="1" w:color="auto"/>
        <w:left w:val="single" w:sz="4" w:space="4" w:color="auto"/>
        <w:bottom w:val="single" w:sz="4" w:space="1" w:color="auto"/>
        <w:right w:val="single" w:sz="4" w:space="4" w:color="auto"/>
      </w:pBdr>
      <w:spacing w:before="0" w:after="200" w:line="240" w:lineRule="auto"/>
    </w:pPr>
    <w:rPr>
      <w:rFonts w:eastAsiaTheme="minorHAnsi" w:cstheme="minorHAnsi"/>
      <w:b/>
      <w:color w:val="365F91" w:themeColor="accent1" w:themeShade="BF"/>
      <w:szCs w:val="22"/>
      <w:lang w:eastAsia="en-AU"/>
    </w:rPr>
  </w:style>
  <w:style w:type="character" w:customStyle="1" w:styleId="ToRTextChar">
    <w:name w:val="ToR Text Char"/>
    <w:basedOn w:val="DefaultParagraphFont"/>
    <w:link w:val="ToRText"/>
    <w:rsid w:val="005A0C83"/>
    <w:rPr>
      <w:rFonts w:asciiTheme="minorHAnsi" w:eastAsiaTheme="minorHAnsi" w:hAnsiTheme="minorHAnsi" w:cstheme="minorHAnsi"/>
      <w:b/>
      <w:color w:val="365F91" w:themeColor="accent1" w:themeShade="BF"/>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16980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68">
          <w:marLeft w:val="0"/>
          <w:marRight w:val="0"/>
          <w:marTop w:val="0"/>
          <w:marBottom w:val="0"/>
          <w:divBdr>
            <w:top w:val="none" w:sz="0" w:space="0" w:color="auto"/>
            <w:left w:val="none" w:sz="0" w:space="0" w:color="auto"/>
            <w:bottom w:val="none" w:sz="0" w:space="0" w:color="auto"/>
            <w:right w:val="none" w:sz="0" w:space="0" w:color="auto"/>
          </w:divBdr>
        </w:div>
      </w:divsChild>
    </w:div>
    <w:div w:id="303782159">
      <w:bodyDiv w:val="1"/>
      <w:marLeft w:val="0"/>
      <w:marRight w:val="0"/>
      <w:marTop w:val="0"/>
      <w:marBottom w:val="0"/>
      <w:divBdr>
        <w:top w:val="none" w:sz="0" w:space="0" w:color="auto"/>
        <w:left w:val="none" w:sz="0" w:space="0" w:color="auto"/>
        <w:bottom w:val="none" w:sz="0" w:space="0" w:color="auto"/>
        <w:right w:val="none" w:sz="0" w:space="0" w:color="auto"/>
      </w:divBdr>
      <w:divsChild>
        <w:div w:id="1614819175">
          <w:marLeft w:val="0"/>
          <w:marRight w:val="0"/>
          <w:marTop w:val="0"/>
          <w:marBottom w:val="0"/>
          <w:divBdr>
            <w:top w:val="none" w:sz="0" w:space="0" w:color="auto"/>
            <w:left w:val="none" w:sz="0" w:space="0" w:color="auto"/>
            <w:bottom w:val="none" w:sz="0" w:space="0" w:color="auto"/>
            <w:right w:val="none" w:sz="0" w:space="0" w:color="auto"/>
          </w:divBdr>
        </w:div>
      </w:divsChild>
    </w:div>
    <w:div w:id="352268851">
      <w:bodyDiv w:val="1"/>
      <w:marLeft w:val="0"/>
      <w:marRight w:val="0"/>
      <w:marTop w:val="0"/>
      <w:marBottom w:val="0"/>
      <w:divBdr>
        <w:top w:val="none" w:sz="0" w:space="0" w:color="auto"/>
        <w:left w:val="none" w:sz="0" w:space="0" w:color="auto"/>
        <w:bottom w:val="none" w:sz="0" w:space="0" w:color="auto"/>
        <w:right w:val="none" w:sz="0" w:space="0" w:color="auto"/>
      </w:divBdr>
    </w:div>
    <w:div w:id="444346035">
      <w:bodyDiv w:val="1"/>
      <w:marLeft w:val="0"/>
      <w:marRight w:val="0"/>
      <w:marTop w:val="0"/>
      <w:marBottom w:val="0"/>
      <w:divBdr>
        <w:top w:val="none" w:sz="0" w:space="0" w:color="auto"/>
        <w:left w:val="none" w:sz="0" w:space="0" w:color="auto"/>
        <w:bottom w:val="none" w:sz="0" w:space="0" w:color="auto"/>
        <w:right w:val="none" w:sz="0" w:space="0" w:color="auto"/>
      </w:divBdr>
    </w:div>
    <w:div w:id="510608629">
      <w:bodyDiv w:val="1"/>
      <w:marLeft w:val="0"/>
      <w:marRight w:val="0"/>
      <w:marTop w:val="0"/>
      <w:marBottom w:val="0"/>
      <w:divBdr>
        <w:top w:val="none" w:sz="0" w:space="0" w:color="auto"/>
        <w:left w:val="none" w:sz="0" w:space="0" w:color="auto"/>
        <w:bottom w:val="none" w:sz="0" w:space="0" w:color="auto"/>
        <w:right w:val="none" w:sz="0" w:space="0" w:color="auto"/>
      </w:divBdr>
    </w:div>
    <w:div w:id="520437451">
      <w:bodyDiv w:val="1"/>
      <w:marLeft w:val="0"/>
      <w:marRight w:val="0"/>
      <w:marTop w:val="0"/>
      <w:marBottom w:val="0"/>
      <w:divBdr>
        <w:top w:val="none" w:sz="0" w:space="0" w:color="auto"/>
        <w:left w:val="none" w:sz="0" w:space="0" w:color="auto"/>
        <w:bottom w:val="none" w:sz="0" w:space="0" w:color="auto"/>
        <w:right w:val="none" w:sz="0" w:space="0" w:color="auto"/>
      </w:divBdr>
    </w:div>
    <w:div w:id="666397769">
      <w:bodyDiv w:val="1"/>
      <w:marLeft w:val="0"/>
      <w:marRight w:val="0"/>
      <w:marTop w:val="0"/>
      <w:marBottom w:val="0"/>
      <w:divBdr>
        <w:top w:val="none" w:sz="0" w:space="0" w:color="auto"/>
        <w:left w:val="none" w:sz="0" w:space="0" w:color="auto"/>
        <w:bottom w:val="none" w:sz="0" w:space="0" w:color="auto"/>
        <w:right w:val="none" w:sz="0" w:space="0" w:color="auto"/>
      </w:divBdr>
    </w:div>
    <w:div w:id="761804994">
      <w:bodyDiv w:val="1"/>
      <w:marLeft w:val="0"/>
      <w:marRight w:val="0"/>
      <w:marTop w:val="0"/>
      <w:marBottom w:val="0"/>
      <w:divBdr>
        <w:top w:val="none" w:sz="0" w:space="0" w:color="auto"/>
        <w:left w:val="none" w:sz="0" w:space="0" w:color="auto"/>
        <w:bottom w:val="none" w:sz="0" w:space="0" w:color="auto"/>
        <w:right w:val="none" w:sz="0" w:space="0" w:color="auto"/>
      </w:divBdr>
      <w:divsChild>
        <w:div w:id="865023283">
          <w:marLeft w:val="0"/>
          <w:marRight w:val="0"/>
          <w:marTop w:val="0"/>
          <w:marBottom w:val="0"/>
          <w:divBdr>
            <w:top w:val="none" w:sz="0" w:space="0" w:color="auto"/>
            <w:left w:val="none" w:sz="0" w:space="0" w:color="auto"/>
            <w:bottom w:val="none" w:sz="0" w:space="0" w:color="auto"/>
            <w:right w:val="none" w:sz="0" w:space="0" w:color="auto"/>
          </w:divBdr>
        </w:div>
      </w:divsChild>
    </w:div>
    <w:div w:id="781457472">
      <w:bodyDiv w:val="1"/>
      <w:marLeft w:val="0"/>
      <w:marRight w:val="0"/>
      <w:marTop w:val="0"/>
      <w:marBottom w:val="0"/>
      <w:divBdr>
        <w:top w:val="none" w:sz="0" w:space="0" w:color="auto"/>
        <w:left w:val="none" w:sz="0" w:space="0" w:color="auto"/>
        <w:bottom w:val="none" w:sz="0" w:space="0" w:color="auto"/>
        <w:right w:val="none" w:sz="0" w:space="0" w:color="auto"/>
      </w:divBdr>
      <w:divsChild>
        <w:div w:id="1725132626">
          <w:marLeft w:val="0"/>
          <w:marRight w:val="0"/>
          <w:marTop w:val="0"/>
          <w:marBottom w:val="0"/>
          <w:divBdr>
            <w:top w:val="none" w:sz="0" w:space="0" w:color="auto"/>
            <w:left w:val="none" w:sz="0" w:space="0" w:color="auto"/>
            <w:bottom w:val="none" w:sz="0" w:space="0" w:color="auto"/>
            <w:right w:val="none" w:sz="0" w:space="0" w:color="auto"/>
          </w:divBdr>
        </w:div>
      </w:divsChild>
    </w:div>
    <w:div w:id="827480491">
      <w:bodyDiv w:val="1"/>
      <w:marLeft w:val="0"/>
      <w:marRight w:val="0"/>
      <w:marTop w:val="0"/>
      <w:marBottom w:val="0"/>
      <w:divBdr>
        <w:top w:val="none" w:sz="0" w:space="0" w:color="auto"/>
        <w:left w:val="none" w:sz="0" w:space="0" w:color="auto"/>
        <w:bottom w:val="none" w:sz="0" w:space="0" w:color="auto"/>
        <w:right w:val="none" w:sz="0" w:space="0" w:color="auto"/>
      </w:divBdr>
    </w:div>
    <w:div w:id="945114641">
      <w:bodyDiv w:val="1"/>
      <w:marLeft w:val="0"/>
      <w:marRight w:val="0"/>
      <w:marTop w:val="0"/>
      <w:marBottom w:val="0"/>
      <w:divBdr>
        <w:top w:val="none" w:sz="0" w:space="0" w:color="auto"/>
        <w:left w:val="none" w:sz="0" w:space="0" w:color="auto"/>
        <w:bottom w:val="none" w:sz="0" w:space="0" w:color="auto"/>
        <w:right w:val="none" w:sz="0" w:space="0" w:color="auto"/>
      </w:divBdr>
    </w:div>
    <w:div w:id="951396373">
      <w:bodyDiv w:val="1"/>
      <w:marLeft w:val="0"/>
      <w:marRight w:val="0"/>
      <w:marTop w:val="0"/>
      <w:marBottom w:val="0"/>
      <w:divBdr>
        <w:top w:val="none" w:sz="0" w:space="0" w:color="auto"/>
        <w:left w:val="none" w:sz="0" w:space="0" w:color="auto"/>
        <w:bottom w:val="none" w:sz="0" w:space="0" w:color="auto"/>
        <w:right w:val="none" w:sz="0" w:space="0" w:color="auto"/>
      </w:divBdr>
    </w:div>
    <w:div w:id="1078402599">
      <w:bodyDiv w:val="1"/>
      <w:marLeft w:val="0"/>
      <w:marRight w:val="0"/>
      <w:marTop w:val="0"/>
      <w:marBottom w:val="0"/>
      <w:divBdr>
        <w:top w:val="none" w:sz="0" w:space="0" w:color="auto"/>
        <w:left w:val="none" w:sz="0" w:space="0" w:color="auto"/>
        <w:bottom w:val="none" w:sz="0" w:space="0" w:color="auto"/>
        <w:right w:val="none" w:sz="0" w:space="0" w:color="auto"/>
      </w:divBdr>
    </w:div>
    <w:div w:id="1151554448">
      <w:bodyDiv w:val="1"/>
      <w:marLeft w:val="0"/>
      <w:marRight w:val="0"/>
      <w:marTop w:val="0"/>
      <w:marBottom w:val="0"/>
      <w:divBdr>
        <w:top w:val="none" w:sz="0" w:space="0" w:color="auto"/>
        <w:left w:val="none" w:sz="0" w:space="0" w:color="auto"/>
        <w:bottom w:val="none" w:sz="0" w:space="0" w:color="auto"/>
        <w:right w:val="none" w:sz="0" w:space="0" w:color="auto"/>
      </w:divBdr>
    </w:div>
    <w:div w:id="1206024084">
      <w:bodyDiv w:val="1"/>
      <w:marLeft w:val="0"/>
      <w:marRight w:val="0"/>
      <w:marTop w:val="0"/>
      <w:marBottom w:val="0"/>
      <w:divBdr>
        <w:top w:val="none" w:sz="0" w:space="0" w:color="auto"/>
        <w:left w:val="none" w:sz="0" w:space="0" w:color="auto"/>
        <w:bottom w:val="none" w:sz="0" w:space="0" w:color="auto"/>
        <w:right w:val="none" w:sz="0" w:space="0" w:color="auto"/>
      </w:divBdr>
      <w:divsChild>
        <w:div w:id="1046753543">
          <w:marLeft w:val="0"/>
          <w:marRight w:val="0"/>
          <w:marTop w:val="0"/>
          <w:marBottom w:val="0"/>
          <w:divBdr>
            <w:top w:val="none" w:sz="0" w:space="0" w:color="auto"/>
            <w:left w:val="none" w:sz="0" w:space="0" w:color="auto"/>
            <w:bottom w:val="none" w:sz="0" w:space="0" w:color="auto"/>
            <w:right w:val="none" w:sz="0" w:space="0" w:color="auto"/>
          </w:divBdr>
        </w:div>
      </w:divsChild>
    </w:div>
    <w:div w:id="1228347053">
      <w:bodyDiv w:val="1"/>
      <w:marLeft w:val="0"/>
      <w:marRight w:val="0"/>
      <w:marTop w:val="0"/>
      <w:marBottom w:val="0"/>
      <w:divBdr>
        <w:top w:val="none" w:sz="0" w:space="0" w:color="auto"/>
        <w:left w:val="none" w:sz="0" w:space="0" w:color="auto"/>
        <w:bottom w:val="none" w:sz="0" w:space="0" w:color="auto"/>
        <w:right w:val="none" w:sz="0" w:space="0" w:color="auto"/>
      </w:divBdr>
    </w:div>
    <w:div w:id="1323847305">
      <w:bodyDiv w:val="1"/>
      <w:marLeft w:val="0"/>
      <w:marRight w:val="0"/>
      <w:marTop w:val="0"/>
      <w:marBottom w:val="0"/>
      <w:divBdr>
        <w:top w:val="none" w:sz="0" w:space="0" w:color="auto"/>
        <w:left w:val="none" w:sz="0" w:space="0" w:color="auto"/>
        <w:bottom w:val="none" w:sz="0" w:space="0" w:color="auto"/>
        <w:right w:val="none" w:sz="0" w:space="0" w:color="auto"/>
      </w:divBdr>
    </w:div>
    <w:div w:id="1394232309">
      <w:bodyDiv w:val="1"/>
      <w:marLeft w:val="0"/>
      <w:marRight w:val="0"/>
      <w:marTop w:val="0"/>
      <w:marBottom w:val="0"/>
      <w:divBdr>
        <w:top w:val="none" w:sz="0" w:space="0" w:color="auto"/>
        <w:left w:val="none" w:sz="0" w:space="0" w:color="auto"/>
        <w:bottom w:val="none" w:sz="0" w:space="0" w:color="auto"/>
        <w:right w:val="none" w:sz="0" w:space="0" w:color="auto"/>
      </w:divBdr>
    </w:div>
    <w:div w:id="1529832297">
      <w:bodyDiv w:val="1"/>
      <w:marLeft w:val="0"/>
      <w:marRight w:val="0"/>
      <w:marTop w:val="0"/>
      <w:marBottom w:val="0"/>
      <w:divBdr>
        <w:top w:val="none" w:sz="0" w:space="0" w:color="auto"/>
        <w:left w:val="none" w:sz="0" w:space="0" w:color="auto"/>
        <w:bottom w:val="none" w:sz="0" w:space="0" w:color="auto"/>
        <w:right w:val="none" w:sz="0" w:space="0" w:color="auto"/>
      </w:divBdr>
      <w:divsChild>
        <w:div w:id="1102190872">
          <w:marLeft w:val="0"/>
          <w:marRight w:val="0"/>
          <w:marTop w:val="0"/>
          <w:marBottom w:val="0"/>
          <w:divBdr>
            <w:top w:val="none" w:sz="0" w:space="0" w:color="auto"/>
            <w:left w:val="none" w:sz="0" w:space="0" w:color="auto"/>
            <w:bottom w:val="none" w:sz="0" w:space="0" w:color="auto"/>
            <w:right w:val="none" w:sz="0" w:space="0" w:color="auto"/>
          </w:divBdr>
        </w:div>
      </w:divsChild>
    </w:div>
    <w:div w:id="1643584841">
      <w:bodyDiv w:val="1"/>
      <w:marLeft w:val="0"/>
      <w:marRight w:val="0"/>
      <w:marTop w:val="0"/>
      <w:marBottom w:val="0"/>
      <w:divBdr>
        <w:top w:val="none" w:sz="0" w:space="0" w:color="auto"/>
        <w:left w:val="none" w:sz="0" w:space="0" w:color="auto"/>
        <w:bottom w:val="none" w:sz="0" w:space="0" w:color="auto"/>
        <w:right w:val="none" w:sz="0" w:space="0" w:color="auto"/>
      </w:divBdr>
    </w:div>
    <w:div w:id="1923490714">
      <w:bodyDiv w:val="1"/>
      <w:marLeft w:val="0"/>
      <w:marRight w:val="0"/>
      <w:marTop w:val="0"/>
      <w:marBottom w:val="0"/>
      <w:divBdr>
        <w:top w:val="none" w:sz="0" w:space="0" w:color="auto"/>
        <w:left w:val="none" w:sz="0" w:space="0" w:color="auto"/>
        <w:bottom w:val="none" w:sz="0" w:space="0" w:color="auto"/>
        <w:right w:val="none" w:sz="0" w:space="0" w:color="auto"/>
      </w:divBdr>
    </w:div>
    <w:div w:id="2022275471">
      <w:bodyDiv w:val="1"/>
      <w:marLeft w:val="0"/>
      <w:marRight w:val="0"/>
      <w:marTop w:val="0"/>
      <w:marBottom w:val="0"/>
      <w:divBdr>
        <w:top w:val="none" w:sz="0" w:space="0" w:color="auto"/>
        <w:left w:val="none" w:sz="0" w:space="0" w:color="auto"/>
        <w:bottom w:val="none" w:sz="0" w:space="0" w:color="auto"/>
        <w:right w:val="none" w:sz="0" w:space="0" w:color="auto"/>
      </w:divBdr>
      <w:divsChild>
        <w:div w:id="1727532769">
          <w:marLeft w:val="0"/>
          <w:marRight w:val="0"/>
          <w:marTop w:val="0"/>
          <w:marBottom w:val="0"/>
          <w:divBdr>
            <w:top w:val="none" w:sz="0" w:space="0" w:color="auto"/>
            <w:left w:val="none" w:sz="0" w:space="0" w:color="auto"/>
            <w:bottom w:val="none" w:sz="0" w:space="0" w:color="auto"/>
            <w:right w:val="none" w:sz="0" w:space="0" w:color="auto"/>
          </w:divBdr>
        </w:div>
      </w:divsChild>
    </w:div>
    <w:div w:id="2035879399">
      <w:bodyDiv w:val="1"/>
      <w:marLeft w:val="0"/>
      <w:marRight w:val="0"/>
      <w:marTop w:val="0"/>
      <w:marBottom w:val="0"/>
      <w:divBdr>
        <w:top w:val="none" w:sz="0" w:space="0" w:color="auto"/>
        <w:left w:val="none" w:sz="0" w:space="0" w:color="auto"/>
        <w:bottom w:val="none" w:sz="0" w:space="0" w:color="auto"/>
        <w:right w:val="none" w:sz="0" w:space="0" w:color="auto"/>
      </w:divBdr>
    </w:div>
    <w:div w:id="2064476315">
      <w:bodyDiv w:val="1"/>
      <w:marLeft w:val="0"/>
      <w:marRight w:val="0"/>
      <w:marTop w:val="0"/>
      <w:marBottom w:val="0"/>
      <w:divBdr>
        <w:top w:val="none" w:sz="0" w:space="0" w:color="auto"/>
        <w:left w:val="none" w:sz="0" w:space="0" w:color="auto"/>
        <w:bottom w:val="none" w:sz="0" w:space="0" w:color="auto"/>
        <w:right w:val="none" w:sz="0" w:space="0" w:color="auto"/>
      </w:divBdr>
    </w:div>
    <w:div w:id="209512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oter" Target="footer4.xml"/><Relationship Id="rId42"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5.xml"/><Relationship Id="rId38"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header" Target="header4.xml"/><Relationship Id="rId37" Type="http://schemas.openxmlformats.org/officeDocument/2006/relationships/header" Target="header8.xml"/><Relationship Id="rId40" Type="http://schemas.openxmlformats.org/officeDocument/2006/relationships/header" Target="header10.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tmp"/><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7.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6.xml"/><Relationship Id="rId43" Type="http://schemas.openxmlformats.org/officeDocument/2006/relationships/header" Target="header12.xml"/></Relationships>
</file>

<file path=word/_rels/footnotes.xml.rels><?xml version="1.0" encoding="UTF-8" standalone="yes"?>
<Relationships xmlns="http://schemas.openxmlformats.org/package/2006/relationships"><Relationship Id="rId3" Type="http://schemas.openxmlformats.org/officeDocument/2006/relationships/hyperlink" Target="http://www.ema.europa.eu/ema/index.jsp?curl=pages/regulation/document_listing/document_listing_000375.jsp" TargetMode="External"/><Relationship Id="rId2" Type="http://schemas.openxmlformats.org/officeDocument/2006/relationships/hyperlink" Target="https://pbac.pbs.gov.au/" TargetMode="External"/><Relationship Id="rId1" Type="http://schemas.openxmlformats.org/officeDocument/2006/relationships/hyperlink" Target="https://rayyan.qcri.org/"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266</Pages>
  <Words>102548</Words>
  <Characters>584527</Characters>
  <Application>Microsoft Office Word</Application>
  <DocSecurity>0</DocSecurity>
  <Lines>4871</Lines>
  <Paragraphs>1371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2020-05-12T04:19:00Z</dcterms:created>
  <dcterms:modified xsi:type="dcterms:W3CDTF">2020-05-13T00:47:00Z</dcterms:modified>
</cp:coreProperties>
</file>